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139F296" w14:textId="77777777" w:rsidR="000B4301" w:rsidRDefault="00F47107">
      <w:pPr>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 xml:space="preserve">Effects of Energy Conservation Campaign to the Daily Energy </w:t>
      </w:r>
    </w:p>
    <w:p w14:paraId="471C19D7" w14:textId="599D8C3C" w:rsidR="000B4301" w:rsidRDefault="00F47107">
      <w:pPr>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Consumption in Adventist Medical Center College</w:t>
      </w:r>
      <w:r w:rsidR="001C5A79">
        <w:rPr>
          <w:rFonts w:ascii="Times New Roman" w:eastAsia="Times New Roman" w:hAnsi="Times New Roman" w:cs="Times New Roman"/>
          <w:b/>
          <w:bCs/>
          <w:sz w:val="32"/>
          <w:szCs w:val="32"/>
        </w:rPr>
        <w:t xml:space="preserve"> - </w:t>
      </w:r>
      <w:r>
        <w:rPr>
          <w:rFonts w:ascii="Times New Roman" w:eastAsia="Times New Roman" w:hAnsi="Times New Roman" w:cs="Times New Roman"/>
          <w:b/>
          <w:bCs/>
          <w:sz w:val="32"/>
          <w:szCs w:val="32"/>
        </w:rPr>
        <w:t xml:space="preserve">Academy </w:t>
      </w:r>
    </w:p>
    <w:p w14:paraId="4F3040A7" w14:textId="57AC6E06" w:rsidR="000B4301" w:rsidRDefault="000B4301" w:rsidP="001C5A79">
      <w:pPr>
        <w:rPr>
          <w:rFonts w:ascii="Times New Roman" w:eastAsia="Times New Roman" w:hAnsi="Times New Roman" w:cs="Times New Roman"/>
          <w:i/>
          <w:iCs/>
          <w:sz w:val="28"/>
          <w:szCs w:val="28"/>
        </w:rPr>
      </w:pPr>
      <w:bookmarkStart w:id="0" w:name="_GoBack"/>
      <w:bookmarkEnd w:id="0"/>
    </w:p>
    <w:p w14:paraId="092D38B6" w14:textId="77777777" w:rsidR="000B4301" w:rsidRDefault="00F47107">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ABSTRACT </w:t>
      </w:r>
    </w:p>
    <w:p w14:paraId="26E56321" w14:textId="77777777" w:rsidR="000B4301" w:rsidRDefault="00F47107">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study looked at how an energy conservation campaign affected daily electricity use at Adventist Medical Center College Academy in Iligan City. We collected electricity data for one month before (September 2025) and one month after (October 2025) the campaign started, using a quantitative comparative research design. The campaign aimed to raise awareness and promote responsible energy use among students, teachers, and staff through announcements and posters. We used official electricity billing records measured in kilowatt-hours and peso values as our main data source. For the analysis, we computed mean consumption values and used a paired t-test to see if there was a significant difference between the two periods. The results showed only slight reductions in electricity costs after the campaign: 0.00018% for the main campus and 0.0016% for school extensions. The paired t-test found no significant difference in electricity use before and after the campaign, so we accepted the null hypothesis. These findings suggest that the short length and limited reach of the campaign, plus outside factors like class suspensions and school events, lowered its effectiveness. While we did not see a significant drop in electricity consumption, the study points out the need for ongoing, well-integrated conservation efforts that mix behavior change, technology support, and continuous monitoring to achieve real energy savings in schools.</w:t>
      </w:r>
    </w:p>
    <w:p w14:paraId="4918A7A1" w14:textId="77777777" w:rsidR="000B4301" w:rsidRDefault="000B4301">
      <w:pPr>
        <w:spacing w:line="240" w:lineRule="auto"/>
        <w:jc w:val="both"/>
        <w:rPr>
          <w:rFonts w:ascii="Times New Roman" w:eastAsia="Times New Roman" w:hAnsi="Times New Roman" w:cs="Times New Roman"/>
          <w:sz w:val="24"/>
          <w:szCs w:val="24"/>
        </w:rPr>
      </w:pPr>
    </w:p>
    <w:p w14:paraId="51E39FA2" w14:textId="77777777" w:rsidR="000B4301" w:rsidRDefault="00F47107">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Keywords: </w:t>
      </w:r>
      <w:r>
        <w:rPr>
          <w:rFonts w:ascii="Times New Roman" w:eastAsia="Times New Roman" w:hAnsi="Times New Roman" w:cs="Times New Roman"/>
          <w:sz w:val="24"/>
          <w:szCs w:val="24"/>
        </w:rPr>
        <w:t>Energy Conservation, Quantitative Analysis, Institutional Electricity Consumption, Behavioral Change.</w:t>
      </w:r>
    </w:p>
    <w:p w14:paraId="246FE305" w14:textId="77777777" w:rsidR="000B4301" w:rsidRDefault="000B4301">
      <w:pPr>
        <w:spacing w:line="480" w:lineRule="auto"/>
        <w:jc w:val="both"/>
        <w:rPr>
          <w:rFonts w:ascii="Times New Roman" w:eastAsia="Times New Roman" w:hAnsi="Times New Roman" w:cs="Times New Roman"/>
          <w:sz w:val="24"/>
          <w:szCs w:val="24"/>
        </w:rPr>
      </w:pPr>
    </w:p>
    <w:p w14:paraId="3146CBB2" w14:textId="77777777" w:rsidR="001C5A79" w:rsidRDefault="001C5A79">
      <w:pPr>
        <w:rPr>
          <w:rFonts w:ascii="Times New Roman" w:eastAsia="Times New Roman" w:hAnsi="Times New Roman" w:cs="Times New Roman"/>
          <w:b/>
          <w:bCs/>
          <w:sz w:val="24"/>
          <w:szCs w:val="24"/>
        </w:rPr>
      </w:pPr>
    </w:p>
    <w:p w14:paraId="3D7B7291" w14:textId="77777777" w:rsidR="001C5A79" w:rsidRDefault="001C5A79">
      <w:pPr>
        <w:rPr>
          <w:rFonts w:ascii="Times New Roman" w:eastAsia="Times New Roman" w:hAnsi="Times New Roman" w:cs="Times New Roman"/>
          <w:b/>
          <w:bCs/>
          <w:sz w:val="24"/>
          <w:szCs w:val="24"/>
        </w:rPr>
      </w:pPr>
    </w:p>
    <w:p w14:paraId="7364F022" w14:textId="040135D9" w:rsidR="000B4301" w:rsidRDefault="00F47107">
      <w:pPr>
        <w:rPr>
          <w:rFonts w:ascii="Times New Roman" w:eastAsia="Times New Roman" w:hAnsi="Times New Roman" w:cs="Times New Roman"/>
          <w:b/>
          <w:bCs/>
          <w:sz w:val="28"/>
          <w:szCs w:val="28"/>
        </w:rPr>
      </w:pPr>
      <w:r>
        <w:rPr>
          <w:rFonts w:ascii="Times New Roman" w:eastAsia="Times New Roman" w:hAnsi="Times New Roman" w:cs="Times New Roman"/>
          <w:b/>
          <w:bCs/>
          <w:sz w:val="24"/>
          <w:szCs w:val="24"/>
        </w:rPr>
        <w:t xml:space="preserve">INTRODUCTION   </w:t>
      </w:r>
      <w:r>
        <w:rPr>
          <w:rFonts w:ascii="Times New Roman" w:eastAsia="Times New Roman" w:hAnsi="Times New Roman" w:cs="Times New Roman"/>
          <w:b/>
          <w:bCs/>
          <w:sz w:val="28"/>
          <w:szCs w:val="28"/>
        </w:rPr>
        <w:t xml:space="preserve"> </w:t>
      </w:r>
    </w:p>
    <w:p w14:paraId="025D46D6" w14:textId="77777777" w:rsidR="000B4301" w:rsidRDefault="00F47107">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Electricity consumption is the measure of electrical energy that is utilized over a specific period. Electricity energy consumption refers to the use of electrical energy by society in numerous sectors such as residential, commercial, and transportation (Use of Electricity—U.S. Energy Information Administration (EIA), 2025). According to the International Energy Agency, electricity demand is expected to rise by 3.4% yearly through 2026, mainly driven by growth in emerging economies and electrification of sectors like transporting and heating (International Energy Agency, 2022). During this time, campaigns and syllabus developments focused on practical activities like energy audits and renewable energy projects (Leong &amp; Meng, 2020). Electricity plays a vital role in the daily activities of the school. As the demand for electricity continues to increase, issues such as high energy costs, resource depletion, and environmental problems such as greenhouse gas emissions and climate change arise. Schools are also affected by the changes in electricity consumption. For instance, usage patterns often shift before and after certain events, such as the installation of energy-saving devices or the implementation of conservation programs. This study aims to address this gap by conducting a comparative analysis of electricity consumption before and after; by doing so, it seeks to provide insights into energy-</w:t>
      </w:r>
      <w:r>
        <w:rPr>
          <w:rFonts w:ascii="Times New Roman" w:eastAsia="Times New Roman" w:hAnsi="Times New Roman" w:cs="Times New Roman"/>
          <w:sz w:val="24"/>
          <w:szCs w:val="24"/>
        </w:rPr>
        <w:lastRenderedPageBreak/>
        <w:t xml:space="preserve">use behavior, identify factors that influence changes in consumption patterns, and promote awareness on how schools can adopt more sustainable practices. </w:t>
      </w:r>
    </w:p>
    <w:p w14:paraId="4F73243B" w14:textId="77777777" w:rsidR="000B4301" w:rsidRDefault="000B4301">
      <w:pPr>
        <w:spacing w:line="240" w:lineRule="auto"/>
        <w:jc w:val="both"/>
        <w:rPr>
          <w:rFonts w:ascii="Times New Roman" w:eastAsia="Times New Roman" w:hAnsi="Times New Roman" w:cs="Times New Roman"/>
          <w:sz w:val="24"/>
          <w:szCs w:val="24"/>
        </w:rPr>
      </w:pPr>
    </w:p>
    <w:p w14:paraId="0F41D6E3" w14:textId="77777777" w:rsidR="000B4301" w:rsidRDefault="00F47107">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During the study period, campaigns and syllabus developments focused on practical activities like energy audits and renewable energy projects (Leong &amp; Meng, 2020). Energy-saving programs and operational modifications influenced electricity usage in schools throughout this period, resulting in reported savings of approximately 18-20% in 2022 and 2023 compared to 2021, thanks to the implementation of energy efficiency measures (Global Electricity Review 2025, n.d.).</w:t>
      </w:r>
    </w:p>
    <w:p w14:paraId="6BDD78B6" w14:textId="77777777" w:rsidR="000B4301" w:rsidRDefault="000B4301">
      <w:pPr>
        <w:spacing w:line="240" w:lineRule="auto"/>
        <w:jc w:val="both"/>
        <w:rPr>
          <w:rFonts w:ascii="Times New Roman" w:eastAsia="Times New Roman" w:hAnsi="Times New Roman" w:cs="Times New Roman"/>
          <w:sz w:val="24"/>
          <w:szCs w:val="24"/>
        </w:rPr>
      </w:pPr>
    </w:p>
    <w:p w14:paraId="2A6CCB70" w14:textId="77777777" w:rsidR="000B4301" w:rsidRDefault="00F47107">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primary goal of this research is to determine the effectiveness of an energy conservation campaign in reducing electricity consumption. Beyond simply comparing numbers, this study sought to capture how awareness, habits, and attitudes shifted after the campaign. In doing so, it aimed to describe not only whether electricity use went down, but also what specific changes in behavior contributed to that result. Ultimately, the findings may inspire the school community to create more meaningful and sustainable conservation programs, benefiting both the institution and the environment. To better understand this process, the study is guided by three key frameworks: the Theory of Planned Behavior (TPB), which explains how attitudes, social expectations, and perceived control influence decisions; Habit Theory, which explores how everyday routines shape energy use; and Technological Determinism, which suggests that changes in technology or systems can lead to changes in human behavior. Together, these theories give a clear lens through which we can examine the relationship between a school-wide campaign and electricity consumption.</w:t>
      </w:r>
    </w:p>
    <w:p w14:paraId="2AC56221" w14:textId="77777777" w:rsidR="000B4301" w:rsidRDefault="000B4301">
      <w:pPr>
        <w:spacing w:line="480" w:lineRule="auto"/>
        <w:jc w:val="both"/>
        <w:rPr>
          <w:rFonts w:ascii="Times New Roman" w:eastAsia="Times New Roman" w:hAnsi="Times New Roman" w:cs="Times New Roman"/>
          <w:sz w:val="24"/>
          <w:szCs w:val="24"/>
        </w:rPr>
      </w:pPr>
    </w:p>
    <w:p w14:paraId="715248AD" w14:textId="77777777" w:rsidR="000B4301" w:rsidRDefault="00F47107">
      <w:pPr>
        <w:spacing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METHODS</w:t>
      </w:r>
    </w:p>
    <w:p w14:paraId="7CBB19FE" w14:textId="77777777" w:rsidR="000B4301" w:rsidRDefault="00F47107">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study used a quantitative comparative design to investigate the differences before and after implementing an electricity management campaign at Adventist Medical Center College Academy. The quantitative comparative research design, a pre-experimental method, was chosen to concentrate on understanding implementation. Quantitative research design is a structured, numerical approach to data collection and analysis that describes the characteristics of a phenomenon or population without delving into underlying causes (Singh, S., 2025). The quantitative research design chosen was a descriptive comparative study. Comparative research examines two or more things to identify similarities and differences between sets of data.</w:t>
      </w:r>
    </w:p>
    <w:p w14:paraId="30E11CEF" w14:textId="77777777" w:rsidR="000B4301" w:rsidRDefault="000B4301">
      <w:pPr>
        <w:spacing w:line="240" w:lineRule="auto"/>
        <w:ind w:firstLine="720"/>
        <w:jc w:val="both"/>
        <w:rPr>
          <w:rFonts w:ascii="Times New Roman" w:eastAsia="Times New Roman" w:hAnsi="Times New Roman" w:cs="Times New Roman"/>
          <w:sz w:val="24"/>
          <w:szCs w:val="24"/>
        </w:rPr>
      </w:pPr>
    </w:p>
    <w:p w14:paraId="471FD9CF" w14:textId="77777777" w:rsidR="000B4301" w:rsidRDefault="00F47107">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study will collect data directly from the Business Affairs Office located in the Adventist Medical Center College Institution. Permission to access the school’s electricity consumption to view the data was secured by the Business Affairs Office. Therefore, students and employees participated in the campaign. In order to gather data to analyze the difference between the sets of data, the researchers conducted the campaign for 30 days and recorded data for 30 days before and after. All information will be treated with privacy and used only for academic purposes.</w:t>
      </w:r>
    </w:p>
    <w:p w14:paraId="2BF3C400" w14:textId="77777777" w:rsidR="000B4301" w:rsidRDefault="000B4301">
      <w:pPr>
        <w:spacing w:line="240" w:lineRule="auto"/>
        <w:ind w:firstLine="720"/>
        <w:jc w:val="both"/>
        <w:rPr>
          <w:rFonts w:ascii="Times New Roman" w:eastAsia="Times New Roman" w:hAnsi="Times New Roman" w:cs="Times New Roman"/>
          <w:sz w:val="24"/>
          <w:szCs w:val="24"/>
        </w:rPr>
      </w:pPr>
    </w:p>
    <w:p w14:paraId="41B2F9C2" w14:textId="77777777" w:rsidR="000B4301" w:rsidRDefault="00F47107">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tools that will be used in this study will employ documentary analysis as the primary method of data collection. The research instrument used was a data collection sheet developed by </w:t>
      </w:r>
      <w:r>
        <w:rPr>
          <w:rFonts w:ascii="Times New Roman" w:eastAsia="Times New Roman" w:hAnsi="Times New Roman" w:cs="Times New Roman"/>
          <w:sz w:val="24"/>
          <w:szCs w:val="24"/>
        </w:rPr>
        <w:lastRenderedPageBreak/>
        <w:t xml:space="preserve">the researchers to give the permission of the record of the billing. In order to get the electrical consumption records, the major data source was official electricity consumption records collected from the school's facilities. The records will be recorded daily in kilowatt-hours (kWh) and in pesos (₱) and will be used to track changes over time; two timeframes will be covered by 1 month before and after the campaign implementation. These records were verified for accuracy by analyzing them to utility billing statements and the school’s digital monitoring systems. To organize the data, a structured data collection sheet will be created. The following sheets of components are the data, daily electricity consumption, and campaign base. </w:t>
      </w:r>
    </w:p>
    <w:p w14:paraId="0A246571" w14:textId="77777777" w:rsidR="000B4301" w:rsidRDefault="000B4301">
      <w:pPr>
        <w:spacing w:line="480" w:lineRule="auto"/>
        <w:jc w:val="both"/>
        <w:rPr>
          <w:rFonts w:ascii="Times New Roman" w:eastAsia="Times New Roman" w:hAnsi="Times New Roman" w:cs="Times New Roman"/>
          <w:sz w:val="24"/>
          <w:szCs w:val="24"/>
        </w:rPr>
      </w:pPr>
    </w:p>
    <w:p w14:paraId="31544AFC" w14:textId="77777777" w:rsidR="000B4301" w:rsidRDefault="00F47107">
      <w:pPr>
        <w:spacing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RESULT AND DISCUSSION:</w:t>
      </w:r>
    </w:p>
    <w:p w14:paraId="09CD8276" w14:textId="77777777" w:rsidR="000B4301" w:rsidRDefault="00F47107">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letter of request to conduct the study was prepared. First, the researchers sent a letter from the Business Office and asked permission for the electrical billing records from the month of September (before implementing a campaign) to the month of October (after implementing a campaign). Then the researchers implemented a campaign and observed it for the month of October, long enough to include all of a building's normal, cyclical energy usage patterns. It captures daily routines (morning and evening usage spikes)</w:t>
      </w:r>
      <w:proofErr w:type="gramStart"/>
      <w:r>
        <w:rPr>
          <w:rFonts w:ascii="Times New Roman" w:eastAsia="Times New Roman" w:hAnsi="Times New Roman" w:cs="Times New Roman"/>
          <w:sz w:val="24"/>
          <w:szCs w:val="24"/>
        </w:rPr>
        <w:t>,  weekly</w:t>
      </w:r>
      <w:proofErr w:type="gramEnd"/>
      <w:r>
        <w:rPr>
          <w:rFonts w:ascii="Times New Roman" w:eastAsia="Times New Roman" w:hAnsi="Times New Roman" w:cs="Times New Roman"/>
          <w:sz w:val="24"/>
          <w:szCs w:val="24"/>
        </w:rPr>
        <w:t xml:space="preserve"> patterns (lower weekend use of the school building), and any recurring monthly activities that might affect electricity consumption here at Adventist Medical Center College. All students and employees who use electricity in the main school </w:t>
      </w:r>
      <w:proofErr w:type="gramStart"/>
      <w:r>
        <w:rPr>
          <w:rFonts w:ascii="Times New Roman" w:eastAsia="Times New Roman" w:hAnsi="Times New Roman" w:cs="Times New Roman"/>
          <w:sz w:val="24"/>
          <w:szCs w:val="24"/>
        </w:rPr>
        <w:t>building  are</w:t>
      </w:r>
      <w:proofErr w:type="gramEnd"/>
      <w:r>
        <w:rPr>
          <w:rFonts w:ascii="Times New Roman" w:eastAsia="Times New Roman" w:hAnsi="Times New Roman" w:cs="Times New Roman"/>
          <w:sz w:val="24"/>
          <w:szCs w:val="24"/>
        </w:rPr>
        <w:t xml:space="preserve"> the participants of the electricity consumption campaign that involved the use of media posting or making a short announcement via bulletin/PA system that was observed for 1 month, and  their   permission to provide their consent was asked. After the campaign, the researchers got the result from the Business Office by asking for the records of electrical billings before and after the campaign. The proponent of the research was </w:t>
      </w:r>
      <w:proofErr w:type="gramStart"/>
      <w:r>
        <w:rPr>
          <w:rFonts w:ascii="Times New Roman" w:eastAsia="Times New Roman" w:hAnsi="Times New Roman" w:cs="Times New Roman"/>
          <w:sz w:val="24"/>
          <w:szCs w:val="24"/>
        </w:rPr>
        <w:t>comparing  the</w:t>
      </w:r>
      <w:proofErr w:type="gramEnd"/>
      <w:r>
        <w:rPr>
          <w:rFonts w:ascii="Times New Roman" w:eastAsia="Times New Roman" w:hAnsi="Times New Roman" w:cs="Times New Roman"/>
          <w:sz w:val="24"/>
          <w:szCs w:val="24"/>
        </w:rPr>
        <w:t xml:space="preserve"> monthly electricity consumption before and after the campaign. However, the privacy of each participant is ensured by this study, as all research data is kept private and confidential. All of the data was analyzed and organized for each electrical billing record. </w:t>
      </w:r>
    </w:p>
    <w:p w14:paraId="2C12A556" w14:textId="77777777" w:rsidR="000B4301" w:rsidRDefault="000B4301">
      <w:pPr>
        <w:spacing w:line="240" w:lineRule="auto"/>
        <w:jc w:val="both"/>
        <w:rPr>
          <w:rFonts w:ascii="Times New Roman" w:eastAsia="Times New Roman" w:hAnsi="Times New Roman" w:cs="Times New Roman"/>
          <w:sz w:val="24"/>
          <w:szCs w:val="24"/>
        </w:rPr>
      </w:pPr>
    </w:p>
    <w:p w14:paraId="625D9E1F" w14:textId="77777777" w:rsidR="000B4301" w:rsidRDefault="00F47107">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researchers of this study collected a sufficient amount of data from before and after the implementation of the campaign and the records of electrical billing, which were then organized and analyzed by the following statistical tool: Paired T-Test was used to analyze the mean difference of the electricity consumption (before and after) to compare whether the observed changes were statistically significant. Mean was employed to compare average consumption before and after. The data was successfully collected for the months of September and October 2025. Various data were presented following their respective order in the statement of the problem. </w:t>
      </w:r>
    </w:p>
    <w:p w14:paraId="3C87E8D9" w14:textId="77777777" w:rsidR="000B4301" w:rsidRDefault="000B4301">
      <w:pPr>
        <w:spacing w:line="240" w:lineRule="auto"/>
        <w:jc w:val="both"/>
        <w:rPr>
          <w:rFonts w:ascii="Times New Roman" w:eastAsia="Times New Roman" w:hAnsi="Times New Roman" w:cs="Times New Roman"/>
          <w:sz w:val="24"/>
          <w:szCs w:val="24"/>
        </w:rPr>
      </w:pPr>
    </w:p>
    <w:p w14:paraId="44FCA1A7" w14:textId="77777777" w:rsidR="000B4301" w:rsidRDefault="00F47107">
      <w:pPr>
        <w:spacing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Problem 1: What is the average daily consumption of Adventist Medical Center College during a baseline period before and after the campaign's implementation? </w:t>
      </w:r>
    </w:p>
    <w:p w14:paraId="2AD24ED3" w14:textId="77777777" w:rsidR="000B4301" w:rsidRDefault="00F47107">
      <w:pPr>
        <w:spacing w:line="480" w:lineRule="auto"/>
        <w:jc w:val="both"/>
      </w:pPr>
      <w:r>
        <w:rPr>
          <w:rFonts w:ascii="Times New Roman" w:eastAsia="Times New Roman" w:hAnsi="Times New Roman" w:cs="Times New Roman"/>
          <w:b/>
          <w:bCs/>
          <w:sz w:val="24"/>
          <w:szCs w:val="24"/>
        </w:rPr>
        <w:t xml:space="preserve">Table 1. </w:t>
      </w:r>
      <w:r>
        <w:rPr>
          <w:rFonts w:ascii="Times New Roman" w:eastAsia="Times New Roman" w:hAnsi="Times New Roman" w:cs="Times New Roman"/>
          <w:sz w:val="24"/>
          <w:szCs w:val="24"/>
        </w:rPr>
        <w:t>Average Daily Consumption</w:t>
      </w:r>
    </w:p>
    <w:tbl>
      <w:tblPr>
        <w:tblStyle w:val="a"/>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0B4301" w14:paraId="47CD0F82" w14:textId="77777777">
        <w:tc>
          <w:tcPr>
            <w:tcW w:w="3120" w:type="dxa"/>
            <w:shd w:val="clear" w:color="auto" w:fill="auto"/>
            <w:tcMar>
              <w:top w:w="100" w:type="dxa"/>
              <w:left w:w="100" w:type="dxa"/>
              <w:bottom w:w="100" w:type="dxa"/>
              <w:right w:w="100" w:type="dxa"/>
            </w:tcMar>
          </w:tcPr>
          <w:p w14:paraId="6126AF3F" w14:textId="77777777" w:rsidR="000B4301" w:rsidRDefault="00F47107">
            <w:pPr>
              <w:widowControl w:val="0"/>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Month</w:t>
            </w:r>
          </w:p>
        </w:tc>
        <w:tc>
          <w:tcPr>
            <w:tcW w:w="3120" w:type="dxa"/>
            <w:shd w:val="clear" w:color="auto" w:fill="auto"/>
            <w:tcMar>
              <w:top w:w="100" w:type="dxa"/>
              <w:left w:w="100" w:type="dxa"/>
              <w:bottom w:w="100" w:type="dxa"/>
              <w:right w:w="100" w:type="dxa"/>
            </w:tcMar>
          </w:tcPr>
          <w:p w14:paraId="241DDF60" w14:textId="77777777" w:rsidR="000B4301" w:rsidRDefault="00F47107">
            <w:pPr>
              <w:widowControl w:val="0"/>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Billing (Main Campus)</w:t>
            </w:r>
          </w:p>
        </w:tc>
        <w:tc>
          <w:tcPr>
            <w:tcW w:w="3120" w:type="dxa"/>
            <w:shd w:val="clear" w:color="auto" w:fill="auto"/>
            <w:tcMar>
              <w:top w:w="100" w:type="dxa"/>
              <w:left w:w="100" w:type="dxa"/>
              <w:bottom w:w="100" w:type="dxa"/>
              <w:right w:w="100" w:type="dxa"/>
            </w:tcMar>
          </w:tcPr>
          <w:p w14:paraId="290F3766" w14:textId="77777777" w:rsidR="000B4301" w:rsidRDefault="00F47107">
            <w:pPr>
              <w:widowControl w:val="0"/>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Billing (Extensions)</w:t>
            </w:r>
          </w:p>
        </w:tc>
      </w:tr>
      <w:tr w:rsidR="000B4301" w14:paraId="744F52CE" w14:textId="77777777">
        <w:tc>
          <w:tcPr>
            <w:tcW w:w="3120" w:type="dxa"/>
            <w:shd w:val="clear" w:color="auto" w:fill="auto"/>
            <w:tcMar>
              <w:top w:w="100" w:type="dxa"/>
              <w:left w:w="100" w:type="dxa"/>
              <w:bottom w:w="100" w:type="dxa"/>
              <w:right w:w="100" w:type="dxa"/>
            </w:tcMar>
          </w:tcPr>
          <w:p w14:paraId="20D8C4B2" w14:textId="77777777" w:rsidR="000B4301" w:rsidRDefault="00F47107">
            <w:pPr>
              <w:widowControl w:val="0"/>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September (Before)</w:t>
            </w:r>
          </w:p>
        </w:tc>
        <w:tc>
          <w:tcPr>
            <w:tcW w:w="3120" w:type="dxa"/>
            <w:shd w:val="clear" w:color="auto" w:fill="auto"/>
            <w:tcMar>
              <w:top w:w="100" w:type="dxa"/>
              <w:left w:w="100" w:type="dxa"/>
              <w:bottom w:w="100" w:type="dxa"/>
              <w:right w:w="100" w:type="dxa"/>
            </w:tcMar>
          </w:tcPr>
          <w:p w14:paraId="36FEABAB" w14:textId="77777777" w:rsidR="000B4301" w:rsidRDefault="00F47107">
            <w:pPr>
              <w:widowControl w:val="0"/>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₱212,963.38 Php</w:t>
            </w:r>
          </w:p>
        </w:tc>
        <w:tc>
          <w:tcPr>
            <w:tcW w:w="3120" w:type="dxa"/>
            <w:shd w:val="clear" w:color="auto" w:fill="auto"/>
            <w:tcMar>
              <w:top w:w="100" w:type="dxa"/>
              <w:left w:w="100" w:type="dxa"/>
              <w:bottom w:w="100" w:type="dxa"/>
              <w:right w:w="100" w:type="dxa"/>
            </w:tcMar>
          </w:tcPr>
          <w:p w14:paraId="630C9224" w14:textId="77777777" w:rsidR="000B4301" w:rsidRDefault="00F47107">
            <w:pPr>
              <w:widowControl w:val="0"/>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₱526,133.43 Php</w:t>
            </w:r>
          </w:p>
        </w:tc>
      </w:tr>
      <w:tr w:rsidR="000B4301" w14:paraId="5DC1440A" w14:textId="77777777">
        <w:tc>
          <w:tcPr>
            <w:tcW w:w="3120" w:type="dxa"/>
            <w:shd w:val="clear" w:color="auto" w:fill="auto"/>
            <w:tcMar>
              <w:top w:w="100" w:type="dxa"/>
              <w:left w:w="100" w:type="dxa"/>
              <w:bottom w:w="100" w:type="dxa"/>
              <w:right w:w="100" w:type="dxa"/>
            </w:tcMar>
          </w:tcPr>
          <w:p w14:paraId="22289FF9" w14:textId="77777777" w:rsidR="000B4301" w:rsidRDefault="00F47107">
            <w:pPr>
              <w:widowControl w:val="0"/>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October (After)</w:t>
            </w:r>
          </w:p>
        </w:tc>
        <w:tc>
          <w:tcPr>
            <w:tcW w:w="3120" w:type="dxa"/>
            <w:shd w:val="clear" w:color="auto" w:fill="auto"/>
            <w:tcMar>
              <w:top w:w="100" w:type="dxa"/>
              <w:left w:w="100" w:type="dxa"/>
              <w:bottom w:w="100" w:type="dxa"/>
              <w:right w:w="100" w:type="dxa"/>
            </w:tcMar>
          </w:tcPr>
          <w:p w14:paraId="0B8DE61B" w14:textId="77777777" w:rsidR="000B4301" w:rsidRDefault="00F47107">
            <w:pPr>
              <w:widowControl w:val="0"/>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₱213,039.65 Php</w:t>
            </w:r>
          </w:p>
        </w:tc>
        <w:tc>
          <w:tcPr>
            <w:tcW w:w="3120" w:type="dxa"/>
            <w:shd w:val="clear" w:color="auto" w:fill="auto"/>
            <w:tcMar>
              <w:top w:w="100" w:type="dxa"/>
              <w:left w:w="100" w:type="dxa"/>
              <w:bottom w:w="100" w:type="dxa"/>
              <w:right w:w="100" w:type="dxa"/>
            </w:tcMar>
          </w:tcPr>
          <w:p w14:paraId="5DC15AB2" w14:textId="77777777" w:rsidR="000B4301" w:rsidRDefault="00F47107">
            <w:pPr>
              <w:widowControl w:val="0"/>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₱527,848.14 Php</w:t>
            </w:r>
          </w:p>
        </w:tc>
      </w:tr>
    </w:tbl>
    <w:p w14:paraId="5A5C2A9E" w14:textId="77777777" w:rsidR="000B4301" w:rsidRDefault="000B4301">
      <w:pPr>
        <w:spacing w:line="480" w:lineRule="auto"/>
        <w:rPr>
          <w:rFonts w:ascii="Times New Roman" w:eastAsia="Times New Roman" w:hAnsi="Times New Roman" w:cs="Times New Roman"/>
          <w:sz w:val="24"/>
          <w:szCs w:val="24"/>
        </w:rPr>
      </w:pPr>
    </w:p>
    <w:p w14:paraId="1CDBDA53" w14:textId="77777777" w:rsidR="000B4301" w:rsidRDefault="00F47107">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In the month of September, the bill shows 212,963.38 Php for the school classrooms, laboratories, facilities, and staff, and 526,133.43 Php for the extension of the school, like the school farm, pharmacy, and dormitories that are connected to the main power energy source. The same goes for the month of October: 213,039.65 Php for the school classrooms, laboratories, facilities, and staff rooms, and 527,848.14 Php for the extensions of the school.</w:t>
      </w:r>
    </w:p>
    <w:p w14:paraId="39535D59" w14:textId="77777777" w:rsidR="000B4301" w:rsidRDefault="000B4301">
      <w:pPr>
        <w:spacing w:line="240" w:lineRule="auto"/>
        <w:rPr>
          <w:rFonts w:ascii="Times New Roman" w:eastAsia="Times New Roman" w:hAnsi="Times New Roman" w:cs="Times New Roman"/>
          <w:sz w:val="24"/>
          <w:szCs w:val="24"/>
        </w:rPr>
      </w:pPr>
    </w:p>
    <w:p w14:paraId="4E30E5D7" w14:textId="77777777" w:rsidR="000B4301" w:rsidRDefault="00F47107">
      <w:pPr>
        <w:spacing w:line="48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Problem 2: What is the percentage reduction in electricity consumption attributable to the campaign?</w:t>
      </w:r>
    </w:p>
    <w:p w14:paraId="44EE4006" w14:textId="77777777" w:rsidR="000B4301" w:rsidRDefault="00F47107">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Table 2.</w:t>
      </w:r>
      <w:r>
        <w:rPr>
          <w:rFonts w:ascii="Times New Roman" w:eastAsia="Times New Roman" w:hAnsi="Times New Roman" w:cs="Times New Roman"/>
          <w:sz w:val="24"/>
          <w:szCs w:val="24"/>
        </w:rPr>
        <w:t xml:space="preserve"> Percentage Reduction </w:t>
      </w:r>
    </w:p>
    <w:tbl>
      <w:tblPr>
        <w:tblStyle w:val="a0"/>
        <w:tblW w:w="903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65"/>
        <w:gridCol w:w="2265"/>
        <w:gridCol w:w="2250"/>
        <w:gridCol w:w="2250"/>
      </w:tblGrid>
      <w:tr w:rsidR="000B4301" w14:paraId="1573EDFE" w14:textId="77777777">
        <w:tc>
          <w:tcPr>
            <w:tcW w:w="2265" w:type="dxa"/>
            <w:shd w:val="clear" w:color="auto" w:fill="auto"/>
            <w:tcMar>
              <w:top w:w="100" w:type="dxa"/>
              <w:left w:w="100" w:type="dxa"/>
              <w:bottom w:w="100" w:type="dxa"/>
              <w:right w:w="100" w:type="dxa"/>
            </w:tcMar>
          </w:tcPr>
          <w:p w14:paraId="031AF4A2" w14:textId="77777777" w:rsidR="000B4301" w:rsidRDefault="00F47107">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September (Before)</w:t>
            </w:r>
          </w:p>
        </w:tc>
        <w:tc>
          <w:tcPr>
            <w:tcW w:w="2265" w:type="dxa"/>
            <w:shd w:val="clear" w:color="auto" w:fill="auto"/>
            <w:tcMar>
              <w:top w:w="100" w:type="dxa"/>
              <w:left w:w="100" w:type="dxa"/>
              <w:bottom w:w="100" w:type="dxa"/>
              <w:right w:w="100" w:type="dxa"/>
            </w:tcMar>
          </w:tcPr>
          <w:p w14:paraId="3C27A525" w14:textId="77777777" w:rsidR="000B4301" w:rsidRDefault="00F47107">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October (After)</w:t>
            </w:r>
          </w:p>
        </w:tc>
        <w:tc>
          <w:tcPr>
            <w:tcW w:w="2250" w:type="dxa"/>
            <w:shd w:val="clear" w:color="auto" w:fill="auto"/>
            <w:tcMar>
              <w:top w:w="100" w:type="dxa"/>
              <w:left w:w="100" w:type="dxa"/>
              <w:bottom w:w="100" w:type="dxa"/>
              <w:right w:w="100" w:type="dxa"/>
            </w:tcMar>
          </w:tcPr>
          <w:p w14:paraId="57F7626C" w14:textId="77777777" w:rsidR="000B4301" w:rsidRDefault="00F47107">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Difference</w:t>
            </w:r>
          </w:p>
        </w:tc>
        <w:tc>
          <w:tcPr>
            <w:tcW w:w="2250" w:type="dxa"/>
            <w:shd w:val="clear" w:color="auto" w:fill="auto"/>
            <w:tcMar>
              <w:top w:w="100" w:type="dxa"/>
              <w:left w:w="100" w:type="dxa"/>
              <w:bottom w:w="100" w:type="dxa"/>
              <w:right w:w="100" w:type="dxa"/>
            </w:tcMar>
          </w:tcPr>
          <w:p w14:paraId="48879BE1" w14:textId="77777777" w:rsidR="000B4301" w:rsidRDefault="00F47107">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Percentage Reduction </w:t>
            </w:r>
          </w:p>
        </w:tc>
      </w:tr>
      <w:tr w:rsidR="000B4301" w14:paraId="2AA85646" w14:textId="77777777">
        <w:tc>
          <w:tcPr>
            <w:tcW w:w="2265" w:type="dxa"/>
            <w:shd w:val="clear" w:color="auto" w:fill="auto"/>
            <w:tcMar>
              <w:top w:w="100" w:type="dxa"/>
              <w:left w:w="100" w:type="dxa"/>
              <w:bottom w:w="100" w:type="dxa"/>
              <w:right w:w="100" w:type="dxa"/>
            </w:tcMar>
          </w:tcPr>
          <w:p w14:paraId="1B7DE84A" w14:textId="77777777" w:rsidR="000B4301" w:rsidRDefault="00F47107">
            <w:pPr>
              <w:widowControl w:val="0"/>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₱213,039.65 </w:t>
            </w:r>
          </w:p>
        </w:tc>
        <w:tc>
          <w:tcPr>
            <w:tcW w:w="2265" w:type="dxa"/>
            <w:shd w:val="clear" w:color="auto" w:fill="auto"/>
            <w:tcMar>
              <w:top w:w="100" w:type="dxa"/>
              <w:left w:w="100" w:type="dxa"/>
              <w:bottom w:w="100" w:type="dxa"/>
              <w:right w:w="100" w:type="dxa"/>
            </w:tcMar>
          </w:tcPr>
          <w:p w14:paraId="48452F81" w14:textId="77777777" w:rsidR="000B4301" w:rsidRDefault="00F47107">
            <w:pPr>
              <w:widowControl w:val="0"/>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₱212,963.38 </w:t>
            </w:r>
          </w:p>
        </w:tc>
        <w:tc>
          <w:tcPr>
            <w:tcW w:w="2250" w:type="dxa"/>
            <w:shd w:val="clear" w:color="auto" w:fill="auto"/>
            <w:tcMar>
              <w:top w:w="100" w:type="dxa"/>
              <w:left w:w="100" w:type="dxa"/>
              <w:bottom w:w="100" w:type="dxa"/>
              <w:right w:w="100" w:type="dxa"/>
            </w:tcMar>
          </w:tcPr>
          <w:p w14:paraId="213C52CA" w14:textId="77777777" w:rsidR="000B4301" w:rsidRDefault="00F47107">
            <w:pPr>
              <w:widowControl w:val="0"/>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₱76.22 </w:t>
            </w:r>
          </w:p>
        </w:tc>
        <w:tc>
          <w:tcPr>
            <w:tcW w:w="2250" w:type="dxa"/>
            <w:shd w:val="clear" w:color="auto" w:fill="auto"/>
            <w:tcMar>
              <w:top w:w="100" w:type="dxa"/>
              <w:left w:w="100" w:type="dxa"/>
              <w:bottom w:w="100" w:type="dxa"/>
              <w:right w:w="100" w:type="dxa"/>
            </w:tcMar>
          </w:tcPr>
          <w:p w14:paraId="2240CA94" w14:textId="77777777" w:rsidR="000B4301" w:rsidRDefault="00F47107">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0.00018%</w:t>
            </w:r>
          </w:p>
        </w:tc>
      </w:tr>
      <w:tr w:rsidR="000B4301" w14:paraId="02B0A089" w14:textId="77777777">
        <w:tc>
          <w:tcPr>
            <w:tcW w:w="2265" w:type="dxa"/>
            <w:shd w:val="clear" w:color="auto" w:fill="auto"/>
            <w:tcMar>
              <w:top w:w="100" w:type="dxa"/>
              <w:left w:w="100" w:type="dxa"/>
              <w:bottom w:w="100" w:type="dxa"/>
              <w:right w:w="100" w:type="dxa"/>
            </w:tcMar>
          </w:tcPr>
          <w:p w14:paraId="17029259" w14:textId="77777777" w:rsidR="000B4301" w:rsidRDefault="00F47107">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₱527,848.14 </w:t>
            </w:r>
          </w:p>
          <w:p w14:paraId="58B52EC8" w14:textId="77777777" w:rsidR="000B4301" w:rsidRDefault="000B4301">
            <w:pPr>
              <w:widowControl w:val="0"/>
              <w:spacing w:line="240" w:lineRule="auto"/>
              <w:rPr>
                <w:rFonts w:ascii="Times New Roman" w:eastAsia="Times New Roman" w:hAnsi="Times New Roman" w:cs="Times New Roman"/>
                <w:sz w:val="24"/>
                <w:szCs w:val="24"/>
              </w:rPr>
            </w:pPr>
          </w:p>
        </w:tc>
        <w:tc>
          <w:tcPr>
            <w:tcW w:w="2265" w:type="dxa"/>
            <w:shd w:val="clear" w:color="auto" w:fill="auto"/>
            <w:tcMar>
              <w:top w:w="100" w:type="dxa"/>
              <w:left w:w="100" w:type="dxa"/>
              <w:bottom w:w="100" w:type="dxa"/>
              <w:right w:w="100" w:type="dxa"/>
            </w:tcMar>
          </w:tcPr>
          <w:p w14:paraId="39D08F50" w14:textId="77777777" w:rsidR="000B4301" w:rsidRDefault="00F47107">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₱526,133.43 </w:t>
            </w:r>
          </w:p>
        </w:tc>
        <w:tc>
          <w:tcPr>
            <w:tcW w:w="2250" w:type="dxa"/>
            <w:shd w:val="clear" w:color="auto" w:fill="auto"/>
            <w:tcMar>
              <w:top w:w="100" w:type="dxa"/>
              <w:left w:w="100" w:type="dxa"/>
              <w:bottom w:w="100" w:type="dxa"/>
              <w:right w:w="100" w:type="dxa"/>
            </w:tcMar>
          </w:tcPr>
          <w:p w14:paraId="1116D60B" w14:textId="77777777" w:rsidR="000B4301" w:rsidRDefault="00F47107">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₱1,715.14 </w:t>
            </w:r>
          </w:p>
        </w:tc>
        <w:tc>
          <w:tcPr>
            <w:tcW w:w="2250" w:type="dxa"/>
            <w:shd w:val="clear" w:color="auto" w:fill="auto"/>
            <w:tcMar>
              <w:top w:w="100" w:type="dxa"/>
              <w:left w:w="100" w:type="dxa"/>
              <w:bottom w:w="100" w:type="dxa"/>
              <w:right w:w="100" w:type="dxa"/>
            </w:tcMar>
          </w:tcPr>
          <w:p w14:paraId="341E1FA4" w14:textId="77777777" w:rsidR="000B4301" w:rsidRDefault="00F47107">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0.0016%</w:t>
            </w:r>
          </w:p>
        </w:tc>
      </w:tr>
    </w:tbl>
    <w:p w14:paraId="4D0B65F6" w14:textId="77777777" w:rsidR="000B4301" w:rsidRDefault="000B4301">
      <w:pPr>
        <w:rPr>
          <w:rFonts w:ascii="Times New Roman" w:eastAsia="Times New Roman" w:hAnsi="Times New Roman" w:cs="Times New Roman"/>
          <w:sz w:val="24"/>
          <w:szCs w:val="24"/>
        </w:rPr>
      </w:pPr>
    </w:p>
    <w:p w14:paraId="49535F11" w14:textId="77777777" w:rsidR="000B4301" w:rsidRDefault="00F47107">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reduction percentage of the billing statement from the months of September and October. For the school classroom, laboratory, and faculty and staff usage, 76.22 Php was reduced for the month of October with 0.00018 percent. 1,715.14 Php was reduced for the month of October with 0.0016 percent. Unfortunately, due to the suspension of classes, long weekends, and school events during these two months, it is impossible for the researchers to implement the campaign. Only 2 weeks from the month of October were implemented with the energy consumption campaign.</w:t>
      </w:r>
    </w:p>
    <w:p w14:paraId="1E72F1B5" w14:textId="77777777" w:rsidR="000B4301" w:rsidRDefault="000B4301">
      <w:pPr>
        <w:spacing w:line="480" w:lineRule="auto"/>
        <w:rPr>
          <w:rFonts w:ascii="Times New Roman" w:eastAsia="Times New Roman" w:hAnsi="Times New Roman" w:cs="Times New Roman"/>
          <w:b/>
          <w:bCs/>
          <w:sz w:val="24"/>
          <w:szCs w:val="24"/>
        </w:rPr>
      </w:pPr>
    </w:p>
    <w:p w14:paraId="3AAF8120" w14:textId="77777777" w:rsidR="000B4301" w:rsidRDefault="00F47107">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Problem 3: Is there a statistically significant difference in electricity consumption between the “before” and “after” campaign period?</w:t>
      </w:r>
    </w:p>
    <w:p w14:paraId="79F97054" w14:textId="77777777" w:rsidR="000B4301" w:rsidRDefault="00F47107">
      <w:pPr>
        <w:spacing w:line="480" w:lineRule="auto"/>
        <w:rPr>
          <w:rFonts w:ascii="Times New Roman" w:eastAsia="Times New Roman" w:hAnsi="Times New Roman" w:cs="Times New Roman"/>
          <w:b/>
          <w:bCs/>
          <w:i/>
          <w:iCs/>
          <w:sz w:val="24"/>
          <w:szCs w:val="24"/>
        </w:rPr>
      </w:pPr>
      <w:r>
        <w:rPr>
          <w:rFonts w:ascii="Times New Roman" w:eastAsia="Times New Roman" w:hAnsi="Times New Roman" w:cs="Times New Roman"/>
          <w:b/>
          <w:bCs/>
          <w:sz w:val="24"/>
          <w:szCs w:val="24"/>
        </w:rPr>
        <w:t xml:space="preserve">Table 3. </w:t>
      </w:r>
      <w:r>
        <w:rPr>
          <w:rFonts w:ascii="Times New Roman" w:eastAsia="Times New Roman" w:hAnsi="Times New Roman" w:cs="Times New Roman"/>
          <w:sz w:val="24"/>
          <w:szCs w:val="24"/>
        </w:rPr>
        <w:t>Paired t-Test</w:t>
      </w:r>
    </w:p>
    <w:tbl>
      <w:tblPr>
        <w:tblStyle w:val="a1"/>
        <w:tblW w:w="720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00"/>
        <w:gridCol w:w="1800"/>
        <w:gridCol w:w="1800"/>
        <w:gridCol w:w="1800"/>
      </w:tblGrid>
      <w:tr w:rsidR="000B4301" w14:paraId="66A64BB4" w14:textId="77777777">
        <w:trPr>
          <w:jc w:val="center"/>
        </w:trPr>
        <w:tc>
          <w:tcPr>
            <w:tcW w:w="1800" w:type="dxa"/>
            <w:shd w:val="clear" w:color="auto" w:fill="auto"/>
            <w:tcMar>
              <w:top w:w="100" w:type="dxa"/>
              <w:left w:w="100" w:type="dxa"/>
              <w:bottom w:w="100" w:type="dxa"/>
              <w:right w:w="100" w:type="dxa"/>
            </w:tcMar>
          </w:tcPr>
          <w:p w14:paraId="71574032" w14:textId="77777777" w:rsidR="000B4301" w:rsidRDefault="00F47107">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Comparison </w:t>
            </w:r>
          </w:p>
        </w:tc>
        <w:tc>
          <w:tcPr>
            <w:tcW w:w="1800" w:type="dxa"/>
            <w:shd w:val="clear" w:color="auto" w:fill="auto"/>
            <w:tcMar>
              <w:top w:w="100" w:type="dxa"/>
              <w:left w:w="100" w:type="dxa"/>
              <w:bottom w:w="100" w:type="dxa"/>
              <w:right w:w="100" w:type="dxa"/>
            </w:tcMar>
          </w:tcPr>
          <w:p w14:paraId="3B46BDC4" w14:textId="77777777" w:rsidR="000B4301" w:rsidRDefault="00F47107">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t-computed</w:t>
            </w:r>
          </w:p>
        </w:tc>
        <w:tc>
          <w:tcPr>
            <w:tcW w:w="1800" w:type="dxa"/>
            <w:shd w:val="clear" w:color="auto" w:fill="auto"/>
            <w:tcMar>
              <w:top w:w="100" w:type="dxa"/>
              <w:left w:w="100" w:type="dxa"/>
              <w:bottom w:w="100" w:type="dxa"/>
              <w:right w:w="100" w:type="dxa"/>
            </w:tcMar>
          </w:tcPr>
          <w:p w14:paraId="23EAEEEF" w14:textId="77777777" w:rsidR="000B4301" w:rsidRDefault="00F47107">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t-critical </w:t>
            </w:r>
          </w:p>
        </w:tc>
        <w:tc>
          <w:tcPr>
            <w:tcW w:w="1800" w:type="dxa"/>
            <w:shd w:val="clear" w:color="auto" w:fill="auto"/>
            <w:tcMar>
              <w:top w:w="100" w:type="dxa"/>
              <w:left w:w="100" w:type="dxa"/>
              <w:bottom w:w="100" w:type="dxa"/>
              <w:right w:w="100" w:type="dxa"/>
            </w:tcMar>
          </w:tcPr>
          <w:p w14:paraId="06DCFB6D" w14:textId="77777777" w:rsidR="000B4301" w:rsidRDefault="00F47107">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Interpretation </w:t>
            </w:r>
          </w:p>
        </w:tc>
      </w:tr>
      <w:tr w:rsidR="000B4301" w14:paraId="7EFE4C14" w14:textId="77777777">
        <w:trPr>
          <w:jc w:val="center"/>
        </w:trPr>
        <w:tc>
          <w:tcPr>
            <w:tcW w:w="1800" w:type="dxa"/>
            <w:shd w:val="clear" w:color="auto" w:fill="auto"/>
            <w:tcMar>
              <w:top w:w="100" w:type="dxa"/>
              <w:left w:w="100" w:type="dxa"/>
              <w:bottom w:w="100" w:type="dxa"/>
              <w:right w:w="100" w:type="dxa"/>
            </w:tcMar>
          </w:tcPr>
          <w:p w14:paraId="14B320B2" w14:textId="77777777" w:rsidR="000B4301" w:rsidRDefault="00F47107">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Before vs After </w:t>
            </w:r>
          </w:p>
        </w:tc>
        <w:tc>
          <w:tcPr>
            <w:tcW w:w="1800" w:type="dxa"/>
            <w:shd w:val="clear" w:color="auto" w:fill="auto"/>
            <w:tcMar>
              <w:top w:w="100" w:type="dxa"/>
              <w:left w:w="100" w:type="dxa"/>
              <w:bottom w:w="100" w:type="dxa"/>
              <w:right w:w="100" w:type="dxa"/>
            </w:tcMar>
          </w:tcPr>
          <w:p w14:paraId="36F9FA25" w14:textId="77777777" w:rsidR="000B4301" w:rsidRDefault="00F47107">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0.32</w:t>
            </w:r>
          </w:p>
        </w:tc>
        <w:tc>
          <w:tcPr>
            <w:tcW w:w="1800" w:type="dxa"/>
            <w:shd w:val="clear" w:color="auto" w:fill="auto"/>
            <w:tcMar>
              <w:top w:w="100" w:type="dxa"/>
              <w:left w:w="100" w:type="dxa"/>
              <w:bottom w:w="100" w:type="dxa"/>
              <w:right w:w="100" w:type="dxa"/>
            </w:tcMar>
          </w:tcPr>
          <w:p w14:paraId="2EFE4119" w14:textId="77777777" w:rsidR="000B4301" w:rsidRDefault="00F47107">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12.706</w:t>
            </w:r>
          </w:p>
        </w:tc>
        <w:tc>
          <w:tcPr>
            <w:tcW w:w="1800" w:type="dxa"/>
            <w:shd w:val="clear" w:color="auto" w:fill="auto"/>
            <w:tcMar>
              <w:top w:w="100" w:type="dxa"/>
              <w:left w:w="100" w:type="dxa"/>
              <w:bottom w:w="100" w:type="dxa"/>
              <w:right w:w="100" w:type="dxa"/>
            </w:tcMar>
          </w:tcPr>
          <w:p w14:paraId="6B1425E2" w14:textId="77777777" w:rsidR="000B4301" w:rsidRDefault="00F47107">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Not Significant </w:t>
            </w:r>
          </w:p>
        </w:tc>
      </w:tr>
    </w:tbl>
    <w:p w14:paraId="7CB99A91" w14:textId="77777777" w:rsidR="000B4301" w:rsidRDefault="000B4301">
      <w:pPr>
        <w:spacing w:line="480" w:lineRule="auto"/>
        <w:jc w:val="center"/>
        <w:rPr>
          <w:rFonts w:ascii="Times New Roman" w:eastAsia="Times New Roman" w:hAnsi="Times New Roman" w:cs="Times New Roman"/>
          <w:sz w:val="24"/>
          <w:szCs w:val="24"/>
        </w:rPr>
      </w:pPr>
    </w:p>
    <w:p w14:paraId="776B9DE4" w14:textId="77777777" w:rsidR="000B4301" w:rsidRDefault="00F47107">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determine whether there was any significant difference between the electricity usage recorded prior to and following the execution of the energy conservation campaign, the paired t-test was used. The paired data's estimated t-computed value of 0.32 is significantly less than the t-critical value of 12.706. This coefficient makes it possible to have no significant difference between two variables. In this instance, the t-computed of 0.32 exceeds the conventional threshold of significance set at 0.05. This suggests that the observed correlation between before and after the campaign is not statistically significant. In other terms, the null hypothesis failed to reject due to insufficient evidence, which posits that there are no genuine effects between the months implemented by the campaign. </w:t>
      </w:r>
    </w:p>
    <w:p w14:paraId="76951F59" w14:textId="77777777" w:rsidR="000B4301" w:rsidRDefault="00F47107">
      <w:pPr>
        <w:spacing w:before="240" w:after="24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CONCLUSIONS AND RECOMMENDATIONS</w:t>
      </w:r>
    </w:p>
    <w:p w14:paraId="51E08C59" w14:textId="77777777" w:rsidR="000B4301" w:rsidRDefault="00F47107">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According to the study, AMCC's energy-saving initiative did not considerably lower electricity consumption. Important conclusions include the financial impact being negligible, with school buildings saving ₱76.22 (0.00018%) and school additions saving ₱1,715.14 (0.0016%). The differences in electricity use were not statistically significant, according to a paired t-test, which revealed a t-computed value of 0.32, significantly below the t-critical value of 12.706. External disruptions, like extended weekends and class suspensions, reduced the campaign's impact and reach and hindered its efficacy. As a result, the findings imply that short-term actions are not enough to change long-standing consumption patterns or satisfy a major institution's electrical needs.</w:t>
      </w:r>
    </w:p>
    <w:p w14:paraId="2E750547" w14:textId="77777777" w:rsidR="000B4301" w:rsidRDefault="000B4301">
      <w:pPr>
        <w:spacing w:line="240" w:lineRule="auto"/>
        <w:jc w:val="both"/>
        <w:rPr>
          <w:rFonts w:ascii="Times New Roman" w:eastAsia="Times New Roman" w:hAnsi="Times New Roman" w:cs="Times New Roman"/>
          <w:sz w:val="24"/>
          <w:szCs w:val="24"/>
        </w:rPr>
      </w:pPr>
    </w:p>
    <w:p w14:paraId="5A58518E" w14:textId="77777777" w:rsidR="000B4301" w:rsidRDefault="00F47107">
      <w:pPr>
        <w:spacing w:line="240" w:lineRule="auto"/>
        <w:ind w:firstLine="720"/>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Based on the conclusions regarding energy conservation, several recommendations are proposed for both institutional stakeholders and future campaigns. For institutional stakeholders, it is suggested that school administrators enforce mandatory practices such as turning off lights, fans, and air-conditioning in unoccupied classrooms. Faculty members are encouraged to integrate energy literacy into their courses to promote responsible appliance use among students. Additionally, students should be motivated to actively minimize "phantom load" by unplugging chargers and devices when not in use. For future campaigns and research, initiatives should have an extended duration of two to three months to facilitate behavioral change and establish clear data patterns. Researchers should employ a variety of active strategies beyond passive media, including "energy patrols," real-time monitoring displays, and incentive-based competitions. A holistic approach that combines behavioral modifications with technological upgrades, such as motion sensors, along with regular monitoring, is essential for improving energy efficiency.</w:t>
      </w:r>
    </w:p>
    <w:p w14:paraId="093D897C" w14:textId="77777777" w:rsidR="000B4301" w:rsidRDefault="00F47107">
      <w:pPr>
        <w:spacing w:before="240" w:after="24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ACKNOWLEDGMENT</w:t>
      </w:r>
    </w:p>
    <w:p w14:paraId="18D005CF" w14:textId="77777777" w:rsidR="000B4301" w:rsidRDefault="00F47107">
      <w:pPr>
        <w:spacing w:before="240" w:after="24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researchers sincerely thank the Adventist Medical Center College Academy (AMCC) administration and staff for their cooperation and essential data for this study. We appreciate our research advisers and faculty for their guidance and feedback. Special thanks to the AMCC </w:t>
      </w:r>
      <w:r>
        <w:rPr>
          <w:rFonts w:ascii="Times New Roman" w:eastAsia="Times New Roman" w:hAnsi="Times New Roman" w:cs="Times New Roman"/>
          <w:sz w:val="24"/>
          <w:szCs w:val="24"/>
        </w:rPr>
        <w:lastRenderedPageBreak/>
        <w:t xml:space="preserve">students and staff for their participation in the energy conservation campaign. We also acknowledge the support of our families and friends during this academic journey. Lastly, we express our gratitude to God for His wisdom and strength throughout this project. </w:t>
      </w:r>
    </w:p>
    <w:p w14:paraId="7F7B8CAB" w14:textId="77777777" w:rsidR="000B4301" w:rsidRDefault="000B4301">
      <w:pPr>
        <w:spacing w:before="240" w:after="240" w:line="240" w:lineRule="auto"/>
        <w:ind w:firstLine="720"/>
        <w:jc w:val="both"/>
        <w:rPr>
          <w:rFonts w:ascii="Times New Roman" w:eastAsia="Times New Roman" w:hAnsi="Times New Roman" w:cs="Times New Roman"/>
          <w:sz w:val="24"/>
          <w:szCs w:val="24"/>
        </w:rPr>
      </w:pPr>
    </w:p>
    <w:p w14:paraId="41D07E59" w14:textId="77777777" w:rsidR="000B4301" w:rsidRDefault="00F47107">
      <w:pPr>
        <w:spacing w:line="48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REFERENCES </w:t>
      </w:r>
    </w:p>
    <w:p w14:paraId="70AF5BD4" w14:textId="7003FFD4" w:rsidR="000B4301" w:rsidRDefault="00F47107" w:rsidP="001C5A79">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Ahmed, M., &amp; Khan, S. (2023). Insights from BRICS-T economies on the impact of human capital </w:t>
      </w:r>
      <w:r w:rsidR="001C5A79">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and renewable electricity consumption on environmental quality. Scientific Reports, 13(1), </w:t>
      </w:r>
      <w:r w:rsidR="001C5A79">
        <w:rPr>
          <w:rFonts w:ascii="Times New Roman" w:eastAsia="Times New Roman" w:hAnsi="Times New Roman" w:cs="Times New Roman"/>
          <w:sz w:val="24"/>
          <w:szCs w:val="24"/>
        </w:rPr>
        <w:tab/>
      </w:r>
      <w:r>
        <w:rPr>
          <w:rFonts w:ascii="Times New Roman" w:eastAsia="Times New Roman" w:hAnsi="Times New Roman" w:cs="Times New Roman"/>
          <w:sz w:val="24"/>
          <w:szCs w:val="24"/>
        </w:rPr>
        <w:t>1234. https://doi.org/10.1038/s41598-023-32134-1</w:t>
      </w:r>
    </w:p>
    <w:p w14:paraId="3FA8EDF6" w14:textId="38214940" w:rsidR="001C5A79" w:rsidRDefault="00F47107" w:rsidP="001C5A79">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Al-Masri, M., &amp; Ahmad, R. (2021). Internet of Things‐based smart electricity monitoring and </w:t>
      </w:r>
      <w:r w:rsidR="001C5A79">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control system using usage data. International Journal of Distributed Sensor Networks, </w:t>
      </w:r>
      <w:r w:rsidR="001C5A79">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17(5), 6544649. </w:t>
      </w:r>
      <w:hyperlink r:id="rId5" w:history="1">
        <w:r w:rsidR="001C5A79" w:rsidRPr="00581776">
          <w:rPr>
            <w:rStyle w:val="Hyperlink"/>
            <w:rFonts w:ascii="Times New Roman" w:eastAsia="Times New Roman" w:hAnsi="Times New Roman" w:cs="Times New Roman"/>
            <w:sz w:val="24"/>
            <w:szCs w:val="24"/>
          </w:rPr>
          <w:t>https://doi.org/10.1155/2021/6544649</w:t>
        </w:r>
      </w:hyperlink>
    </w:p>
    <w:p w14:paraId="0116E9C7" w14:textId="77777777" w:rsidR="001C5A79" w:rsidRDefault="001C5A79" w:rsidP="001C5A79">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Ajzen, I. (1991). The theory of planned behavior. Organizational Behavior and Human Decision </w:t>
      </w:r>
      <w:r>
        <w:rPr>
          <w:rFonts w:ascii="Times New Roman" w:eastAsia="Times New Roman" w:hAnsi="Times New Roman" w:cs="Times New Roman"/>
          <w:sz w:val="24"/>
          <w:szCs w:val="24"/>
        </w:rPr>
        <w:tab/>
        <w:t>Processes, 50(2), 179–211.</w:t>
      </w:r>
    </w:p>
    <w:p w14:paraId="2CC44850" w14:textId="7193E871" w:rsidR="001C5A79" w:rsidRDefault="001C5A79" w:rsidP="001C5A79">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Ahmed, M., &amp; Khan, S. (2023). Renewable electricity consumption and environmental quality. </w:t>
      </w:r>
      <w:r>
        <w:rPr>
          <w:rFonts w:ascii="Times New Roman" w:eastAsia="Times New Roman" w:hAnsi="Times New Roman" w:cs="Times New Roman"/>
          <w:sz w:val="24"/>
          <w:szCs w:val="24"/>
        </w:rPr>
        <w:tab/>
        <w:t>Energy Policy.</w:t>
      </w:r>
    </w:p>
    <w:p w14:paraId="73044AA4" w14:textId="78F23F49" w:rsidR="000B4301" w:rsidRDefault="001C5A79" w:rsidP="001C5A79">
      <w:pPr>
        <w:spacing w:before="240" w:after="24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Basholli</w:t>
      </w:r>
      <w:proofErr w:type="spellEnd"/>
      <w:r>
        <w:rPr>
          <w:rFonts w:ascii="Times New Roman" w:eastAsia="Times New Roman" w:hAnsi="Times New Roman" w:cs="Times New Roman"/>
          <w:sz w:val="24"/>
          <w:szCs w:val="24"/>
        </w:rPr>
        <w:t xml:space="preserve">, Y., &amp; </w:t>
      </w:r>
      <w:proofErr w:type="spellStart"/>
      <w:r>
        <w:rPr>
          <w:rFonts w:ascii="Times New Roman" w:eastAsia="Times New Roman" w:hAnsi="Times New Roman" w:cs="Times New Roman"/>
          <w:sz w:val="24"/>
          <w:szCs w:val="24"/>
        </w:rPr>
        <w:t>Avdylaj</w:t>
      </w:r>
      <w:proofErr w:type="spellEnd"/>
      <w:r>
        <w:rPr>
          <w:rFonts w:ascii="Times New Roman" w:eastAsia="Times New Roman" w:hAnsi="Times New Roman" w:cs="Times New Roman"/>
          <w:sz w:val="24"/>
          <w:szCs w:val="24"/>
        </w:rPr>
        <w:t xml:space="preserve">, L. (2023). Electricity quality assessment in buildings. Journal of Energy </w:t>
      </w:r>
      <w:r>
        <w:rPr>
          <w:rFonts w:ascii="Times New Roman" w:eastAsia="Times New Roman" w:hAnsi="Times New Roman" w:cs="Times New Roman"/>
          <w:sz w:val="24"/>
          <w:szCs w:val="24"/>
        </w:rPr>
        <w:tab/>
        <w:t>Systems.</w:t>
      </w:r>
    </w:p>
    <w:p w14:paraId="3A2D70C8" w14:textId="1BAA464C" w:rsidR="000B4301" w:rsidRDefault="00F47107" w:rsidP="001C5A79">
      <w:pPr>
        <w:spacing w:after="24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Basholli</w:t>
      </w:r>
      <w:proofErr w:type="spellEnd"/>
      <w:r>
        <w:rPr>
          <w:rFonts w:ascii="Times New Roman" w:eastAsia="Times New Roman" w:hAnsi="Times New Roman" w:cs="Times New Roman"/>
          <w:sz w:val="24"/>
          <w:szCs w:val="24"/>
        </w:rPr>
        <w:t xml:space="preserve">, F., &amp; </w:t>
      </w:r>
      <w:proofErr w:type="spellStart"/>
      <w:r>
        <w:rPr>
          <w:rFonts w:ascii="Times New Roman" w:eastAsia="Times New Roman" w:hAnsi="Times New Roman" w:cs="Times New Roman"/>
          <w:sz w:val="24"/>
          <w:szCs w:val="24"/>
        </w:rPr>
        <w:t>Avdylaj</w:t>
      </w:r>
      <w:proofErr w:type="spellEnd"/>
      <w:r>
        <w:rPr>
          <w:rFonts w:ascii="Times New Roman" w:eastAsia="Times New Roman" w:hAnsi="Times New Roman" w:cs="Times New Roman"/>
          <w:sz w:val="24"/>
          <w:szCs w:val="24"/>
        </w:rPr>
        <w:t xml:space="preserve">, B. (2023). Monitoring and assessment of the quality of electricity in a </w:t>
      </w:r>
      <w:r w:rsidR="001C5A79">
        <w:rPr>
          <w:rFonts w:ascii="Times New Roman" w:eastAsia="Times New Roman" w:hAnsi="Times New Roman" w:cs="Times New Roman"/>
          <w:sz w:val="24"/>
          <w:szCs w:val="24"/>
        </w:rPr>
        <w:tab/>
      </w:r>
      <w:r>
        <w:rPr>
          <w:rFonts w:ascii="Times New Roman" w:eastAsia="Times New Roman" w:hAnsi="Times New Roman" w:cs="Times New Roman"/>
          <w:sz w:val="24"/>
          <w:szCs w:val="24"/>
        </w:rPr>
        <w:t>building. International Journal of Energy, 17(4), 203–215.</w:t>
      </w:r>
    </w:p>
    <w:p w14:paraId="1CCFC3FA" w14:textId="02A55493" w:rsidR="000B4301" w:rsidRDefault="00F47107" w:rsidP="001C5A79">
      <w:pPr>
        <w:spacing w:after="24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Basholli</w:t>
      </w:r>
      <w:proofErr w:type="spellEnd"/>
      <w:r>
        <w:rPr>
          <w:rFonts w:ascii="Times New Roman" w:eastAsia="Times New Roman" w:hAnsi="Times New Roman" w:cs="Times New Roman"/>
          <w:sz w:val="24"/>
          <w:szCs w:val="24"/>
        </w:rPr>
        <w:t xml:space="preserve">, F., &amp; </w:t>
      </w:r>
      <w:proofErr w:type="spellStart"/>
      <w:r>
        <w:rPr>
          <w:rFonts w:ascii="Times New Roman" w:eastAsia="Times New Roman" w:hAnsi="Times New Roman" w:cs="Times New Roman"/>
          <w:sz w:val="24"/>
          <w:szCs w:val="24"/>
        </w:rPr>
        <w:t>Avdylaj</w:t>
      </w:r>
      <w:proofErr w:type="spellEnd"/>
      <w:r>
        <w:rPr>
          <w:rFonts w:ascii="Times New Roman" w:eastAsia="Times New Roman" w:hAnsi="Times New Roman" w:cs="Times New Roman"/>
          <w:sz w:val="24"/>
          <w:szCs w:val="24"/>
        </w:rPr>
        <w:t xml:space="preserve">, B. (2023). Monitoring and evaluation of the quality of electricity in a </w:t>
      </w:r>
      <w:r w:rsidR="001C5A79">
        <w:rPr>
          <w:rFonts w:ascii="Times New Roman" w:eastAsia="Times New Roman" w:hAnsi="Times New Roman" w:cs="Times New Roman"/>
          <w:sz w:val="24"/>
          <w:szCs w:val="24"/>
        </w:rPr>
        <w:tab/>
      </w:r>
      <w:r>
        <w:rPr>
          <w:rFonts w:ascii="Times New Roman" w:eastAsia="Times New Roman" w:hAnsi="Times New Roman" w:cs="Times New Roman"/>
          <w:sz w:val="24"/>
          <w:szCs w:val="24"/>
        </w:rPr>
        <w:t>building. International Journal of Energy, 17(2), 145–158.</w:t>
      </w:r>
    </w:p>
    <w:p w14:paraId="700BB69A" w14:textId="584FA622" w:rsidR="000B4301" w:rsidRDefault="00F47107" w:rsidP="001C5A79">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Bhattacharjee, D., Garg, N., &amp; </w:t>
      </w:r>
      <w:proofErr w:type="spellStart"/>
      <w:r>
        <w:rPr>
          <w:rFonts w:ascii="Times New Roman" w:eastAsia="Times New Roman" w:hAnsi="Times New Roman" w:cs="Times New Roman"/>
          <w:sz w:val="24"/>
          <w:szCs w:val="24"/>
        </w:rPr>
        <w:t>Kasiviswanathan</w:t>
      </w:r>
      <w:proofErr w:type="spellEnd"/>
      <w:r>
        <w:rPr>
          <w:rFonts w:ascii="Times New Roman" w:eastAsia="Times New Roman" w:hAnsi="Times New Roman" w:cs="Times New Roman"/>
          <w:sz w:val="24"/>
          <w:szCs w:val="24"/>
        </w:rPr>
        <w:t xml:space="preserve">, K. S. (2020). A data mining-based framework </w:t>
      </w:r>
      <w:r w:rsidR="001C5A79">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for identifying daily electricity usage patterns and anomaly detection in building electricity </w:t>
      </w:r>
      <w:r w:rsidR="001C5A79">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consumption data. Energy and Buildings, 216, 109881. </w:t>
      </w:r>
      <w:r w:rsidR="001C5A79">
        <w:rPr>
          <w:rFonts w:ascii="Times New Roman" w:eastAsia="Times New Roman" w:hAnsi="Times New Roman" w:cs="Times New Roman"/>
          <w:sz w:val="24"/>
          <w:szCs w:val="24"/>
        </w:rPr>
        <w:tab/>
      </w:r>
      <w:r>
        <w:rPr>
          <w:rFonts w:ascii="Times New Roman" w:eastAsia="Times New Roman" w:hAnsi="Times New Roman" w:cs="Times New Roman"/>
          <w:sz w:val="24"/>
          <w:szCs w:val="24"/>
        </w:rPr>
        <w:t>https://doi.org/10.1016/j.enbuild.2020.109881</w:t>
      </w:r>
    </w:p>
    <w:p w14:paraId="3AB5AD8D" w14:textId="7FA0D671" w:rsidR="000B4301" w:rsidRDefault="00F47107" w:rsidP="001C5A79">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Del Río, D. F., &amp; Greening, P. (2023). A review of annual, monthly, and hourly electricity use in </w:t>
      </w:r>
      <w:r w:rsidR="001C5A79">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buildings. Energy and Buildings, 301, 113464. </w:t>
      </w:r>
      <w:r w:rsidR="001C5A79">
        <w:rPr>
          <w:rFonts w:ascii="Times New Roman" w:eastAsia="Times New Roman" w:hAnsi="Times New Roman" w:cs="Times New Roman"/>
          <w:sz w:val="24"/>
          <w:szCs w:val="24"/>
        </w:rPr>
        <w:tab/>
      </w:r>
      <w:r>
        <w:rPr>
          <w:rFonts w:ascii="Times New Roman" w:eastAsia="Times New Roman" w:hAnsi="Times New Roman" w:cs="Times New Roman"/>
          <w:sz w:val="24"/>
          <w:szCs w:val="24"/>
        </w:rPr>
        <w:t>https://doi.org/10.1016/j.enbuild.2023.113464</w:t>
      </w:r>
    </w:p>
    <w:p w14:paraId="4F01503B" w14:textId="3438BC69" w:rsidR="000B4301" w:rsidRDefault="00F47107" w:rsidP="001C5A79">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Doğan, E., &amp; </w:t>
      </w:r>
      <w:proofErr w:type="spellStart"/>
      <w:r>
        <w:rPr>
          <w:rFonts w:ascii="Times New Roman" w:eastAsia="Times New Roman" w:hAnsi="Times New Roman" w:cs="Times New Roman"/>
          <w:sz w:val="24"/>
          <w:szCs w:val="24"/>
        </w:rPr>
        <w:t>Trikas</w:t>
      </w:r>
      <w:proofErr w:type="spellEnd"/>
      <w:r>
        <w:rPr>
          <w:rFonts w:ascii="Times New Roman" w:eastAsia="Times New Roman" w:hAnsi="Times New Roman" w:cs="Times New Roman"/>
          <w:sz w:val="24"/>
          <w:szCs w:val="24"/>
        </w:rPr>
        <w:t xml:space="preserve">, P. (2019). Daily electricity use and usage patterns in Turkey: A harmonic </w:t>
      </w:r>
      <w:r w:rsidR="001C5A79">
        <w:rPr>
          <w:rFonts w:ascii="Times New Roman" w:eastAsia="Times New Roman" w:hAnsi="Times New Roman" w:cs="Times New Roman"/>
          <w:sz w:val="24"/>
          <w:szCs w:val="24"/>
        </w:rPr>
        <w:tab/>
      </w:r>
      <w:r>
        <w:rPr>
          <w:rFonts w:ascii="Times New Roman" w:eastAsia="Times New Roman" w:hAnsi="Times New Roman" w:cs="Times New Roman"/>
          <w:sz w:val="24"/>
          <w:szCs w:val="24"/>
        </w:rPr>
        <w:t>analysis. Energy, 186, 115852. https://doi.org/10.1016/j.energy.2019.07.012</w:t>
      </w:r>
    </w:p>
    <w:p w14:paraId="5E08218D" w14:textId="438A85B8" w:rsidR="000B4301" w:rsidRDefault="00F47107" w:rsidP="001C5A79">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Ghadban, A., </w:t>
      </w:r>
      <w:proofErr w:type="spellStart"/>
      <w:r>
        <w:rPr>
          <w:rFonts w:ascii="Times New Roman" w:eastAsia="Times New Roman" w:hAnsi="Times New Roman" w:cs="Times New Roman"/>
          <w:sz w:val="24"/>
          <w:szCs w:val="24"/>
        </w:rPr>
        <w:t>Zerriffi</w:t>
      </w:r>
      <w:proofErr w:type="spellEnd"/>
      <w:r>
        <w:rPr>
          <w:rFonts w:ascii="Times New Roman" w:eastAsia="Times New Roman" w:hAnsi="Times New Roman" w:cs="Times New Roman"/>
          <w:sz w:val="24"/>
          <w:szCs w:val="24"/>
        </w:rPr>
        <w:t xml:space="preserve">, H., &amp; </w:t>
      </w:r>
      <w:proofErr w:type="spellStart"/>
      <w:r>
        <w:rPr>
          <w:rFonts w:ascii="Times New Roman" w:eastAsia="Times New Roman" w:hAnsi="Times New Roman" w:cs="Times New Roman"/>
          <w:sz w:val="24"/>
          <w:szCs w:val="24"/>
        </w:rPr>
        <w:t>Houweling</w:t>
      </w:r>
      <w:proofErr w:type="spellEnd"/>
      <w:r>
        <w:rPr>
          <w:rFonts w:ascii="Times New Roman" w:eastAsia="Times New Roman" w:hAnsi="Times New Roman" w:cs="Times New Roman"/>
          <w:sz w:val="24"/>
          <w:szCs w:val="24"/>
        </w:rPr>
        <w:t xml:space="preserve">, S. (2015). The effect of ambient temperature on electricity </w:t>
      </w:r>
      <w:r w:rsidR="001C5A79">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consumption in residential buildings. Energy and Buildings, 87, 267–274. </w:t>
      </w:r>
      <w:r w:rsidR="001C5A79">
        <w:rPr>
          <w:rFonts w:ascii="Times New Roman" w:eastAsia="Times New Roman" w:hAnsi="Times New Roman" w:cs="Times New Roman"/>
          <w:sz w:val="24"/>
          <w:szCs w:val="24"/>
        </w:rPr>
        <w:tab/>
      </w:r>
      <w:r>
        <w:rPr>
          <w:rFonts w:ascii="Times New Roman" w:eastAsia="Times New Roman" w:hAnsi="Times New Roman" w:cs="Times New Roman"/>
          <w:sz w:val="24"/>
          <w:szCs w:val="24"/>
        </w:rPr>
        <w:t>https://doi.org/10.1016/j.enbuild.2014.11.033</w:t>
      </w:r>
    </w:p>
    <w:p w14:paraId="791FD023" w14:textId="647A5137" w:rsidR="000B4301" w:rsidRDefault="00F47107" w:rsidP="001C5A79">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Grunewald, P., </w:t>
      </w:r>
      <w:proofErr w:type="spellStart"/>
      <w:r>
        <w:rPr>
          <w:rFonts w:ascii="Times New Roman" w:eastAsia="Times New Roman" w:hAnsi="Times New Roman" w:cs="Times New Roman"/>
          <w:sz w:val="24"/>
          <w:szCs w:val="24"/>
        </w:rPr>
        <w:t>Diakonova</w:t>
      </w:r>
      <w:proofErr w:type="spellEnd"/>
      <w:r>
        <w:rPr>
          <w:rFonts w:ascii="Times New Roman" w:eastAsia="Times New Roman" w:hAnsi="Times New Roman" w:cs="Times New Roman"/>
          <w:sz w:val="24"/>
          <w:szCs w:val="24"/>
        </w:rPr>
        <w:t xml:space="preserve">, M., &amp; Satre-Meloy, A. (2020). Daily life and demand: An analysis of </w:t>
      </w:r>
      <w:r w:rsidR="001C5A79">
        <w:rPr>
          <w:rFonts w:ascii="Times New Roman" w:eastAsia="Times New Roman" w:hAnsi="Times New Roman" w:cs="Times New Roman"/>
          <w:sz w:val="24"/>
          <w:szCs w:val="24"/>
        </w:rPr>
        <w:tab/>
      </w:r>
      <w:r>
        <w:rPr>
          <w:rFonts w:ascii="Times New Roman" w:eastAsia="Times New Roman" w:hAnsi="Times New Roman" w:cs="Times New Roman"/>
          <w:sz w:val="24"/>
          <w:szCs w:val="24"/>
        </w:rPr>
        <w:t>intra-day variations in residential electricity consumption. Energy Efficiency, 13(2), 433–</w:t>
      </w:r>
      <w:r w:rsidR="001C5A79">
        <w:rPr>
          <w:rFonts w:ascii="Times New Roman" w:eastAsia="Times New Roman" w:hAnsi="Times New Roman" w:cs="Times New Roman"/>
          <w:sz w:val="24"/>
          <w:szCs w:val="24"/>
        </w:rPr>
        <w:tab/>
      </w:r>
      <w:r>
        <w:rPr>
          <w:rFonts w:ascii="Times New Roman" w:eastAsia="Times New Roman" w:hAnsi="Times New Roman" w:cs="Times New Roman"/>
          <w:sz w:val="24"/>
          <w:szCs w:val="24"/>
        </w:rPr>
        <w:t>458. https://doi.org/10.1007/s12053-019-09791-1</w:t>
      </w:r>
    </w:p>
    <w:p w14:paraId="6DDC501D" w14:textId="18865A01" w:rsidR="000B4301" w:rsidRDefault="00F47107" w:rsidP="001C5A79">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Huang, X., &amp; Wu, J. (2021). Usage impact on data center electricity needs: A system dynamic </w:t>
      </w:r>
      <w:r w:rsidR="001C5A79">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forecasting model. Applied Energy, 282, 116216. </w:t>
      </w:r>
      <w:r w:rsidR="001C5A79">
        <w:rPr>
          <w:rFonts w:ascii="Times New Roman" w:eastAsia="Times New Roman" w:hAnsi="Times New Roman" w:cs="Times New Roman"/>
          <w:sz w:val="24"/>
          <w:szCs w:val="24"/>
        </w:rPr>
        <w:tab/>
      </w:r>
      <w:r>
        <w:rPr>
          <w:rFonts w:ascii="Times New Roman" w:eastAsia="Times New Roman" w:hAnsi="Times New Roman" w:cs="Times New Roman"/>
          <w:sz w:val="24"/>
          <w:szCs w:val="24"/>
        </w:rPr>
        <w:t>https://doi.org/10.1016/j.apenergy.2021.116216</w:t>
      </w:r>
    </w:p>
    <w:p w14:paraId="1AE49FC1" w14:textId="6E8C542E" w:rsidR="000B4301" w:rsidRDefault="00F47107" w:rsidP="001C5A79">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 Y., Wang, S., &amp; Chen, Y. (2022). Digital transformation and electricity consumption: Evidence </w:t>
      </w:r>
      <w:r w:rsidR="001C5A79">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from the Broadband China pilot policy. Technological Forecasting and Social Change, 184, </w:t>
      </w:r>
      <w:r w:rsidR="001C5A79">
        <w:rPr>
          <w:rFonts w:ascii="Times New Roman" w:eastAsia="Times New Roman" w:hAnsi="Times New Roman" w:cs="Times New Roman"/>
          <w:sz w:val="24"/>
          <w:szCs w:val="24"/>
        </w:rPr>
        <w:tab/>
      </w:r>
      <w:r>
        <w:rPr>
          <w:rFonts w:ascii="Times New Roman" w:eastAsia="Times New Roman" w:hAnsi="Times New Roman" w:cs="Times New Roman"/>
          <w:sz w:val="24"/>
          <w:szCs w:val="24"/>
        </w:rPr>
        <w:t>121999. https://doi.org/10.1016/j.techfore.2022.121999</w:t>
      </w:r>
    </w:p>
    <w:p w14:paraId="30CE14DD" w14:textId="28375A34" w:rsidR="000B4301" w:rsidRDefault="00F47107" w:rsidP="001C5A79">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López, J., &amp; Martínez, P. (2021). A study and assessment of the status of energy efficiency and </w:t>
      </w:r>
      <w:r w:rsidR="001C5A79">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conservation at school buildings. Sustainability, 14(17), 10625. </w:t>
      </w:r>
      <w:r w:rsidR="001C5A79">
        <w:rPr>
          <w:rFonts w:ascii="Times New Roman" w:eastAsia="Times New Roman" w:hAnsi="Times New Roman" w:cs="Times New Roman"/>
          <w:sz w:val="24"/>
          <w:szCs w:val="24"/>
        </w:rPr>
        <w:tab/>
      </w:r>
      <w:r>
        <w:rPr>
          <w:rFonts w:ascii="Times New Roman" w:eastAsia="Times New Roman" w:hAnsi="Times New Roman" w:cs="Times New Roman"/>
          <w:sz w:val="24"/>
          <w:szCs w:val="24"/>
        </w:rPr>
        <w:t>https://doi.org/10.3390/su141710625</w:t>
      </w:r>
    </w:p>
    <w:p w14:paraId="2C4C75A8" w14:textId="6D59C715" w:rsidR="000B4301" w:rsidRDefault="00F47107" w:rsidP="001C5A79">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Nowak, A., &amp; Kowalski, J. (2022). Effectiveness of electricity-saving communication campaigns: </w:t>
      </w:r>
      <w:r w:rsidR="001C5A79">
        <w:rPr>
          <w:rFonts w:ascii="Times New Roman" w:eastAsia="Times New Roman" w:hAnsi="Times New Roman" w:cs="Times New Roman"/>
          <w:sz w:val="24"/>
          <w:szCs w:val="24"/>
        </w:rPr>
        <w:tab/>
      </w:r>
      <w:r>
        <w:rPr>
          <w:rFonts w:ascii="Times New Roman" w:eastAsia="Times New Roman" w:hAnsi="Times New Roman" w:cs="Times New Roman"/>
          <w:sz w:val="24"/>
          <w:szCs w:val="24"/>
        </w:rPr>
        <w:t>Neurophysiological approach. Energies, 15(4), 1263. https://doi.org/10.3390/en15041263</w:t>
      </w:r>
    </w:p>
    <w:p w14:paraId="2159D28D" w14:textId="1B2ECC21" w:rsidR="000B4301" w:rsidRDefault="00F47107" w:rsidP="001C5A79">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Sakti, A. W., &amp; Yamaguchi, Y. (2019). A review of annual, monthly, and hourly electricity use in </w:t>
      </w:r>
      <w:r w:rsidR="001C5A79">
        <w:rPr>
          <w:rFonts w:ascii="Times New Roman" w:eastAsia="Times New Roman" w:hAnsi="Times New Roman" w:cs="Times New Roman"/>
          <w:sz w:val="24"/>
          <w:szCs w:val="24"/>
        </w:rPr>
        <w:tab/>
      </w:r>
      <w:r>
        <w:rPr>
          <w:rFonts w:ascii="Times New Roman" w:eastAsia="Times New Roman" w:hAnsi="Times New Roman" w:cs="Times New Roman"/>
          <w:sz w:val="24"/>
          <w:szCs w:val="24"/>
        </w:rPr>
        <w:t>buildings. Applied Energy, 239, 1–25. https://doi.org/10.1016/j.apenergy.2019.03.217</w:t>
      </w:r>
    </w:p>
    <w:p w14:paraId="298AC9ED" w14:textId="51F410A1" w:rsidR="000B4301" w:rsidRDefault="00F47107" w:rsidP="001C5A79">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Sharma, V., Ghosh, S., &amp; Rout, U. K. (2015). A review of electricity consumption and efficiency </w:t>
      </w:r>
      <w:r w:rsidR="001C5A79">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in educational buildings. Renewable and Sustainable Energy Reviews, 41, 1242–1256. </w:t>
      </w:r>
      <w:r w:rsidR="001C5A79">
        <w:rPr>
          <w:rFonts w:ascii="Times New Roman" w:eastAsia="Times New Roman" w:hAnsi="Times New Roman" w:cs="Times New Roman"/>
          <w:sz w:val="24"/>
          <w:szCs w:val="24"/>
        </w:rPr>
        <w:tab/>
      </w:r>
      <w:r>
        <w:rPr>
          <w:rFonts w:ascii="Times New Roman" w:eastAsia="Times New Roman" w:hAnsi="Times New Roman" w:cs="Times New Roman"/>
          <w:sz w:val="24"/>
          <w:szCs w:val="24"/>
        </w:rPr>
        <w:t>https://doi.org/10.1016/j.rser.2014.08.014</w:t>
      </w:r>
    </w:p>
    <w:p w14:paraId="31278E50" w14:textId="6CBE0C8B" w:rsidR="000B4301" w:rsidRDefault="00F47107" w:rsidP="001C5A79">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Singh, A., &amp; Verma, R. (2025). Forecasting renewable energy and electricity consumption using </w:t>
      </w:r>
      <w:r w:rsidR="001C5A79">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evolutionary </w:t>
      </w:r>
      <w:proofErr w:type="spellStart"/>
      <w:r>
        <w:rPr>
          <w:rFonts w:ascii="Times New Roman" w:eastAsia="Times New Roman" w:hAnsi="Times New Roman" w:cs="Times New Roman"/>
          <w:sz w:val="24"/>
          <w:szCs w:val="24"/>
        </w:rPr>
        <w:t>hyperheuristic</w:t>
      </w:r>
      <w:proofErr w:type="spellEnd"/>
      <w:r>
        <w:rPr>
          <w:rFonts w:ascii="Times New Roman" w:eastAsia="Times New Roman" w:hAnsi="Times New Roman" w:cs="Times New Roman"/>
          <w:sz w:val="24"/>
          <w:szCs w:val="24"/>
        </w:rPr>
        <w:t xml:space="preserve"> algorithm. Scientific Reports, 15, 87013. </w:t>
      </w:r>
      <w:r w:rsidR="001C5A79">
        <w:rPr>
          <w:rFonts w:ascii="Times New Roman" w:eastAsia="Times New Roman" w:hAnsi="Times New Roman" w:cs="Times New Roman"/>
          <w:sz w:val="24"/>
          <w:szCs w:val="24"/>
        </w:rPr>
        <w:tab/>
      </w:r>
      <w:r>
        <w:rPr>
          <w:rFonts w:ascii="Times New Roman" w:eastAsia="Times New Roman" w:hAnsi="Times New Roman" w:cs="Times New Roman"/>
          <w:sz w:val="24"/>
          <w:szCs w:val="24"/>
        </w:rPr>
        <w:t>https://doi.org/10.1038/s41598-025-87013-8</w:t>
      </w:r>
    </w:p>
    <w:p w14:paraId="558B700C" w14:textId="5B6F120E" w:rsidR="000B4301" w:rsidRDefault="00F47107" w:rsidP="001C5A79">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Taye, G., &amp; Alemu, D. (2021). Energy efficiency analysis and energy conservation measures for </w:t>
      </w:r>
      <w:r w:rsidR="001C5A79">
        <w:rPr>
          <w:rFonts w:ascii="Times New Roman" w:eastAsia="Times New Roman" w:hAnsi="Times New Roman" w:cs="Times New Roman"/>
          <w:sz w:val="24"/>
          <w:szCs w:val="24"/>
        </w:rPr>
        <w:tab/>
      </w:r>
      <w:r>
        <w:rPr>
          <w:rFonts w:ascii="Times New Roman" w:eastAsia="Times New Roman" w:hAnsi="Times New Roman" w:cs="Times New Roman"/>
          <w:sz w:val="24"/>
          <w:szCs w:val="24"/>
        </w:rPr>
        <w:t>Ethiopian universities: Introducing green campus initiative. IEEE Access, 9, 123456–</w:t>
      </w:r>
      <w:r w:rsidR="001C5A79">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123469. </w:t>
      </w:r>
      <w:hyperlink r:id="rId6" w:history="1">
        <w:r w:rsidR="001C5A79" w:rsidRPr="00581776">
          <w:rPr>
            <w:rStyle w:val="Hyperlink"/>
            <w:rFonts w:ascii="Times New Roman" w:eastAsia="Times New Roman" w:hAnsi="Times New Roman" w:cs="Times New Roman"/>
            <w:sz w:val="24"/>
            <w:szCs w:val="24"/>
          </w:rPr>
          <w:t>https://doi.org/10.1109/ACCESS.2021.9543461</w:t>
        </w:r>
      </w:hyperlink>
    </w:p>
    <w:p w14:paraId="61566628" w14:textId="73039D7F" w:rsidR="000B4301" w:rsidRDefault="001C5A79" w:rsidP="001C5A79">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Taye, A., &amp; Alemu, B. (2021). Green campus energy-saving initiatives. African Journal of Energy </w:t>
      </w:r>
      <w:r>
        <w:rPr>
          <w:rFonts w:ascii="Times New Roman" w:eastAsia="Times New Roman" w:hAnsi="Times New Roman" w:cs="Times New Roman"/>
          <w:sz w:val="24"/>
          <w:szCs w:val="24"/>
        </w:rPr>
        <w:tab/>
        <w:t>Studies.</w:t>
      </w:r>
    </w:p>
    <w:p w14:paraId="540D7A1D" w14:textId="432D3399" w:rsidR="000B4301" w:rsidRDefault="00F47107" w:rsidP="001C5A79">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Zhou, D., Li, S., &amp; Wang, Y. (2022). Digitalization and electricity consumption: Does internet </w:t>
      </w:r>
      <w:r w:rsidR="001C5A79">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development contribute to the reduction in electricity intensity in China? Energy Policy, </w:t>
      </w:r>
      <w:r w:rsidR="001C5A79">
        <w:rPr>
          <w:rFonts w:ascii="Times New Roman" w:eastAsia="Times New Roman" w:hAnsi="Times New Roman" w:cs="Times New Roman"/>
          <w:sz w:val="24"/>
          <w:szCs w:val="24"/>
        </w:rPr>
        <w:tab/>
      </w:r>
      <w:r>
        <w:rPr>
          <w:rFonts w:ascii="Times New Roman" w:eastAsia="Times New Roman" w:hAnsi="Times New Roman" w:cs="Times New Roman"/>
          <w:sz w:val="24"/>
          <w:szCs w:val="24"/>
        </w:rPr>
        <w:t>162, 112793. https://doi.org/10.1016/j.enpol.2022.112793</w:t>
      </w:r>
    </w:p>
    <w:p w14:paraId="24129E74" w14:textId="77777777" w:rsidR="000B4301" w:rsidRDefault="000B4301">
      <w:pPr>
        <w:spacing w:line="480" w:lineRule="auto"/>
        <w:jc w:val="both"/>
        <w:rPr>
          <w:rFonts w:ascii="Times New Roman" w:eastAsia="Times New Roman" w:hAnsi="Times New Roman" w:cs="Times New Roman"/>
          <w:sz w:val="24"/>
          <w:szCs w:val="24"/>
        </w:rPr>
      </w:pPr>
    </w:p>
    <w:sectPr w:rsidR="000B4301">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9836FFCE-A1C0-44D6-ADC0-9B40DE0579FA}"/>
  </w:font>
  <w:font w:name="Cambria">
    <w:panose1 w:val="02040503050406030204"/>
    <w:charset w:val="00"/>
    <w:family w:val="roman"/>
    <w:pitch w:val="variable"/>
    <w:sig w:usb0="E00006FF" w:usb1="420024FF" w:usb2="02000000" w:usb3="00000000" w:csb0="0000019F" w:csb1="00000000"/>
    <w:embedRegular r:id="rId2" w:fontKey="{5957F637-FA68-4406-83D9-E0421F892882}"/>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4301"/>
    <w:rsid w:val="000B4301"/>
    <w:rsid w:val="001C5A79"/>
    <w:rsid w:val="001D7414"/>
    <w:rsid w:val="00301843"/>
    <w:rsid w:val="004F1584"/>
    <w:rsid w:val="0064444C"/>
    <w:rsid w:val="00F47107"/>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714E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 w:eastAsia="en-PH"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qFormat/>
    <w:rsid w:val="001C5A79"/>
    <w:rPr>
      <w:color w:val="0000FF" w:themeColor="hyperlink"/>
      <w:u w:val="single"/>
    </w:rPr>
  </w:style>
  <w:style w:type="character" w:customStyle="1" w:styleId="UnresolvedMention">
    <w:name w:val="Unresolved Mention"/>
    <w:basedOn w:val="DefaultParagraphFont"/>
    <w:uiPriority w:val="99"/>
    <w:semiHidden/>
    <w:unhideWhenUsed/>
    <w:rsid w:val="001C5A79"/>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 w:eastAsia="en-PH"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qFormat/>
    <w:rsid w:val="001C5A79"/>
    <w:rPr>
      <w:color w:val="0000FF" w:themeColor="hyperlink"/>
      <w:u w:val="single"/>
    </w:rPr>
  </w:style>
  <w:style w:type="character" w:customStyle="1" w:styleId="UnresolvedMention">
    <w:name w:val="Unresolved Mention"/>
    <w:basedOn w:val="DefaultParagraphFont"/>
    <w:uiPriority w:val="99"/>
    <w:semiHidden/>
    <w:unhideWhenUsed/>
    <w:rsid w:val="001C5A7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s://doi.org/10.1109/ACCESS.2021.9543461" TargetMode="External"/><Relationship Id="rId5" Type="http://schemas.openxmlformats.org/officeDocument/2006/relationships/hyperlink" Target="https://doi.org/10.1155/2021/6544649"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8</Pages>
  <Words>2820</Words>
  <Characters>16080</Characters>
  <Application>Microsoft Office Word</Application>
  <DocSecurity>0</DocSecurity>
  <Lines>134</Lines>
  <Paragraphs>37</Paragraphs>
  <ScaleCrop>false</ScaleCrop>
  <Company/>
  <LinksUpToDate>false</LinksUpToDate>
  <CharactersWithSpaces>18863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qwert</cp:lastModifiedBy>
  <cp:revision>16</cp:revision>
  <dcterms:created xsi:type="dcterms:W3CDTF">2026-03-02T07:41:00Z</dcterms:created>
  <dcterms:modified xsi:type="dcterms:W3CDTF">2026-03-03T12:01:00Z</dcterms:modified>
</cp:coreProperties>
</file>