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0DAE52" w14:textId="4B6705C8" w:rsidR="00271ABD" w:rsidRPr="00CF2A81" w:rsidRDefault="00271ABD" w:rsidP="00CF2A81">
      <w:pPr>
        <w:pStyle w:val="NormalWeb"/>
        <w:spacing w:before="0" w:beforeAutospacing="0" w:after="0" w:afterAutospacing="0"/>
        <w:jc w:val="center"/>
        <w:rPr>
          <w:b/>
          <w:bCs/>
          <w:color w:val="000000"/>
        </w:rPr>
      </w:pPr>
      <w:r>
        <w:rPr>
          <w:b/>
          <w:bCs/>
          <w:color w:val="000000"/>
        </w:rPr>
        <w:t>A COMPARATIVE STUDY ON THE AVERAGE NET PROFIT OF FOOD AND</w:t>
      </w:r>
      <w:r w:rsidR="00CF2A81">
        <w:rPr>
          <w:b/>
          <w:bCs/>
          <w:color w:val="000000"/>
        </w:rPr>
        <w:t xml:space="preserve"> </w:t>
      </w:r>
      <w:r>
        <w:rPr>
          <w:b/>
          <w:bCs/>
          <w:color w:val="000000"/>
        </w:rPr>
        <w:t>NON-FOOD VENDORS IN</w:t>
      </w:r>
      <w:r w:rsidR="00CF4149">
        <w:rPr>
          <w:b/>
          <w:bCs/>
          <w:color w:val="000000"/>
        </w:rPr>
        <w:t xml:space="preserve"> </w:t>
      </w:r>
      <w:r>
        <w:rPr>
          <w:b/>
          <w:bCs/>
          <w:color w:val="000000"/>
        </w:rPr>
        <w:t>ILIGAN NIGHT MARKET </w:t>
      </w:r>
    </w:p>
    <w:p w14:paraId="0AE5470D" w14:textId="77777777" w:rsidR="006745D5" w:rsidRDefault="006745D5" w:rsidP="00271ABD">
      <w:pPr>
        <w:jc w:val="center"/>
        <w:rPr>
          <w:rFonts w:ascii="Times New Roman" w:hAnsi="Times New Roman" w:cs="Times New Roman"/>
          <w:sz w:val="24"/>
          <w:szCs w:val="24"/>
        </w:rPr>
      </w:pPr>
    </w:p>
    <w:p w14:paraId="5EB213C2" w14:textId="78E30C95" w:rsidR="00CF4149" w:rsidRPr="00CF4149" w:rsidRDefault="00771C99" w:rsidP="005A72B3">
      <w:pPr>
        <w:spacing w:after="0" w:line="240" w:lineRule="auto"/>
        <w:jc w:val="center"/>
        <w:rPr>
          <w:rStyle w:val="Hyperlink"/>
          <w:rFonts w:ascii="Times New Roman" w:eastAsia="Times New Roman" w:hAnsi="Times New Roman" w:cs="Times New Roman"/>
          <w:color w:val="3333FF"/>
          <w:sz w:val="24"/>
          <w:szCs w:val="24"/>
        </w:rPr>
      </w:pPr>
      <w:r>
        <w:rPr>
          <w:rFonts w:ascii="Arial" w:hAnsi="Arial" w:cs="Arial"/>
          <w:shd w:val="clear" w:color="auto" w:fill="FFFFFF"/>
        </w:rPr>
        <w:t> </w:t>
      </w:r>
      <w:bookmarkStart w:id="0" w:name="_Hlk223357348"/>
      <w:bookmarkStart w:id="1" w:name="_GoBack"/>
      <w:bookmarkEnd w:id="1"/>
    </w:p>
    <w:bookmarkEnd w:id="0"/>
    <w:p w14:paraId="26C19B69" w14:textId="77777777" w:rsidR="00CF4149" w:rsidRDefault="00CF4149" w:rsidP="00CF4149">
      <w:pPr>
        <w:spacing w:after="0"/>
        <w:jc w:val="center"/>
        <w:rPr>
          <w:rFonts w:ascii="Times New Roman" w:hAnsi="Times New Roman" w:cs="Times New Roman"/>
          <w:sz w:val="24"/>
          <w:szCs w:val="24"/>
        </w:rPr>
      </w:pPr>
    </w:p>
    <w:p w14:paraId="0775E701" w14:textId="77777777" w:rsidR="00271ABD" w:rsidRPr="00271ABD" w:rsidRDefault="00271ABD" w:rsidP="00271ABD">
      <w:pPr>
        <w:jc w:val="both"/>
        <w:rPr>
          <w:rFonts w:ascii="Times New Roman" w:hAnsi="Times New Roman" w:cs="Times New Roman"/>
          <w:b/>
          <w:sz w:val="24"/>
          <w:szCs w:val="24"/>
        </w:rPr>
      </w:pPr>
      <w:proofErr w:type="spellStart"/>
      <w:r>
        <w:rPr>
          <w:rFonts w:ascii="Times New Roman" w:hAnsi="Times New Roman" w:cs="Times New Roman"/>
          <w:b/>
          <w:sz w:val="24"/>
          <w:szCs w:val="24"/>
        </w:rPr>
        <w:t>Absract</w:t>
      </w:r>
      <w:proofErr w:type="spellEnd"/>
    </w:p>
    <w:p w14:paraId="4CAB6BE6" w14:textId="64BB00E7" w:rsidR="00271ABD" w:rsidRPr="00271ABD" w:rsidRDefault="00271ABD" w:rsidP="00CF4149">
      <w:pPr>
        <w:spacing w:after="0" w:line="240" w:lineRule="auto"/>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This study investigates the types of products sold by food and non-food vendors and examines the factors influencing their weekend net profits, including a comparative analysis of their earnings. The results reveal that food vendors primarily sell staple items, with bread (30%) dominating their offerings, followed by drinks, meals, and snacks (20% each). In contrast, non-food vendors focus on apparel, with clothes constituting 40% of their products, followed by crafts and footwear (20% each). An examination of factors affecting profits indicates that both food and non-food vendors regard consumer demand, product quality, and marketing activities as critical to their success, receiving mean scores of 3.3 (Strongly Agree). In terms of weekly net profit, food vendors reported an average of ₱14,760 with significant variability (SD = 14,556), while non-food vendors averaged ₱7,400 (SD = 5,481), indicating more stable earnings.</w:t>
      </w:r>
      <w:r w:rsidR="00CF4149">
        <w:rPr>
          <w:rFonts w:ascii="Times New Roman" w:eastAsia="Times New Roman" w:hAnsi="Times New Roman" w:cs="Times New Roman"/>
          <w:sz w:val="24"/>
          <w:szCs w:val="24"/>
        </w:rPr>
        <w:t xml:space="preserve"> </w:t>
      </w:r>
      <w:r w:rsidRPr="00271ABD">
        <w:rPr>
          <w:rFonts w:ascii="Times New Roman" w:eastAsia="Times New Roman" w:hAnsi="Times New Roman" w:cs="Times New Roman"/>
          <w:color w:val="000000"/>
          <w:sz w:val="24"/>
          <w:szCs w:val="24"/>
        </w:rPr>
        <w:t>Using an independent sample t-test, the study finds no statistically significant difference in average weekend profits between the two groups (</w:t>
      </w:r>
      <w:proofErr w:type="gramStart"/>
      <w:r w:rsidRPr="00271ABD">
        <w:rPr>
          <w:rFonts w:ascii="Times New Roman" w:eastAsia="Times New Roman" w:hAnsi="Times New Roman" w:cs="Times New Roman"/>
          <w:color w:val="000000"/>
          <w:sz w:val="24"/>
          <w:szCs w:val="24"/>
        </w:rPr>
        <w:t>t(</w:t>
      </w:r>
      <w:proofErr w:type="gramEnd"/>
      <w:r w:rsidRPr="00271ABD">
        <w:rPr>
          <w:rFonts w:ascii="Times New Roman" w:eastAsia="Times New Roman" w:hAnsi="Times New Roman" w:cs="Times New Roman"/>
          <w:color w:val="000000"/>
          <w:sz w:val="24"/>
          <w:szCs w:val="24"/>
        </w:rPr>
        <w:t>18) = 1.50, p = 0.076), despite food vendors earning an average of ₱7,360 more than their non-food counterparts. The effect size (Cohen's d = 0.669) suggests a moderate practical difference, indicating that while the statistical significance is not confirmed, the earnings disparity may be meaningful in real-world contexts. Overall, the findings emphasize the differing product focuses of vendors and highlight the variability in food vendor profits compared to the stability observed among non-food vendors, contributing valuable insights into the operational dynamics of street vending in the local economy.</w:t>
      </w:r>
    </w:p>
    <w:p w14:paraId="675733C3" w14:textId="77777777" w:rsidR="00271ABD" w:rsidRPr="00BA797B" w:rsidRDefault="00271ABD" w:rsidP="00271ABD">
      <w:pPr>
        <w:spacing w:after="0" w:line="240" w:lineRule="auto"/>
        <w:jc w:val="both"/>
        <w:rPr>
          <w:rFonts w:ascii="Times New Roman" w:eastAsia="Times New Roman" w:hAnsi="Times New Roman" w:cs="Times New Roman"/>
          <w:i/>
          <w:sz w:val="24"/>
          <w:szCs w:val="24"/>
        </w:rPr>
      </w:pPr>
      <w:r w:rsidRPr="00271ABD">
        <w:rPr>
          <w:rFonts w:ascii="Times New Roman" w:eastAsia="Times New Roman" w:hAnsi="Times New Roman" w:cs="Times New Roman"/>
          <w:b/>
          <w:bCs/>
          <w:color w:val="000000"/>
          <w:sz w:val="24"/>
          <w:szCs w:val="24"/>
        </w:rPr>
        <w:t>Keywords</w:t>
      </w:r>
      <w:r w:rsidRPr="00BA797B">
        <w:rPr>
          <w:rFonts w:ascii="Times New Roman" w:eastAsia="Times New Roman" w:hAnsi="Times New Roman" w:cs="Times New Roman"/>
          <w:b/>
          <w:bCs/>
          <w:i/>
          <w:color w:val="000000"/>
          <w:sz w:val="24"/>
          <w:szCs w:val="24"/>
        </w:rPr>
        <w:t>:</w:t>
      </w:r>
      <w:r w:rsidR="00BA797B">
        <w:rPr>
          <w:rFonts w:ascii="Times New Roman" w:eastAsia="Times New Roman" w:hAnsi="Times New Roman" w:cs="Times New Roman"/>
          <w:i/>
          <w:color w:val="000000"/>
          <w:sz w:val="24"/>
          <w:szCs w:val="24"/>
        </w:rPr>
        <w:t xml:space="preserve"> </w:t>
      </w:r>
      <w:r w:rsidR="00BA797B" w:rsidRPr="00BA797B">
        <w:rPr>
          <w:rFonts w:ascii="Times New Roman" w:hAnsi="Times New Roman" w:cs="Times New Roman"/>
          <w:i/>
          <w:color w:val="000000"/>
          <w:sz w:val="24"/>
          <w:szCs w:val="24"/>
        </w:rPr>
        <w:t>Food vendors, Non-food vendors, Product types, Profitability factors</w:t>
      </w:r>
      <w:r w:rsidR="00BA797B">
        <w:rPr>
          <w:rFonts w:ascii="Times New Roman" w:hAnsi="Times New Roman" w:cs="Times New Roman"/>
          <w:i/>
          <w:color w:val="000000"/>
          <w:sz w:val="24"/>
          <w:szCs w:val="24"/>
        </w:rPr>
        <w:t xml:space="preserve">, </w:t>
      </w:r>
      <w:r w:rsidR="00BA797B" w:rsidRPr="00BA797B">
        <w:rPr>
          <w:rFonts w:ascii="Times New Roman" w:hAnsi="Times New Roman" w:cs="Times New Roman"/>
          <w:i/>
          <w:color w:val="000000"/>
          <w:sz w:val="24"/>
          <w:szCs w:val="24"/>
        </w:rPr>
        <w:t>T-test,</w:t>
      </w:r>
      <w:r w:rsidR="00BA797B">
        <w:rPr>
          <w:rFonts w:ascii="Times New Roman" w:hAnsi="Times New Roman" w:cs="Times New Roman"/>
          <w:i/>
          <w:color w:val="000000"/>
          <w:sz w:val="24"/>
          <w:szCs w:val="24"/>
        </w:rPr>
        <w:t xml:space="preserve"> </w:t>
      </w:r>
      <w:r w:rsidR="00BA797B" w:rsidRPr="00BA797B">
        <w:rPr>
          <w:rFonts w:ascii="Times New Roman" w:hAnsi="Times New Roman" w:cs="Times New Roman"/>
          <w:i/>
          <w:color w:val="000000"/>
          <w:sz w:val="24"/>
          <w:szCs w:val="24"/>
        </w:rPr>
        <w:t>Weekend net profi</w:t>
      </w:r>
      <w:r w:rsidR="00BA797B">
        <w:rPr>
          <w:rFonts w:ascii="Times New Roman" w:hAnsi="Times New Roman" w:cs="Times New Roman"/>
          <w:i/>
          <w:color w:val="000000"/>
          <w:sz w:val="24"/>
          <w:szCs w:val="24"/>
        </w:rPr>
        <w:t>t</w:t>
      </w:r>
    </w:p>
    <w:p w14:paraId="1769BE8C" w14:textId="77777777" w:rsidR="00271ABD" w:rsidRPr="00BA797B" w:rsidRDefault="00271ABD" w:rsidP="00271ABD">
      <w:pPr>
        <w:jc w:val="both"/>
        <w:rPr>
          <w:rFonts w:ascii="Times New Roman" w:hAnsi="Times New Roman" w:cs="Times New Roman"/>
          <w:i/>
          <w:sz w:val="24"/>
          <w:szCs w:val="24"/>
        </w:rPr>
      </w:pPr>
    </w:p>
    <w:p w14:paraId="3262BFE9" w14:textId="77777777" w:rsidR="00CF4149" w:rsidRDefault="00CF4149" w:rsidP="00271ABD">
      <w:pPr>
        <w:jc w:val="both"/>
        <w:rPr>
          <w:rFonts w:ascii="Times New Roman" w:hAnsi="Times New Roman" w:cs="Times New Roman"/>
          <w:b/>
          <w:sz w:val="24"/>
          <w:szCs w:val="24"/>
        </w:rPr>
      </w:pPr>
    </w:p>
    <w:p w14:paraId="4EBFBA41" w14:textId="751E9C65" w:rsidR="00271ABD" w:rsidRPr="00271ABD" w:rsidRDefault="00CE2FC7" w:rsidP="00271ABD">
      <w:pPr>
        <w:jc w:val="both"/>
        <w:rPr>
          <w:rFonts w:ascii="Times New Roman" w:hAnsi="Times New Roman" w:cs="Times New Roman"/>
          <w:b/>
          <w:sz w:val="24"/>
          <w:szCs w:val="24"/>
        </w:rPr>
      </w:pPr>
      <w:r>
        <w:rPr>
          <w:rFonts w:ascii="Times New Roman" w:hAnsi="Times New Roman" w:cs="Times New Roman"/>
          <w:b/>
          <w:sz w:val="24"/>
          <w:szCs w:val="24"/>
        </w:rPr>
        <w:t>INTRODUCTION</w:t>
      </w:r>
    </w:p>
    <w:p w14:paraId="2C592EB3"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Night markets have become a vital component of local economies in many Philippine cities, acting as hubs for small-scale entrepreneurs who offer a diverse range of products, including ready-to-eat food, clothing, accessories, and household items (</w:t>
      </w:r>
      <w:proofErr w:type="spellStart"/>
      <w:r w:rsidRPr="00271ABD">
        <w:rPr>
          <w:rFonts w:ascii="Times New Roman" w:eastAsia="Times New Roman" w:hAnsi="Times New Roman" w:cs="Times New Roman"/>
          <w:color w:val="000000"/>
          <w:sz w:val="24"/>
          <w:szCs w:val="24"/>
        </w:rPr>
        <w:t>Jornales</w:t>
      </w:r>
      <w:proofErr w:type="spellEnd"/>
      <w:r w:rsidRPr="00271ABD">
        <w:rPr>
          <w:rFonts w:ascii="Times New Roman" w:eastAsia="Times New Roman" w:hAnsi="Times New Roman" w:cs="Times New Roman"/>
          <w:color w:val="000000"/>
          <w:sz w:val="24"/>
          <w:szCs w:val="24"/>
        </w:rPr>
        <w:t xml:space="preserve"> et al., 2024). These markets provide essential livelihood opportunities for local vendors and significantly contribute to tourism and community development. In Iligan City, the night market functions as a dynamic center of economic activity, particularly during weekends when local residents and tourists gather to enjoy food and shopping (</w:t>
      </w:r>
      <w:proofErr w:type="spellStart"/>
      <w:r w:rsidRPr="00271ABD">
        <w:rPr>
          <w:rFonts w:ascii="Times New Roman" w:eastAsia="Times New Roman" w:hAnsi="Times New Roman" w:cs="Times New Roman"/>
          <w:color w:val="000000"/>
          <w:sz w:val="24"/>
          <w:szCs w:val="24"/>
        </w:rPr>
        <w:t>Candidato</w:t>
      </w:r>
      <w:proofErr w:type="spellEnd"/>
      <w:r w:rsidRPr="00271ABD">
        <w:rPr>
          <w:rFonts w:ascii="Times New Roman" w:eastAsia="Times New Roman" w:hAnsi="Times New Roman" w:cs="Times New Roman"/>
          <w:color w:val="000000"/>
          <w:sz w:val="24"/>
          <w:szCs w:val="24"/>
        </w:rPr>
        <w:t xml:space="preserve"> et al., 2023).</w:t>
      </w:r>
    </w:p>
    <w:p w14:paraId="74614FC2"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543DB14C"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Despite their popularity, vendors in night markets often encounter fluctuating profit levels due to various factors such as consumer demand, competition, product quality, marketing strategies, and promotional activities (Anwar &amp; Karno, 2024). Among the vendors, food and non-food sellers are the two primary groups that sustain the market's operations. Food vendors typically attract a larger customer base due to the essential and consumable nature of their products, while non-food vendors rely heavily on customer preferences and purchasing power for non-essential goods (</w:t>
      </w:r>
      <w:proofErr w:type="spellStart"/>
      <w:r w:rsidRPr="00271ABD">
        <w:rPr>
          <w:rFonts w:ascii="Times New Roman" w:eastAsia="Times New Roman" w:hAnsi="Times New Roman" w:cs="Times New Roman"/>
          <w:color w:val="000000"/>
          <w:sz w:val="24"/>
          <w:szCs w:val="24"/>
        </w:rPr>
        <w:t>Recchi</w:t>
      </w:r>
      <w:proofErr w:type="spellEnd"/>
      <w:r w:rsidRPr="00271ABD">
        <w:rPr>
          <w:rFonts w:ascii="Times New Roman" w:eastAsia="Times New Roman" w:hAnsi="Times New Roman" w:cs="Times New Roman"/>
          <w:color w:val="000000"/>
          <w:sz w:val="24"/>
          <w:szCs w:val="24"/>
        </w:rPr>
        <w:t xml:space="preserve">, 2021). Nonetheless, limited empirical data </w:t>
      </w:r>
      <w:r w:rsidRPr="00271ABD">
        <w:rPr>
          <w:rFonts w:ascii="Times New Roman" w:eastAsia="Times New Roman" w:hAnsi="Times New Roman" w:cs="Times New Roman"/>
          <w:color w:val="000000"/>
          <w:sz w:val="24"/>
          <w:szCs w:val="24"/>
        </w:rPr>
        <w:lastRenderedPageBreak/>
        <w:t>is comparing the average profits of these two groups, particularly during peak traffic periods like weekends (Adeosun et al., 2022).</w:t>
      </w:r>
    </w:p>
    <w:p w14:paraId="5DC79922" w14:textId="77777777" w:rsidR="00FF4E26" w:rsidRDefault="00FF4E26" w:rsidP="00271ABD">
      <w:pPr>
        <w:spacing w:after="0" w:line="240" w:lineRule="auto"/>
        <w:jc w:val="both"/>
        <w:rPr>
          <w:rFonts w:ascii="Times New Roman" w:eastAsia="Times New Roman" w:hAnsi="Times New Roman" w:cs="Times New Roman"/>
          <w:sz w:val="24"/>
          <w:szCs w:val="24"/>
        </w:rPr>
      </w:pPr>
    </w:p>
    <w:p w14:paraId="4D4A961A"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 xml:space="preserve">This study aims to compare the average </w:t>
      </w:r>
      <w:r w:rsidR="00D31787">
        <w:rPr>
          <w:rFonts w:ascii="Times New Roman" w:eastAsia="Times New Roman" w:hAnsi="Times New Roman" w:cs="Times New Roman"/>
          <w:color w:val="000000"/>
          <w:sz w:val="24"/>
          <w:szCs w:val="24"/>
        </w:rPr>
        <w:t xml:space="preserve">net </w:t>
      </w:r>
      <w:r w:rsidRPr="00271ABD">
        <w:rPr>
          <w:rFonts w:ascii="Times New Roman" w:eastAsia="Times New Roman" w:hAnsi="Times New Roman" w:cs="Times New Roman"/>
          <w:color w:val="000000"/>
          <w:sz w:val="24"/>
          <w:szCs w:val="24"/>
        </w:rPr>
        <w:t>profit of food and non-food vendors to uncover the differences in their income levels and identify the potential factors influencing their profitability. Such findings will provide valuable insights for aspiring entrepreneurs on product selection and guide market organizers in enhancing stall management, vendor support, and market operations (Giroux et al., 2021). By establishing which type of vending is more financially viable and sustainable in the Iligan Night Market context, the research adds to the existing literature on street vending in the Philippines and beyond, which often underscores the economic challenges these vendors face, including regulatory burdens and lack of access to infrastructure (Bara-</w:t>
      </w:r>
      <w:proofErr w:type="spellStart"/>
      <w:r w:rsidRPr="00271ABD">
        <w:rPr>
          <w:rFonts w:ascii="Times New Roman" w:eastAsia="Times New Roman" w:hAnsi="Times New Roman" w:cs="Times New Roman"/>
          <w:color w:val="000000"/>
          <w:sz w:val="24"/>
          <w:szCs w:val="24"/>
        </w:rPr>
        <w:t>Labitad</w:t>
      </w:r>
      <w:proofErr w:type="spellEnd"/>
      <w:r w:rsidRPr="00271ABD">
        <w:rPr>
          <w:rFonts w:ascii="Times New Roman" w:eastAsia="Times New Roman" w:hAnsi="Times New Roman" w:cs="Times New Roman"/>
          <w:color w:val="000000"/>
          <w:sz w:val="24"/>
          <w:szCs w:val="24"/>
        </w:rPr>
        <w:t xml:space="preserve">, 2025; </w:t>
      </w:r>
      <w:proofErr w:type="spellStart"/>
      <w:r w:rsidRPr="00271ABD">
        <w:rPr>
          <w:rFonts w:ascii="Times New Roman" w:eastAsia="Times New Roman" w:hAnsi="Times New Roman" w:cs="Times New Roman"/>
          <w:color w:val="000000"/>
          <w:sz w:val="24"/>
          <w:szCs w:val="24"/>
        </w:rPr>
        <w:t>Recchi</w:t>
      </w:r>
      <w:proofErr w:type="spellEnd"/>
      <w:r w:rsidRPr="00271ABD">
        <w:rPr>
          <w:rFonts w:ascii="Times New Roman" w:eastAsia="Times New Roman" w:hAnsi="Times New Roman" w:cs="Times New Roman"/>
          <w:color w:val="000000"/>
          <w:sz w:val="24"/>
          <w:szCs w:val="24"/>
        </w:rPr>
        <w:t>, 2021).</w:t>
      </w:r>
    </w:p>
    <w:p w14:paraId="416D3ABD"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16732F97"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 xml:space="preserve">Numerous studies emphasize the significance of street vendors in economic growth and community resilience, especially in the Global South. For instance, Azahar and Abu Rahim (2025) highlight the role of night markets in Malaysia as vital income sources and cultural hubs, while also pointing out ongoing challenges like inadequate infrastructure and public health concerns. Moreover, </w:t>
      </w:r>
      <w:proofErr w:type="spellStart"/>
      <w:r w:rsidRPr="00271ABD">
        <w:rPr>
          <w:rFonts w:ascii="Times New Roman" w:eastAsia="Times New Roman" w:hAnsi="Times New Roman" w:cs="Times New Roman"/>
          <w:color w:val="000000"/>
          <w:sz w:val="24"/>
          <w:szCs w:val="24"/>
        </w:rPr>
        <w:t>Salamandane</w:t>
      </w:r>
      <w:proofErr w:type="spellEnd"/>
      <w:r w:rsidRPr="00271ABD">
        <w:rPr>
          <w:rFonts w:ascii="Times New Roman" w:eastAsia="Times New Roman" w:hAnsi="Times New Roman" w:cs="Times New Roman"/>
          <w:color w:val="000000"/>
          <w:sz w:val="24"/>
          <w:szCs w:val="24"/>
        </w:rPr>
        <w:t xml:space="preserve"> et al. (2023) illustrate that many vendors, often women with low educational backgrounds, operate under unsafe sanitary conditions, increasing risks of foodborne illnesses (Verma et al., 2022). </w:t>
      </w:r>
    </w:p>
    <w:p w14:paraId="5BF57FE8"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7438CF21" w14:textId="77777777" w:rsidR="00271ABD" w:rsidRPr="00271ABD" w:rsidRDefault="00271ABD" w:rsidP="00CF4149">
      <w:pPr>
        <w:spacing w:after="0" w:line="240" w:lineRule="auto"/>
        <w:ind w:firstLine="720"/>
        <w:jc w:val="both"/>
        <w:rPr>
          <w:rFonts w:ascii="Times New Roman" w:eastAsia="Times New Roman" w:hAnsi="Times New Roman" w:cs="Times New Roman"/>
          <w:sz w:val="24"/>
          <w:szCs w:val="24"/>
        </w:rPr>
      </w:pPr>
      <w:r w:rsidRPr="00271ABD">
        <w:rPr>
          <w:rFonts w:ascii="Times New Roman" w:eastAsia="Times New Roman" w:hAnsi="Times New Roman" w:cs="Times New Roman"/>
          <w:color w:val="000000"/>
          <w:sz w:val="24"/>
          <w:szCs w:val="24"/>
        </w:rPr>
        <w:t>Research indicates that informal vendors frequently face systemic challenges such as burdensome regulations, lack of designated selling spaces, and inadequate financial support (</w:t>
      </w:r>
      <w:proofErr w:type="spellStart"/>
      <w:r w:rsidRPr="00271ABD">
        <w:rPr>
          <w:rFonts w:ascii="Times New Roman" w:eastAsia="Times New Roman" w:hAnsi="Times New Roman" w:cs="Times New Roman"/>
          <w:color w:val="000000"/>
          <w:sz w:val="24"/>
          <w:szCs w:val="24"/>
        </w:rPr>
        <w:t>Jornales</w:t>
      </w:r>
      <w:proofErr w:type="spellEnd"/>
      <w:r w:rsidRPr="00271ABD">
        <w:rPr>
          <w:rFonts w:ascii="Times New Roman" w:eastAsia="Times New Roman" w:hAnsi="Times New Roman" w:cs="Times New Roman"/>
          <w:color w:val="000000"/>
          <w:sz w:val="24"/>
          <w:szCs w:val="24"/>
        </w:rPr>
        <w:t xml:space="preserve"> et al., 2024; </w:t>
      </w:r>
      <w:proofErr w:type="spellStart"/>
      <w:r w:rsidRPr="00271ABD">
        <w:rPr>
          <w:rFonts w:ascii="Times New Roman" w:eastAsia="Times New Roman" w:hAnsi="Times New Roman" w:cs="Times New Roman"/>
          <w:color w:val="000000"/>
          <w:sz w:val="24"/>
          <w:szCs w:val="24"/>
        </w:rPr>
        <w:t>Mahopo</w:t>
      </w:r>
      <w:proofErr w:type="spellEnd"/>
      <w:r w:rsidRPr="00271ABD">
        <w:rPr>
          <w:rFonts w:ascii="Times New Roman" w:eastAsia="Times New Roman" w:hAnsi="Times New Roman" w:cs="Times New Roman"/>
          <w:color w:val="000000"/>
          <w:sz w:val="24"/>
          <w:szCs w:val="24"/>
        </w:rPr>
        <w:t xml:space="preserve"> et al., 2022). Furthermore, studies suggest that targeted interventions—such as the establishment of training programs and access to financial resources—are crucial in alleviating these issues (</w:t>
      </w:r>
      <w:proofErr w:type="spellStart"/>
      <w:r w:rsidRPr="00271ABD">
        <w:rPr>
          <w:rFonts w:ascii="Times New Roman" w:eastAsia="Times New Roman" w:hAnsi="Times New Roman" w:cs="Times New Roman"/>
          <w:color w:val="000000"/>
          <w:sz w:val="24"/>
          <w:szCs w:val="24"/>
        </w:rPr>
        <w:t>Candidato</w:t>
      </w:r>
      <w:proofErr w:type="spellEnd"/>
      <w:r w:rsidRPr="00271ABD">
        <w:rPr>
          <w:rFonts w:ascii="Times New Roman" w:eastAsia="Times New Roman" w:hAnsi="Times New Roman" w:cs="Times New Roman"/>
          <w:color w:val="000000"/>
          <w:sz w:val="24"/>
          <w:szCs w:val="24"/>
        </w:rPr>
        <w:t xml:space="preserve"> et al., 2023).</w:t>
      </w:r>
    </w:p>
    <w:p w14:paraId="426F1BC0" w14:textId="77777777" w:rsidR="00271ABD" w:rsidRPr="00271ABD" w:rsidRDefault="00271ABD" w:rsidP="00271ABD">
      <w:pPr>
        <w:spacing w:after="0" w:line="240" w:lineRule="auto"/>
        <w:rPr>
          <w:rFonts w:ascii="Times New Roman" w:eastAsia="Times New Roman" w:hAnsi="Times New Roman" w:cs="Times New Roman"/>
          <w:sz w:val="24"/>
          <w:szCs w:val="24"/>
        </w:rPr>
      </w:pPr>
    </w:p>
    <w:p w14:paraId="3B886AD8" w14:textId="2124EF6A" w:rsidR="0035103E" w:rsidRDefault="00CF4149" w:rsidP="00CF414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w:t>
      </w:r>
      <w:r w:rsidR="00271ABD" w:rsidRPr="00271ABD">
        <w:rPr>
          <w:rFonts w:ascii="Times New Roman" w:eastAsia="Times New Roman" w:hAnsi="Times New Roman" w:cs="Times New Roman"/>
          <w:color w:val="000000"/>
          <w:sz w:val="24"/>
          <w:szCs w:val="24"/>
        </w:rPr>
        <w:t>hile the existing literature provides a foundation for understanding the socioeconomic dynamics of food and non-food vending, notable gaps remain, particularly regarding comparative analyses of profits between these categories and income variations during peak market days (</w:t>
      </w:r>
      <w:proofErr w:type="spellStart"/>
      <w:r w:rsidR="00271ABD" w:rsidRPr="00271ABD">
        <w:rPr>
          <w:rFonts w:ascii="Times New Roman" w:eastAsia="Times New Roman" w:hAnsi="Times New Roman" w:cs="Times New Roman"/>
          <w:color w:val="000000"/>
          <w:sz w:val="24"/>
          <w:szCs w:val="24"/>
        </w:rPr>
        <w:t>Adundo</w:t>
      </w:r>
      <w:proofErr w:type="spellEnd"/>
      <w:r w:rsidR="00271ABD" w:rsidRPr="00271ABD">
        <w:rPr>
          <w:rFonts w:ascii="Times New Roman" w:eastAsia="Times New Roman" w:hAnsi="Times New Roman" w:cs="Times New Roman"/>
          <w:color w:val="000000"/>
          <w:sz w:val="24"/>
          <w:szCs w:val="24"/>
        </w:rPr>
        <w:t xml:space="preserve"> &amp; </w:t>
      </w:r>
      <w:proofErr w:type="spellStart"/>
      <w:r w:rsidR="00271ABD" w:rsidRPr="00271ABD">
        <w:rPr>
          <w:rFonts w:ascii="Times New Roman" w:eastAsia="Times New Roman" w:hAnsi="Times New Roman" w:cs="Times New Roman"/>
          <w:color w:val="000000"/>
          <w:sz w:val="24"/>
          <w:szCs w:val="24"/>
        </w:rPr>
        <w:t>Annys</w:t>
      </w:r>
      <w:proofErr w:type="spellEnd"/>
      <w:r w:rsidR="00271ABD" w:rsidRPr="00271ABD">
        <w:rPr>
          <w:rFonts w:ascii="Times New Roman" w:eastAsia="Times New Roman" w:hAnsi="Times New Roman" w:cs="Times New Roman"/>
          <w:color w:val="000000"/>
          <w:sz w:val="24"/>
          <w:szCs w:val="24"/>
        </w:rPr>
        <w:t>, 2025; Kakaza &amp; Naude, 2025). This study aims to fill these gaps, thereby contributing to a more nuanced understanding of the financial viability of vendors engaging in different types of merchandise.</w:t>
      </w:r>
    </w:p>
    <w:p w14:paraId="7B77AEFE" w14:textId="77777777" w:rsidR="00CE2FC7" w:rsidRPr="0035103E" w:rsidRDefault="00CE2FC7" w:rsidP="0035103E">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METHODS</w:t>
      </w:r>
    </w:p>
    <w:p w14:paraId="39812DE6" w14:textId="7150CAF0" w:rsidR="000827E7" w:rsidRPr="000827E7" w:rsidRDefault="000827E7" w:rsidP="00CF4149">
      <w:pPr>
        <w:pStyle w:val="NormalWeb"/>
        <w:ind w:firstLine="720"/>
        <w:jc w:val="both"/>
      </w:pPr>
      <w:r>
        <w:t xml:space="preserve">This </w:t>
      </w:r>
      <w:r w:rsidRPr="000827E7">
        <w:t xml:space="preserve">study employed a </w:t>
      </w:r>
      <w:r w:rsidRPr="000827E7">
        <w:rPr>
          <w:rStyle w:val="Strong"/>
          <w:b w:val="0"/>
        </w:rPr>
        <w:t>quantitative descriptive research design</w:t>
      </w:r>
      <w:r w:rsidRPr="000827E7">
        <w:t xml:space="preserve"> with the use of an </w:t>
      </w:r>
      <w:r w:rsidRPr="000827E7">
        <w:rPr>
          <w:rStyle w:val="Strong"/>
          <w:b w:val="0"/>
        </w:rPr>
        <w:t>independent t-test</w:t>
      </w:r>
      <w:r w:rsidRPr="000827E7">
        <w:rPr>
          <w:b/>
        </w:rPr>
        <w:t xml:space="preserve"> </w:t>
      </w:r>
      <w:r w:rsidR="00D31787">
        <w:t xml:space="preserve">to compare the average </w:t>
      </w:r>
      <w:r w:rsidRPr="000827E7">
        <w:t>net profits of food and non-food vendors at the Iligan Night Market. The descriptive approach was used to identify and analyze factors influencing vendors’ income, while the independent t-test allowed for a statistical comparison between the two groups. This design enabled the researchers to obtain measurable data and determine whether a significant difference exists in the profits of food and non-food vendors during weekends.</w:t>
      </w:r>
    </w:p>
    <w:p w14:paraId="2BCAB27D" w14:textId="77777777" w:rsidR="000827E7" w:rsidRPr="000827E7" w:rsidRDefault="000827E7" w:rsidP="00CF4149">
      <w:pPr>
        <w:pStyle w:val="NormalWeb"/>
        <w:ind w:firstLine="720"/>
        <w:jc w:val="both"/>
      </w:pPr>
      <w:r w:rsidRPr="000827E7">
        <w:t xml:space="preserve">The respondents of the study consisted of </w:t>
      </w:r>
      <w:r w:rsidRPr="000827E7">
        <w:rPr>
          <w:rStyle w:val="Strong"/>
          <w:b w:val="0"/>
        </w:rPr>
        <w:t>20 vendors</w:t>
      </w:r>
      <w:r w:rsidRPr="000827E7">
        <w:t>, composed of</w:t>
      </w:r>
      <w:r w:rsidRPr="000827E7">
        <w:rPr>
          <w:b/>
        </w:rPr>
        <w:t xml:space="preserve"> </w:t>
      </w:r>
      <w:r w:rsidRPr="000827E7">
        <w:rPr>
          <w:rStyle w:val="Strong"/>
          <w:b w:val="0"/>
        </w:rPr>
        <w:t>10 food vendors and 10</w:t>
      </w:r>
      <w:r w:rsidRPr="000827E7">
        <w:rPr>
          <w:rStyle w:val="Strong"/>
        </w:rPr>
        <w:t xml:space="preserve"> </w:t>
      </w:r>
      <w:r w:rsidRPr="000827E7">
        <w:rPr>
          <w:rStyle w:val="Strong"/>
          <w:b w:val="0"/>
        </w:rPr>
        <w:t>non-food vendors</w:t>
      </w:r>
      <w:r w:rsidRPr="000827E7">
        <w:t xml:space="preserve">, operating at the Iligan Night Market in Iligan City, Lanao del Norte. The participants were selected using </w:t>
      </w:r>
      <w:r w:rsidRPr="000827E7">
        <w:rPr>
          <w:rStyle w:val="Strong"/>
          <w:b w:val="0"/>
        </w:rPr>
        <w:t>stratified random sampling</w:t>
      </w:r>
      <w:r w:rsidRPr="000827E7">
        <w:t>, where vendors were grouped based on the type of products they sold. This sampling technique ensured equal representation of both food and non-food vendors, allowing for a fair and balanced co</w:t>
      </w:r>
      <w:r w:rsidR="00D31787">
        <w:t>mparison of their net profit</w:t>
      </w:r>
      <w:r w:rsidRPr="000827E7">
        <w:t>.</w:t>
      </w:r>
    </w:p>
    <w:p w14:paraId="1A2E2866" w14:textId="77777777" w:rsidR="000827E7" w:rsidRPr="000827E7" w:rsidRDefault="000827E7" w:rsidP="00CF4149">
      <w:pPr>
        <w:pStyle w:val="NormalWeb"/>
        <w:ind w:firstLine="720"/>
        <w:jc w:val="both"/>
      </w:pPr>
      <w:r w:rsidRPr="000827E7">
        <w:lastRenderedPageBreak/>
        <w:t xml:space="preserve">The research was conducted at the </w:t>
      </w:r>
      <w:r w:rsidRPr="00426B49">
        <w:rPr>
          <w:rStyle w:val="Strong"/>
          <w:b w:val="0"/>
        </w:rPr>
        <w:t>Public Plaza, Iligan City</w:t>
      </w:r>
      <w:r w:rsidRPr="000827E7">
        <w:t>, a known commercial area where the Iligan Night Market operates, particularly during weekends. This location was chosen because it hosts a large number of small-scale food and non-food vendors and attracts both local residents and visitors, making it an appropriate set</w:t>
      </w:r>
      <w:r w:rsidR="00D31787">
        <w:t>ting for examining vendor income</w:t>
      </w:r>
      <w:r w:rsidRPr="000827E7">
        <w:t xml:space="preserve"> and market dynamics.</w:t>
      </w:r>
    </w:p>
    <w:p w14:paraId="77D0935D" w14:textId="77777777" w:rsidR="000827E7" w:rsidRPr="000827E7" w:rsidRDefault="000827E7" w:rsidP="00CF4149">
      <w:pPr>
        <w:pStyle w:val="NormalWeb"/>
        <w:ind w:firstLine="720"/>
        <w:jc w:val="both"/>
      </w:pPr>
      <w:r w:rsidRPr="000827E7">
        <w:t xml:space="preserve">Data were collected using a </w:t>
      </w:r>
      <w:r w:rsidRPr="00426B49">
        <w:rPr>
          <w:rStyle w:val="Strong"/>
          <w:b w:val="0"/>
        </w:rPr>
        <w:t>structured survey questionnaire</w:t>
      </w:r>
      <w:r w:rsidRPr="000827E7">
        <w:t xml:space="preserve"> designed to gather quantitative information on the vendors’ average net profit. The questionnaire included items related to sales, expenses, and factors affecting income such as consumer demand, product quality, marketing strategies, and competition. Likert-scale questions were used to measure the level of influence of these factors, while short-answer questions allowed respondents to provide additional details. The instrument was validated by experts to ensure clarity, reliability, and accuracy before distribution.</w:t>
      </w:r>
    </w:p>
    <w:p w14:paraId="17B24D79" w14:textId="77777777" w:rsidR="000827E7" w:rsidRPr="000827E7" w:rsidRDefault="000827E7" w:rsidP="00CF4149">
      <w:pPr>
        <w:pStyle w:val="NormalWeb"/>
        <w:ind w:firstLine="720"/>
        <w:jc w:val="both"/>
      </w:pPr>
      <w:r w:rsidRPr="000827E7">
        <w:t>The data gathering procedure took place on weekends at the Iligan Night Market. Prior to data collection, permission was obtained from the vendors, and the purpose of the study was clearly explained. Respondents were assured of confidentiality and informed that their participation was voluntary and for academic purposes only. The questionnaires were distributed and retrieved personally by the researchers, with assistance provided when necessary to ensure correct responses. Collected data were organized, tabulated, and prepared for analysis.</w:t>
      </w:r>
    </w:p>
    <w:p w14:paraId="2E52EA02" w14:textId="77777777" w:rsidR="000827E7" w:rsidRDefault="000827E7" w:rsidP="00CF4149">
      <w:pPr>
        <w:pStyle w:val="NormalWeb"/>
        <w:ind w:firstLine="720"/>
        <w:jc w:val="both"/>
      </w:pPr>
      <w:r w:rsidRPr="000827E7">
        <w:t xml:space="preserve">For data analysis, </w:t>
      </w:r>
      <w:r w:rsidRPr="00426B49">
        <w:rPr>
          <w:rStyle w:val="Strong"/>
          <w:b w:val="0"/>
        </w:rPr>
        <w:t>descriptive statistics</w:t>
      </w:r>
      <w:r w:rsidRPr="00426B49">
        <w:rPr>
          <w:b/>
        </w:rPr>
        <w:t xml:space="preserve"> </w:t>
      </w:r>
      <w:r w:rsidRPr="000827E7">
        <w:t>were used to summarize and compare the characteristics and income patterns of food and non-food vendors</w:t>
      </w:r>
      <w:r w:rsidRPr="00426B49">
        <w:rPr>
          <w:b/>
        </w:rPr>
        <w:t xml:space="preserve">. </w:t>
      </w:r>
      <w:r w:rsidRPr="00426B49">
        <w:rPr>
          <w:rStyle w:val="Strong"/>
          <w:b w:val="0"/>
        </w:rPr>
        <w:t>Cronbach’s Alpha</w:t>
      </w:r>
      <w:r w:rsidRPr="000827E7">
        <w:t xml:space="preserve"> was applied to test the reliability of the research instrument. An </w:t>
      </w:r>
      <w:r w:rsidRPr="00426B49">
        <w:rPr>
          <w:rStyle w:val="Strong"/>
          <w:b w:val="0"/>
        </w:rPr>
        <w:t>independent t-test</w:t>
      </w:r>
      <w:r w:rsidRPr="000827E7">
        <w:t xml:space="preserve"> was then employed to determine whether there was a significant difference in the average net profit between the two groups of vendors. These statistical tools provided a clear and systematic analysis of the income differences and factors influencing vendor profitability in the Iligan Night Market</w:t>
      </w:r>
      <w:r>
        <w:t>.</w:t>
      </w:r>
    </w:p>
    <w:p w14:paraId="3DE81A68" w14:textId="77777777" w:rsidR="00CE2FC7" w:rsidRDefault="00CE2FC7" w:rsidP="00271ABD">
      <w:pPr>
        <w:jc w:val="both"/>
        <w:rPr>
          <w:rFonts w:ascii="Times New Roman" w:hAnsi="Times New Roman" w:cs="Times New Roman"/>
          <w:b/>
          <w:sz w:val="24"/>
          <w:szCs w:val="24"/>
        </w:rPr>
      </w:pPr>
    </w:p>
    <w:p w14:paraId="0C49CCCB" w14:textId="77777777" w:rsidR="0035103E" w:rsidRDefault="0035103E" w:rsidP="00613608">
      <w:pPr>
        <w:jc w:val="both"/>
        <w:rPr>
          <w:rFonts w:ascii="Times New Roman" w:hAnsi="Times New Roman" w:cs="Times New Roman"/>
          <w:b/>
          <w:sz w:val="24"/>
          <w:szCs w:val="24"/>
        </w:rPr>
      </w:pPr>
    </w:p>
    <w:p w14:paraId="06424664" w14:textId="77777777" w:rsidR="006D1315" w:rsidRPr="00613608" w:rsidRDefault="00426B49" w:rsidP="00613608">
      <w:pPr>
        <w:jc w:val="both"/>
        <w:rPr>
          <w:rFonts w:ascii="Times New Roman" w:hAnsi="Times New Roman" w:cs="Times New Roman"/>
          <w:b/>
          <w:sz w:val="24"/>
          <w:szCs w:val="24"/>
        </w:rPr>
      </w:pPr>
      <w:r>
        <w:rPr>
          <w:rFonts w:ascii="Times New Roman" w:hAnsi="Times New Roman" w:cs="Times New Roman"/>
          <w:b/>
          <w:sz w:val="24"/>
          <w:szCs w:val="24"/>
        </w:rPr>
        <w:t>RESULTS AND DISCUSSIONS</w:t>
      </w:r>
    </w:p>
    <w:p w14:paraId="3793181C" w14:textId="77777777" w:rsidR="006D1315" w:rsidRPr="00613608" w:rsidRDefault="006D1315" w:rsidP="00CF4149">
      <w:pPr>
        <w:pStyle w:val="NormalWeb"/>
        <w:ind w:firstLine="720"/>
        <w:jc w:val="both"/>
      </w:pPr>
      <w:r w:rsidRPr="00613608">
        <w:t>The results of the study present the characteristics of vendor product offerings, factors affecting weekend profits, and the comparison of net profits between food and non-food vendors in the night market.</w:t>
      </w:r>
    </w:p>
    <w:p w14:paraId="2110C357" w14:textId="77777777" w:rsidR="006D1315" w:rsidRPr="00613608" w:rsidRDefault="006D1315" w:rsidP="00CF4149">
      <w:pPr>
        <w:pStyle w:val="NormalWeb"/>
        <w:ind w:firstLine="720"/>
        <w:jc w:val="both"/>
      </w:pPr>
      <w:r w:rsidRPr="00613608">
        <w:t>The findings show that food vendors offer a variety of consumable products, with bread emerging as the most commonly sold item, accounting for 30% of the total offerings. Drinks, meals, and snacks each comprised 20%, indicating that these items are equally important in meeting regular consumer demand. Candy represented the smallest proportion at 10%, suggesting that sweets are not a major focus of food vendors. Overall, the results indicate that food vendors prioritize staple and frequently consumed items rather than non-essential goods. This pattern supports previous studies which emphasize that food vendors mainly provide everyday necessities rather than luxury items (Adeosun et al., 2022; Giroux et al., 2021).</w:t>
      </w:r>
    </w:p>
    <w:p w14:paraId="1B2299EE"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 xml:space="preserve">Table </w:t>
      </w:r>
      <w:r w:rsidRPr="00613608">
        <w:rPr>
          <w:rFonts w:ascii="Times New Roman" w:eastAsia="Times New Roman" w:hAnsi="Times New Roman" w:cs="Times New Roman"/>
          <w:b/>
          <w:bCs/>
          <w:color w:val="000000"/>
          <w:sz w:val="24"/>
          <w:szCs w:val="24"/>
        </w:rPr>
        <w:t xml:space="preserve">1: </w:t>
      </w:r>
      <w:r w:rsidRPr="00613608">
        <w:rPr>
          <w:rFonts w:ascii="Times New Roman" w:eastAsia="Times New Roman" w:hAnsi="Times New Roman" w:cs="Times New Roman"/>
          <w:i/>
          <w:iCs/>
          <w:color w:val="000000"/>
          <w:sz w:val="24"/>
          <w:szCs w:val="24"/>
        </w:rPr>
        <w:t>Type of product sold by food vendors</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2220"/>
        <w:gridCol w:w="4134"/>
        <w:gridCol w:w="2773"/>
      </w:tblGrid>
      <w:tr w:rsidR="00613608" w:rsidRPr="00613608" w14:paraId="3B4545A0" w14:textId="77777777" w:rsidTr="00613608">
        <w:trPr>
          <w:trHeight w:val="555"/>
        </w:trPr>
        <w:tc>
          <w:tcPr>
            <w:tcW w:w="2268"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977F137"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Products</w:t>
            </w:r>
          </w:p>
        </w:tc>
        <w:tc>
          <w:tcPr>
            <w:tcW w:w="4253"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96D95D6"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Frequency</w:t>
            </w:r>
          </w:p>
        </w:tc>
        <w:tc>
          <w:tcPr>
            <w:tcW w:w="283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6C19F7D3"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Percentage</w:t>
            </w:r>
          </w:p>
        </w:tc>
      </w:tr>
      <w:tr w:rsidR="00613608" w:rsidRPr="00613608" w14:paraId="4AF45412" w14:textId="77777777" w:rsidTr="00613608">
        <w:trPr>
          <w:trHeight w:val="471"/>
        </w:trPr>
        <w:tc>
          <w:tcPr>
            <w:tcW w:w="2268"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B8CDB39"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15C2FA38"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Bread</w:t>
            </w:r>
          </w:p>
        </w:tc>
        <w:tc>
          <w:tcPr>
            <w:tcW w:w="4253"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405E805"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1A2F211"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w:t>
            </w:r>
          </w:p>
        </w:tc>
        <w:tc>
          <w:tcPr>
            <w:tcW w:w="2835"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032D3F89"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9EB1793"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30%</w:t>
            </w:r>
          </w:p>
        </w:tc>
      </w:tr>
      <w:tr w:rsidR="00613608" w:rsidRPr="00613608" w14:paraId="3D0624E8" w14:textId="77777777" w:rsidTr="00613608">
        <w:tc>
          <w:tcPr>
            <w:tcW w:w="22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A4A161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Candy </w:t>
            </w:r>
          </w:p>
        </w:tc>
        <w:tc>
          <w:tcPr>
            <w:tcW w:w="42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73DA11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25975B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w:t>
            </w:r>
          </w:p>
        </w:tc>
      </w:tr>
      <w:tr w:rsidR="00613608" w:rsidRPr="00613608" w14:paraId="1DA9C6F4" w14:textId="77777777" w:rsidTr="00613608">
        <w:tc>
          <w:tcPr>
            <w:tcW w:w="22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FC2A4F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Drinks </w:t>
            </w:r>
          </w:p>
        </w:tc>
        <w:tc>
          <w:tcPr>
            <w:tcW w:w="42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93E4EB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65DF5C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5F7BE7E6" w14:textId="77777777" w:rsidTr="00613608">
        <w:tc>
          <w:tcPr>
            <w:tcW w:w="2268"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542505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Meals</w:t>
            </w:r>
          </w:p>
        </w:tc>
        <w:tc>
          <w:tcPr>
            <w:tcW w:w="4253"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0FE67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908BE5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0FCF1415" w14:textId="77777777" w:rsidTr="00613608">
        <w:trPr>
          <w:trHeight w:val="651"/>
        </w:trPr>
        <w:tc>
          <w:tcPr>
            <w:tcW w:w="2268"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F7C54F9"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Snacks</w:t>
            </w:r>
          </w:p>
        </w:tc>
        <w:tc>
          <w:tcPr>
            <w:tcW w:w="4253"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FD495F2"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29893550"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bl>
    <w:p w14:paraId="0465C3D3" w14:textId="77777777" w:rsidR="006D1315" w:rsidRDefault="006D1315" w:rsidP="00CF4149">
      <w:pPr>
        <w:pStyle w:val="NormalWeb"/>
        <w:ind w:firstLine="720"/>
        <w:jc w:val="both"/>
      </w:pPr>
      <w:r w:rsidRPr="00613608">
        <w:t>In contrast, non-food vendors exhibited a different product distribution. Clothing dominated non-food sales, accounting for 40% of the products sold, highlighting apparel as the primary focus of non-food vending activities. Crafts and footwear each represented 20%, indicating moderate demand for these items, while toys accounted for 10%. Beauty products were the least sold at only 1%. These findings suggest that non-food vendors primarily specialize in clothing, with other goods serving as secondary offerings. This trend aligns with existing literature which notes that non-food vending in developing economies often centers on apparel and crafts (</w:t>
      </w:r>
      <w:proofErr w:type="spellStart"/>
      <w:r w:rsidRPr="00613608">
        <w:t>Recchi</w:t>
      </w:r>
      <w:proofErr w:type="spellEnd"/>
      <w:r w:rsidRPr="00613608">
        <w:t xml:space="preserve">, 2021; </w:t>
      </w:r>
      <w:proofErr w:type="spellStart"/>
      <w:r w:rsidRPr="00613608">
        <w:t>Mahopo</w:t>
      </w:r>
      <w:proofErr w:type="spellEnd"/>
      <w:r w:rsidRPr="00613608">
        <w:t xml:space="preserve"> et al., 2022).</w:t>
      </w:r>
    </w:p>
    <w:p w14:paraId="4F1630C5"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2159DB79"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0F4565A3"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7458C5ED" w14:textId="77777777" w:rsidR="00FF4E26" w:rsidRDefault="00FF4E26" w:rsidP="00613608">
      <w:pPr>
        <w:spacing w:after="0" w:line="480" w:lineRule="auto"/>
        <w:jc w:val="both"/>
        <w:rPr>
          <w:rFonts w:ascii="Times New Roman" w:eastAsia="Times New Roman" w:hAnsi="Times New Roman" w:cs="Times New Roman"/>
          <w:b/>
          <w:bCs/>
          <w:color w:val="000000"/>
          <w:sz w:val="24"/>
          <w:szCs w:val="24"/>
        </w:rPr>
      </w:pPr>
    </w:p>
    <w:p w14:paraId="0CADF948"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2: </w:t>
      </w:r>
      <w:r w:rsidRPr="00613608">
        <w:rPr>
          <w:rFonts w:ascii="Times New Roman" w:eastAsia="Times New Roman" w:hAnsi="Times New Roman" w:cs="Times New Roman"/>
          <w:i/>
          <w:iCs/>
          <w:color w:val="000000"/>
          <w:sz w:val="24"/>
          <w:szCs w:val="24"/>
        </w:rPr>
        <w:t>Types of product sold by non-food vendors </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3038"/>
        <w:gridCol w:w="3316"/>
        <w:gridCol w:w="2773"/>
      </w:tblGrid>
      <w:tr w:rsidR="00613608" w:rsidRPr="00613608" w14:paraId="617759C2" w14:textId="77777777" w:rsidTr="00613608">
        <w:trPr>
          <w:trHeight w:val="645"/>
        </w:trPr>
        <w:tc>
          <w:tcPr>
            <w:tcW w:w="3119"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0940ED17"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Products </w:t>
            </w:r>
          </w:p>
        </w:tc>
        <w:tc>
          <w:tcPr>
            <w:tcW w:w="3402"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AD44C19"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Frequency </w:t>
            </w:r>
          </w:p>
        </w:tc>
        <w:tc>
          <w:tcPr>
            <w:tcW w:w="283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D780C29"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Percentage</w:t>
            </w:r>
            <w:r w:rsidRPr="00613608">
              <w:rPr>
                <w:rFonts w:ascii="Times New Roman" w:eastAsia="Times New Roman" w:hAnsi="Times New Roman" w:cs="Times New Roman"/>
                <w:b/>
                <w:bCs/>
                <w:color w:val="000000"/>
                <w:sz w:val="24"/>
                <w:szCs w:val="24"/>
              </w:rPr>
              <w:t> </w:t>
            </w:r>
          </w:p>
        </w:tc>
      </w:tr>
      <w:tr w:rsidR="00613608" w:rsidRPr="00613608" w14:paraId="57EEDAD4" w14:textId="77777777" w:rsidTr="00613608">
        <w:tc>
          <w:tcPr>
            <w:tcW w:w="3119"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3ABB51A7"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3F3835E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Beauty products</w:t>
            </w:r>
          </w:p>
        </w:tc>
        <w:tc>
          <w:tcPr>
            <w:tcW w:w="3402"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6A78CEA2"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379C166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c>
          <w:tcPr>
            <w:tcW w:w="2835"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A139F44"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5DD1E29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w:t>
            </w:r>
          </w:p>
        </w:tc>
      </w:tr>
      <w:tr w:rsidR="00613608" w:rsidRPr="00613608" w14:paraId="4342CEE6" w14:textId="77777777" w:rsidTr="00613608">
        <w:tc>
          <w:tcPr>
            <w:tcW w:w="31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14DC94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Clothes</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02FE04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4</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7BC70D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40%</w:t>
            </w:r>
          </w:p>
        </w:tc>
      </w:tr>
      <w:tr w:rsidR="00613608" w:rsidRPr="00613608" w14:paraId="1730D641" w14:textId="77777777" w:rsidTr="00613608">
        <w:tc>
          <w:tcPr>
            <w:tcW w:w="31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508326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Crafts </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682AC5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E1ADA2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39AA224B" w14:textId="77777777" w:rsidTr="00613608">
        <w:trPr>
          <w:trHeight w:val="471"/>
        </w:trPr>
        <w:tc>
          <w:tcPr>
            <w:tcW w:w="3119"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98304A"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Footwear</w:t>
            </w:r>
          </w:p>
        </w:tc>
        <w:tc>
          <w:tcPr>
            <w:tcW w:w="3402"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48154F6"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w:t>
            </w:r>
          </w:p>
        </w:tc>
        <w:tc>
          <w:tcPr>
            <w:tcW w:w="283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0A51F2E"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w:t>
            </w:r>
          </w:p>
        </w:tc>
      </w:tr>
      <w:tr w:rsidR="00613608" w:rsidRPr="00613608" w14:paraId="0A4926A8" w14:textId="77777777" w:rsidTr="00613608">
        <w:tc>
          <w:tcPr>
            <w:tcW w:w="3119"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EF27761"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Toy </w:t>
            </w:r>
          </w:p>
          <w:p w14:paraId="46DA9FCD" w14:textId="77777777" w:rsidR="00613608" w:rsidRPr="00613608" w:rsidRDefault="00613608" w:rsidP="00613608">
            <w:pPr>
              <w:spacing w:after="0" w:line="0" w:lineRule="atLeast"/>
              <w:rPr>
                <w:rFonts w:ascii="Times New Roman" w:eastAsia="Times New Roman" w:hAnsi="Times New Roman" w:cs="Times New Roman"/>
                <w:sz w:val="24"/>
                <w:szCs w:val="24"/>
              </w:rPr>
            </w:pPr>
          </w:p>
        </w:tc>
        <w:tc>
          <w:tcPr>
            <w:tcW w:w="3402"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4C3153F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lastRenderedPageBreak/>
              <w:t>1</w:t>
            </w:r>
          </w:p>
        </w:tc>
        <w:tc>
          <w:tcPr>
            <w:tcW w:w="2835"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1B6EF21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w:t>
            </w:r>
          </w:p>
        </w:tc>
      </w:tr>
    </w:tbl>
    <w:p w14:paraId="089F005F" w14:textId="77777777" w:rsidR="006D1315" w:rsidRPr="00613608" w:rsidRDefault="006D1315" w:rsidP="00CF4149">
      <w:pPr>
        <w:pStyle w:val="NormalWeb"/>
        <w:ind w:firstLine="720"/>
        <w:jc w:val="both"/>
      </w:pPr>
      <w:r w:rsidRPr="00613608">
        <w:lastRenderedPageBreak/>
        <w:t>Regarding the factors influencing weekend profits, food vendors strongly agreed that consumer demand, product quality, and marketing activities significantly affect their weekly net income. These factors all received high mean scores, indicating that vendors recognize their importance in sustaining sales and profitability. Competition was also acknowledged as a contributing factor, although to a slightly lesser extent. The consistency of responses and the high reliability score of the instrument suggest a shared understanding among food vendors regarding the drivers of profit. These findings are consistent with previous research emphasizing the role of demand and promotion in food vending success (Leite et al., 2020; Lustre, 2023).</w:t>
      </w:r>
    </w:p>
    <w:p w14:paraId="56DDFBC0"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3: </w:t>
      </w:r>
      <w:r w:rsidRPr="00613608">
        <w:rPr>
          <w:rFonts w:ascii="Times New Roman" w:eastAsia="Times New Roman" w:hAnsi="Times New Roman" w:cs="Times New Roman"/>
          <w:bCs/>
          <w:i/>
          <w:color w:val="000000"/>
          <w:sz w:val="24"/>
          <w:szCs w:val="24"/>
        </w:rPr>
        <w:t>Factors affecting the weekly net profit of food vendors</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6613"/>
        <w:gridCol w:w="787"/>
        <w:gridCol w:w="1727"/>
      </w:tblGrid>
      <w:tr w:rsidR="00613608" w:rsidRPr="00613608" w14:paraId="1DD81C2F" w14:textId="77777777" w:rsidTr="00613608">
        <w:tc>
          <w:tcPr>
            <w:tcW w:w="6946" w:type="dxa"/>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hideMark/>
          </w:tcPr>
          <w:p w14:paraId="1D0FDA4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Factors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5B45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Mean</w:t>
            </w:r>
          </w:p>
        </w:tc>
        <w:tc>
          <w:tcPr>
            <w:tcW w:w="0" w:type="auto"/>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hideMark/>
          </w:tcPr>
          <w:p w14:paraId="1B54C36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Interpretation </w:t>
            </w:r>
          </w:p>
        </w:tc>
      </w:tr>
      <w:tr w:rsidR="00613608" w:rsidRPr="00613608" w14:paraId="0C2D8D94" w14:textId="77777777" w:rsidTr="00613608">
        <w:tc>
          <w:tcPr>
            <w:tcW w:w="6946" w:type="dxa"/>
            <w:tcBorders>
              <w:top w:val="single" w:sz="8" w:space="0" w:color="000000"/>
              <w:left w:val="single" w:sz="8" w:space="0" w:color="FFFFFF"/>
              <w:bottom w:val="single" w:sz="8" w:space="0" w:color="FFFFFF"/>
              <w:right w:val="single" w:sz="8" w:space="0" w:color="000000"/>
            </w:tcBorders>
            <w:tcMar>
              <w:top w:w="100" w:type="dxa"/>
              <w:left w:w="100" w:type="dxa"/>
              <w:bottom w:w="100" w:type="dxa"/>
              <w:right w:w="100" w:type="dxa"/>
            </w:tcMar>
            <w:hideMark/>
          </w:tcPr>
          <w:p w14:paraId="06BDF68B"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1.Does consumer demand significantly affect my weekly profit?</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40A7E034"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350FD1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000000"/>
              <w:left w:val="single" w:sz="8" w:space="0" w:color="000000"/>
              <w:bottom w:val="single" w:sz="8" w:space="0" w:color="FFFFFF"/>
              <w:right w:val="single" w:sz="8" w:space="0" w:color="FFFFFF"/>
            </w:tcBorders>
            <w:tcMar>
              <w:top w:w="100" w:type="dxa"/>
              <w:left w:w="100" w:type="dxa"/>
              <w:bottom w:w="100" w:type="dxa"/>
              <w:right w:w="100" w:type="dxa"/>
            </w:tcMar>
            <w:hideMark/>
          </w:tcPr>
          <w:p w14:paraId="550A18CC"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F6621D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r w:rsidR="00613608" w:rsidRPr="00613608" w14:paraId="637AE5E4" w14:textId="77777777" w:rsidTr="00613608">
        <w:tc>
          <w:tcPr>
            <w:tcW w:w="6946"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4A9D111A"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2.Does the quality of my products influence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06A5DDFA"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44176E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7E7AF612"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4E3F0A4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r w:rsidR="00613608" w:rsidRPr="00613608" w14:paraId="4F69E7C7" w14:textId="77777777" w:rsidTr="00613608">
        <w:trPr>
          <w:trHeight w:val="1053"/>
        </w:trPr>
        <w:tc>
          <w:tcPr>
            <w:tcW w:w="6946"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7CD24553" w14:textId="77777777" w:rsidR="00613608" w:rsidRPr="00613608" w:rsidRDefault="00613608" w:rsidP="00613608">
            <w:pPr>
              <w:spacing w:after="0" w:line="240" w:lineRule="auto"/>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3.Competition with other vendors impacts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29BA77C4"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191625B"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2.9</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71773A30"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6002A78" w14:textId="77777777" w:rsidR="00613608" w:rsidRPr="00613608" w:rsidRDefault="00613608" w:rsidP="00613608">
            <w:pPr>
              <w:spacing w:after="0" w:line="240" w:lineRule="auto"/>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Agree</w:t>
            </w:r>
          </w:p>
        </w:tc>
      </w:tr>
      <w:tr w:rsidR="00613608" w:rsidRPr="00613608" w14:paraId="79571FD9" w14:textId="77777777" w:rsidTr="00613608">
        <w:tc>
          <w:tcPr>
            <w:tcW w:w="6946" w:type="dxa"/>
            <w:tcBorders>
              <w:top w:val="single" w:sz="8" w:space="0" w:color="FFFFFF"/>
              <w:left w:val="single" w:sz="8" w:space="0" w:color="FFFFFF"/>
              <w:bottom w:val="single" w:sz="8" w:space="0" w:color="000000"/>
              <w:right w:val="single" w:sz="8" w:space="0" w:color="000000"/>
            </w:tcBorders>
            <w:tcMar>
              <w:top w:w="100" w:type="dxa"/>
              <w:left w:w="100" w:type="dxa"/>
              <w:bottom w:w="100" w:type="dxa"/>
              <w:right w:w="100" w:type="dxa"/>
            </w:tcMar>
            <w:hideMark/>
          </w:tcPr>
          <w:p w14:paraId="2CEDA140"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4.Does marketing and promotional activities help increase the weekly profit?</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334FD391"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187427D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FFFFFF"/>
              <w:left w:val="single" w:sz="8" w:space="0" w:color="000000"/>
              <w:bottom w:val="single" w:sz="8" w:space="0" w:color="000000"/>
              <w:right w:val="single" w:sz="8" w:space="0" w:color="FFFFFF"/>
            </w:tcBorders>
            <w:tcMar>
              <w:top w:w="100" w:type="dxa"/>
              <w:left w:w="100" w:type="dxa"/>
              <w:bottom w:w="100" w:type="dxa"/>
              <w:right w:w="100" w:type="dxa"/>
            </w:tcMar>
            <w:hideMark/>
          </w:tcPr>
          <w:p w14:paraId="3B280AA3"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A2CF24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bl>
    <w:p w14:paraId="735541D0" w14:textId="77777777" w:rsidR="006D1315" w:rsidRPr="00613608" w:rsidRDefault="006D1315" w:rsidP="00CF4149">
      <w:pPr>
        <w:pStyle w:val="NormalWeb"/>
        <w:ind w:firstLine="720"/>
        <w:jc w:val="both"/>
      </w:pPr>
      <w:r w:rsidRPr="00613608">
        <w:t xml:space="preserve">Similarly, non-food vendors perceived consumer demand, product quality, competition, and marketing activities as important factors affecting their weekly net profits. All factors were rated as strongly influential; however, greater variability in responses—particularly regarding competition—was observed. This variability, coupled with the low reliability score, suggests differences in vendor experiences, possibly due to variations in product type, location, and market competition. Despite this limitation, the results still align with prior studies highlighting consumer demand and product quality as key determinants of vendor income (Anwar &amp; </w:t>
      </w:r>
      <w:proofErr w:type="spellStart"/>
      <w:r w:rsidRPr="00613608">
        <w:t>Karno</w:t>
      </w:r>
      <w:proofErr w:type="spellEnd"/>
      <w:r w:rsidRPr="00613608">
        <w:t xml:space="preserve">, 2024; </w:t>
      </w:r>
      <w:proofErr w:type="spellStart"/>
      <w:r w:rsidRPr="00613608">
        <w:t>Recchi</w:t>
      </w:r>
      <w:proofErr w:type="spellEnd"/>
      <w:r w:rsidRPr="00613608">
        <w:t>, 2021).</w:t>
      </w:r>
    </w:p>
    <w:p w14:paraId="28CAAF84" w14:textId="77777777" w:rsidR="00613608" w:rsidRPr="00613608" w:rsidRDefault="00613608" w:rsidP="0061360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 xml:space="preserve">4: </w:t>
      </w:r>
      <w:r w:rsidRPr="00613608">
        <w:rPr>
          <w:rFonts w:ascii="Times New Roman" w:eastAsia="Times New Roman" w:hAnsi="Times New Roman" w:cs="Times New Roman"/>
          <w:bCs/>
          <w:i/>
          <w:color w:val="000000"/>
          <w:sz w:val="24"/>
          <w:szCs w:val="24"/>
        </w:rPr>
        <w:t>Factors affecting the weekly net profit of non-food vendors</w:t>
      </w:r>
      <w:r w:rsidRPr="00613608">
        <w:rPr>
          <w:rFonts w:ascii="Times New Roman" w:eastAsia="Times New Roman" w:hAnsi="Times New Roman" w:cs="Times New Roman"/>
          <w:b/>
          <w:bCs/>
          <w:color w:val="000000"/>
          <w:sz w:val="24"/>
          <w:szCs w:val="24"/>
        </w:rPr>
        <w:t> </w:t>
      </w:r>
    </w:p>
    <w:tbl>
      <w:tblPr>
        <w:tblW w:w="0" w:type="auto"/>
        <w:tblInd w:w="100" w:type="dxa"/>
        <w:tblCellMar>
          <w:top w:w="15" w:type="dxa"/>
          <w:left w:w="15" w:type="dxa"/>
          <w:bottom w:w="15" w:type="dxa"/>
          <w:right w:w="15" w:type="dxa"/>
        </w:tblCellMar>
        <w:tblLook w:val="04A0" w:firstRow="1" w:lastRow="0" w:firstColumn="1" w:lastColumn="0" w:noHBand="0" w:noVBand="1"/>
      </w:tblPr>
      <w:tblGrid>
        <w:gridCol w:w="6613"/>
        <w:gridCol w:w="787"/>
        <w:gridCol w:w="1727"/>
      </w:tblGrid>
      <w:tr w:rsidR="00613608" w:rsidRPr="00613608" w14:paraId="2C0646C3" w14:textId="77777777" w:rsidTr="00613608">
        <w:tc>
          <w:tcPr>
            <w:tcW w:w="6940" w:type="dxa"/>
            <w:tcBorders>
              <w:top w:val="single" w:sz="8" w:space="0" w:color="000000"/>
              <w:left w:val="single" w:sz="8" w:space="0" w:color="FFFFFF"/>
              <w:bottom w:val="single" w:sz="8" w:space="0" w:color="000000"/>
              <w:right w:val="single" w:sz="8" w:space="0" w:color="000000"/>
            </w:tcBorders>
            <w:tcMar>
              <w:top w:w="100" w:type="dxa"/>
              <w:left w:w="100" w:type="dxa"/>
              <w:bottom w:w="100" w:type="dxa"/>
              <w:right w:w="100" w:type="dxa"/>
            </w:tcMar>
            <w:hideMark/>
          </w:tcPr>
          <w:p w14:paraId="02BC249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Factors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53D5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Mean</w:t>
            </w:r>
          </w:p>
        </w:tc>
        <w:tc>
          <w:tcPr>
            <w:tcW w:w="0" w:type="auto"/>
            <w:tcBorders>
              <w:top w:val="single" w:sz="8" w:space="0" w:color="000000"/>
              <w:left w:val="single" w:sz="8" w:space="0" w:color="000000"/>
              <w:bottom w:val="single" w:sz="8" w:space="0" w:color="000000"/>
              <w:right w:val="single" w:sz="8" w:space="0" w:color="FFFFFF"/>
            </w:tcBorders>
            <w:tcMar>
              <w:top w:w="100" w:type="dxa"/>
              <w:left w:w="100" w:type="dxa"/>
              <w:bottom w:w="100" w:type="dxa"/>
              <w:right w:w="100" w:type="dxa"/>
            </w:tcMar>
            <w:hideMark/>
          </w:tcPr>
          <w:p w14:paraId="3D9F86E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Interpretation</w:t>
            </w:r>
            <w:r w:rsidRPr="00613608">
              <w:rPr>
                <w:rFonts w:ascii="Times New Roman" w:eastAsia="Times New Roman" w:hAnsi="Times New Roman" w:cs="Times New Roman"/>
                <w:color w:val="000000"/>
                <w:sz w:val="24"/>
                <w:szCs w:val="24"/>
              </w:rPr>
              <w:t> </w:t>
            </w:r>
          </w:p>
        </w:tc>
      </w:tr>
      <w:tr w:rsidR="00613608" w:rsidRPr="00613608" w14:paraId="613A9B6A" w14:textId="77777777" w:rsidTr="00613608">
        <w:tc>
          <w:tcPr>
            <w:tcW w:w="6940" w:type="dxa"/>
            <w:tcBorders>
              <w:top w:val="single" w:sz="8" w:space="0" w:color="000000"/>
              <w:left w:val="single" w:sz="8" w:space="0" w:color="FFFFFF"/>
              <w:bottom w:val="single" w:sz="8" w:space="0" w:color="FFFFFF"/>
              <w:right w:val="single" w:sz="8" w:space="0" w:color="000000"/>
            </w:tcBorders>
            <w:tcMar>
              <w:top w:w="100" w:type="dxa"/>
              <w:left w:w="100" w:type="dxa"/>
              <w:bottom w:w="100" w:type="dxa"/>
              <w:right w:w="100" w:type="dxa"/>
            </w:tcMar>
            <w:hideMark/>
          </w:tcPr>
          <w:p w14:paraId="07D57A04"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1.Does consumer demand significantly affect my weekly profit?</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14:paraId="23B69065"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DCE3B3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000000"/>
              <w:left w:val="single" w:sz="8" w:space="0" w:color="000000"/>
              <w:bottom w:val="single" w:sz="8" w:space="0" w:color="FFFFFF"/>
              <w:right w:val="single" w:sz="8" w:space="0" w:color="FFFFFF"/>
            </w:tcBorders>
            <w:tcMar>
              <w:top w:w="100" w:type="dxa"/>
              <w:left w:w="100" w:type="dxa"/>
              <w:bottom w:w="100" w:type="dxa"/>
              <w:right w:w="100" w:type="dxa"/>
            </w:tcMar>
            <w:hideMark/>
          </w:tcPr>
          <w:p w14:paraId="5BC2CCF3"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5B3D7EE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w:t>
            </w:r>
          </w:p>
        </w:tc>
      </w:tr>
      <w:tr w:rsidR="00613608" w:rsidRPr="00613608" w14:paraId="0259C50C" w14:textId="77777777" w:rsidTr="00613608">
        <w:tc>
          <w:tcPr>
            <w:tcW w:w="6940"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20692B7E"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2.Does the quality of my products influence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7DB64F85"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56159DD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3.3</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1655637A"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64D60A6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 </w:t>
            </w:r>
          </w:p>
        </w:tc>
      </w:tr>
      <w:tr w:rsidR="00613608" w:rsidRPr="00613608" w14:paraId="0838012C" w14:textId="77777777" w:rsidTr="00613608">
        <w:tc>
          <w:tcPr>
            <w:tcW w:w="6940" w:type="dxa"/>
            <w:tcBorders>
              <w:top w:val="single" w:sz="8" w:space="0" w:color="FFFFFF"/>
              <w:left w:val="single" w:sz="8" w:space="0" w:color="FFFFFF"/>
              <w:bottom w:val="single" w:sz="8" w:space="0" w:color="FFFFFF"/>
              <w:right w:val="single" w:sz="8" w:space="0" w:color="000000"/>
            </w:tcBorders>
            <w:tcMar>
              <w:top w:w="100" w:type="dxa"/>
              <w:left w:w="100" w:type="dxa"/>
              <w:bottom w:w="100" w:type="dxa"/>
              <w:right w:w="100" w:type="dxa"/>
            </w:tcMar>
            <w:hideMark/>
          </w:tcPr>
          <w:p w14:paraId="48E9169B"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lastRenderedPageBreak/>
              <w:t>3.Competition with other vendors impacts my weekly profit?</w:t>
            </w:r>
          </w:p>
        </w:tc>
        <w:tc>
          <w:tcPr>
            <w:tcW w:w="0" w:type="auto"/>
            <w:tcBorders>
              <w:top w:val="single" w:sz="8" w:space="0" w:color="FFFFFF"/>
              <w:left w:val="single" w:sz="8" w:space="0" w:color="000000"/>
              <w:bottom w:val="single" w:sz="8" w:space="0" w:color="FFFFFF"/>
              <w:right w:val="single" w:sz="8" w:space="0" w:color="000000"/>
            </w:tcBorders>
            <w:tcMar>
              <w:top w:w="100" w:type="dxa"/>
              <w:left w:w="100" w:type="dxa"/>
              <w:bottom w:w="100" w:type="dxa"/>
              <w:right w:w="100" w:type="dxa"/>
            </w:tcMar>
            <w:hideMark/>
          </w:tcPr>
          <w:p w14:paraId="31150976"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0F18B37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3.2</w:t>
            </w:r>
          </w:p>
        </w:tc>
        <w:tc>
          <w:tcPr>
            <w:tcW w:w="0" w:type="auto"/>
            <w:tcBorders>
              <w:top w:val="single" w:sz="8" w:space="0" w:color="FFFFFF"/>
              <w:left w:val="single" w:sz="8" w:space="0" w:color="000000"/>
              <w:bottom w:val="single" w:sz="8" w:space="0" w:color="FFFFFF"/>
              <w:right w:val="single" w:sz="8" w:space="0" w:color="FFFFFF"/>
            </w:tcBorders>
            <w:tcMar>
              <w:top w:w="100" w:type="dxa"/>
              <w:left w:w="100" w:type="dxa"/>
              <w:bottom w:w="100" w:type="dxa"/>
              <w:right w:w="100" w:type="dxa"/>
            </w:tcMar>
            <w:hideMark/>
          </w:tcPr>
          <w:p w14:paraId="41AA57B1"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3EF2EB4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 </w:t>
            </w:r>
          </w:p>
        </w:tc>
      </w:tr>
      <w:tr w:rsidR="00613608" w:rsidRPr="00613608" w14:paraId="2C63AFBD" w14:textId="77777777" w:rsidTr="00613608">
        <w:tc>
          <w:tcPr>
            <w:tcW w:w="6940" w:type="dxa"/>
            <w:tcBorders>
              <w:top w:val="single" w:sz="8" w:space="0" w:color="FFFFFF"/>
              <w:left w:val="single" w:sz="8" w:space="0" w:color="FFFFFF"/>
              <w:bottom w:val="single" w:sz="8" w:space="0" w:color="000000"/>
              <w:right w:val="single" w:sz="8" w:space="0" w:color="000000"/>
            </w:tcBorders>
            <w:tcMar>
              <w:top w:w="100" w:type="dxa"/>
              <w:left w:w="100" w:type="dxa"/>
              <w:bottom w:w="100" w:type="dxa"/>
              <w:right w:w="100" w:type="dxa"/>
            </w:tcMar>
            <w:hideMark/>
          </w:tcPr>
          <w:p w14:paraId="67919F51" w14:textId="77777777" w:rsidR="00613608" w:rsidRPr="00613608" w:rsidRDefault="00613608" w:rsidP="00613608">
            <w:pPr>
              <w:spacing w:after="0" w:line="0" w:lineRule="atLeast"/>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4.Does marketing and promotional activities help increase the weekly profit?</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14:paraId="5899D851"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210C78D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3.2</w:t>
            </w:r>
          </w:p>
        </w:tc>
        <w:tc>
          <w:tcPr>
            <w:tcW w:w="0" w:type="auto"/>
            <w:tcBorders>
              <w:top w:val="single" w:sz="8" w:space="0" w:color="FFFFFF"/>
              <w:left w:val="single" w:sz="8" w:space="0" w:color="000000"/>
              <w:bottom w:val="single" w:sz="8" w:space="0" w:color="000000"/>
              <w:right w:val="single" w:sz="8" w:space="0" w:color="FFFFFF"/>
            </w:tcBorders>
            <w:tcMar>
              <w:top w:w="100" w:type="dxa"/>
              <w:left w:w="100" w:type="dxa"/>
              <w:bottom w:w="100" w:type="dxa"/>
              <w:right w:w="100" w:type="dxa"/>
            </w:tcMar>
            <w:hideMark/>
          </w:tcPr>
          <w:p w14:paraId="76857D2A" w14:textId="77777777" w:rsidR="00613608" w:rsidRPr="00613608" w:rsidRDefault="00613608" w:rsidP="00613608">
            <w:pPr>
              <w:spacing w:after="0" w:line="240" w:lineRule="auto"/>
              <w:rPr>
                <w:rFonts w:ascii="Times New Roman" w:eastAsia="Times New Roman" w:hAnsi="Times New Roman" w:cs="Times New Roman"/>
                <w:sz w:val="24"/>
                <w:szCs w:val="24"/>
              </w:rPr>
            </w:pPr>
          </w:p>
          <w:p w14:paraId="7A1FAE0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Strongly Agree </w:t>
            </w:r>
          </w:p>
        </w:tc>
      </w:tr>
    </w:tbl>
    <w:p w14:paraId="36509309" w14:textId="77777777" w:rsidR="00FF4E26" w:rsidRPr="00FF4E26" w:rsidRDefault="006D1315" w:rsidP="00CF4149">
      <w:pPr>
        <w:pStyle w:val="NormalWeb"/>
        <w:ind w:firstLine="720"/>
        <w:jc w:val="both"/>
      </w:pPr>
      <w:r w:rsidRPr="00613608">
        <w:t>The analysis of weekend net profits further revealed clear differences between food and non-food vendors. Food vendors recorded net profits ranging from ₱1,000 to ₱50,000, with an average net profit of ₱14,760. The wide range indicates high variability in earnings, suggesting that while some food vendors perform exceptionally well, others earn significantly less. This disparity may be attributed to differences in capital, product demand, and operational scale. These findings are consistent with earlier studies that reported wide income disparities among food vendors (</w:t>
      </w:r>
      <w:proofErr w:type="spellStart"/>
      <w:r w:rsidRPr="00613608">
        <w:t>Abitria</w:t>
      </w:r>
      <w:proofErr w:type="spellEnd"/>
      <w:r w:rsidRPr="00613608">
        <w:t>, 2024; Perez et al., 2020).</w:t>
      </w:r>
    </w:p>
    <w:p w14:paraId="4C259EC1" w14:textId="77777777" w:rsidR="00613608" w:rsidRPr="00613608" w:rsidRDefault="00613608" w:rsidP="00613608">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5</w:t>
      </w:r>
      <w:r>
        <w:rPr>
          <w:rFonts w:ascii="Times New Roman" w:eastAsia="Times New Roman" w:hAnsi="Times New Roman" w:cs="Times New Roman"/>
          <w:b/>
          <w:bCs/>
          <w:color w:val="000000"/>
          <w:sz w:val="24"/>
          <w:szCs w:val="24"/>
        </w:rPr>
        <w:t>:</w:t>
      </w:r>
      <w:r w:rsidRPr="00613608">
        <w:rPr>
          <w:rFonts w:ascii="Times New Roman" w:eastAsia="Times New Roman" w:hAnsi="Times New Roman" w:cs="Times New Roman"/>
          <w:b/>
          <w:bCs/>
          <w:color w:val="000000"/>
          <w:sz w:val="24"/>
          <w:szCs w:val="24"/>
        </w:rPr>
        <w:t xml:space="preserve"> </w:t>
      </w:r>
      <w:r w:rsidRPr="00613608">
        <w:rPr>
          <w:rFonts w:ascii="Times New Roman" w:eastAsia="Times New Roman" w:hAnsi="Times New Roman" w:cs="Times New Roman"/>
          <w:i/>
          <w:color w:val="000000"/>
          <w:sz w:val="24"/>
          <w:szCs w:val="24"/>
        </w:rPr>
        <w:t>Average Net Profit of Food Vendors</w:t>
      </w:r>
    </w:p>
    <w:tbl>
      <w:tblPr>
        <w:tblW w:w="9356" w:type="dxa"/>
        <w:tblInd w:w="100" w:type="dxa"/>
        <w:tblCellMar>
          <w:top w:w="15" w:type="dxa"/>
          <w:left w:w="15" w:type="dxa"/>
          <w:bottom w:w="15" w:type="dxa"/>
          <w:right w:w="15" w:type="dxa"/>
        </w:tblCellMar>
        <w:tblLook w:val="04A0" w:firstRow="1" w:lastRow="0" w:firstColumn="1" w:lastColumn="0" w:noHBand="0" w:noVBand="1"/>
      </w:tblPr>
      <w:tblGrid>
        <w:gridCol w:w="5111"/>
        <w:gridCol w:w="4245"/>
      </w:tblGrid>
      <w:tr w:rsidR="00613608" w:rsidRPr="00613608" w14:paraId="54DE8AB8" w14:textId="77777777" w:rsidTr="00613608">
        <w:tc>
          <w:tcPr>
            <w:tcW w:w="511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A482DD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Food Vendors </w:t>
            </w:r>
          </w:p>
        </w:tc>
        <w:tc>
          <w:tcPr>
            <w:tcW w:w="424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1E12DE1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Net profit </w:t>
            </w:r>
          </w:p>
        </w:tc>
      </w:tr>
      <w:tr w:rsidR="00613608" w:rsidRPr="00613608" w14:paraId="58485E8E" w14:textId="77777777" w:rsidTr="00613608">
        <w:tc>
          <w:tcPr>
            <w:tcW w:w="5111" w:type="dxa"/>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787C8C6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w:t>
            </w:r>
          </w:p>
        </w:tc>
        <w:tc>
          <w:tcPr>
            <w:tcW w:w="4245" w:type="dxa"/>
            <w:tcBorders>
              <w:top w:val="single" w:sz="8" w:space="0" w:color="000000"/>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5D24652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8,000</w:t>
            </w:r>
          </w:p>
        </w:tc>
      </w:tr>
      <w:tr w:rsidR="00613608" w:rsidRPr="00613608" w14:paraId="4F6AB9E6"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B6056E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9F3F77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w:t>
            </w:r>
          </w:p>
        </w:tc>
      </w:tr>
      <w:tr w:rsidR="00613608" w:rsidRPr="00613608" w14:paraId="41048AC0"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C6A829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2D2008F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67F33847"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64BC93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0473C25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50,000</w:t>
            </w:r>
          </w:p>
        </w:tc>
      </w:tr>
      <w:tr w:rsidR="00613608" w:rsidRPr="00613608" w14:paraId="7809BA54"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8C2F03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5</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986EB9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15,000</w:t>
            </w:r>
          </w:p>
        </w:tc>
      </w:tr>
      <w:tr w:rsidR="00613608" w:rsidRPr="00613608" w14:paraId="7DD5CBF8"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83E0F9E"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6</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FE9F7D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6,000</w:t>
            </w:r>
          </w:p>
        </w:tc>
      </w:tr>
      <w:tr w:rsidR="00613608" w:rsidRPr="00613608" w14:paraId="489CED58"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0DFED36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7</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0401802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5552470D"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74A18C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8</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00A5023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25,600</w:t>
            </w:r>
          </w:p>
        </w:tc>
      </w:tr>
      <w:tr w:rsidR="00613608" w:rsidRPr="00613608" w14:paraId="2270F965" w14:textId="77777777" w:rsidTr="00613608">
        <w:tc>
          <w:tcPr>
            <w:tcW w:w="5111"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507CA679"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9</w:t>
            </w:r>
          </w:p>
        </w:tc>
        <w:tc>
          <w:tcPr>
            <w:tcW w:w="424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590B52B6"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w:t>
            </w:r>
          </w:p>
        </w:tc>
      </w:tr>
      <w:tr w:rsidR="00613608" w:rsidRPr="00613608" w14:paraId="3180BF28" w14:textId="77777777" w:rsidTr="00613608">
        <w:tc>
          <w:tcPr>
            <w:tcW w:w="5111" w:type="dxa"/>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631C530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10</w:t>
            </w:r>
          </w:p>
        </w:tc>
        <w:tc>
          <w:tcPr>
            <w:tcW w:w="4245" w:type="dxa"/>
            <w:tcBorders>
              <w:top w:val="single" w:sz="8" w:space="0" w:color="FFFFFF"/>
              <w:left w:val="single" w:sz="8" w:space="0" w:color="FFFFFF"/>
              <w:bottom w:val="single" w:sz="8" w:space="0" w:color="000000"/>
              <w:right w:val="single" w:sz="8" w:space="0" w:color="FFFFFF"/>
            </w:tcBorders>
            <w:shd w:val="clear" w:color="auto" w:fill="FFFFFF"/>
            <w:tcMar>
              <w:top w:w="100" w:type="dxa"/>
              <w:left w:w="100" w:type="dxa"/>
              <w:bottom w:w="100" w:type="dxa"/>
              <w:right w:w="100" w:type="dxa"/>
            </w:tcMar>
            <w:vAlign w:val="bottom"/>
            <w:hideMark/>
          </w:tcPr>
          <w:p w14:paraId="50AA54B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20,000</w:t>
            </w:r>
          </w:p>
        </w:tc>
      </w:tr>
      <w:tr w:rsidR="00613608" w:rsidRPr="00613608" w14:paraId="19EC90FE" w14:textId="77777777" w:rsidTr="00613608">
        <w:tc>
          <w:tcPr>
            <w:tcW w:w="5111"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333230B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Average Net Profit</w:t>
            </w:r>
          </w:p>
        </w:tc>
        <w:tc>
          <w:tcPr>
            <w:tcW w:w="424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7844F8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14,760</w:t>
            </w:r>
          </w:p>
        </w:tc>
      </w:tr>
    </w:tbl>
    <w:p w14:paraId="2237C166" w14:textId="77777777" w:rsidR="006D1315" w:rsidRDefault="006D1315" w:rsidP="00CF4149">
      <w:pPr>
        <w:pStyle w:val="NormalWeb"/>
        <w:ind w:firstLine="720"/>
        <w:jc w:val="both"/>
      </w:pPr>
      <w:r w:rsidRPr="00613608">
        <w:t>In comparison, non-food vendors earned net profits ranging from ₱2,000 to ₱20,000, with an average net profit of ₱7,400. The narrower income range suggests more stable but lower earnings among non-food vendors. This stability may be due to fixed pricing and lower daily demand compared to food products. These findings support previous research indicating that non-food vendors typically earn less but experience more consistent income levels (Anwar &amp; Karno, 2024; Solidum, 2023).</w:t>
      </w:r>
    </w:p>
    <w:p w14:paraId="50033BFF" w14:textId="77777777" w:rsidR="00613608" w:rsidRPr="00613608" w:rsidRDefault="00613608" w:rsidP="00613608">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bCs/>
          <w:color w:val="000000"/>
          <w:sz w:val="24"/>
          <w:szCs w:val="24"/>
        </w:rPr>
        <w:t xml:space="preserve">Table </w:t>
      </w:r>
      <w:r w:rsidRPr="00613608">
        <w:rPr>
          <w:rFonts w:ascii="Times New Roman" w:eastAsia="Times New Roman" w:hAnsi="Times New Roman" w:cs="Times New Roman"/>
          <w:b/>
          <w:bCs/>
          <w:color w:val="000000"/>
          <w:sz w:val="24"/>
          <w:szCs w:val="24"/>
        </w:rPr>
        <w:t>6</w:t>
      </w:r>
      <w:r>
        <w:rPr>
          <w:rFonts w:ascii="Times New Roman" w:eastAsia="Times New Roman" w:hAnsi="Times New Roman" w:cs="Times New Roman"/>
          <w:b/>
          <w:bCs/>
          <w:color w:val="000000"/>
          <w:sz w:val="24"/>
          <w:szCs w:val="24"/>
        </w:rPr>
        <w:t>:</w:t>
      </w:r>
      <w:r w:rsidRPr="00613608">
        <w:rPr>
          <w:rFonts w:ascii="Times New Roman" w:eastAsia="Times New Roman" w:hAnsi="Times New Roman" w:cs="Times New Roman"/>
          <w:b/>
          <w:bCs/>
          <w:color w:val="000000"/>
          <w:sz w:val="24"/>
          <w:szCs w:val="24"/>
        </w:rPr>
        <w:t xml:space="preserve"> </w:t>
      </w:r>
      <w:r w:rsidRPr="00613608">
        <w:rPr>
          <w:rFonts w:ascii="Times New Roman" w:eastAsia="Times New Roman" w:hAnsi="Times New Roman" w:cs="Times New Roman"/>
          <w:i/>
          <w:color w:val="000000"/>
          <w:sz w:val="24"/>
          <w:szCs w:val="24"/>
        </w:rPr>
        <w:t>Average Net Profit of Non-Food Vendors</w:t>
      </w:r>
      <w:r w:rsidRPr="00613608">
        <w:rPr>
          <w:rFonts w:ascii="Times New Roman" w:eastAsia="Times New Roman" w:hAnsi="Times New Roman" w:cs="Times New Roman"/>
          <w:bCs/>
          <w:i/>
          <w:color w:val="000000"/>
          <w:sz w:val="24"/>
          <w:szCs w:val="24"/>
        </w:rPr>
        <w:t> </w:t>
      </w:r>
    </w:p>
    <w:tbl>
      <w:tblPr>
        <w:tblW w:w="9456" w:type="dxa"/>
        <w:tblCellMar>
          <w:top w:w="15" w:type="dxa"/>
          <w:left w:w="15" w:type="dxa"/>
          <w:bottom w:w="15" w:type="dxa"/>
          <w:right w:w="15" w:type="dxa"/>
        </w:tblCellMar>
        <w:tblLook w:val="04A0" w:firstRow="1" w:lastRow="0" w:firstColumn="1" w:lastColumn="0" w:noHBand="0" w:noVBand="1"/>
      </w:tblPr>
      <w:tblGrid>
        <w:gridCol w:w="5191"/>
        <w:gridCol w:w="4265"/>
      </w:tblGrid>
      <w:tr w:rsidR="00613608" w:rsidRPr="00613608" w14:paraId="2A671888" w14:textId="77777777" w:rsidTr="00D31787">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7218C9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lastRenderedPageBreak/>
              <w:t>Non-Food </w:t>
            </w:r>
          </w:p>
        </w:tc>
        <w:tc>
          <w:tcPr>
            <w:tcW w:w="426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4D1B465C"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Net Profit </w:t>
            </w:r>
          </w:p>
        </w:tc>
      </w:tr>
      <w:tr w:rsidR="00613608" w:rsidRPr="00613608" w14:paraId="4DD04D94" w14:textId="77777777" w:rsidTr="00D31787">
        <w:tc>
          <w:tcPr>
            <w:tcW w:w="0" w:type="auto"/>
            <w:tcBorders>
              <w:top w:val="single" w:sz="8" w:space="0" w:color="000000"/>
              <w:left w:val="single" w:sz="8" w:space="0" w:color="FFFFFF"/>
              <w:bottom w:val="single" w:sz="8" w:space="0" w:color="FFFFFF"/>
              <w:right w:val="single" w:sz="8" w:space="0" w:color="FFFFFF"/>
            </w:tcBorders>
            <w:tcMar>
              <w:top w:w="100" w:type="dxa"/>
              <w:left w:w="100" w:type="dxa"/>
              <w:bottom w:w="100" w:type="dxa"/>
              <w:right w:w="100" w:type="dxa"/>
            </w:tcMar>
            <w:hideMark/>
          </w:tcPr>
          <w:p w14:paraId="5024DC7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w:t>
            </w:r>
          </w:p>
        </w:tc>
        <w:tc>
          <w:tcPr>
            <w:tcW w:w="4265" w:type="dxa"/>
            <w:tcBorders>
              <w:top w:val="single" w:sz="8" w:space="0" w:color="000000"/>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312AB0E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w:t>
            </w:r>
          </w:p>
        </w:tc>
      </w:tr>
      <w:tr w:rsidR="00613608" w:rsidRPr="00613608" w14:paraId="0C95F6C6"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B3CF63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2</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CBD7DF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3,000</w:t>
            </w:r>
          </w:p>
        </w:tc>
      </w:tr>
      <w:tr w:rsidR="00613608" w:rsidRPr="00613608" w14:paraId="22A7D870"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7028CA97"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3</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67F0F9B1"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w:t>
            </w:r>
          </w:p>
        </w:tc>
      </w:tr>
      <w:tr w:rsidR="00613608" w:rsidRPr="00613608" w14:paraId="0FC24E3A"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1C271210"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4</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21ECAD5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11,000</w:t>
            </w:r>
          </w:p>
        </w:tc>
      </w:tr>
      <w:tr w:rsidR="00613608" w:rsidRPr="00613608" w14:paraId="7EA91F8E"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2C3FD153"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5</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274E3738"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71F1EC2B"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392C7DF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6</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AE9AF2B"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10,000</w:t>
            </w:r>
          </w:p>
        </w:tc>
      </w:tr>
      <w:tr w:rsidR="00613608" w:rsidRPr="00613608" w14:paraId="2111CCAA"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8FE2F0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7</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A5EC754"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3,000</w:t>
            </w:r>
          </w:p>
        </w:tc>
      </w:tr>
      <w:tr w:rsidR="00613608" w:rsidRPr="00613608" w14:paraId="5C4F2EFF"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42E5660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8</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758722CE"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20,000</w:t>
            </w:r>
          </w:p>
        </w:tc>
      </w:tr>
      <w:tr w:rsidR="00613608" w:rsidRPr="00613608" w14:paraId="37DB9784" w14:textId="77777777" w:rsidTr="00D31787">
        <w:tc>
          <w:tcPr>
            <w:tcW w:w="0" w:type="auto"/>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hideMark/>
          </w:tcPr>
          <w:p w14:paraId="64CAD7B5"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9</w:t>
            </w:r>
          </w:p>
        </w:tc>
        <w:tc>
          <w:tcPr>
            <w:tcW w:w="426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vAlign w:val="bottom"/>
            <w:hideMark/>
          </w:tcPr>
          <w:p w14:paraId="54C22A3F"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2,000</w:t>
            </w:r>
          </w:p>
        </w:tc>
      </w:tr>
      <w:tr w:rsidR="00613608" w:rsidRPr="00613608" w14:paraId="03A36883" w14:textId="77777777" w:rsidTr="00D31787">
        <w:tc>
          <w:tcPr>
            <w:tcW w:w="0" w:type="auto"/>
            <w:tcBorders>
              <w:top w:val="single" w:sz="8" w:space="0" w:color="FFFFFF"/>
              <w:left w:val="single" w:sz="8" w:space="0" w:color="FFFFFF"/>
              <w:bottom w:val="single" w:sz="8" w:space="0" w:color="000000"/>
              <w:right w:val="single" w:sz="8" w:space="0" w:color="FFFFFF"/>
            </w:tcBorders>
            <w:tcMar>
              <w:top w:w="100" w:type="dxa"/>
              <w:left w:w="100" w:type="dxa"/>
              <w:bottom w:w="100" w:type="dxa"/>
              <w:right w:w="100" w:type="dxa"/>
            </w:tcMar>
            <w:hideMark/>
          </w:tcPr>
          <w:p w14:paraId="7E507A9E"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10</w:t>
            </w:r>
          </w:p>
        </w:tc>
        <w:tc>
          <w:tcPr>
            <w:tcW w:w="4265" w:type="dxa"/>
            <w:tcBorders>
              <w:top w:val="single" w:sz="8" w:space="0" w:color="FFFFFF"/>
              <w:left w:val="single" w:sz="8" w:space="0" w:color="FFFFFF"/>
              <w:bottom w:val="single" w:sz="8" w:space="0" w:color="000000"/>
              <w:right w:val="single" w:sz="8" w:space="0" w:color="FFFFFF"/>
            </w:tcBorders>
            <w:shd w:val="clear" w:color="auto" w:fill="FFFFFF"/>
            <w:tcMar>
              <w:top w:w="100" w:type="dxa"/>
              <w:left w:w="100" w:type="dxa"/>
              <w:bottom w:w="100" w:type="dxa"/>
              <w:right w:w="100" w:type="dxa"/>
            </w:tcMar>
            <w:vAlign w:val="bottom"/>
            <w:hideMark/>
          </w:tcPr>
          <w:p w14:paraId="707CED2A"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color w:val="000000"/>
                <w:sz w:val="24"/>
                <w:szCs w:val="24"/>
              </w:rPr>
              <w:t>5,000</w:t>
            </w:r>
          </w:p>
        </w:tc>
      </w:tr>
      <w:tr w:rsidR="00613608" w:rsidRPr="00613608" w14:paraId="047BB6C0" w14:textId="77777777" w:rsidTr="00D31787">
        <w:tc>
          <w:tcPr>
            <w:tcW w:w="0" w:type="auto"/>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2EED0DA2"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Average Net Profit</w:t>
            </w:r>
          </w:p>
        </w:tc>
        <w:tc>
          <w:tcPr>
            <w:tcW w:w="4265" w:type="dxa"/>
            <w:tcBorders>
              <w:top w:val="single" w:sz="8" w:space="0" w:color="000000"/>
              <w:left w:val="single" w:sz="8" w:space="0" w:color="FFFFFF"/>
              <w:bottom w:val="single" w:sz="8" w:space="0" w:color="000000"/>
              <w:right w:val="single" w:sz="8" w:space="0" w:color="FFFFFF"/>
            </w:tcBorders>
            <w:tcMar>
              <w:top w:w="100" w:type="dxa"/>
              <w:left w:w="100" w:type="dxa"/>
              <w:bottom w:w="100" w:type="dxa"/>
              <w:right w:w="100" w:type="dxa"/>
            </w:tcMar>
            <w:hideMark/>
          </w:tcPr>
          <w:p w14:paraId="5730C17D" w14:textId="77777777" w:rsidR="00613608" w:rsidRPr="00613608" w:rsidRDefault="00613608" w:rsidP="00613608">
            <w:pPr>
              <w:spacing w:after="0" w:line="0" w:lineRule="atLeast"/>
              <w:jc w:val="center"/>
              <w:rPr>
                <w:rFonts w:ascii="Times New Roman" w:eastAsia="Times New Roman" w:hAnsi="Times New Roman" w:cs="Times New Roman"/>
                <w:sz w:val="24"/>
                <w:szCs w:val="24"/>
              </w:rPr>
            </w:pPr>
            <w:r w:rsidRPr="00613608">
              <w:rPr>
                <w:rFonts w:ascii="Times New Roman" w:eastAsia="Times New Roman" w:hAnsi="Times New Roman" w:cs="Times New Roman"/>
                <w:b/>
                <w:bCs/>
                <w:color w:val="000000"/>
                <w:sz w:val="24"/>
                <w:szCs w:val="24"/>
              </w:rPr>
              <w:t>7,400</w:t>
            </w:r>
          </w:p>
        </w:tc>
      </w:tr>
    </w:tbl>
    <w:p w14:paraId="639B0374" w14:textId="77777777" w:rsidR="00D31787" w:rsidRPr="00D31787" w:rsidRDefault="006D1315" w:rsidP="00CF4149">
      <w:pPr>
        <w:pStyle w:val="NormalWeb"/>
        <w:ind w:firstLine="720"/>
        <w:jc w:val="both"/>
      </w:pPr>
      <w:r w:rsidRPr="00613608">
        <w:t>To determine whether the difference in weekend net profits between food and non-food vendors was statistically significant, an independent samples t-test was conducted. The results showed that although food vendors earned a higher mean profit than non-food vendors, the difference was not statistically significant (t = 1.50, p = 0.076). Since the p-value exceeded the 0.05 significance level, the hypothesis that food vendors earn significantly more than non-food vendors was not supported. However, the effect size indicated a moderate to large practical difference, suggesting that the observed income gap may still be meaningful in real-world terms, despite the lack of statistical significance. This outcome may be influenced by the small sample size and high variability among food vendors.</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918"/>
        <w:gridCol w:w="1178"/>
        <w:gridCol w:w="1014"/>
        <w:gridCol w:w="660"/>
        <w:gridCol w:w="780"/>
        <w:gridCol w:w="1427"/>
        <w:gridCol w:w="1356"/>
        <w:gridCol w:w="1067"/>
        <w:gridCol w:w="956"/>
      </w:tblGrid>
      <w:tr w:rsidR="00D31787" w:rsidRPr="00D31787" w14:paraId="57A7F8A7" w14:textId="77777777" w:rsidTr="00D31787">
        <w:trPr>
          <w:trHeight w:val="375"/>
        </w:trPr>
        <w:tc>
          <w:tcPr>
            <w:tcW w:w="9356" w:type="dxa"/>
            <w:gridSpan w:val="9"/>
            <w:tcBorders>
              <w:bottom w:val="single" w:sz="6" w:space="0" w:color="333333"/>
            </w:tcBorders>
            <w:tcMar>
              <w:top w:w="60" w:type="dxa"/>
              <w:left w:w="0" w:type="dxa"/>
              <w:bottom w:w="60" w:type="dxa"/>
              <w:right w:w="120" w:type="dxa"/>
            </w:tcMar>
            <w:vAlign w:val="center"/>
            <w:hideMark/>
          </w:tcPr>
          <w:p w14:paraId="4CE065A3" w14:textId="77777777" w:rsidR="00D31787" w:rsidRPr="00D31787" w:rsidRDefault="00D31787" w:rsidP="00D317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Table 7: </w:t>
            </w:r>
            <w:r w:rsidRPr="00D31787">
              <w:rPr>
                <w:rFonts w:ascii="Times New Roman" w:eastAsia="Times New Roman" w:hAnsi="Times New Roman" w:cs="Times New Roman"/>
                <w:i/>
                <w:color w:val="000000"/>
                <w:sz w:val="24"/>
                <w:szCs w:val="24"/>
              </w:rPr>
              <w:t>Independent Samples T-Test</w:t>
            </w:r>
          </w:p>
        </w:tc>
      </w:tr>
      <w:tr w:rsidR="00D31787" w:rsidRPr="00D31787" w14:paraId="0D4E5D9D" w14:textId="77777777" w:rsidTr="00D31787">
        <w:trPr>
          <w:trHeight w:val="615"/>
        </w:trPr>
        <w:tc>
          <w:tcPr>
            <w:tcW w:w="918" w:type="dxa"/>
            <w:tcBorders>
              <w:top w:val="single" w:sz="6" w:space="0" w:color="333333"/>
              <w:bottom w:val="single" w:sz="6" w:space="0" w:color="333333"/>
            </w:tcBorders>
            <w:tcMar>
              <w:top w:w="60" w:type="dxa"/>
              <w:left w:w="120" w:type="dxa"/>
              <w:bottom w:w="60" w:type="dxa"/>
              <w:right w:w="120" w:type="dxa"/>
            </w:tcMar>
            <w:vAlign w:val="center"/>
            <w:hideMark/>
          </w:tcPr>
          <w:p w14:paraId="61FB01B9" w14:textId="77777777" w:rsidR="00D31787" w:rsidRPr="00D31787" w:rsidRDefault="00D31787" w:rsidP="00D31787">
            <w:pPr>
              <w:spacing w:after="0" w:line="240" w:lineRule="auto"/>
              <w:jc w:val="center"/>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w:t>
            </w:r>
          </w:p>
        </w:tc>
        <w:tc>
          <w:tcPr>
            <w:tcW w:w="1178" w:type="dxa"/>
            <w:tcBorders>
              <w:top w:val="single" w:sz="6" w:space="0" w:color="333333"/>
              <w:bottom w:val="single" w:sz="6" w:space="0" w:color="333333"/>
            </w:tcBorders>
            <w:tcMar>
              <w:top w:w="60" w:type="dxa"/>
              <w:left w:w="120" w:type="dxa"/>
              <w:bottom w:w="60" w:type="dxa"/>
              <w:right w:w="120" w:type="dxa"/>
            </w:tcMar>
            <w:vAlign w:val="center"/>
            <w:hideMark/>
          </w:tcPr>
          <w:p w14:paraId="757DF4FD"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w:t>
            </w:r>
          </w:p>
        </w:tc>
        <w:tc>
          <w:tcPr>
            <w:tcW w:w="1014" w:type="dxa"/>
            <w:tcBorders>
              <w:top w:val="single" w:sz="6" w:space="0" w:color="333333"/>
              <w:bottom w:val="single" w:sz="6" w:space="0" w:color="333333"/>
            </w:tcBorders>
            <w:tcMar>
              <w:top w:w="60" w:type="dxa"/>
              <w:left w:w="120" w:type="dxa"/>
              <w:bottom w:w="60" w:type="dxa"/>
              <w:right w:w="120" w:type="dxa"/>
            </w:tcMar>
            <w:vAlign w:val="center"/>
            <w:hideMark/>
          </w:tcPr>
          <w:p w14:paraId="7C2C857E"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Statistic</w:t>
            </w:r>
          </w:p>
        </w:tc>
        <w:tc>
          <w:tcPr>
            <w:tcW w:w="660" w:type="dxa"/>
            <w:tcBorders>
              <w:top w:val="single" w:sz="6" w:space="0" w:color="333333"/>
              <w:bottom w:val="single" w:sz="6" w:space="0" w:color="333333"/>
            </w:tcBorders>
            <w:tcMar>
              <w:top w:w="60" w:type="dxa"/>
              <w:left w:w="120" w:type="dxa"/>
              <w:bottom w:w="60" w:type="dxa"/>
              <w:right w:w="120" w:type="dxa"/>
            </w:tcMar>
            <w:vAlign w:val="center"/>
            <w:hideMark/>
          </w:tcPr>
          <w:p w14:paraId="530A2F14"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xml:space="preserve"> df</w:t>
            </w:r>
          </w:p>
        </w:tc>
        <w:tc>
          <w:tcPr>
            <w:tcW w:w="780" w:type="dxa"/>
            <w:tcBorders>
              <w:top w:val="single" w:sz="6" w:space="0" w:color="333333"/>
              <w:bottom w:val="single" w:sz="6" w:space="0" w:color="333333"/>
            </w:tcBorders>
            <w:tcMar>
              <w:top w:w="60" w:type="dxa"/>
              <w:left w:w="120" w:type="dxa"/>
              <w:bottom w:w="60" w:type="dxa"/>
              <w:right w:w="120" w:type="dxa"/>
            </w:tcMar>
            <w:vAlign w:val="center"/>
            <w:hideMark/>
          </w:tcPr>
          <w:p w14:paraId="48BCF94B"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xml:space="preserve">   p</w:t>
            </w:r>
          </w:p>
        </w:tc>
        <w:tc>
          <w:tcPr>
            <w:tcW w:w="1427" w:type="dxa"/>
            <w:tcBorders>
              <w:top w:val="single" w:sz="6" w:space="0" w:color="333333"/>
              <w:bottom w:val="single" w:sz="6" w:space="0" w:color="333333"/>
            </w:tcBorders>
            <w:tcMar>
              <w:top w:w="60" w:type="dxa"/>
              <w:left w:w="120" w:type="dxa"/>
              <w:bottom w:w="60" w:type="dxa"/>
              <w:right w:w="120" w:type="dxa"/>
            </w:tcMar>
            <w:vAlign w:val="center"/>
            <w:hideMark/>
          </w:tcPr>
          <w:p w14:paraId="14B482B9"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Mean difference</w:t>
            </w:r>
          </w:p>
        </w:tc>
        <w:tc>
          <w:tcPr>
            <w:tcW w:w="1356" w:type="dxa"/>
            <w:tcBorders>
              <w:top w:val="single" w:sz="6" w:space="0" w:color="333333"/>
              <w:bottom w:val="single" w:sz="6" w:space="0" w:color="333333"/>
            </w:tcBorders>
            <w:tcMar>
              <w:top w:w="60" w:type="dxa"/>
              <w:left w:w="120" w:type="dxa"/>
              <w:bottom w:w="60" w:type="dxa"/>
              <w:right w:w="120" w:type="dxa"/>
            </w:tcMar>
            <w:vAlign w:val="center"/>
            <w:hideMark/>
          </w:tcPr>
          <w:p w14:paraId="6C07A9D4"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SE difference</w:t>
            </w:r>
          </w:p>
        </w:tc>
        <w:tc>
          <w:tcPr>
            <w:tcW w:w="1067" w:type="dxa"/>
            <w:tcBorders>
              <w:top w:val="single" w:sz="6" w:space="0" w:color="333333"/>
              <w:bottom w:val="single" w:sz="6" w:space="0" w:color="333333"/>
            </w:tcBorders>
            <w:tcMar>
              <w:top w:w="60" w:type="dxa"/>
              <w:left w:w="120" w:type="dxa"/>
              <w:bottom w:w="60" w:type="dxa"/>
              <w:right w:w="120" w:type="dxa"/>
            </w:tcMar>
            <w:vAlign w:val="center"/>
            <w:hideMark/>
          </w:tcPr>
          <w:p w14:paraId="7D0B13D0"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w:t>
            </w:r>
          </w:p>
        </w:tc>
        <w:tc>
          <w:tcPr>
            <w:tcW w:w="956" w:type="dxa"/>
            <w:tcBorders>
              <w:top w:val="single" w:sz="6" w:space="0" w:color="333333"/>
              <w:bottom w:val="single" w:sz="6" w:space="0" w:color="333333"/>
            </w:tcBorders>
            <w:tcMar>
              <w:top w:w="60" w:type="dxa"/>
              <w:left w:w="120" w:type="dxa"/>
              <w:bottom w:w="60" w:type="dxa"/>
              <w:right w:w="120" w:type="dxa"/>
            </w:tcMar>
            <w:vAlign w:val="center"/>
            <w:hideMark/>
          </w:tcPr>
          <w:p w14:paraId="2D03FEAF"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Effect Size</w:t>
            </w:r>
          </w:p>
        </w:tc>
      </w:tr>
      <w:tr w:rsidR="00D31787" w:rsidRPr="00D31787" w14:paraId="20D10DA9" w14:textId="77777777" w:rsidTr="00D31787">
        <w:trPr>
          <w:trHeight w:val="1020"/>
        </w:trPr>
        <w:tc>
          <w:tcPr>
            <w:tcW w:w="918" w:type="dxa"/>
            <w:tcBorders>
              <w:top w:val="single" w:sz="6" w:space="0" w:color="333333"/>
              <w:bottom w:val="single" w:sz="12" w:space="0" w:color="333333"/>
            </w:tcBorders>
            <w:tcMar>
              <w:top w:w="120" w:type="dxa"/>
              <w:left w:w="120" w:type="dxa"/>
              <w:bottom w:w="120" w:type="dxa"/>
              <w:right w:w="120" w:type="dxa"/>
            </w:tcMar>
            <w:hideMark/>
          </w:tcPr>
          <w:p w14:paraId="126A01F1" w14:textId="77777777" w:rsidR="00D31787" w:rsidRPr="00D31787" w:rsidRDefault="00D31787" w:rsidP="00D31787">
            <w:pPr>
              <w:spacing w:after="0" w:line="240" w:lineRule="auto"/>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Net profit</w:t>
            </w:r>
          </w:p>
        </w:tc>
        <w:tc>
          <w:tcPr>
            <w:tcW w:w="1178" w:type="dxa"/>
            <w:tcBorders>
              <w:top w:val="single" w:sz="6" w:space="0" w:color="333333"/>
              <w:bottom w:val="single" w:sz="12" w:space="0" w:color="333333"/>
            </w:tcBorders>
            <w:tcMar>
              <w:top w:w="120" w:type="dxa"/>
              <w:left w:w="120" w:type="dxa"/>
              <w:bottom w:w="120" w:type="dxa"/>
              <w:right w:w="120" w:type="dxa"/>
            </w:tcMar>
            <w:hideMark/>
          </w:tcPr>
          <w:p w14:paraId="07D92CFB"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Vendor’s t</w:t>
            </w:r>
          </w:p>
        </w:tc>
        <w:tc>
          <w:tcPr>
            <w:tcW w:w="1014" w:type="dxa"/>
            <w:tcBorders>
              <w:top w:val="single" w:sz="6" w:space="0" w:color="333333"/>
              <w:bottom w:val="single" w:sz="12" w:space="0" w:color="333333"/>
            </w:tcBorders>
            <w:tcMar>
              <w:top w:w="120" w:type="dxa"/>
              <w:left w:w="120" w:type="dxa"/>
              <w:bottom w:w="120" w:type="dxa"/>
              <w:right w:w="300" w:type="dxa"/>
            </w:tcMar>
            <w:hideMark/>
          </w:tcPr>
          <w:p w14:paraId="319F5607"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1.50</w:t>
            </w:r>
          </w:p>
        </w:tc>
        <w:tc>
          <w:tcPr>
            <w:tcW w:w="660" w:type="dxa"/>
            <w:tcBorders>
              <w:top w:val="single" w:sz="6" w:space="0" w:color="333333"/>
              <w:bottom w:val="single" w:sz="12" w:space="0" w:color="333333"/>
            </w:tcBorders>
            <w:tcMar>
              <w:top w:w="120" w:type="dxa"/>
              <w:left w:w="120" w:type="dxa"/>
              <w:bottom w:w="120" w:type="dxa"/>
              <w:right w:w="120" w:type="dxa"/>
            </w:tcMar>
            <w:hideMark/>
          </w:tcPr>
          <w:p w14:paraId="48B410E7"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18.0</w:t>
            </w:r>
          </w:p>
        </w:tc>
        <w:tc>
          <w:tcPr>
            <w:tcW w:w="780" w:type="dxa"/>
            <w:tcBorders>
              <w:top w:val="single" w:sz="6" w:space="0" w:color="333333"/>
              <w:bottom w:val="single" w:sz="12" w:space="0" w:color="333333"/>
            </w:tcBorders>
            <w:tcMar>
              <w:top w:w="120" w:type="dxa"/>
              <w:left w:w="120" w:type="dxa"/>
              <w:bottom w:w="120" w:type="dxa"/>
              <w:right w:w="120" w:type="dxa"/>
            </w:tcMar>
            <w:hideMark/>
          </w:tcPr>
          <w:p w14:paraId="3EF936E6"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0.076</w:t>
            </w:r>
          </w:p>
        </w:tc>
        <w:tc>
          <w:tcPr>
            <w:tcW w:w="1427" w:type="dxa"/>
            <w:tcBorders>
              <w:top w:val="single" w:sz="6" w:space="0" w:color="333333"/>
              <w:bottom w:val="single" w:sz="12" w:space="0" w:color="333333"/>
            </w:tcBorders>
            <w:tcMar>
              <w:top w:w="120" w:type="dxa"/>
              <w:left w:w="120" w:type="dxa"/>
              <w:bottom w:w="120" w:type="dxa"/>
              <w:right w:w="120" w:type="dxa"/>
            </w:tcMar>
            <w:hideMark/>
          </w:tcPr>
          <w:p w14:paraId="79BBEC3E"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7360</w:t>
            </w:r>
          </w:p>
        </w:tc>
        <w:tc>
          <w:tcPr>
            <w:tcW w:w="1356" w:type="dxa"/>
            <w:tcBorders>
              <w:top w:val="single" w:sz="6" w:space="0" w:color="333333"/>
              <w:bottom w:val="single" w:sz="12" w:space="0" w:color="333333"/>
            </w:tcBorders>
            <w:tcMar>
              <w:top w:w="120" w:type="dxa"/>
              <w:left w:w="120" w:type="dxa"/>
              <w:bottom w:w="120" w:type="dxa"/>
              <w:right w:w="120" w:type="dxa"/>
            </w:tcMar>
            <w:hideMark/>
          </w:tcPr>
          <w:p w14:paraId="39630CCC"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 xml:space="preserve">               4918</w:t>
            </w:r>
          </w:p>
        </w:tc>
        <w:tc>
          <w:tcPr>
            <w:tcW w:w="1067" w:type="dxa"/>
            <w:tcBorders>
              <w:top w:val="single" w:sz="6" w:space="0" w:color="333333"/>
              <w:bottom w:val="single" w:sz="12" w:space="0" w:color="333333"/>
            </w:tcBorders>
            <w:tcMar>
              <w:top w:w="120" w:type="dxa"/>
              <w:left w:w="120" w:type="dxa"/>
              <w:bottom w:w="120" w:type="dxa"/>
              <w:right w:w="120" w:type="dxa"/>
            </w:tcMar>
            <w:hideMark/>
          </w:tcPr>
          <w:p w14:paraId="27EEB4C5"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Cohen's d</w:t>
            </w:r>
          </w:p>
        </w:tc>
        <w:tc>
          <w:tcPr>
            <w:tcW w:w="956" w:type="dxa"/>
            <w:tcBorders>
              <w:top w:val="single" w:sz="6" w:space="0" w:color="333333"/>
              <w:bottom w:val="single" w:sz="12" w:space="0" w:color="333333"/>
            </w:tcBorders>
            <w:tcMar>
              <w:top w:w="120" w:type="dxa"/>
              <w:left w:w="120" w:type="dxa"/>
              <w:bottom w:w="120" w:type="dxa"/>
              <w:right w:w="300" w:type="dxa"/>
            </w:tcMar>
            <w:hideMark/>
          </w:tcPr>
          <w:p w14:paraId="0B99A80F"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0.669</w:t>
            </w:r>
          </w:p>
        </w:tc>
      </w:tr>
      <w:tr w:rsidR="00D31787" w:rsidRPr="00D31787" w14:paraId="6BC0F29F" w14:textId="77777777" w:rsidTr="00D31787">
        <w:trPr>
          <w:trHeight w:val="405"/>
        </w:trPr>
        <w:tc>
          <w:tcPr>
            <w:tcW w:w="9356" w:type="dxa"/>
            <w:gridSpan w:val="9"/>
            <w:tcBorders>
              <w:top w:val="single" w:sz="12" w:space="0" w:color="333333"/>
            </w:tcBorders>
            <w:tcMar>
              <w:top w:w="100" w:type="dxa"/>
              <w:left w:w="120" w:type="dxa"/>
              <w:bottom w:w="40" w:type="dxa"/>
              <w:right w:w="120" w:type="dxa"/>
            </w:tcMar>
            <w:vAlign w:val="center"/>
            <w:hideMark/>
          </w:tcPr>
          <w:p w14:paraId="0F05C771" w14:textId="77777777" w:rsidR="00D31787" w:rsidRPr="00D31787" w:rsidRDefault="00D31787" w:rsidP="00D31787">
            <w:pPr>
              <w:spacing w:after="0" w:line="24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i/>
                <w:iCs/>
                <w:color w:val="000000"/>
                <w:sz w:val="24"/>
                <w:szCs w:val="24"/>
              </w:rPr>
              <w:t>Note.</w:t>
            </w:r>
            <w:r w:rsidRPr="00D31787">
              <w:rPr>
                <w:rFonts w:ascii="Times New Roman" w:eastAsia="Times New Roman" w:hAnsi="Times New Roman" w:cs="Times New Roman"/>
                <w:color w:val="000000"/>
                <w:sz w:val="26"/>
                <w:szCs w:val="26"/>
              </w:rPr>
              <w:t xml:space="preserve"> Hₐ </w:t>
            </w:r>
            <w:proofErr w:type="spellStart"/>
            <w:r w:rsidRPr="00D31787">
              <w:rPr>
                <w:rFonts w:ascii="Times New Roman" w:eastAsia="Times New Roman" w:hAnsi="Times New Roman" w:cs="Times New Roman"/>
                <w:color w:val="000000"/>
                <w:sz w:val="28"/>
                <w:szCs w:val="28"/>
              </w:rPr>
              <w:t>μ</w:t>
            </w:r>
            <w:r w:rsidRPr="00D31787">
              <w:rPr>
                <w:rFonts w:ascii="Times New Roman" w:eastAsia="Times New Roman" w:hAnsi="Times New Roman" w:cs="Times New Roman"/>
                <w:color w:val="000000"/>
                <w:sz w:val="17"/>
                <w:szCs w:val="17"/>
                <w:vertAlign w:val="subscript"/>
              </w:rPr>
              <w:t>Food</w:t>
            </w:r>
            <w:proofErr w:type="spellEnd"/>
            <w:r w:rsidRPr="00D31787">
              <w:rPr>
                <w:rFonts w:ascii="Times New Roman" w:eastAsia="Times New Roman" w:hAnsi="Times New Roman" w:cs="Times New Roman"/>
                <w:color w:val="000000"/>
                <w:sz w:val="28"/>
                <w:szCs w:val="28"/>
              </w:rPr>
              <w:t xml:space="preserve"> &gt; </w:t>
            </w:r>
            <w:proofErr w:type="spellStart"/>
            <w:r w:rsidRPr="00D31787">
              <w:rPr>
                <w:rFonts w:ascii="Times New Roman" w:eastAsia="Times New Roman" w:hAnsi="Times New Roman" w:cs="Times New Roman"/>
                <w:color w:val="000000"/>
                <w:sz w:val="28"/>
                <w:szCs w:val="28"/>
              </w:rPr>
              <w:t>μ</w:t>
            </w:r>
            <w:r w:rsidRPr="00D31787">
              <w:rPr>
                <w:rFonts w:ascii="Times New Roman" w:eastAsia="Times New Roman" w:hAnsi="Times New Roman" w:cs="Times New Roman"/>
                <w:color w:val="000000"/>
                <w:sz w:val="17"/>
                <w:szCs w:val="17"/>
                <w:vertAlign w:val="subscript"/>
              </w:rPr>
              <w:t>Non</w:t>
            </w:r>
            <w:proofErr w:type="spellEnd"/>
            <w:r w:rsidRPr="00D31787">
              <w:rPr>
                <w:rFonts w:ascii="Times New Roman" w:eastAsia="Times New Roman" w:hAnsi="Times New Roman" w:cs="Times New Roman"/>
                <w:color w:val="000000"/>
                <w:sz w:val="17"/>
                <w:szCs w:val="17"/>
                <w:vertAlign w:val="subscript"/>
              </w:rPr>
              <w:t>-Food</w:t>
            </w:r>
          </w:p>
        </w:tc>
      </w:tr>
    </w:tbl>
    <w:p w14:paraId="64289CEB" w14:textId="77777777" w:rsidR="00D31787" w:rsidRPr="00D31787" w:rsidRDefault="006D1315" w:rsidP="00CF4149">
      <w:pPr>
        <w:pStyle w:val="NormalWeb"/>
        <w:ind w:firstLine="720"/>
        <w:jc w:val="both"/>
      </w:pPr>
      <w:r w:rsidRPr="00613608">
        <w:t xml:space="preserve">Descriptive statistics further revealed that food vendors had higher average and median profits but also exhibited much greater variability in earnings. In contrast, non-food vendors showed lower profits but more consistent income levels. These results suggest that food vending offers higher earning potential but involves greater financial uncertainty, while non-food vending provides more stable, though modest, returns. This pattern is consistent </w:t>
      </w:r>
      <w:r w:rsidRPr="00613608">
        <w:lastRenderedPageBreak/>
        <w:t xml:space="preserve">with previous studies highlighting income volatility among food vendors and stability among non-food vendors (Martínez &amp; Young, 2022; </w:t>
      </w:r>
      <w:proofErr w:type="spellStart"/>
      <w:r w:rsidRPr="00613608">
        <w:t>Mahopo</w:t>
      </w:r>
      <w:proofErr w:type="spellEnd"/>
      <w:r w:rsidRPr="00613608">
        <w:t xml:space="preserve"> et al., 2022).</w:t>
      </w:r>
    </w:p>
    <w:tbl>
      <w:tblPr>
        <w:tblW w:w="0" w:type="auto"/>
        <w:tblCellMar>
          <w:top w:w="15" w:type="dxa"/>
          <w:left w:w="15" w:type="dxa"/>
          <w:bottom w:w="15" w:type="dxa"/>
          <w:right w:w="15" w:type="dxa"/>
        </w:tblCellMar>
        <w:tblLook w:val="04A0" w:firstRow="1" w:lastRow="0" w:firstColumn="1" w:lastColumn="0" w:noHBand="0" w:noVBand="1"/>
      </w:tblPr>
      <w:tblGrid>
        <w:gridCol w:w="1649"/>
        <w:gridCol w:w="1386"/>
        <w:gridCol w:w="1107"/>
        <w:gridCol w:w="1251"/>
        <w:gridCol w:w="1392"/>
        <w:gridCol w:w="1251"/>
        <w:gridCol w:w="1111"/>
      </w:tblGrid>
      <w:tr w:rsidR="00D31787" w:rsidRPr="00D31787" w14:paraId="251364C5" w14:textId="77777777" w:rsidTr="00D31787">
        <w:trPr>
          <w:trHeight w:val="375"/>
        </w:trPr>
        <w:tc>
          <w:tcPr>
            <w:tcW w:w="9356" w:type="dxa"/>
            <w:gridSpan w:val="7"/>
            <w:tcBorders>
              <w:bottom w:val="single" w:sz="6" w:space="0" w:color="333333"/>
            </w:tcBorders>
            <w:tcMar>
              <w:top w:w="60" w:type="dxa"/>
              <w:left w:w="0" w:type="dxa"/>
              <w:bottom w:w="60" w:type="dxa"/>
              <w:right w:w="120" w:type="dxa"/>
            </w:tcMar>
            <w:vAlign w:val="center"/>
            <w:hideMark/>
          </w:tcPr>
          <w:p w14:paraId="0518D797"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Table 8: </w:t>
            </w:r>
            <w:r w:rsidRPr="00D31787">
              <w:rPr>
                <w:rFonts w:ascii="Times New Roman" w:eastAsia="Times New Roman" w:hAnsi="Times New Roman" w:cs="Times New Roman"/>
                <w:i/>
                <w:color w:val="000000"/>
                <w:sz w:val="24"/>
                <w:szCs w:val="24"/>
              </w:rPr>
              <w:t xml:space="preserve">Group </w:t>
            </w:r>
            <w:proofErr w:type="spellStart"/>
            <w:r w:rsidRPr="00D31787">
              <w:rPr>
                <w:rFonts w:ascii="Times New Roman" w:eastAsia="Times New Roman" w:hAnsi="Times New Roman" w:cs="Times New Roman"/>
                <w:i/>
                <w:color w:val="000000"/>
                <w:sz w:val="24"/>
                <w:szCs w:val="24"/>
              </w:rPr>
              <w:t>Descriptives</w:t>
            </w:r>
            <w:proofErr w:type="spellEnd"/>
          </w:p>
        </w:tc>
      </w:tr>
      <w:tr w:rsidR="00D31787" w:rsidRPr="00D31787" w14:paraId="3995EF63" w14:textId="77777777" w:rsidTr="00D31787">
        <w:trPr>
          <w:trHeight w:val="375"/>
        </w:trPr>
        <w:tc>
          <w:tcPr>
            <w:tcW w:w="1701" w:type="dxa"/>
            <w:tcBorders>
              <w:top w:val="single" w:sz="6" w:space="0" w:color="333333"/>
              <w:bottom w:val="single" w:sz="6" w:space="0" w:color="333333"/>
            </w:tcBorders>
            <w:tcMar>
              <w:top w:w="60" w:type="dxa"/>
              <w:left w:w="120" w:type="dxa"/>
              <w:bottom w:w="60" w:type="dxa"/>
              <w:right w:w="120" w:type="dxa"/>
            </w:tcMar>
            <w:vAlign w:val="center"/>
            <w:hideMark/>
          </w:tcPr>
          <w:p w14:paraId="740D93C8"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b/>
                <w:bCs/>
                <w:color w:val="000000"/>
                <w:sz w:val="24"/>
                <w:szCs w:val="24"/>
              </w:rPr>
              <w:t> </w:t>
            </w:r>
          </w:p>
        </w:tc>
        <w:tc>
          <w:tcPr>
            <w:tcW w:w="1418" w:type="dxa"/>
            <w:tcBorders>
              <w:top w:val="single" w:sz="6" w:space="0" w:color="333333"/>
              <w:bottom w:val="single" w:sz="6" w:space="0" w:color="333333"/>
            </w:tcBorders>
            <w:tcMar>
              <w:top w:w="60" w:type="dxa"/>
              <w:left w:w="120" w:type="dxa"/>
              <w:bottom w:w="60" w:type="dxa"/>
              <w:right w:w="120" w:type="dxa"/>
            </w:tcMar>
            <w:vAlign w:val="center"/>
            <w:hideMark/>
          </w:tcPr>
          <w:p w14:paraId="47EB6507"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Group</w:t>
            </w:r>
          </w:p>
        </w:tc>
        <w:tc>
          <w:tcPr>
            <w:tcW w:w="1134" w:type="dxa"/>
            <w:tcBorders>
              <w:top w:val="single" w:sz="6" w:space="0" w:color="333333"/>
              <w:bottom w:val="single" w:sz="6" w:space="0" w:color="333333"/>
            </w:tcBorders>
            <w:tcMar>
              <w:top w:w="60" w:type="dxa"/>
              <w:left w:w="120" w:type="dxa"/>
              <w:bottom w:w="60" w:type="dxa"/>
              <w:right w:w="120" w:type="dxa"/>
            </w:tcMar>
            <w:vAlign w:val="center"/>
            <w:hideMark/>
          </w:tcPr>
          <w:p w14:paraId="2C8FA3AC"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w:t>
            </w:r>
          </w:p>
        </w:tc>
        <w:tc>
          <w:tcPr>
            <w:tcW w:w="1276" w:type="dxa"/>
            <w:tcBorders>
              <w:top w:val="single" w:sz="6" w:space="0" w:color="333333"/>
              <w:bottom w:val="single" w:sz="6" w:space="0" w:color="333333"/>
            </w:tcBorders>
            <w:tcMar>
              <w:top w:w="60" w:type="dxa"/>
              <w:left w:w="120" w:type="dxa"/>
              <w:bottom w:w="60" w:type="dxa"/>
              <w:right w:w="120" w:type="dxa"/>
            </w:tcMar>
            <w:vAlign w:val="center"/>
            <w:hideMark/>
          </w:tcPr>
          <w:p w14:paraId="1D86C711"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Mean</w:t>
            </w:r>
          </w:p>
        </w:tc>
        <w:tc>
          <w:tcPr>
            <w:tcW w:w="1417" w:type="dxa"/>
            <w:tcBorders>
              <w:top w:val="single" w:sz="6" w:space="0" w:color="333333"/>
              <w:bottom w:val="single" w:sz="6" w:space="0" w:color="333333"/>
            </w:tcBorders>
            <w:tcMar>
              <w:top w:w="60" w:type="dxa"/>
              <w:left w:w="120" w:type="dxa"/>
              <w:bottom w:w="60" w:type="dxa"/>
              <w:right w:w="120" w:type="dxa"/>
            </w:tcMar>
            <w:vAlign w:val="center"/>
            <w:hideMark/>
          </w:tcPr>
          <w:p w14:paraId="568F98E3"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Median</w:t>
            </w:r>
          </w:p>
        </w:tc>
        <w:tc>
          <w:tcPr>
            <w:tcW w:w="1276" w:type="dxa"/>
            <w:tcBorders>
              <w:top w:val="single" w:sz="6" w:space="0" w:color="333333"/>
              <w:bottom w:val="single" w:sz="6" w:space="0" w:color="333333"/>
            </w:tcBorders>
            <w:tcMar>
              <w:top w:w="60" w:type="dxa"/>
              <w:left w:w="120" w:type="dxa"/>
              <w:bottom w:w="60" w:type="dxa"/>
              <w:right w:w="120" w:type="dxa"/>
            </w:tcMar>
            <w:vAlign w:val="center"/>
            <w:hideMark/>
          </w:tcPr>
          <w:p w14:paraId="5DE921C4"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SD</w:t>
            </w:r>
          </w:p>
        </w:tc>
        <w:tc>
          <w:tcPr>
            <w:tcW w:w="1134" w:type="dxa"/>
            <w:tcBorders>
              <w:top w:val="single" w:sz="6" w:space="0" w:color="333333"/>
              <w:bottom w:val="single" w:sz="6" w:space="0" w:color="333333"/>
            </w:tcBorders>
            <w:tcMar>
              <w:top w:w="60" w:type="dxa"/>
              <w:left w:w="120" w:type="dxa"/>
              <w:bottom w:w="60" w:type="dxa"/>
              <w:right w:w="120" w:type="dxa"/>
            </w:tcMar>
            <w:vAlign w:val="center"/>
            <w:hideMark/>
          </w:tcPr>
          <w:p w14:paraId="53C14C38"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SE</w:t>
            </w:r>
          </w:p>
        </w:tc>
      </w:tr>
      <w:tr w:rsidR="00D31787" w:rsidRPr="00D31787" w14:paraId="0F69ACD9" w14:textId="77777777" w:rsidTr="00D31787">
        <w:trPr>
          <w:trHeight w:val="420"/>
        </w:trPr>
        <w:tc>
          <w:tcPr>
            <w:tcW w:w="1701" w:type="dxa"/>
            <w:vMerge w:val="restart"/>
            <w:tcBorders>
              <w:top w:val="single" w:sz="6" w:space="0" w:color="333333"/>
              <w:bottom w:val="single" w:sz="12" w:space="0" w:color="333333"/>
            </w:tcBorders>
            <w:tcMar>
              <w:top w:w="120" w:type="dxa"/>
              <w:left w:w="120" w:type="dxa"/>
              <w:bottom w:w="60" w:type="dxa"/>
              <w:right w:w="120" w:type="dxa"/>
            </w:tcMar>
            <w:hideMark/>
          </w:tcPr>
          <w:p w14:paraId="480D8A26"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Net profit</w:t>
            </w:r>
          </w:p>
        </w:tc>
        <w:tc>
          <w:tcPr>
            <w:tcW w:w="1418" w:type="dxa"/>
            <w:tcBorders>
              <w:top w:val="single" w:sz="6" w:space="0" w:color="333333"/>
            </w:tcBorders>
            <w:tcMar>
              <w:top w:w="120" w:type="dxa"/>
              <w:left w:w="120" w:type="dxa"/>
              <w:bottom w:w="60" w:type="dxa"/>
              <w:right w:w="120" w:type="dxa"/>
            </w:tcMar>
            <w:hideMark/>
          </w:tcPr>
          <w:p w14:paraId="4A799DD5"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Food</w:t>
            </w:r>
          </w:p>
        </w:tc>
        <w:tc>
          <w:tcPr>
            <w:tcW w:w="1134" w:type="dxa"/>
            <w:tcBorders>
              <w:top w:val="single" w:sz="6" w:space="0" w:color="333333"/>
            </w:tcBorders>
            <w:tcMar>
              <w:top w:w="120" w:type="dxa"/>
              <w:left w:w="120" w:type="dxa"/>
              <w:bottom w:w="40" w:type="dxa"/>
              <w:right w:w="300" w:type="dxa"/>
            </w:tcMar>
            <w:hideMark/>
          </w:tcPr>
          <w:p w14:paraId="36A8DFE7"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10</w:t>
            </w:r>
          </w:p>
        </w:tc>
        <w:tc>
          <w:tcPr>
            <w:tcW w:w="1276" w:type="dxa"/>
            <w:tcBorders>
              <w:top w:val="single" w:sz="6" w:space="0" w:color="333333"/>
            </w:tcBorders>
            <w:tcMar>
              <w:top w:w="120" w:type="dxa"/>
              <w:left w:w="120" w:type="dxa"/>
              <w:bottom w:w="60" w:type="dxa"/>
              <w:right w:w="120" w:type="dxa"/>
            </w:tcMar>
            <w:hideMark/>
          </w:tcPr>
          <w:p w14:paraId="07A26D80"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14760</w:t>
            </w:r>
          </w:p>
        </w:tc>
        <w:tc>
          <w:tcPr>
            <w:tcW w:w="1417" w:type="dxa"/>
            <w:tcBorders>
              <w:top w:val="single" w:sz="6" w:space="0" w:color="333333"/>
            </w:tcBorders>
            <w:tcMar>
              <w:top w:w="120" w:type="dxa"/>
              <w:left w:w="120" w:type="dxa"/>
              <w:bottom w:w="60" w:type="dxa"/>
              <w:right w:w="120" w:type="dxa"/>
            </w:tcMar>
            <w:hideMark/>
          </w:tcPr>
          <w:p w14:paraId="7D4F6D09"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10000</w:t>
            </w:r>
          </w:p>
        </w:tc>
        <w:tc>
          <w:tcPr>
            <w:tcW w:w="1276" w:type="dxa"/>
            <w:tcBorders>
              <w:top w:val="single" w:sz="6" w:space="0" w:color="333333"/>
            </w:tcBorders>
            <w:tcMar>
              <w:top w:w="120" w:type="dxa"/>
              <w:left w:w="120" w:type="dxa"/>
              <w:bottom w:w="60" w:type="dxa"/>
              <w:right w:w="120" w:type="dxa"/>
            </w:tcMar>
            <w:hideMark/>
          </w:tcPr>
          <w:p w14:paraId="6B16F28B"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14556</w:t>
            </w:r>
          </w:p>
        </w:tc>
        <w:tc>
          <w:tcPr>
            <w:tcW w:w="1134" w:type="dxa"/>
            <w:tcBorders>
              <w:top w:val="single" w:sz="6" w:space="0" w:color="333333"/>
            </w:tcBorders>
            <w:tcMar>
              <w:top w:w="120" w:type="dxa"/>
              <w:left w:w="120" w:type="dxa"/>
              <w:bottom w:w="60" w:type="dxa"/>
              <w:right w:w="120" w:type="dxa"/>
            </w:tcMar>
            <w:hideMark/>
          </w:tcPr>
          <w:p w14:paraId="6A63BD7F"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4603</w:t>
            </w:r>
          </w:p>
        </w:tc>
      </w:tr>
      <w:tr w:rsidR="00D31787" w:rsidRPr="00D31787" w14:paraId="479DD845" w14:textId="77777777" w:rsidTr="00D31787">
        <w:trPr>
          <w:trHeight w:val="450"/>
        </w:trPr>
        <w:tc>
          <w:tcPr>
            <w:tcW w:w="1701" w:type="dxa"/>
            <w:vMerge/>
            <w:tcBorders>
              <w:top w:val="single" w:sz="6" w:space="0" w:color="333333"/>
              <w:bottom w:val="single" w:sz="12" w:space="0" w:color="333333"/>
            </w:tcBorders>
            <w:vAlign w:val="center"/>
            <w:hideMark/>
          </w:tcPr>
          <w:p w14:paraId="6418B009" w14:textId="77777777" w:rsidR="00D31787" w:rsidRPr="00D31787" w:rsidRDefault="00D31787" w:rsidP="00D31787">
            <w:pPr>
              <w:spacing w:after="0" w:line="240" w:lineRule="auto"/>
              <w:rPr>
                <w:rFonts w:ascii="Times New Roman" w:eastAsia="Times New Roman" w:hAnsi="Times New Roman" w:cs="Times New Roman"/>
                <w:sz w:val="24"/>
                <w:szCs w:val="24"/>
              </w:rPr>
            </w:pPr>
          </w:p>
        </w:tc>
        <w:tc>
          <w:tcPr>
            <w:tcW w:w="1418" w:type="dxa"/>
            <w:tcBorders>
              <w:bottom w:val="single" w:sz="12" w:space="0" w:color="333333"/>
            </w:tcBorders>
            <w:tcMar>
              <w:top w:w="60" w:type="dxa"/>
              <w:left w:w="120" w:type="dxa"/>
              <w:bottom w:w="120" w:type="dxa"/>
              <w:right w:w="120" w:type="dxa"/>
            </w:tcMar>
            <w:hideMark/>
          </w:tcPr>
          <w:p w14:paraId="222633BF"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Non-Food</w:t>
            </w:r>
          </w:p>
        </w:tc>
        <w:tc>
          <w:tcPr>
            <w:tcW w:w="1134" w:type="dxa"/>
            <w:tcBorders>
              <w:bottom w:val="single" w:sz="12" w:space="0" w:color="333333"/>
            </w:tcBorders>
            <w:tcMar>
              <w:top w:w="40" w:type="dxa"/>
              <w:left w:w="120" w:type="dxa"/>
              <w:bottom w:w="120" w:type="dxa"/>
              <w:right w:w="300" w:type="dxa"/>
            </w:tcMar>
            <w:hideMark/>
          </w:tcPr>
          <w:p w14:paraId="2E9BDE22"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10</w:t>
            </w:r>
          </w:p>
        </w:tc>
        <w:tc>
          <w:tcPr>
            <w:tcW w:w="1276" w:type="dxa"/>
            <w:tcBorders>
              <w:bottom w:val="single" w:sz="12" w:space="0" w:color="333333"/>
            </w:tcBorders>
            <w:tcMar>
              <w:top w:w="40" w:type="dxa"/>
              <w:left w:w="120" w:type="dxa"/>
              <w:bottom w:w="120" w:type="dxa"/>
              <w:right w:w="120" w:type="dxa"/>
            </w:tcMar>
            <w:hideMark/>
          </w:tcPr>
          <w:p w14:paraId="2CA59D96"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7400</w:t>
            </w:r>
          </w:p>
        </w:tc>
        <w:tc>
          <w:tcPr>
            <w:tcW w:w="1417" w:type="dxa"/>
            <w:tcBorders>
              <w:bottom w:val="single" w:sz="12" w:space="0" w:color="333333"/>
            </w:tcBorders>
            <w:tcMar>
              <w:top w:w="60" w:type="dxa"/>
              <w:left w:w="120" w:type="dxa"/>
              <w:bottom w:w="120" w:type="dxa"/>
              <w:right w:w="120" w:type="dxa"/>
            </w:tcMar>
            <w:hideMark/>
          </w:tcPr>
          <w:p w14:paraId="689B5829"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5000</w:t>
            </w:r>
          </w:p>
        </w:tc>
        <w:tc>
          <w:tcPr>
            <w:tcW w:w="1276" w:type="dxa"/>
            <w:tcBorders>
              <w:bottom w:val="single" w:sz="12" w:space="0" w:color="333333"/>
            </w:tcBorders>
            <w:tcMar>
              <w:top w:w="60" w:type="dxa"/>
              <w:left w:w="120" w:type="dxa"/>
              <w:bottom w:w="120" w:type="dxa"/>
              <w:right w:w="120" w:type="dxa"/>
            </w:tcMar>
            <w:hideMark/>
          </w:tcPr>
          <w:p w14:paraId="2A92007A"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5481</w:t>
            </w:r>
          </w:p>
        </w:tc>
        <w:tc>
          <w:tcPr>
            <w:tcW w:w="1134" w:type="dxa"/>
            <w:tcBorders>
              <w:bottom w:val="single" w:sz="12" w:space="0" w:color="333333"/>
            </w:tcBorders>
            <w:tcMar>
              <w:top w:w="60" w:type="dxa"/>
              <w:left w:w="120" w:type="dxa"/>
              <w:bottom w:w="120" w:type="dxa"/>
              <w:right w:w="120" w:type="dxa"/>
            </w:tcMar>
            <w:hideMark/>
          </w:tcPr>
          <w:p w14:paraId="3E290B28" w14:textId="77777777" w:rsidR="00D31787" w:rsidRPr="00D31787" w:rsidRDefault="00D31787" w:rsidP="00D31787">
            <w:pPr>
              <w:spacing w:after="0" w:line="480" w:lineRule="auto"/>
              <w:jc w:val="both"/>
              <w:rPr>
                <w:rFonts w:ascii="Times New Roman" w:eastAsia="Times New Roman" w:hAnsi="Times New Roman" w:cs="Times New Roman"/>
                <w:sz w:val="24"/>
                <w:szCs w:val="24"/>
              </w:rPr>
            </w:pPr>
            <w:r w:rsidRPr="00D31787">
              <w:rPr>
                <w:rFonts w:ascii="Times New Roman" w:eastAsia="Times New Roman" w:hAnsi="Times New Roman" w:cs="Times New Roman"/>
                <w:color w:val="000000"/>
                <w:sz w:val="24"/>
                <w:szCs w:val="24"/>
              </w:rPr>
              <w:t>1733</w:t>
            </w:r>
          </w:p>
        </w:tc>
      </w:tr>
    </w:tbl>
    <w:p w14:paraId="4EF1C027" w14:textId="77777777" w:rsidR="00FF4E26" w:rsidRDefault="006D1315" w:rsidP="00CF4149">
      <w:pPr>
        <w:pStyle w:val="NormalWeb"/>
        <w:ind w:firstLine="720"/>
        <w:jc w:val="both"/>
      </w:pPr>
      <w:r w:rsidRPr="00613608">
        <w:t>Overall, the findings demonstrate that both food and non-food vendors rely heavily on consumer demand, product quality, and marketing to sustain profits. While food vendors tend to earn higher</w:t>
      </w:r>
      <w:r w:rsidR="00D31787">
        <w:t xml:space="preserve"> net profit</w:t>
      </w:r>
      <w:r w:rsidRPr="00613608">
        <w:t>, their earnings are less predictable, whereas non-food vendors experience lower but more stable profits. These results highlight the need for targeted support, such as business training and market regulation, to enhance vendor sustainability and income stability</w:t>
      </w:r>
    </w:p>
    <w:p w14:paraId="2B656AE4" w14:textId="13CFA6B3" w:rsidR="00426B49" w:rsidRPr="00FF4E26" w:rsidRDefault="00426B49" w:rsidP="00FF4E26">
      <w:pPr>
        <w:pStyle w:val="NormalWeb"/>
        <w:jc w:val="both"/>
      </w:pPr>
      <w:r>
        <w:rPr>
          <w:b/>
        </w:rPr>
        <w:t>CONCLUSIONS</w:t>
      </w:r>
    </w:p>
    <w:p w14:paraId="6CC274AF" w14:textId="77777777" w:rsidR="00C04533" w:rsidRPr="00C04533" w:rsidRDefault="00C04533" w:rsidP="00C04533">
      <w:pPr>
        <w:spacing w:after="0" w:line="240" w:lineRule="auto"/>
        <w:ind w:firstLine="720"/>
        <w:jc w:val="both"/>
        <w:rPr>
          <w:rFonts w:ascii="Times New Roman" w:eastAsia="Times New Roman" w:hAnsi="Times New Roman" w:cs="Times New Roman"/>
          <w:sz w:val="24"/>
          <w:szCs w:val="24"/>
        </w:rPr>
      </w:pPr>
      <w:r w:rsidRPr="00C04533">
        <w:rPr>
          <w:rFonts w:ascii="Times New Roman" w:eastAsia="Times New Roman" w:hAnsi="Times New Roman" w:cs="Times New Roman"/>
          <w:color w:val="000000"/>
          <w:sz w:val="24"/>
          <w:szCs w:val="24"/>
        </w:rPr>
        <w:t>The findings from this study provide valuable insights into the operations of food and non-food vendors, particularly regarding their product offerings and profitabi</w:t>
      </w:r>
      <w:r w:rsidR="0035103E">
        <w:rPr>
          <w:rFonts w:ascii="Times New Roman" w:eastAsia="Times New Roman" w:hAnsi="Times New Roman" w:cs="Times New Roman"/>
          <w:color w:val="000000"/>
          <w:sz w:val="24"/>
          <w:szCs w:val="24"/>
        </w:rPr>
        <w:t xml:space="preserve">lity. As illustrated in Table </w:t>
      </w:r>
      <w:r w:rsidRPr="00C04533">
        <w:rPr>
          <w:rFonts w:ascii="Times New Roman" w:eastAsia="Times New Roman" w:hAnsi="Times New Roman" w:cs="Times New Roman"/>
          <w:color w:val="000000"/>
          <w:sz w:val="24"/>
          <w:szCs w:val="24"/>
        </w:rPr>
        <w:t>1, food vendors predominantly sell bread (30%), followed by drinks, meals, and snacks, each at 20%. Candy, with only 10%, represents the least sold item. This suggests that food vendors emphasize staple foods that cater to daily consumer demands, a finding consistent with Adeosun et al. (2022) and Giroux et al. (2021), who highlight the centrality of essential food items in vendor offerings. Conversely, non-food vendors primarily focus on clothing, which constitutes 40% of t</w:t>
      </w:r>
      <w:r w:rsidR="0035103E">
        <w:rPr>
          <w:rFonts w:ascii="Times New Roman" w:eastAsia="Times New Roman" w:hAnsi="Times New Roman" w:cs="Times New Roman"/>
          <w:color w:val="000000"/>
          <w:sz w:val="24"/>
          <w:szCs w:val="24"/>
        </w:rPr>
        <w:t xml:space="preserve">heir sales, as shown in Table </w:t>
      </w:r>
      <w:r w:rsidRPr="00C04533">
        <w:rPr>
          <w:rFonts w:ascii="Times New Roman" w:eastAsia="Times New Roman" w:hAnsi="Times New Roman" w:cs="Times New Roman"/>
          <w:color w:val="000000"/>
          <w:sz w:val="24"/>
          <w:szCs w:val="24"/>
        </w:rPr>
        <w:t xml:space="preserve">2. Other items such as crafts and footwear each account for 20%, while beauty products are the least sold, making up only 1%. This pattern reinforces </w:t>
      </w:r>
      <w:proofErr w:type="spellStart"/>
      <w:r w:rsidRPr="00C04533">
        <w:rPr>
          <w:rFonts w:ascii="Times New Roman" w:eastAsia="Times New Roman" w:hAnsi="Times New Roman" w:cs="Times New Roman"/>
          <w:color w:val="000000"/>
          <w:sz w:val="24"/>
          <w:szCs w:val="24"/>
        </w:rPr>
        <w:t>Recchi’s</w:t>
      </w:r>
      <w:proofErr w:type="spellEnd"/>
      <w:r w:rsidRPr="00C04533">
        <w:rPr>
          <w:rFonts w:ascii="Times New Roman" w:eastAsia="Times New Roman" w:hAnsi="Times New Roman" w:cs="Times New Roman"/>
          <w:color w:val="000000"/>
          <w:sz w:val="24"/>
          <w:szCs w:val="24"/>
        </w:rPr>
        <w:t xml:space="preserve"> (2021) assertion that apparel tends to dominate non-food vending markets, particularly in the Global South.</w:t>
      </w:r>
    </w:p>
    <w:p w14:paraId="7B033ED4" w14:textId="77777777" w:rsidR="00C04533" w:rsidRPr="00C04533" w:rsidRDefault="00C04533" w:rsidP="00C04533">
      <w:pPr>
        <w:spacing w:after="0" w:line="240" w:lineRule="auto"/>
        <w:rPr>
          <w:rFonts w:ascii="Times New Roman" w:eastAsia="Times New Roman" w:hAnsi="Times New Roman" w:cs="Times New Roman"/>
          <w:sz w:val="24"/>
          <w:szCs w:val="24"/>
        </w:rPr>
      </w:pPr>
    </w:p>
    <w:p w14:paraId="468E4287" w14:textId="77777777" w:rsidR="00C04533" w:rsidRPr="00C04533" w:rsidRDefault="00C04533" w:rsidP="00C04533">
      <w:pPr>
        <w:spacing w:after="0" w:line="240" w:lineRule="auto"/>
        <w:ind w:firstLine="720"/>
        <w:jc w:val="both"/>
        <w:rPr>
          <w:rFonts w:ascii="Times New Roman" w:eastAsia="Times New Roman" w:hAnsi="Times New Roman" w:cs="Times New Roman"/>
          <w:sz w:val="24"/>
          <w:szCs w:val="24"/>
        </w:rPr>
      </w:pPr>
      <w:r w:rsidRPr="00C04533">
        <w:rPr>
          <w:rFonts w:ascii="Times New Roman" w:eastAsia="Times New Roman" w:hAnsi="Times New Roman" w:cs="Times New Roman"/>
          <w:color w:val="000000"/>
          <w:sz w:val="24"/>
          <w:szCs w:val="24"/>
        </w:rPr>
        <w:t>In terms of profitability, the average net profit for food vendors was found to be ₱14,760, significantly higher than the ₱7,400 average</w:t>
      </w:r>
      <w:r w:rsidR="0035103E">
        <w:rPr>
          <w:rFonts w:ascii="Times New Roman" w:eastAsia="Times New Roman" w:hAnsi="Times New Roman" w:cs="Times New Roman"/>
          <w:color w:val="000000"/>
          <w:sz w:val="24"/>
          <w:szCs w:val="24"/>
        </w:rPr>
        <w:t xml:space="preserve"> for non-food vendors (Tables 5 and </w:t>
      </w:r>
      <w:r w:rsidRPr="00C04533">
        <w:rPr>
          <w:rFonts w:ascii="Times New Roman" w:eastAsia="Times New Roman" w:hAnsi="Times New Roman" w:cs="Times New Roman"/>
          <w:color w:val="000000"/>
          <w:sz w:val="24"/>
          <w:szCs w:val="24"/>
        </w:rPr>
        <w:t>6). The considerable differences in sales performance among food vendors, with profits ranging from ₱1,000 to as much as ₱50,000, reflect a notable variability within this group. This aligns with previous research that emphasizes the unpredictable nature of food vendor incomes (</w:t>
      </w:r>
      <w:proofErr w:type="spellStart"/>
      <w:r w:rsidRPr="00C04533">
        <w:rPr>
          <w:rFonts w:ascii="Times New Roman" w:eastAsia="Times New Roman" w:hAnsi="Times New Roman" w:cs="Times New Roman"/>
          <w:color w:val="000000"/>
          <w:sz w:val="24"/>
          <w:szCs w:val="24"/>
        </w:rPr>
        <w:t>Abitria</w:t>
      </w:r>
      <w:proofErr w:type="spellEnd"/>
      <w:r w:rsidRPr="00C04533">
        <w:rPr>
          <w:rFonts w:ascii="Times New Roman" w:eastAsia="Times New Roman" w:hAnsi="Times New Roman" w:cs="Times New Roman"/>
          <w:color w:val="000000"/>
          <w:sz w:val="24"/>
          <w:szCs w:val="24"/>
        </w:rPr>
        <w:t>, 2024). Although non-food vendors demonstrate more stable earnings due to a narrower profit range, their average profits are still substantially lower, supporting findings from Anwar and Karno (2024) regarding income discrepancies between these vendor categories.</w:t>
      </w:r>
    </w:p>
    <w:p w14:paraId="5A9B0417" w14:textId="77777777" w:rsidR="00C04533" w:rsidRPr="00C04533" w:rsidRDefault="00C04533" w:rsidP="00C04533">
      <w:pPr>
        <w:spacing w:after="0" w:line="240" w:lineRule="auto"/>
        <w:rPr>
          <w:rFonts w:ascii="Times New Roman" w:eastAsia="Times New Roman" w:hAnsi="Times New Roman" w:cs="Times New Roman"/>
          <w:sz w:val="24"/>
          <w:szCs w:val="24"/>
        </w:rPr>
      </w:pPr>
    </w:p>
    <w:p w14:paraId="07F8D866" w14:textId="77777777" w:rsidR="00C04533" w:rsidRPr="00C04533" w:rsidRDefault="00C04533" w:rsidP="00C04533">
      <w:pPr>
        <w:spacing w:after="0" w:line="240" w:lineRule="auto"/>
        <w:ind w:firstLine="720"/>
        <w:jc w:val="both"/>
        <w:rPr>
          <w:rFonts w:ascii="Times New Roman" w:eastAsia="Times New Roman" w:hAnsi="Times New Roman" w:cs="Times New Roman"/>
          <w:sz w:val="24"/>
          <w:szCs w:val="24"/>
        </w:rPr>
      </w:pPr>
      <w:r w:rsidRPr="00C04533">
        <w:rPr>
          <w:rFonts w:ascii="Times New Roman" w:eastAsia="Times New Roman" w:hAnsi="Times New Roman" w:cs="Times New Roman"/>
          <w:color w:val="000000"/>
          <w:sz w:val="24"/>
          <w:szCs w:val="24"/>
        </w:rPr>
        <w:t xml:space="preserve">Statistical analysis, as shown </w:t>
      </w:r>
      <w:r w:rsidR="0035103E">
        <w:rPr>
          <w:rFonts w:ascii="Times New Roman" w:eastAsia="Times New Roman" w:hAnsi="Times New Roman" w:cs="Times New Roman"/>
          <w:color w:val="000000"/>
          <w:sz w:val="24"/>
          <w:szCs w:val="24"/>
        </w:rPr>
        <w:t xml:space="preserve">in Table </w:t>
      </w:r>
      <w:r w:rsidRPr="00C04533">
        <w:rPr>
          <w:rFonts w:ascii="Times New Roman" w:eastAsia="Times New Roman" w:hAnsi="Times New Roman" w:cs="Times New Roman"/>
          <w:color w:val="000000"/>
          <w:sz w:val="24"/>
          <w:szCs w:val="24"/>
        </w:rPr>
        <w:t xml:space="preserve">7, revealed no significant difference in average weekend net profits between food and non-food vendors, with a mean difference of ₱7,360 that did not reach statistical significance (p = 0.076). Despite the lack of statistical confirmation, the effect size (Cohen’s d = 0.669) suggests a moderate to large practical difference, implying that while food vendors tend to earn more, the observed difference in </w:t>
      </w:r>
      <w:r w:rsidRPr="00C04533">
        <w:rPr>
          <w:rFonts w:ascii="Times New Roman" w:eastAsia="Times New Roman" w:hAnsi="Times New Roman" w:cs="Times New Roman"/>
          <w:color w:val="000000"/>
          <w:sz w:val="24"/>
          <w:szCs w:val="24"/>
        </w:rPr>
        <w:lastRenderedPageBreak/>
        <w:t>profit may not be robust. The variability in food vendors' profits, as indicated by a high standar</w:t>
      </w:r>
      <w:r w:rsidR="0035103E">
        <w:rPr>
          <w:rFonts w:ascii="Times New Roman" w:eastAsia="Times New Roman" w:hAnsi="Times New Roman" w:cs="Times New Roman"/>
          <w:color w:val="000000"/>
          <w:sz w:val="24"/>
          <w:szCs w:val="24"/>
        </w:rPr>
        <w:t xml:space="preserve">d deviation of ₱14,556 (Table </w:t>
      </w:r>
      <w:r w:rsidRPr="00C04533">
        <w:rPr>
          <w:rFonts w:ascii="Times New Roman" w:eastAsia="Times New Roman" w:hAnsi="Times New Roman" w:cs="Times New Roman"/>
          <w:color w:val="000000"/>
          <w:sz w:val="24"/>
          <w:szCs w:val="24"/>
        </w:rPr>
        <w:t>8), suggests that their earnings are less predictable compared to the more consistent, albeit lower, profits of non-food vendors. These findings outline the landscape of vendor profitability, underscoring the need for further research to explore the underlying factors that contribute to income variability and stability across vendor types.</w:t>
      </w:r>
    </w:p>
    <w:p w14:paraId="70928610" w14:textId="77777777" w:rsidR="00C04533" w:rsidRDefault="00C04533" w:rsidP="00271ABD">
      <w:pPr>
        <w:jc w:val="both"/>
        <w:rPr>
          <w:rFonts w:ascii="Times New Roman" w:hAnsi="Times New Roman" w:cs="Times New Roman"/>
          <w:b/>
          <w:sz w:val="24"/>
          <w:szCs w:val="24"/>
        </w:rPr>
      </w:pPr>
      <w:r>
        <w:rPr>
          <w:rFonts w:ascii="Times New Roman" w:hAnsi="Times New Roman" w:cs="Times New Roman"/>
          <w:b/>
          <w:sz w:val="24"/>
          <w:szCs w:val="24"/>
        </w:rPr>
        <w:tab/>
      </w:r>
    </w:p>
    <w:p w14:paraId="18CD0614" w14:textId="203ADB53" w:rsidR="00FF4E26" w:rsidRPr="00CF4149" w:rsidRDefault="00C04533" w:rsidP="00CF4149">
      <w:pPr>
        <w:ind w:firstLine="720"/>
        <w:jc w:val="both"/>
        <w:rPr>
          <w:rFonts w:ascii="Times New Roman" w:hAnsi="Times New Roman" w:cs="Times New Roman"/>
          <w:sz w:val="24"/>
          <w:szCs w:val="24"/>
        </w:rPr>
      </w:pPr>
      <w:r w:rsidRPr="00C04533">
        <w:rPr>
          <w:rFonts w:ascii="Times New Roman" w:hAnsi="Times New Roman" w:cs="Times New Roman"/>
          <w:sz w:val="24"/>
          <w:szCs w:val="24"/>
        </w:rPr>
        <w:t>It is recommended that food and non-food vendors in the Iligan Night Market review their business strategies by considering pricing, product selection, and expense management to improve income stability. Local government units and market organizers are encouraged to provide training programs and improve market facilities to support vendor sustainability. Aspiring entrepreneurs should carefully assess income variability and business capacity when choosing products to sell. Future researchers are also encouraged to expand this study by including larger samples and additional factors affecting vendor income.</w:t>
      </w:r>
    </w:p>
    <w:p w14:paraId="0C6EDF06" w14:textId="77777777" w:rsidR="00C04533" w:rsidRDefault="00C04533" w:rsidP="00271ABD">
      <w:pPr>
        <w:jc w:val="both"/>
        <w:rPr>
          <w:rFonts w:ascii="Times New Roman" w:hAnsi="Times New Roman" w:cs="Times New Roman"/>
          <w:b/>
          <w:sz w:val="24"/>
          <w:szCs w:val="24"/>
        </w:rPr>
      </w:pPr>
      <w:r>
        <w:rPr>
          <w:rFonts w:ascii="Times New Roman" w:hAnsi="Times New Roman" w:cs="Times New Roman"/>
          <w:b/>
          <w:sz w:val="24"/>
          <w:szCs w:val="24"/>
        </w:rPr>
        <w:t>ACKNOWLEDGEMENT</w:t>
      </w:r>
    </w:p>
    <w:p w14:paraId="703DC491" w14:textId="0CFCBEC5" w:rsidR="00EF3203" w:rsidRDefault="00FF4E26" w:rsidP="00CF4149">
      <w:pPr>
        <w:pStyle w:val="NormalWeb"/>
      </w:pPr>
      <w:r>
        <w:tab/>
        <w:t>This study owes its completion to the valuable cooperation and support of the food and non-food vendors who willingly shared their time, experiences, and information for this research. Their participation from the beginning until the end of the study made the data collection possible and meaningful. The researchers sincerely appreciate their openness and cooperation, which greatly contributed to the success of this study.</w:t>
      </w:r>
    </w:p>
    <w:p w14:paraId="0CAADAA7" w14:textId="77777777" w:rsidR="006A1B29" w:rsidRDefault="006A1B29" w:rsidP="00271ABD">
      <w:pPr>
        <w:jc w:val="both"/>
        <w:rPr>
          <w:rFonts w:ascii="Times New Roman" w:hAnsi="Times New Roman" w:cs="Times New Roman"/>
          <w:b/>
          <w:sz w:val="24"/>
          <w:szCs w:val="24"/>
        </w:rPr>
      </w:pPr>
      <w:r>
        <w:rPr>
          <w:rFonts w:ascii="Times New Roman" w:hAnsi="Times New Roman" w:cs="Times New Roman"/>
          <w:b/>
          <w:sz w:val="24"/>
          <w:szCs w:val="24"/>
        </w:rPr>
        <w:t>REFERENCE</w:t>
      </w:r>
    </w:p>
    <w:p w14:paraId="1192E268"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Abitria</w:t>
      </w:r>
      <w:proofErr w:type="spellEnd"/>
      <w:r w:rsidRPr="006A1B29">
        <w:rPr>
          <w:rFonts w:ascii="Times New Roman" w:eastAsia="Times New Roman" w:hAnsi="Times New Roman" w:cs="Times New Roman"/>
          <w:color w:val="000000"/>
          <w:sz w:val="24"/>
          <w:szCs w:val="24"/>
        </w:rPr>
        <w:t>, K.A.S.</w:t>
      </w:r>
      <w:proofErr w:type="gramStart"/>
      <w:r w:rsidRPr="006A1B29">
        <w:rPr>
          <w:rFonts w:ascii="Times New Roman" w:eastAsia="Times New Roman" w:hAnsi="Times New Roman" w:cs="Times New Roman"/>
          <w:color w:val="000000"/>
          <w:sz w:val="24"/>
          <w:szCs w:val="24"/>
        </w:rPr>
        <w:t>,(</w:t>
      </w:r>
      <w:proofErr w:type="gramEnd"/>
      <w:r w:rsidRPr="006A1B29">
        <w:rPr>
          <w:rFonts w:ascii="Times New Roman" w:eastAsia="Times New Roman" w:hAnsi="Times New Roman" w:cs="Times New Roman"/>
          <w:color w:val="000000"/>
          <w:sz w:val="24"/>
          <w:szCs w:val="24"/>
        </w:rPr>
        <w:t xml:space="preserve">2024). The operation management practices of night market vendors in selected cities and municipalities in the Province of Albay. </w:t>
      </w:r>
      <w:r w:rsidRPr="006A1B29">
        <w:rPr>
          <w:rFonts w:ascii="Times New Roman" w:eastAsia="Times New Roman" w:hAnsi="Times New Roman" w:cs="Times New Roman"/>
          <w:i/>
          <w:iCs/>
          <w:color w:val="000000"/>
          <w:sz w:val="24"/>
          <w:szCs w:val="24"/>
        </w:rPr>
        <w:t>International Journal for Multidisciplinary Research (IJFMR), 6</w:t>
      </w:r>
      <w:r w:rsidRPr="006A1B29">
        <w:rPr>
          <w:rFonts w:ascii="Times New Roman" w:eastAsia="Times New Roman" w:hAnsi="Times New Roman" w:cs="Times New Roman"/>
          <w:color w:val="000000"/>
          <w:sz w:val="24"/>
          <w:szCs w:val="24"/>
        </w:rPr>
        <w:t>(5), 1–15.</w:t>
      </w:r>
      <w:hyperlink r:id="rId8" w:history="1">
        <w:r w:rsidRPr="006A1B29">
          <w:rPr>
            <w:rFonts w:ascii="Times New Roman" w:eastAsia="Times New Roman" w:hAnsi="Times New Roman" w:cs="Times New Roman"/>
            <w:sz w:val="24"/>
            <w:szCs w:val="24"/>
            <w:u w:val="single"/>
          </w:rPr>
          <w:t>https://www.ijfmr.com/papers/2024/5/27345.pdf</w:t>
        </w:r>
      </w:hyperlink>
    </w:p>
    <w:p w14:paraId="4B0469ED"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sz w:val="24"/>
          <w:szCs w:val="24"/>
          <w:shd w:val="clear" w:color="auto" w:fill="FFFFFF"/>
        </w:rPr>
        <w:t>Adeosun, K. P., Greene, M., &amp;</w:t>
      </w:r>
      <w:proofErr w:type="spellStart"/>
      <w:r w:rsidRPr="006A1B29">
        <w:rPr>
          <w:rFonts w:ascii="Times New Roman" w:eastAsia="Times New Roman" w:hAnsi="Times New Roman" w:cs="Times New Roman"/>
          <w:sz w:val="24"/>
          <w:szCs w:val="24"/>
          <w:shd w:val="clear" w:color="auto" w:fill="FFFFFF"/>
        </w:rPr>
        <w:t>Oosterveer</w:t>
      </w:r>
      <w:proofErr w:type="spellEnd"/>
      <w:r w:rsidRPr="006A1B29">
        <w:rPr>
          <w:rFonts w:ascii="Times New Roman" w:eastAsia="Times New Roman" w:hAnsi="Times New Roman" w:cs="Times New Roman"/>
          <w:sz w:val="24"/>
          <w:szCs w:val="24"/>
          <w:shd w:val="clear" w:color="auto" w:fill="FFFFFF"/>
        </w:rPr>
        <w:t xml:space="preserve">, P. (2022). Informal ready-to-eat food vending: a social practice perspective on urban food provisioning in Nigeria. </w:t>
      </w:r>
      <w:r w:rsidRPr="006A1B29">
        <w:rPr>
          <w:rFonts w:ascii="Times New Roman" w:eastAsia="Times New Roman" w:hAnsi="Times New Roman" w:cs="Times New Roman"/>
          <w:i/>
          <w:iCs/>
          <w:sz w:val="24"/>
          <w:szCs w:val="24"/>
          <w:shd w:val="clear" w:color="auto" w:fill="FFFFFF"/>
        </w:rPr>
        <w:t>Food security</w:t>
      </w:r>
      <w:r w:rsidRPr="006A1B29">
        <w:rPr>
          <w:rFonts w:ascii="Times New Roman" w:eastAsia="Times New Roman" w:hAnsi="Times New Roman" w:cs="Times New Roman"/>
          <w:sz w:val="24"/>
          <w:szCs w:val="24"/>
          <w:shd w:val="clear" w:color="auto" w:fill="FFFFFF"/>
        </w:rPr>
        <w:t xml:space="preserve">, </w:t>
      </w:r>
      <w:r w:rsidRPr="006A1B29">
        <w:rPr>
          <w:rFonts w:ascii="Times New Roman" w:eastAsia="Times New Roman" w:hAnsi="Times New Roman" w:cs="Times New Roman"/>
          <w:i/>
          <w:iCs/>
          <w:sz w:val="24"/>
          <w:szCs w:val="24"/>
          <w:shd w:val="clear" w:color="auto" w:fill="FFFFFF"/>
        </w:rPr>
        <w:t>14</w:t>
      </w:r>
      <w:r w:rsidRPr="006A1B29">
        <w:rPr>
          <w:rFonts w:ascii="Times New Roman" w:eastAsia="Times New Roman" w:hAnsi="Times New Roman" w:cs="Times New Roman"/>
          <w:sz w:val="24"/>
          <w:szCs w:val="24"/>
          <w:shd w:val="clear" w:color="auto" w:fill="FFFFFF"/>
        </w:rPr>
        <w:t>(3), 763–780.</w:t>
      </w:r>
      <w:hyperlink r:id="rId9" w:history="1">
        <w:r w:rsidRPr="006A1B29">
          <w:rPr>
            <w:rFonts w:ascii="Times New Roman" w:eastAsia="Times New Roman" w:hAnsi="Times New Roman" w:cs="Times New Roman"/>
            <w:sz w:val="24"/>
            <w:szCs w:val="24"/>
          </w:rPr>
          <w:t xml:space="preserve"> </w:t>
        </w:r>
        <w:r w:rsidRPr="006A1B29">
          <w:rPr>
            <w:rFonts w:ascii="Times New Roman" w:eastAsia="Times New Roman" w:hAnsi="Times New Roman" w:cs="Times New Roman"/>
            <w:sz w:val="24"/>
            <w:szCs w:val="24"/>
            <w:u w:val="single"/>
          </w:rPr>
          <w:t>https://doi.org/10.1007/s12571-022-01257-0</w:t>
        </w:r>
      </w:hyperlink>
    </w:p>
    <w:p w14:paraId="03608124"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222222"/>
          <w:sz w:val="24"/>
          <w:szCs w:val="24"/>
          <w:shd w:val="clear" w:color="auto" w:fill="FFFFFF"/>
        </w:rPr>
        <w:t>Adundo</w:t>
      </w:r>
      <w:proofErr w:type="spellEnd"/>
      <w:r w:rsidRPr="006A1B29">
        <w:rPr>
          <w:rFonts w:ascii="Times New Roman" w:eastAsia="Times New Roman" w:hAnsi="Times New Roman" w:cs="Times New Roman"/>
          <w:color w:val="222222"/>
          <w:sz w:val="24"/>
          <w:szCs w:val="24"/>
          <w:shd w:val="clear" w:color="auto" w:fill="FFFFFF"/>
        </w:rPr>
        <w:t xml:space="preserve">, L.A., </w:t>
      </w:r>
      <w:proofErr w:type="spellStart"/>
      <w:r w:rsidRPr="006A1B29">
        <w:rPr>
          <w:rFonts w:ascii="Times New Roman" w:eastAsia="Times New Roman" w:hAnsi="Times New Roman" w:cs="Times New Roman"/>
          <w:color w:val="222222"/>
          <w:sz w:val="24"/>
          <w:szCs w:val="24"/>
          <w:shd w:val="clear" w:color="auto" w:fill="FFFFFF"/>
        </w:rPr>
        <w:t>Annys</w:t>
      </w:r>
      <w:proofErr w:type="spellEnd"/>
      <w:r w:rsidRPr="006A1B29">
        <w:rPr>
          <w:rFonts w:ascii="Times New Roman" w:eastAsia="Times New Roman" w:hAnsi="Times New Roman" w:cs="Times New Roman"/>
          <w:color w:val="222222"/>
          <w:sz w:val="24"/>
          <w:szCs w:val="24"/>
          <w:shd w:val="clear" w:color="auto" w:fill="FFFFFF"/>
        </w:rPr>
        <w:t xml:space="preserve">, S. Assessing Market Food Diversity of Three Food Environments of Nairobi, Kenya, Using Spatial and Descriptive Analyses. </w:t>
      </w:r>
      <w:r w:rsidRPr="006A1B29">
        <w:rPr>
          <w:rFonts w:ascii="Times New Roman" w:eastAsia="Times New Roman" w:hAnsi="Times New Roman" w:cs="Times New Roman"/>
          <w:i/>
          <w:iCs/>
          <w:color w:val="222222"/>
          <w:sz w:val="24"/>
          <w:szCs w:val="24"/>
          <w:shd w:val="clear" w:color="auto" w:fill="FFFFFF"/>
        </w:rPr>
        <w:t>J Urban Health</w:t>
      </w:r>
      <w:r w:rsidRPr="006A1B29">
        <w:rPr>
          <w:rFonts w:ascii="Times New Roman" w:eastAsia="Times New Roman" w:hAnsi="Times New Roman" w:cs="Times New Roman"/>
          <w:color w:val="222222"/>
          <w:sz w:val="24"/>
          <w:szCs w:val="24"/>
          <w:shd w:val="clear" w:color="auto" w:fill="FFFFFF"/>
        </w:rPr>
        <w:t xml:space="preserve"> (2025).</w:t>
      </w:r>
      <w:hyperlink r:id="rId10" w:history="1">
        <w:r w:rsidRPr="006A1B29">
          <w:rPr>
            <w:rFonts w:ascii="Times New Roman" w:eastAsia="Times New Roman" w:hAnsi="Times New Roman" w:cs="Times New Roman"/>
            <w:color w:val="222222"/>
            <w:sz w:val="24"/>
            <w:szCs w:val="24"/>
          </w:rPr>
          <w:t xml:space="preserve"> </w:t>
        </w:r>
        <w:r w:rsidRPr="006A1B29">
          <w:rPr>
            <w:rFonts w:ascii="Times New Roman" w:eastAsia="Times New Roman" w:hAnsi="Times New Roman" w:cs="Times New Roman"/>
            <w:sz w:val="24"/>
            <w:szCs w:val="24"/>
            <w:u w:val="single"/>
          </w:rPr>
          <w:t>https://doi.org/10.1007/s11524-025-00999-4</w:t>
        </w:r>
      </w:hyperlink>
    </w:p>
    <w:p w14:paraId="284705F7"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333333"/>
          <w:sz w:val="24"/>
          <w:szCs w:val="24"/>
          <w:shd w:val="clear" w:color="auto" w:fill="FFFFFF"/>
        </w:rPr>
        <w:t>Alawode</w:t>
      </w:r>
      <w:proofErr w:type="spellEnd"/>
      <w:r w:rsidRPr="006A1B29">
        <w:rPr>
          <w:rFonts w:ascii="Times New Roman" w:eastAsia="Times New Roman" w:hAnsi="Times New Roman" w:cs="Times New Roman"/>
          <w:color w:val="333333"/>
          <w:sz w:val="24"/>
          <w:szCs w:val="24"/>
          <w:shd w:val="clear" w:color="auto" w:fill="FFFFFF"/>
        </w:rPr>
        <w:t xml:space="preserve">, O. W., &amp;Tabit, F. T. (2025). An investigation of the food safety knowledge of the street-food vendors in Oyo State, Nigeria. </w:t>
      </w:r>
      <w:r w:rsidRPr="006A1B29">
        <w:rPr>
          <w:rFonts w:ascii="Times New Roman" w:eastAsia="Times New Roman" w:hAnsi="Times New Roman" w:cs="Times New Roman"/>
          <w:i/>
          <w:iCs/>
          <w:color w:val="333333"/>
          <w:sz w:val="24"/>
          <w:szCs w:val="24"/>
          <w:shd w:val="clear" w:color="auto" w:fill="FFFFFF"/>
        </w:rPr>
        <w:t>Cogent Food &amp; Agriculture</w:t>
      </w:r>
      <w:r w:rsidRPr="006A1B29">
        <w:rPr>
          <w:rFonts w:ascii="Times New Roman" w:eastAsia="Times New Roman" w:hAnsi="Times New Roman" w:cs="Times New Roman"/>
          <w:color w:val="333333"/>
          <w:sz w:val="24"/>
          <w:szCs w:val="24"/>
          <w:shd w:val="clear" w:color="auto" w:fill="FFFFFF"/>
        </w:rPr>
        <w:t xml:space="preserve">, </w:t>
      </w:r>
      <w:r w:rsidRPr="006A1B29">
        <w:rPr>
          <w:rFonts w:ascii="Times New Roman" w:eastAsia="Times New Roman" w:hAnsi="Times New Roman" w:cs="Times New Roman"/>
          <w:i/>
          <w:iCs/>
          <w:color w:val="333333"/>
          <w:sz w:val="24"/>
          <w:szCs w:val="24"/>
          <w:shd w:val="clear" w:color="auto" w:fill="FFFFFF"/>
        </w:rPr>
        <w:t>11</w:t>
      </w:r>
      <w:r w:rsidRPr="006A1B29">
        <w:rPr>
          <w:rFonts w:ascii="Times New Roman" w:eastAsia="Times New Roman" w:hAnsi="Times New Roman" w:cs="Times New Roman"/>
          <w:color w:val="333333"/>
          <w:sz w:val="24"/>
          <w:szCs w:val="24"/>
          <w:shd w:val="clear" w:color="auto" w:fill="FFFFFF"/>
        </w:rPr>
        <w:t>(1).</w:t>
      </w:r>
      <w:hyperlink r:id="rId11" w:history="1">
        <w:r w:rsidRPr="006A1B29">
          <w:rPr>
            <w:rFonts w:ascii="Times New Roman" w:eastAsia="Times New Roman" w:hAnsi="Times New Roman" w:cs="Times New Roman"/>
            <w:color w:val="333333"/>
            <w:sz w:val="24"/>
            <w:szCs w:val="24"/>
          </w:rPr>
          <w:t xml:space="preserve"> </w:t>
        </w:r>
        <w:r w:rsidRPr="006A1B29">
          <w:rPr>
            <w:rFonts w:ascii="Times New Roman" w:eastAsia="Times New Roman" w:hAnsi="Times New Roman" w:cs="Times New Roman"/>
            <w:sz w:val="24"/>
            <w:szCs w:val="24"/>
            <w:u w:val="single"/>
          </w:rPr>
          <w:t>https://doi.org/10.1080/23311932.2025.2559975</w:t>
        </w:r>
      </w:hyperlink>
    </w:p>
    <w:p w14:paraId="47BC9DEF"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1B1B1B"/>
          <w:sz w:val="24"/>
          <w:szCs w:val="24"/>
          <w:shd w:val="clear" w:color="auto" w:fill="FFFFFF"/>
        </w:rPr>
        <w:t>Anwar, F</w:t>
      </w:r>
      <w:proofErr w:type="gramStart"/>
      <w:r w:rsidRPr="006A1B29">
        <w:rPr>
          <w:rFonts w:ascii="Times New Roman" w:eastAsia="Times New Roman" w:hAnsi="Times New Roman" w:cs="Times New Roman"/>
          <w:color w:val="1B1B1B"/>
          <w:sz w:val="24"/>
          <w:szCs w:val="24"/>
          <w:shd w:val="clear" w:color="auto" w:fill="FFFFFF"/>
        </w:rPr>
        <w:t>,Y</w:t>
      </w:r>
      <w:proofErr w:type="gramEnd"/>
      <w:r w:rsidRPr="006A1B29">
        <w:rPr>
          <w:rFonts w:ascii="Times New Roman" w:eastAsia="Times New Roman" w:hAnsi="Times New Roman" w:cs="Times New Roman"/>
          <w:color w:val="1B1B1B"/>
          <w:sz w:val="24"/>
          <w:szCs w:val="24"/>
          <w:shd w:val="clear" w:color="auto" w:fill="FFFFFF"/>
        </w:rPr>
        <w:t xml:space="preserve">., Karno, K. (2024). </w:t>
      </w:r>
      <w:r w:rsidRPr="006A1B29">
        <w:rPr>
          <w:rFonts w:ascii="Times New Roman" w:eastAsia="Times New Roman" w:hAnsi="Times New Roman" w:cs="Times New Roman"/>
          <w:i/>
          <w:iCs/>
          <w:color w:val="1B1B1B"/>
          <w:sz w:val="24"/>
          <w:szCs w:val="24"/>
          <w:shd w:val="clear" w:color="auto" w:fill="FFFFFF"/>
        </w:rPr>
        <w:t>The role of street vendors in local economic development: Exploring their contribution to regional economy</w:t>
      </w:r>
      <w:r w:rsidRPr="006A1B29">
        <w:rPr>
          <w:rFonts w:ascii="Times New Roman" w:eastAsia="Times New Roman" w:hAnsi="Times New Roman" w:cs="Times New Roman"/>
          <w:color w:val="1B1B1B"/>
          <w:sz w:val="24"/>
          <w:szCs w:val="24"/>
          <w:shd w:val="clear" w:color="auto" w:fill="FFFFFF"/>
        </w:rPr>
        <w:t xml:space="preserve">. </w:t>
      </w:r>
      <w:r w:rsidRPr="006A1B29">
        <w:rPr>
          <w:rFonts w:ascii="Times New Roman" w:eastAsia="Times New Roman" w:hAnsi="Times New Roman" w:cs="Times New Roman"/>
          <w:i/>
          <w:iCs/>
          <w:color w:val="1B1B1B"/>
          <w:sz w:val="24"/>
          <w:szCs w:val="24"/>
          <w:shd w:val="clear" w:color="auto" w:fill="FFFFFF"/>
        </w:rPr>
        <w:t>International Journal of Scientific Research, 13</w:t>
      </w:r>
      <w:r w:rsidRPr="006A1B29">
        <w:rPr>
          <w:rFonts w:ascii="Times New Roman" w:eastAsia="Times New Roman" w:hAnsi="Times New Roman" w:cs="Times New Roman"/>
          <w:color w:val="1B1B1B"/>
          <w:sz w:val="24"/>
          <w:szCs w:val="24"/>
          <w:shd w:val="clear" w:color="auto" w:fill="FFFFFF"/>
        </w:rPr>
        <w:t>(4), 45–54.</w:t>
      </w:r>
      <w:hyperlink r:id="rId12" w:history="1">
        <w:r w:rsidRPr="006A1B29">
          <w:rPr>
            <w:rFonts w:ascii="Times New Roman" w:eastAsia="Times New Roman" w:hAnsi="Times New Roman" w:cs="Times New Roman"/>
            <w:sz w:val="24"/>
            <w:szCs w:val="24"/>
            <w:u w:val="single"/>
          </w:rPr>
          <w:t>https://ijsr.internationaljournallabs.com/index.php/ijsr/article/download/2328/1334/12002</w:t>
        </w:r>
      </w:hyperlink>
    </w:p>
    <w:p w14:paraId="2A03C56C"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lastRenderedPageBreak/>
        <w:t xml:space="preserve">Anwar, F. Y., &amp;Karno, K. (2024). The role of street vendors in local economic development: Exploring their contribution to regional economy. </w:t>
      </w:r>
      <w:r w:rsidRPr="006A1B29">
        <w:rPr>
          <w:rFonts w:ascii="Times New Roman" w:eastAsia="Times New Roman" w:hAnsi="Times New Roman" w:cs="Times New Roman"/>
          <w:i/>
          <w:iCs/>
          <w:color w:val="000000"/>
          <w:sz w:val="24"/>
          <w:szCs w:val="24"/>
          <w:shd w:val="clear" w:color="auto" w:fill="FFFFFF"/>
        </w:rPr>
        <w:t>Journal of Social Research, 4</w:t>
      </w:r>
      <w:r w:rsidRPr="006A1B29">
        <w:rPr>
          <w:rFonts w:ascii="Times New Roman" w:eastAsia="Times New Roman" w:hAnsi="Times New Roman" w:cs="Times New Roman"/>
          <w:color w:val="000000"/>
          <w:sz w:val="24"/>
          <w:szCs w:val="24"/>
          <w:shd w:val="clear" w:color="auto" w:fill="FFFFFF"/>
        </w:rPr>
        <w:t>(1).</w:t>
      </w:r>
      <w:hyperlink r:id="rId13" w:history="1">
        <w:r w:rsidRPr="006A1B29">
          <w:rPr>
            <w:rFonts w:ascii="Times New Roman" w:eastAsia="Times New Roman" w:hAnsi="Times New Roman" w:cs="Times New Roman"/>
            <w:sz w:val="24"/>
            <w:szCs w:val="24"/>
            <w:u w:val="single"/>
          </w:rPr>
          <w:t>https://doi.org/10.55324/josr.v4i1.2328</w:t>
        </w:r>
      </w:hyperlink>
    </w:p>
    <w:p w14:paraId="6DB993C7"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Azahar, N. S. H., &amp; Abu Rahim, M. A. R. (2025, April 30). </w:t>
      </w:r>
      <w:r w:rsidRPr="006A1B29">
        <w:rPr>
          <w:rFonts w:ascii="Times New Roman" w:eastAsia="Times New Roman" w:hAnsi="Times New Roman" w:cs="Times New Roman"/>
          <w:i/>
          <w:iCs/>
          <w:color w:val="000000"/>
          <w:sz w:val="24"/>
          <w:szCs w:val="24"/>
          <w:shd w:val="clear" w:color="auto" w:fill="FFFFFF"/>
        </w:rPr>
        <w:t>Why night markets matter</w:t>
      </w:r>
      <w:proofErr w:type="gramStart"/>
      <w:r w:rsidRPr="006A1B29">
        <w:rPr>
          <w:rFonts w:ascii="Times New Roman" w:eastAsia="Times New Roman" w:hAnsi="Times New Roman" w:cs="Times New Roman"/>
          <w:i/>
          <w:iCs/>
          <w:color w:val="000000"/>
          <w:sz w:val="24"/>
          <w:szCs w:val="24"/>
          <w:shd w:val="clear" w:color="auto" w:fill="FFFFFF"/>
        </w:rPr>
        <w:t>?:</w:t>
      </w:r>
      <w:proofErr w:type="gramEnd"/>
      <w:r w:rsidRPr="006A1B29">
        <w:rPr>
          <w:rFonts w:ascii="Times New Roman" w:eastAsia="Times New Roman" w:hAnsi="Times New Roman" w:cs="Times New Roman"/>
          <w:i/>
          <w:iCs/>
          <w:color w:val="000000"/>
          <w:sz w:val="24"/>
          <w:szCs w:val="24"/>
          <w:shd w:val="clear" w:color="auto" w:fill="FFFFFF"/>
        </w:rPr>
        <w:t xml:space="preserve"> A review of literature</w:t>
      </w:r>
      <w:r w:rsidRPr="006A1B29">
        <w:rPr>
          <w:rFonts w:ascii="Times New Roman" w:eastAsia="Times New Roman" w:hAnsi="Times New Roman" w:cs="Times New Roman"/>
          <w:color w:val="000000"/>
          <w:sz w:val="24"/>
          <w:szCs w:val="24"/>
          <w:shd w:val="clear" w:color="auto" w:fill="FFFFFF"/>
        </w:rPr>
        <w:t xml:space="preserve"> (KRI Discussion Paper 2/25). Khazanah Research Institute.</w:t>
      </w:r>
      <w:hyperlink r:id="rId14" w:history="1">
        <w:r w:rsidRPr="006A1B29">
          <w:rPr>
            <w:rFonts w:ascii="Times New Roman" w:eastAsia="Times New Roman" w:hAnsi="Times New Roman" w:cs="Times New Roman"/>
            <w:sz w:val="24"/>
            <w:szCs w:val="24"/>
            <w:u w:val="single"/>
          </w:rPr>
          <w:t>https://krinstitute.org/assets/contentMS/img/template/editor/NEXUS_DP2%20Literature%20Review%20on%20Night%20Markets%20FINAL.pdf</w:t>
        </w:r>
      </w:hyperlink>
    </w:p>
    <w:p w14:paraId="03672771"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rPr>
        <w:t>Bara-</w:t>
      </w:r>
      <w:proofErr w:type="spellStart"/>
      <w:r w:rsidRPr="006A1B29">
        <w:rPr>
          <w:rFonts w:ascii="Times New Roman" w:eastAsia="Times New Roman" w:hAnsi="Times New Roman" w:cs="Times New Roman"/>
          <w:color w:val="000000"/>
          <w:sz w:val="24"/>
          <w:szCs w:val="24"/>
        </w:rPr>
        <w:t>Labitad</w:t>
      </w:r>
      <w:proofErr w:type="spellEnd"/>
      <w:r w:rsidRPr="006A1B29">
        <w:rPr>
          <w:rFonts w:ascii="Times New Roman" w:eastAsia="Times New Roman" w:hAnsi="Times New Roman" w:cs="Times New Roman"/>
          <w:color w:val="000000"/>
          <w:sz w:val="24"/>
          <w:szCs w:val="24"/>
        </w:rPr>
        <w:t xml:space="preserve">, J. (2025). Street vendors’ stories: Informal borrowing practices and implications on business. </w:t>
      </w:r>
      <w:r w:rsidRPr="006A1B29">
        <w:rPr>
          <w:rFonts w:ascii="Times New Roman" w:eastAsia="Times New Roman" w:hAnsi="Times New Roman" w:cs="Times New Roman"/>
          <w:i/>
          <w:iCs/>
          <w:color w:val="000000"/>
          <w:sz w:val="24"/>
          <w:szCs w:val="24"/>
        </w:rPr>
        <w:t>American Journal of Social Development and Entrepreneurship, 4</w:t>
      </w:r>
      <w:r w:rsidRPr="006A1B29">
        <w:rPr>
          <w:rFonts w:ascii="Times New Roman" w:eastAsia="Times New Roman" w:hAnsi="Times New Roman" w:cs="Times New Roman"/>
          <w:color w:val="000000"/>
          <w:sz w:val="24"/>
          <w:szCs w:val="24"/>
        </w:rPr>
        <w:t>(1), 20–32.</w:t>
      </w:r>
      <w:hyperlink r:id="rId15" w:history="1">
        <w:r w:rsidRPr="006A1B29">
          <w:rPr>
            <w:rFonts w:ascii="Times New Roman" w:eastAsia="Times New Roman" w:hAnsi="Times New Roman" w:cs="Times New Roman"/>
            <w:sz w:val="24"/>
            <w:szCs w:val="24"/>
            <w:u w:val="single"/>
          </w:rPr>
          <w:t>https://doi.org/10.54536/ajsde.v4i1.4552</w:t>
        </w:r>
      </w:hyperlink>
    </w:p>
    <w:p w14:paraId="2760CE21"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Candidato</w:t>
      </w:r>
      <w:proofErr w:type="spellEnd"/>
      <w:r w:rsidRPr="006A1B29">
        <w:rPr>
          <w:rFonts w:ascii="Times New Roman" w:eastAsia="Times New Roman" w:hAnsi="Times New Roman" w:cs="Times New Roman"/>
          <w:color w:val="000000"/>
          <w:sz w:val="24"/>
          <w:szCs w:val="24"/>
        </w:rPr>
        <w:t xml:space="preserve">, C. C., Villanueva, A. A., </w:t>
      </w:r>
      <w:proofErr w:type="spellStart"/>
      <w:r w:rsidRPr="006A1B29">
        <w:rPr>
          <w:rFonts w:ascii="Times New Roman" w:eastAsia="Times New Roman" w:hAnsi="Times New Roman" w:cs="Times New Roman"/>
          <w:color w:val="000000"/>
          <w:sz w:val="24"/>
          <w:szCs w:val="24"/>
        </w:rPr>
        <w:t>Dablos</w:t>
      </w:r>
      <w:proofErr w:type="spellEnd"/>
      <w:r w:rsidRPr="006A1B29">
        <w:rPr>
          <w:rFonts w:ascii="Times New Roman" w:eastAsia="Times New Roman" w:hAnsi="Times New Roman" w:cs="Times New Roman"/>
          <w:color w:val="000000"/>
          <w:sz w:val="24"/>
          <w:szCs w:val="24"/>
        </w:rPr>
        <w:t xml:space="preserve">, V. L. Jr., </w:t>
      </w:r>
      <w:proofErr w:type="spellStart"/>
      <w:r w:rsidRPr="006A1B29">
        <w:rPr>
          <w:rFonts w:ascii="Times New Roman" w:eastAsia="Times New Roman" w:hAnsi="Times New Roman" w:cs="Times New Roman"/>
          <w:color w:val="000000"/>
          <w:sz w:val="24"/>
          <w:szCs w:val="24"/>
        </w:rPr>
        <w:t>Manlapas</w:t>
      </w:r>
      <w:proofErr w:type="spellEnd"/>
      <w:r w:rsidRPr="006A1B29">
        <w:rPr>
          <w:rFonts w:ascii="Times New Roman" w:eastAsia="Times New Roman" w:hAnsi="Times New Roman" w:cs="Times New Roman"/>
          <w:color w:val="000000"/>
          <w:sz w:val="24"/>
          <w:szCs w:val="24"/>
        </w:rPr>
        <w:t xml:space="preserve">, R. A., </w:t>
      </w:r>
      <w:proofErr w:type="spellStart"/>
      <w:r w:rsidRPr="006A1B29">
        <w:rPr>
          <w:rFonts w:ascii="Times New Roman" w:eastAsia="Times New Roman" w:hAnsi="Times New Roman" w:cs="Times New Roman"/>
          <w:color w:val="000000"/>
          <w:sz w:val="24"/>
          <w:szCs w:val="24"/>
        </w:rPr>
        <w:t>Capinig</w:t>
      </w:r>
      <w:proofErr w:type="spellEnd"/>
      <w:r w:rsidRPr="006A1B29">
        <w:rPr>
          <w:rFonts w:ascii="Times New Roman" w:eastAsia="Times New Roman" w:hAnsi="Times New Roman" w:cs="Times New Roman"/>
          <w:color w:val="000000"/>
          <w:sz w:val="24"/>
          <w:szCs w:val="24"/>
        </w:rPr>
        <w:t xml:space="preserve">, M. G., </w:t>
      </w:r>
      <w:proofErr w:type="spellStart"/>
      <w:r w:rsidRPr="006A1B29">
        <w:rPr>
          <w:rFonts w:ascii="Times New Roman" w:eastAsia="Times New Roman" w:hAnsi="Times New Roman" w:cs="Times New Roman"/>
          <w:color w:val="000000"/>
          <w:sz w:val="24"/>
          <w:szCs w:val="24"/>
        </w:rPr>
        <w:t>Tripolca</w:t>
      </w:r>
      <w:proofErr w:type="spellEnd"/>
      <w:r w:rsidRPr="006A1B29">
        <w:rPr>
          <w:rFonts w:ascii="Times New Roman" w:eastAsia="Times New Roman" w:hAnsi="Times New Roman" w:cs="Times New Roman"/>
          <w:color w:val="000000"/>
          <w:sz w:val="24"/>
          <w:szCs w:val="24"/>
        </w:rPr>
        <w:t xml:space="preserve">, S. M., Bello, C. B., &amp; Francisco, C. A. (2023). </w:t>
      </w:r>
      <w:r w:rsidRPr="006A1B29">
        <w:rPr>
          <w:rFonts w:ascii="Times New Roman" w:eastAsia="Times New Roman" w:hAnsi="Times New Roman" w:cs="Times New Roman"/>
          <w:i/>
          <w:iCs/>
          <w:color w:val="000000"/>
          <w:sz w:val="24"/>
          <w:szCs w:val="24"/>
        </w:rPr>
        <w:t>A descriptive study of expenses and daily incomes of street vendors in the municipality of Baleno</w:t>
      </w:r>
      <w:r w:rsidRPr="006A1B29">
        <w:rPr>
          <w:rFonts w:ascii="Times New Roman" w:eastAsia="Times New Roman" w:hAnsi="Times New Roman" w:cs="Times New Roman"/>
          <w:color w:val="000000"/>
          <w:sz w:val="24"/>
          <w:szCs w:val="24"/>
        </w:rPr>
        <w:t>. Baleno National High School.</w:t>
      </w:r>
      <w:hyperlink r:id="rId16" w:history="1">
        <w:r w:rsidRPr="006A1B29">
          <w:rPr>
            <w:rFonts w:ascii="Times New Roman" w:eastAsia="Times New Roman" w:hAnsi="Times New Roman" w:cs="Times New Roman"/>
            <w:sz w:val="24"/>
            <w:szCs w:val="24"/>
            <w:u w:val="single"/>
          </w:rPr>
          <w:t>https://www.scribd.com/document/697952690/Expenses-and-income-of-street-vendors</w:t>
        </w:r>
      </w:hyperlink>
    </w:p>
    <w:p w14:paraId="47D084A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Carel</w:t>
      </w:r>
      <w:proofErr w:type="gramStart"/>
      <w:r w:rsidRPr="006A1B29">
        <w:rPr>
          <w:rFonts w:ascii="Times New Roman" w:eastAsia="Times New Roman" w:hAnsi="Times New Roman" w:cs="Times New Roman"/>
          <w:color w:val="000000"/>
          <w:sz w:val="24"/>
          <w:szCs w:val="24"/>
        </w:rPr>
        <w:t>,S,M</w:t>
      </w:r>
      <w:proofErr w:type="spellEnd"/>
      <w:proofErr w:type="gramEnd"/>
      <w:r w:rsidRPr="006A1B29">
        <w:rPr>
          <w:rFonts w:ascii="Times New Roman" w:eastAsia="Times New Roman" w:hAnsi="Times New Roman" w:cs="Times New Roman"/>
          <w:color w:val="000000"/>
          <w:sz w:val="24"/>
          <w:szCs w:val="24"/>
        </w:rPr>
        <w:t xml:space="preserve">., </w:t>
      </w:r>
      <w:proofErr w:type="spellStart"/>
      <w:r w:rsidRPr="006A1B29">
        <w:rPr>
          <w:rFonts w:ascii="Times New Roman" w:eastAsia="Times New Roman" w:hAnsi="Times New Roman" w:cs="Times New Roman"/>
          <w:color w:val="000000"/>
          <w:sz w:val="24"/>
          <w:szCs w:val="24"/>
        </w:rPr>
        <w:t>Maraya</w:t>
      </w:r>
      <w:proofErr w:type="spellEnd"/>
      <w:r w:rsidRPr="006A1B29">
        <w:rPr>
          <w:rFonts w:ascii="Times New Roman" w:eastAsia="Times New Roman" w:hAnsi="Times New Roman" w:cs="Times New Roman"/>
          <w:color w:val="000000"/>
          <w:sz w:val="24"/>
          <w:szCs w:val="24"/>
        </w:rPr>
        <w:t>, F,B.,</w:t>
      </w:r>
      <w:proofErr w:type="spellStart"/>
      <w:r w:rsidRPr="006A1B29">
        <w:rPr>
          <w:rFonts w:ascii="Times New Roman" w:eastAsia="Times New Roman" w:hAnsi="Times New Roman" w:cs="Times New Roman"/>
          <w:color w:val="000000"/>
          <w:sz w:val="24"/>
          <w:szCs w:val="24"/>
        </w:rPr>
        <w:t>Torreros,M</w:t>
      </w:r>
      <w:proofErr w:type="spellEnd"/>
      <w:r w:rsidRPr="006A1B29">
        <w:rPr>
          <w:rFonts w:ascii="Times New Roman" w:eastAsia="Times New Roman" w:hAnsi="Times New Roman" w:cs="Times New Roman"/>
          <w:color w:val="000000"/>
          <w:sz w:val="24"/>
          <w:szCs w:val="24"/>
        </w:rPr>
        <w:t xml:space="preserve">. (2024). </w:t>
      </w:r>
      <w:r w:rsidRPr="006A1B29">
        <w:rPr>
          <w:rFonts w:ascii="Times New Roman" w:eastAsia="Times New Roman" w:hAnsi="Times New Roman" w:cs="Times New Roman"/>
          <w:i/>
          <w:iCs/>
          <w:color w:val="000000"/>
          <w:sz w:val="24"/>
          <w:szCs w:val="24"/>
        </w:rPr>
        <w:t>A Phenomenological Study of Street Vending in Downtown Area, Tacloban City</w:t>
      </w:r>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i/>
          <w:iCs/>
          <w:color w:val="000000"/>
          <w:sz w:val="24"/>
          <w:szCs w:val="24"/>
        </w:rPr>
        <w:t>International Journal of Social Science and Human Research, 7</w:t>
      </w:r>
      <w:r w:rsidRPr="006A1B29">
        <w:rPr>
          <w:rFonts w:ascii="Times New Roman" w:eastAsia="Times New Roman" w:hAnsi="Times New Roman" w:cs="Times New Roman"/>
          <w:color w:val="000000"/>
          <w:sz w:val="24"/>
          <w:szCs w:val="24"/>
        </w:rPr>
        <w:t>(10), 7440–7446. https://ijsshr.in/v7i10/11.php</w:t>
      </w:r>
    </w:p>
    <w:p w14:paraId="104A38DD" w14:textId="1FE65ACE"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Giroux, S., </w:t>
      </w:r>
      <w:proofErr w:type="spellStart"/>
      <w:r w:rsidRPr="006A1B29">
        <w:rPr>
          <w:rFonts w:ascii="Times New Roman" w:eastAsia="Times New Roman" w:hAnsi="Times New Roman" w:cs="Times New Roman"/>
          <w:color w:val="000000"/>
          <w:sz w:val="24"/>
          <w:szCs w:val="24"/>
          <w:shd w:val="clear" w:color="auto" w:fill="FFFFFF"/>
        </w:rPr>
        <w:t>Blekking</w:t>
      </w:r>
      <w:proofErr w:type="spellEnd"/>
      <w:r w:rsidRPr="006A1B29">
        <w:rPr>
          <w:rFonts w:ascii="Times New Roman" w:eastAsia="Times New Roman" w:hAnsi="Times New Roman" w:cs="Times New Roman"/>
          <w:color w:val="000000"/>
          <w:sz w:val="24"/>
          <w:szCs w:val="24"/>
          <w:shd w:val="clear" w:color="auto" w:fill="FFFFFF"/>
        </w:rPr>
        <w:t xml:space="preserve">, J., Waldman, K., Resnick, D., &amp;Fobi, D. (2021). Informal vendors and food systems planning in an emerging African city. </w:t>
      </w:r>
      <w:r w:rsidRPr="006A1B29">
        <w:rPr>
          <w:rFonts w:ascii="Times New Roman" w:eastAsia="Times New Roman" w:hAnsi="Times New Roman" w:cs="Times New Roman"/>
          <w:i/>
          <w:iCs/>
          <w:color w:val="000000"/>
          <w:sz w:val="24"/>
          <w:szCs w:val="24"/>
          <w:shd w:val="clear" w:color="auto" w:fill="FFFFFF"/>
        </w:rPr>
        <w:t>Food Policy, 103</w:t>
      </w:r>
      <w:r w:rsidRPr="006A1B29">
        <w:rPr>
          <w:rFonts w:ascii="Times New Roman" w:eastAsia="Times New Roman" w:hAnsi="Times New Roman" w:cs="Times New Roman"/>
          <w:color w:val="000000"/>
          <w:sz w:val="24"/>
          <w:szCs w:val="24"/>
          <w:shd w:val="clear" w:color="auto" w:fill="FFFFFF"/>
        </w:rPr>
        <w:t>, Article 101997.</w:t>
      </w:r>
      <w:hyperlink r:id="rId17" w:history="1">
        <w:r w:rsidRPr="006A1B29">
          <w:rPr>
            <w:rFonts w:ascii="Times New Roman" w:eastAsia="Times New Roman" w:hAnsi="Times New Roman" w:cs="Times New Roman"/>
            <w:sz w:val="24"/>
            <w:szCs w:val="24"/>
            <w:u w:val="single"/>
          </w:rPr>
          <w:t>https://doi.org/10.1016/j.foodpol.2020.101997</w:t>
        </w:r>
      </w:hyperlink>
    </w:p>
    <w:p w14:paraId="0A7425D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1B1B1B"/>
          <w:sz w:val="24"/>
          <w:szCs w:val="24"/>
          <w:shd w:val="clear" w:color="auto" w:fill="FFFFFF"/>
        </w:rPr>
        <w:t>Harahap</w:t>
      </w:r>
      <w:proofErr w:type="spellEnd"/>
      <w:r w:rsidRPr="006A1B29">
        <w:rPr>
          <w:rFonts w:ascii="Times New Roman" w:eastAsia="Times New Roman" w:hAnsi="Times New Roman" w:cs="Times New Roman"/>
          <w:color w:val="1B1B1B"/>
          <w:sz w:val="24"/>
          <w:szCs w:val="24"/>
          <w:shd w:val="clear" w:color="auto" w:fill="FFFFFF"/>
        </w:rPr>
        <w:t xml:space="preserve">, S. P. A., </w:t>
      </w:r>
      <w:proofErr w:type="spellStart"/>
      <w:r w:rsidRPr="006A1B29">
        <w:rPr>
          <w:rFonts w:ascii="Times New Roman" w:eastAsia="Times New Roman" w:hAnsi="Times New Roman" w:cs="Times New Roman"/>
          <w:color w:val="1B1B1B"/>
          <w:sz w:val="24"/>
          <w:szCs w:val="24"/>
          <w:shd w:val="clear" w:color="auto" w:fill="FFFFFF"/>
        </w:rPr>
        <w:t>Soeroso</w:t>
      </w:r>
      <w:proofErr w:type="spellEnd"/>
      <w:r w:rsidRPr="006A1B29">
        <w:rPr>
          <w:rFonts w:ascii="Times New Roman" w:eastAsia="Times New Roman" w:hAnsi="Times New Roman" w:cs="Times New Roman"/>
          <w:color w:val="1B1B1B"/>
          <w:sz w:val="24"/>
          <w:szCs w:val="24"/>
          <w:shd w:val="clear" w:color="auto" w:fill="FFFFFF"/>
        </w:rPr>
        <w:t xml:space="preserve">, N. N., </w:t>
      </w:r>
      <w:proofErr w:type="spellStart"/>
      <w:r w:rsidRPr="006A1B29">
        <w:rPr>
          <w:rFonts w:ascii="Times New Roman" w:eastAsia="Times New Roman" w:hAnsi="Times New Roman" w:cs="Times New Roman"/>
          <w:color w:val="1B1B1B"/>
          <w:sz w:val="24"/>
          <w:szCs w:val="24"/>
          <w:shd w:val="clear" w:color="auto" w:fill="FFFFFF"/>
        </w:rPr>
        <w:t>Tarigan</w:t>
      </w:r>
      <w:proofErr w:type="spellEnd"/>
      <w:r w:rsidRPr="006A1B29">
        <w:rPr>
          <w:rFonts w:ascii="Times New Roman" w:eastAsia="Times New Roman" w:hAnsi="Times New Roman" w:cs="Times New Roman"/>
          <w:color w:val="1B1B1B"/>
          <w:sz w:val="24"/>
          <w:szCs w:val="24"/>
          <w:shd w:val="clear" w:color="auto" w:fill="FFFFFF"/>
        </w:rPr>
        <w:t xml:space="preserve">, S. P., Nainggolan, N., &amp; Mutiara, E. (2022). The Difference in Carboxyhemoglobin Levels in Blood between Grilled and Non-grilled Food Vendors in Medan, Indonesia. </w:t>
      </w:r>
      <w:r w:rsidRPr="006A1B29">
        <w:rPr>
          <w:rFonts w:ascii="Times New Roman" w:eastAsia="Times New Roman" w:hAnsi="Times New Roman" w:cs="Times New Roman"/>
          <w:i/>
          <w:iCs/>
          <w:color w:val="1B1B1B"/>
          <w:sz w:val="24"/>
          <w:szCs w:val="24"/>
          <w:shd w:val="clear" w:color="auto" w:fill="FFFFFF"/>
        </w:rPr>
        <w:t>Open Access Macedonian Journal of Medical Sciences</w:t>
      </w:r>
      <w:r w:rsidRPr="006A1B29">
        <w:rPr>
          <w:rFonts w:ascii="Times New Roman" w:eastAsia="Times New Roman" w:hAnsi="Times New Roman" w:cs="Times New Roman"/>
          <w:color w:val="1B1B1B"/>
          <w:sz w:val="24"/>
          <w:szCs w:val="24"/>
          <w:shd w:val="clear" w:color="auto" w:fill="FFFFFF"/>
        </w:rPr>
        <w:t xml:space="preserve">, </w:t>
      </w:r>
      <w:r w:rsidRPr="006A1B29">
        <w:rPr>
          <w:rFonts w:ascii="Times New Roman" w:eastAsia="Times New Roman" w:hAnsi="Times New Roman" w:cs="Times New Roman"/>
          <w:i/>
          <w:iCs/>
          <w:color w:val="1B1B1B"/>
          <w:sz w:val="24"/>
          <w:szCs w:val="24"/>
          <w:shd w:val="clear" w:color="auto" w:fill="FFFFFF"/>
        </w:rPr>
        <w:t>10</w:t>
      </w:r>
      <w:r w:rsidRPr="006A1B29">
        <w:rPr>
          <w:rFonts w:ascii="Times New Roman" w:eastAsia="Times New Roman" w:hAnsi="Times New Roman" w:cs="Times New Roman"/>
          <w:color w:val="1B1B1B"/>
          <w:sz w:val="24"/>
          <w:szCs w:val="24"/>
          <w:shd w:val="clear" w:color="auto" w:fill="FFFFFF"/>
        </w:rPr>
        <w:t>(T7), 180–184. https://doi.org/10.3889/oamjms.2022.928</w:t>
      </w:r>
    </w:p>
    <w:p w14:paraId="24DD763D"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Jornales</w:t>
      </w:r>
      <w:proofErr w:type="spellEnd"/>
      <w:r w:rsidRPr="006A1B29">
        <w:rPr>
          <w:rFonts w:ascii="Times New Roman" w:eastAsia="Times New Roman" w:hAnsi="Times New Roman" w:cs="Times New Roman"/>
          <w:color w:val="000000"/>
          <w:sz w:val="24"/>
          <w:szCs w:val="24"/>
          <w:shd w:val="clear" w:color="auto" w:fill="FFFFFF"/>
        </w:rPr>
        <w:t xml:space="preserve">, J. R., </w:t>
      </w:r>
      <w:proofErr w:type="spellStart"/>
      <w:r w:rsidRPr="006A1B29">
        <w:rPr>
          <w:rFonts w:ascii="Times New Roman" w:eastAsia="Times New Roman" w:hAnsi="Times New Roman" w:cs="Times New Roman"/>
          <w:color w:val="000000"/>
          <w:sz w:val="24"/>
          <w:szCs w:val="24"/>
          <w:shd w:val="clear" w:color="auto" w:fill="FFFFFF"/>
        </w:rPr>
        <w:t>Hoylar</w:t>
      </w:r>
      <w:proofErr w:type="spellEnd"/>
      <w:r w:rsidRPr="006A1B29">
        <w:rPr>
          <w:rFonts w:ascii="Times New Roman" w:eastAsia="Times New Roman" w:hAnsi="Times New Roman" w:cs="Times New Roman"/>
          <w:color w:val="000000"/>
          <w:sz w:val="24"/>
          <w:szCs w:val="24"/>
          <w:shd w:val="clear" w:color="auto" w:fill="FFFFFF"/>
        </w:rPr>
        <w:t>, C. B., &amp;</w:t>
      </w:r>
      <w:proofErr w:type="spellStart"/>
      <w:r w:rsidRPr="006A1B29">
        <w:rPr>
          <w:rFonts w:ascii="Times New Roman" w:eastAsia="Times New Roman" w:hAnsi="Times New Roman" w:cs="Times New Roman"/>
          <w:color w:val="000000"/>
          <w:sz w:val="24"/>
          <w:szCs w:val="24"/>
          <w:shd w:val="clear" w:color="auto" w:fill="FFFFFF"/>
        </w:rPr>
        <w:t>Vicera</w:t>
      </w:r>
      <w:proofErr w:type="spellEnd"/>
      <w:r w:rsidRPr="006A1B29">
        <w:rPr>
          <w:rFonts w:ascii="Times New Roman" w:eastAsia="Times New Roman" w:hAnsi="Times New Roman" w:cs="Times New Roman"/>
          <w:color w:val="000000"/>
          <w:sz w:val="24"/>
          <w:szCs w:val="24"/>
          <w:shd w:val="clear" w:color="auto" w:fill="FFFFFF"/>
        </w:rPr>
        <w:t xml:space="preserve">, R. S. (2024). </w:t>
      </w:r>
      <w:r w:rsidRPr="006A1B29">
        <w:rPr>
          <w:rFonts w:ascii="Times New Roman" w:eastAsia="Times New Roman" w:hAnsi="Times New Roman" w:cs="Times New Roman"/>
          <w:i/>
          <w:iCs/>
          <w:color w:val="000000"/>
          <w:sz w:val="24"/>
          <w:szCs w:val="24"/>
          <w:shd w:val="clear" w:color="auto" w:fill="FFFFFF"/>
        </w:rPr>
        <w:t>The role of informal street vending in Philippine economic development</w:t>
      </w:r>
      <w:r w:rsidRPr="006A1B29">
        <w:rPr>
          <w:rFonts w:ascii="Times New Roman" w:eastAsia="Times New Roman" w:hAnsi="Times New Roman" w:cs="Times New Roman"/>
          <w:color w:val="000000"/>
          <w:sz w:val="24"/>
          <w:szCs w:val="24"/>
          <w:shd w:val="clear" w:color="auto" w:fill="FFFFFF"/>
        </w:rPr>
        <w:t xml:space="preserve">. </w:t>
      </w:r>
      <w:proofErr w:type="spellStart"/>
      <w:r w:rsidRPr="006A1B29">
        <w:rPr>
          <w:rFonts w:ascii="Times New Roman" w:eastAsia="Times New Roman" w:hAnsi="Times New Roman" w:cs="Times New Roman"/>
          <w:color w:val="000000"/>
          <w:sz w:val="24"/>
          <w:szCs w:val="24"/>
          <w:shd w:val="clear" w:color="auto" w:fill="FFFFFF"/>
        </w:rPr>
        <w:t>SSRN.</w:t>
      </w:r>
      <w:hyperlink r:id="rId18" w:history="1">
        <w:r w:rsidRPr="006A1B29">
          <w:rPr>
            <w:rFonts w:ascii="Times New Roman" w:eastAsia="Times New Roman" w:hAnsi="Times New Roman" w:cs="Times New Roman"/>
            <w:sz w:val="24"/>
            <w:szCs w:val="24"/>
            <w:u w:val="single"/>
          </w:rPr>
          <w:t>https</w:t>
        </w:r>
        <w:proofErr w:type="spellEnd"/>
        <w:r w:rsidRPr="006A1B29">
          <w:rPr>
            <w:rFonts w:ascii="Times New Roman" w:eastAsia="Times New Roman" w:hAnsi="Times New Roman" w:cs="Times New Roman"/>
            <w:sz w:val="24"/>
            <w:szCs w:val="24"/>
            <w:u w:val="single"/>
          </w:rPr>
          <w:t>://doi.org/10.2139/ssrn.4956994</w:t>
        </w:r>
      </w:hyperlink>
    </w:p>
    <w:p w14:paraId="5F0DCBAA"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Kakaza, N., &amp; Naude, M. J. (2025). The role and position of informal street vendors in the </w:t>
      </w:r>
      <w:proofErr w:type="spellStart"/>
      <w:r w:rsidRPr="006A1B29">
        <w:rPr>
          <w:rFonts w:ascii="Times New Roman" w:eastAsia="Times New Roman" w:hAnsi="Times New Roman" w:cs="Times New Roman"/>
          <w:color w:val="000000"/>
          <w:sz w:val="24"/>
          <w:szCs w:val="24"/>
          <w:shd w:val="clear" w:color="auto" w:fill="FFFFFF"/>
        </w:rPr>
        <w:t>Onderberg</w:t>
      </w:r>
      <w:proofErr w:type="spellEnd"/>
      <w:r w:rsidRPr="006A1B29">
        <w:rPr>
          <w:rFonts w:ascii="Times New Roman" w:eastAsia="Times New Roman" w:hAnsi="Times New Roman" w:cs="Times New Roman"/>
          <w:color w:val="000000"/>
          <w:sz w:val="24"/>
          <w:szCs w:val="24"/>
          <w:shd w:val="clear" w:color="auto" w:fill="FFFFFF"/>
        </w:rPr>
        <w:t xml:space="preserve"> district banana value chain. </w:t>
      </w:r>
      <w:proofErr w:type="spellStart"/>
      <w:r w:rsidRPr="006A1B29">
        <w:rPr>
          <w:rFonts w:ascii="Times New Roman" w:eastAsia="Times New Roman" w:hAnsi="Times New Roman" w:cs="Times New Roman"/>
          <w:i/>
          <w:iCs/>
          <w:color w:val="000000"/>
          <w:sz w:val="24"/>
          <w:szCs w:val="24"/>
          <w:shd w:val="clear" w:color="auto" w:fill="FFFFFF"/>
        </w:rPr>
        <w:t>Agrekon</w:t>
      </w:r>
      <w:proofErr w:type="spellEnd"/>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64</w:t>
      </w:r>
      <w:r w:rsidRPr="006A1B29">
        <w:rPr>
          <w:rFonts w:ascii="Times New Roman" w:eastAsia="Times New Roman" w:hAnsi="Times New Roman" w:cs="Times New Roman"/>
          <w:color w:val="000000"/>
          <w:sz w:val="24"/>
          <w:szCs w:val="24"/>
          <w:shd w:val="clear" w:color="auto" w:fill="FFFFFF"/>
        </w:rPr>
        <w:t>(1), 12–31. https://doi.org/10.1080/03031853.2024.2441142</w:t>
      </w:r>
    </w:p>
    <w:p w14:paraId="2F4B19D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Kasimba</w:t>
      </w:r>
      <w:proofErr w:type="spellEnd"/>
      <w:r w:rsidRPr="006A1B29">
        <w:rPr>
          <w:rFonts w:ascii="Times New Roman" w:eastAsia="Times New Roman" w:hAnsi="Times New Roman" w:cs="Times New Roman"/>
          <w:color w:val="000000"/>
          <w:sz w:val="24"/>
          <w:szCs w:val="24"/>
        </w:rPr>
        <w:t xml:space="preserve">, S., Covic, N., </w:t>
      </w:r>
      <w:proofErr w:type="spellStart"/>
      <w:r w:rsidRPr="006A1B29">
        <w:rPr>
          <w:rFonts w:ascii="Times New Roman" w:eastAsia="Times New Roman" w:hAnsi="Times New Roman" w:cs="Times New Roman"/>
          <w:color w:val="000000"/>
          <w:sz w:val="24"/>
          <w:szCs w:val="24"/>
        </w:rPr>
        <w:t>Motswagole</w:t>
      </w:r>
      <w:proofErr w:type="spellEnd"/>
      <w:r w:rsidRPr="006A1B29">
        <w:rPr>
          <w:rFonts w:ascii="Times New Roman" w:eastAsia="Times New Roman" w:hAnsi="Times New Roman" w:cs="Times New Roman"/>
          <w:color w:val="000000"/>
          <w:sz w:val="24"/>
          <w:szCs w:val="24"/>
        </w:rPr>
        <w:t xml:space="preserve">, B., </w:t>
      </w:r>
      <w:proofErr w:type="spellStart"/>
      <w:r w:rsidRPr="006A1B29">
        <w:rPr>
          <w:rFonts w:ascii="Times New Roman" w:eastAsia="Times New Roman" w:hAnsi="Times New Roman" w:cs="Times New Roman"/>
          <w:color w:val="000000"/>
          <w:sz w:val="24"/>
          <w:szCs w:val="24"/>
        </w:rPr>
        <w:t>Cockeran</w:t>
      </w:r>
      <w:proofErr w:type="spellEnd"/>
      <w:r w:rsidRPr="006A1B29">
        <w:rPr>
          <w:rFonts w:ascii="Times New Roman" w:eastAsia="Times New Roman" w:hAnsi="Times New Roman" w:cs="Times New Roman"/>
          <w:color w:val="000000"/>
          <w:sz w:val="24"/>
          <w:szCs w:val="24"/>
        </w:rPr>
        <w:t xml:space="preserve">, M., &amp;Claasen, N. (2021). Street vending of traditional and indigenous food and the potential contribution to household income, food security and dietary diversity: the case of Gaborone, Botswana. </w:t>
      </w:r>
      <w:r w:rsidRPr="006A1B29">
        <w:rPr>
          <w:rFonts w:ascii="Times New Roman" w:eastAsia="Times New Roman" w:hAnsi="Times New Roman" w:cs="Times New Roman"/>
          <w:i/>
          <w:iCs/>
          <w:color w:val="000000"/>
          <w:sz w:val="24"/>
          <w:szCs w:val="24"/>
        </w:rPr>
        <w:t>Agroecology and Sustainable Food Systems</w:t>
      </w:r>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i/>
          <w:iCs/>
          <w:color w:val="000000"/>
          <w:sz w:val="24"/>
          <w:szCs w:val="24"/>
        </w:rPr>
        <w:t>46</w:t>
      </w:r>
      <w:r w:rsidRPr="006A1B29">
        <w:rPr>
          <w:rFonts w:ascii="Times New Roman" w:eastAsia="Times New Roman" w:hAnsi="Times New Roman" w:cs="Times New Roman"/>
          <w:color w:val="000000"/>
          <w:sz w:val="24"/>
          <w:szCs w:val="24"/>
        </w:rPr>
        <w:t>(2), 181–199. https://doi.org/10.1080/21683565.2021.1988799</w:t>
      </w:r>
    </w:p>
    <w:p w14:paraId="6F2C1CB5" w14:textId="77777777" w:rsidR="00EF3203"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Leite, F.H.M., Mais, L.A., Ricardo, C.Z. </w:t>
      </w:r>
      <w:r w:rsidRPr="006A1B29">
        <w:rPr>
          <w:rFonts w:ascii="Times New Roman" w:eastAsia="Times New Roman" w:hAnsi="Times New Roman" w:cs="Times New Roman"/>
          <w:i/>
          <w:iCs/>
          <w:color w:val="000000"/>
          <w:sz w:val="24"/>
          <w:szCs w:val="24"/>
          <w:shd w:val="clear" w:color="auto" w:fill="FFFFFF"/>
        </w:rPr>
        <w:t>et al.</w:t>
      </w:r>
      <w:r w:rsidRPr="006A1B29">
        <w:rPr>
          <w:rFonts w:ascii="Times New Roman" w:eastAsia="Times New Roman" w:hAnsi="Times New Roman" w:cs="Times New Roman"/>
          <w:color w:val="000000"/>
          <w:sz w:val="24"/>
          <w:szCs w:val="24"/>
          <w:shd w:val="clear" w:color="auto" w:fill="FFFFFF"/>
        </w:rPr>
        <w:t xml:space="preserve"> Nutritional quality of foods and non-alcoholic beverages advertised on Brazilian free-to-air television: a cross-sectional study. </w:t>
      </w:r>
      <w:r w:rsidRPr="006A1B29">
        <w:rPr>
          <w:rFonts w:ascii="Times New Roman" w:eastAsia="Times New Roman" w:hAnsi="Times New Roman" w:cs="Times New Roman"/>
          <w:i/>
          <w:iCs/>
          <w:color w:val="000000"/>
          <w:sz w:val="24"/>
          <w:szCs w:val="24"/>
          <w:shd w:val="clear" w:color="auto" w:fill="FFFFFF"/>
        </w:rPr>
        <w:t>BMC Public Health</w:t>
      </w:r>
      <w:r w:rsidRPr="006A1B29">
        <w:rPr>
          <w:rFonts w:ascii="Times New Roman" w:eastAsia="Times New Roman" w:hAnsi="Times New Roman" w:cs="Times New Roman"/>
          <w:color w:val="000000"/>
          <w:sz w:val="24"/>
          <w:szCs w:val="24"/>
          <w:shd w:val="clear" w:color="auto" w:fill="FFFFFF"/>
        </w:rPr>
        <w:t xml:space="preserve"> 20, 385 (2020).</w:t>
      </w:r>
      <w:hyperlink r:id="rId19" w:history="1">
        <w:r w:rsidRPr="006A1B29">
          <w:rPr>
            <w:rFonts w:ascii="Times New Roman" w:eastAsia="Times New Roman" w:hAnsi="Times New Roman" w:cs="Times New Roman"/>
            <w:color w:val="000000"/>
            <w:sz w:val="24"/>
            <w:szCs w:val="24"/>
          </w:rPr>
          <w:t xml:space="preserve"> https://doi.org/10.1186/s12889-020-08527-6</w:t>
        </w:r>
      </w:hyperlink>
    </w:p>
    <w:p w14:paraId="0A563B67"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Mae S.A. Lustre (2023). Demographic Characteristics as Determinants of Poverty among Informal Food Vendors (IFV) in Camarines Sur, Bicol Region, Philippines. </w:t>
      </w:r>
      <w:r w:rsidRPr="006A1B29">
        <w:rPr>
          <w:rFonts w:ascii="Times New Roman" w:eastAsia="Times New Roman" w:hAnsi="Times New Roman" w:cs="Times New Roman"/>
          <w:color w:val="000000"/>
          <w:sz w:val="24"/>
          <w:szCs w:val="24"/>
          <w:shd w:val="clear" w:color="auto" w:fill="FFFFFF"/>
        </w:rPr>
        <w:lastRenderedPageBreak/>
        <w:t>International Journal of Research and Innovation in Social Science (IJRISS), 7(01), 1846-1850.</w:t>
      </w:r>
      <w:hyperlink r:id="rId20" w:history="1">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sz w:val="24"/>
            <w:szCs w:val="24"/>
            <w:u w:val="single"/>
          </w:rPr>
          <w:t>https://doi.org/https://dx.doi.org/10.47772/IJRISS.2023.701142</w:t>
        </w:r>
      </w:hyperlink>
    </w:p>
    <w:p w14:paraId="29318469"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Mahopo</w:t>
      </w:r>
      <w:proofErr w:type="spellEnd"/>
      <w:r w:rsidRPr="006A1B29">
        <w:rPr>
          <w:rFonts w:ascii="Times New Roman" w:eastAsia="Times New Roman" w:hAnsi="Times New Roman" w:cs="Times New Roman"/>
          <w:color w:val="000000"/>
          <w:sz w:val="24"/>
          <w:szCs w:val="24"/>
          <w:shd w:val="clear" w:color="auto" w:fill="FFFFFF"/>
        </w:rPr>
        <w:t xml:space="preserve">, T. C.,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C. N.,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A. E., de </w:t>
      </w:r>
      <w:proofErr w:type="spellStart"/>
      <w:r w:rsidRPr="006A1B29">
        <w:rPr>
          <w:rFonts w:ascii="Times New Roman" w:eastAsia="Times New Roman" w:hAnsi="Times New Roman" w:cs="Times New Roman"/>
          <w:color w:val="000000"/>
          <w:sz w:val="24"/>
          <w:szCs w:val="24"/>
          <w:shd w:val="clear" w:color="auto" w:fill="FFFFFF"/>
        </w:rPr>
        <w:t>Bryun</w:t>
      </w:r>
      <w:proofErr w:type="spellEnd"/>
      <w:r w:rsidRPr="006A1B29">
        <w:rPr>
          <w:rFonts w:ascii="Times New Roman" w:eastAsia="Times New Roman" w:hAnsi="Times New Roman" w:cs="Times New Roman"/>
          <w:color w:val="000000"/>
          <w:sz w:val="24"/>
          <w:szCs w:val="24"/>
          <w:shd w:val="clear" w:color="auto" w:fill="FFFFFF"/>
        </w:rPr>
        <w:t xml:space="preserve">, M., van Niekerk, J., &amp;Ambikapathi, R. (2022). Operational characteristics of women street food vendors in rural South Africa. </w:t>
      </w:r>
      <w:r w:rsidRPr="006A1B29">
        <w:rPr>
          <w:rFonts w:ascii="Times New Roman" w:eastAsia="Times New Roman" w:hAnsi="Times New Roman" w:cs="Times New Roman"/>
          <w:i/>
          <w:iCs/>
          <w:color w:val="000000"/>
          <w:sz w:val="24"/>
          <w:szCs w:val="24"/>
          <w:shd w:val="clear" w:color="auto" w:fill="FFFFFF"/>
        </w:rPr>
        <w:t>Frontiers in Public Health, 10</w:t>
      </w:r>
      <w:r w:rsidRPr="006A1B29">
        <w:rPr>
          <w:rFonts w:ascii="Times New Roman" w:eastAsia="Times New Roman" w:hAnsi="Times New Roman" w:cs="Times New Roman"/>
          <w:color w:val="000000"/>
          <w:sz w:val="24"/>
          <w:szCs w:val="24"/>
          <w:shd w:val="clear" w:color="auto" w:fill="FFFFFF"/>
        </w:rPr>
        <w:t>, 849059.</w:t>
      </w:r>
      <w:hyperlink r:id="rId21" w:history="1">
        <w:r w:rsidRPr="006A1B29">
          <w:rPr>
            <w:rFonts w:ascii="Times New Roman" w:eastAsia="Times New Roman" w:hAnsi="Times New Roman" w:cs="Times New Roman"/>
            <w:sz w:val="24"/>
            <w:szCs w:val="24"/>
            <w:u w:val="single"/>
          </w:rPr>
          <w:t>https://doi.org/10.3389/fpubh.2022.849059</w:t>
        </w:r>
      </w:hyperlink>
    </w:p>
    <w:p w14:paraId="6BB16724"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Mahopo</w:t>
      </w:r>
      <w:proofErr w:type="spellEnd"/>
      <w:r w:rsidRPr="006A1B29">
        <w:rPr>
          <w:rFonts w:ascii="Times New Roman" w:eastAsia="Times New Roman" w:hAnsi="Times New Roman" w:cs="Times New Roman"/>
          <w:color w:val="000000"/>
          <w:sz w:val="24"/>
          <w:szCs w:val="24"/>
          <w:shd w:val="clear" w:color="auto" w:fill="FFFFFF"/>
        </w:rPr>
        <w:t xml:space="preserve">, T. C.,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C. N., </w:t>
      </w:r>
      <w:proofErr w:type="spellStart"/>
      <w:r w:rsidRPr="006A1B29">
        <w:rPr>
          <w:rFonts w:ascii="Times New Roman" w:eastAsia="Times New Roman" w:hAnsi="Times New Roman" w:cs="Times New Roman"/>
          <w:color w:val="000000"/>
          <w:sz w:val="24"/>
          <w:szCs w:val="24"/>
          <w:shd w:val="clear" w:color="auto" w:fill="FFFFFF"/>
        </w:rPr>
        <w:t>Nesamvuni</w:t>
      </w:r>
      <w:proofErr w:type="spellEnd"/>
      <w:r w:rsidRPr="006A1B29">
        <w:rPr>
          <w:rFonts w:ascii="Times New Roman" w:eastAsia="Times New Roman" w:hAnsi="Times New Roman" w:cs="Times New Roman"/>
          <w:color w:val="000000"/>
          <w:sz w:val="24"/>
          <w:szCs w:val="24"/>
          <w:shd w:val="clear" w:color="auto" w:fill="FFFFFF"/>
        </w:rPr>
        <w:t xml:space="preserve">, A. E., de </w:t>
      </w:r>
      <w:proofErr w:type="spellStart"/>
      <w:r w:rsidRPr="006A1B29">
        <w:rPr>
          <w:rFonts w:ascii="Times New Roman" w:eastAsia="Times New Roman" w:hAnsi="Times New Roman" w:cs="Times New Roman"/>
          <w:color w:val="000000"/>
          <w:sz w:val="24"/>
          <w:szCs w:val="24"/>
          <w:shd w:val="clear" w:color="auto" w:fill="FFFFFF"/>
        </w:rPr>
        <w:t>Bryun</w:t>
      </w:r>
      <w:proofErr w:type="spellEnd"/>
      <w:r w:rsidRPr="006A1B29">
        <w:rPr>
          <w:rFonts w:ascii="Times New Roman" w:eastAsia="Times New Roman" w:hAnsi="Times New Roman" w:cs="Times New Roman"/>
          <w:color w:val="000000"/>
          <w:sz w:val="24"/>
          <w:szCs w:val="24"/>
          <w:shd w:val="clear" w:color="auto" w:fill="FFFFFF"/>
        </w:rPr>
        <w:t xml:space="preserve">, M., van Niekerk, J., &amp;Ambikapathi, R. (2022). Operational Characteristics of Women Street Food Vendors in Rural South Africa. </w:t>
      </w:r>
      <w:r w:rsidRPr="006A1B29">
        <w:rPr>
          <w:rFonts w:ascii="Times New Roman" w:eastAsia="Times New Roman" w:hAnsi="Times New Roman" w:cs="Times New Roman"/>
          <w:i/>
          <w:iCs/>
          <w:color w:val="000000"/>
          <w:sz w:val="24"/>
          <w:szCs w:val="24"/>
          <w:shd w:val="clear" w:color="auto" w:fill="FFFFFF"/>
        </w:rPr>
        <w:t>Frontiers in public health</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10</w:t>
      </w:r>
      <w:r w:rsidRPr="006A1B29">
        <w:rPr>
          <w:rFonts w:ascii="Times New Roman" w:eastAsia="Times New Roman" w:hAnsi="Times New Roman" w:cs="Times New Roman"/>
          <w:color w:val="000000"/>
          <w:sz w:val="24"/>
          <w:szCs w:val="24"/>
          <w:shd w:val="clear" w:color="auto" w:fill="FFFFFF"/>
        </w:rPr>
        <w:t>, 849059.</w:t>
      </w:r>
      <w:hyperlink r:id="rId22" w:history="1">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color w:val="000000"/>
            <w:sz w:val="24"/>
            <w:szCs w:val="24"/>
            <w:u w:val="single"/>
          </w:rPr>
          <w:t>https://doi.org/10.3389/fpubh.2022.849059</w:t>
        </w:r>
      </w:hyperlink>
    </w:p>
    <w:p w14:paraId="0FCEB65C"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Martínez, L., &amp; Young, G. (2022). Street vending, vulnerability and exclusion during the COVID-19 pandemic: the case of Cali, Colombia. </w:t>
      </w:r>
      <w:r w:rsidRPr="006A1B29">
        <w:rPr>
          <w:rFonts w:ascii="Times New Roman" w:eastAsia="Times New Roman" w:hAnsi="Times New Roman" w:cs="Times New Roman"/>
          <w:i/>
          <w:iCs/>
          <w:color w:val="000000"/>
          <w:sz w:val="24"/>
          <w:szCs w:val="24"/>
          <w:shd w:val="clear" w:color="auto" w:fill="FFFFFF"/>
        </w:rPr>
        <w:t>Environment and urbanization</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34</w:t>
      </w:r>
      <w:r w:rsidRPr="006A1B29">
        <w:rPr>
          <w:rFonts w:ascii="Times New Roman" w:eastAsia="Times New Roman" w:hAnsi="Times New Roman" w:cs="Times New Roman"/>
          <w:color w:val="000000"/>
          <w:sz w:val="24"/>
          <w:szCs w:val="24"/>
          <w:shd w:val="clear" w:color="auto" w:fill="FFFFFF"/>
        </w:rPr>
        <w:t>(2), 372–390.</w:t>
      </w:r>
      <w:hyperlink r:id="rId23" w:history="1">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color w:val="000000"/>
            <w:sz w:val="24"/>
            <w:szCs w:val="24"/>
            <w:u w:val="single"/>
          </w:rPr>
          <w:t>https://doi.org/10.1177/09562478221113753</w:t>
        </w:r>
      </w:hyperlink>
    </w:p>
    <w:p w14:paraId="083698A7"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Mkhize, X., &amp;Cele, T. (2025). </w:t>
      </w:r>
      <w:r w:rsidRPr="006A1B29">
        <w:rPr>
          <w:rFonts w:ascii="Times New Roman" w:eastAsia="Times New Roman" w:hAnsi="Times New Roman" w:cs="Times New Roman"/>
          <w:i/>
          <w:iCs/>
          <w:color w:val="000000"/>
          <w:sz w:val="24"/>
          <w:szCs w:val="24"/>
          <w:shd w:val="clear" w:color="auto" w:fill="FFFFFF"/>
        </w:rPr>
        <w:t>Market shocks, climate vulnerability, and income loss in informal indigenous food systems: Evidence from street vendors in Durban, South Africa</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Frontiers in Nutrition, 12</w:t>
      </w:r>
      <w:r w:rsidRPr="006A1B29">
        <w:rPr>
          <w:rFonts w:ascii="Times New Roman" w:eastAsia="Times New Roman" w:hAnsi="Times New Roman" w:cs="Times New Roman"/>
          <w:color w:val="000000"/>
          <w:sz w:val="24"/>
          <w:szCs w:val="24"/>
          <w:shd w:val="clear" w:color="auto" w:fill="FFFFFF"/>
        </w:rPr>
        <w:t>, 1621204.</w:t>
      </w:r>
      <w:hyperlink r:id="rId24" w:history="1">
        <w:r w:rsidRPr="006A1B29">
          <w:rPr>
            <w:rFonts w:ascii="Times New Roman" w:eastAsia="Times New Roman" w:hAnsi="Times New Roman" w:cs="Times New Roman"/>
            <w:color w:val="000000"/>
            <w:sz w:val="24"/>
            <w:szCs w:val="24"/>
            <w:u w:val="single"/>
          </w:rPr>
          <w:t>https://doi.org/10.3389/fnut.2025.1621204</w:t>
        </w:r>
      </w:hyperlink>
    </w:p>
    <w:p w14:paraId="318AFF1C"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Perez, J. G., Khayat, S. M., &amp; Villanueva, P. B. (2020). Street food vending: For economic and social empowerments of women street food vendors in Dumaguete City, Philippines. </w:t>
      </w:r>
      <w:r w:rsidRPr="006A1B29">
        <w:rPr>
          <w:rFonts w:ascii="Times New Roman" w:eastAsia="Times New Roman" w:hAnsi="Times New Roman" w:cs="Times New Roman"/>
          <w:i/>
          <w:iCs/>
          <w:color w:val="000000"/>
          <w:sz w:val="24"/>
          <w:szCs w:val="24"/>
          <w:shd w:val="clear" w:color="auto" w:fill="FFFFFF"/>
        </w:rPr>
        <w:t>Prism, 24</w:t>
      </w:r>
      <w:r w:rsidRPr="006A1B29">
        <w:rPr>
          <w:rFonts w:ascii="Times New Roman" w:eastAsia="Times New Roman" w:hAnsi="Times New Roman" w:cs="Times New Roman"/>
          <w:color w:val="000000"/>
          <w:sz w:val="24"/>
          <w:szCs w:val="24"/>
          <w:shd w:val="clear" w:color="auto" w:fill="FFFFFF"/>
        </w:rPr>
        <w:t>(1).</w:t>
      </w:r>
    </w:p>
    <w:p w14:paraId="3C6990B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Recchi</w:t>
      </w:r>
      <w:proofErr w:type="spellEnd"/>
      <w:r w:rsidRPr="006A1B29">
        <w:rPr>
          <w:rFonts w:ascii="Times New Roman" w:eastAsia="Times New Roman" w:hAnsi="Times New Roman" w:cs="Times New Roman"/>
          <w:color w:val="000000"/>
          <w:sz w:val="24"/>
          <w:szCs w:val="24"/>
        </w:rPr>
        <w:t xml:space="preserve">, S. (2021). Informal street vending: A comparative literature review. </w:t>
      </w:r>
      <w:r w:rsidRPr="006A1B29">
        <w:rPr>
          <w:rFonts w:ascii="Times New Roman" w:eastAsia="Times New Roman" w:hAnsi="Times New Roman" w:cs="Times New Roman"/>
          <w:i/>
          <w:iCs/>
          <w:color w:val="000000"/>
          <w:sz w:val="24"/>
          <w:szCs w:val="24"/>
        </w:rPr>
        <w:t>International Journal of Sociology and Social Policy, 41</w:t>
      </w:r>
      <w:r w:rsidRPr="006A1B29">
        <w:rPr>
          <w:rFonts w:ascii="Times New Roman" w:eastAsia="Times New Roman" w:hAnsi="Times New Roman" w:cs="Times New Roman"/>
          <w:color w:val="000000"/>
          <w:sz w:val="24"/>
          <w:szCs w:val="24"/>
        </w:rPr>
        <w:t>(7/8), 805–825.</w:t>
      </w:r>
      <w:hyperlink r:id="rId25" w:history="1">
        <w:r w:rsidRPr="006A1B29">
          <w:rPr>
            <w:rFonts w:ascii="Times New Roman" w:eastAsia="Times New Roman" w:hAnsi="Times New Roman" w:cs="Times New Roman"/>
            <w:color w:val="000000"/>
            <w:sz w:val="24"/>
            <w:szCs w:val="24"/>
            <w:u w:val="single"/>
          </w:rPr>
          <w:t>https://doi.org/10.1108/IJSSP-07-2020-0285</w:t>
        </w:r>
      </w:hyperlink>
    </w:p>
    <w:p w14:paraId="38E28C03"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Recchi</w:t>
      </w:r>
      <w:proofErr w:type="spellEnd"/>
      <w:r w:rsidRPr="006A1B29">
        <w:rPr>
          <w:rFonts w:ascii="Times New Roman" w:eastAsia="Times New Roman" w:hAnsi="Times New Roman" w:cs="Times New Roman"/>
          <w:color w:val="000000"/>
          <w:sz w:val="24"/>
          <w:szCs w:val="24"/>
        </w:rPr>
        <w:t xml:space="preserve">, S. (2021). Informal street vending: A comparative literature review. </w:t>
      </w:r>
      <w:r w:rsidRPr="006A1B29">
        <w:rPr>
          <w:rFonts w:ascii="Times New Roman" w:eastAsia="Times New Roman" w:hAnsi="Times New Roman" w:cs="Times New Roman"/>
          <w:i/>
          <w:iCs/>
          <w:color w:val="000000"/>
          <w:sz w:val="24"/>
          <w:szCs w:val="24"/>
        </w:rPr>
        <w:t>International Journal of Sociology and Social Policy, 41</w:t>
      </w:r>
      <w:r w:rsidRPr="006A1B29">
        <w:rPr>
          <w:rFonts w:ascii="Times New Roman" w:eastAsia="Times New Roman" w:hAnsi="Times New Roman" w:cs="Times New Roman"/>
          <w:color w:val="000000"/>
          <w:sz w:val="24"/>
          <w:szCs w:val="24"/>
        </w:rPr>
        <w:t>(7/8), 805–825.</w:t>
      </w:r>
      <w:hyperlink r:id="rId26" w:history="1">
        <w:r w:rsidRPr="006A1B29">
          <w:rPr>
            <w:rFonts w:ascii="Times New Roman" w:eastAsia="Times New Roman" w:hAnsi="Times New Roman" w:cs="Times New Roman"/>
            <w:color w:val="000000"/>
            <w:sz w:val="24"/>
            <w:szCs w:val="24"/>
            <w:u w:val="single"/>
          </w:rPr>
          <w:t>https://doi.org/10.1108/IJSSP-07-2020-0285</w:t>
        </w:r>
      </w:hyperlink>
    </w:p>
    <w:p w14:paraId="66221166"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Rineliana</w:t>
      </w:r>
      <w:proofErr w:type="spellEnd"/>
      <w:r w:rsidRPr="006A1B29">
        <w:rPr>
          <w:rFonts w:ascii="Times New Roman" w:eastAsia="Times New Roman" w:hAnsi="Times New Roman" w:cs="Times New Roman"/>
          <w:color w:val="000000"/>
          <w:sz w:val="24"/>
          <w:szCs w:val="24"/>
          <w:shd w:val="clear" w:color="auto" w:fill="FFFFFF"/>
        </w:rPr>
        <w:t>, R., Tampubolon, D., &amp;</w:t>
      </w:r>
      <w:proofErr w:type="spellStart"/>
      <w:r w:rsidRPr="006A1B29">
        <w:rPr>
          <w:rFonts w:ascii="Times New Roman" w:eastAsia="Times New Roman" w:hAnsi="Times New Roman" w:cs="Times New Roman"/>
          <w:color w:val="000000"/>
          <w:sz w:val="24"/>
          <w:szCs w:val="24"/>
          <w:shd w:val="clear" w:color="auto" w:fill="FFFFFF"/>
        </w:rPr>
        <w:t>Kornita</w:t>
      </w:r>
      <w:proofErr w:type="spellEnd"/>
      <w:r w:rsidRPr="006A1B29">
        <w:rPr>
          <w:rFonts w:ascii="Times New Roman" w:eastAsia="Times New Roman" w:hAnsi="Times New Roman" w:cs="Times New Roman"/>
          <w:color w:val="000000"/>
          <w:sz w:val="24"/>
          <w:szCs w:val="24"/>
          <w:shd w:val="clear" w:color="auto" w:fill="FFFFFF"/>
        </w:rPr>
        <w:t xml:space="preserve">, S. E. (2022). Income of urban street vendors in </w:t>
      </w:r>
      <w:proofErr w:type="spellStart"/>
      <w:r w:rsidRPr="006A1B29">
        <w:rPr>
          <w:rFonts w:ascii="Times New Roman" w:eastAsia="Times New Roman" w:hAnsi="Times New Roman" w:cs="Times New Roman"/>
          <w:color w:val="000000"/>
          <w:sz w:val="24"/>
          <w:szCs w:val="24"/>
          <w:shd w:val="clear" w:color="auto" w:fill="FFFFFF"/>
        </w:rPr>
        <w:t>Pekanbaru</w:t>
      </w:r>
      <w:proofErr w:type="spellEnd"/>
      <w:r w:rsidRPr="006A1B29">
        <w:rPr>
          <w:rFonts w:ascii="Times New Roman" w:eastAsia="Times New Roman" w:hAnsi="Times New Roman" w:cs="Times New Roman"/>
          <w:color w:val="000000"/>
          <w:sz w:val="24"/>
          <w:szCs w:val="24"/>
          <w:shd w:val="clear" w:color="auto" w:fill="FFFFFF"/>
        </w:rPr>
        <w:t xml:space="preserve"> City. </w:t>
      </w:r>
      <w:r w:rsidRPr="006A1B29">
        <w:rPr>
          <w:rFonts w:ascii="Times New Roman" w:eastAsia="Times New Roman" w:hAnsi="Times New Roman" w:cs="Times New Roman"/>
          <w:i/>
          <w:iCs/>
          <w:color w:val="000000"/>
          <w:sz w:val="24"/>
          <w:szCs w:val="24"/>
          <w:shd w:val="clear" w:color="auto" w:fill="FFFFFF"/>
        </w:rPr>
        <w:t>Economic &amp; Business Management International Journal, 4</w:t>
      </w:r>
      <w:r w:rsidRPr="006A1B29">
        <w:rPr>
          <w:rFonts w:ascii="Times New Roman" w:eastAsia="Times New Roman" w:hAnsi="Times New Roman" w:cs="Times New Roman"/>
          <w:color w:val="000000"/>
          <w:sz w:val="24"/>
          <w:szCs w:val="24"/>
          <w:shd w:val="clear" w:color="auto" w:fill="FFFFFF"/>
        </w:rPr>
        <w:t>(3), 251–258.</w:t>
      </w:r>
      <w:hyperlink r:id="rId27" w:history="1">
        <w:r w:rsidRPr="006A1B29">
          <w:rPr>
            <w:rFonts w:ascii="Times New Roman" w:eastAsia="Times New Roman" w:hAnsi="Times New Roman" w:cs="Times New Roman"/>
            <w:color w:val="000000"/>
            <w:sz w:val="24"/>
            <w:szCs w:val="24"/>
            <w:u w:val="single"/>
          </w:rPr>
          <w:t>https://doi.org/10.556442/eabmij.v4i03.212</w:t>
        </w:r>
      </w:hyperlink>
    </w:p>
    <w:p w14:paraId="44026CBE" w14:textId="77777777" w:rsidR="006A1B29" w:rsidRPr="006A1B29" w:rsidRDefault="006A1B29" w:rsidP="00CF4149">
      <w:pPr>
        <w:spacing w:before="240"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rPr>
        <w:t>Sabusap</w:t>
      </w:r>
      <w:proofErr w:type="spellEnd"/>
      <w:r w:rsidRPr="006A1B29">
        <w:rPr>
          <w:rFonts w:ascii="Times New Roman" w:eastAsia="Times New Roman" w:hAnsi="Times New Roman" w:cs="Times New Roman"/>
          <w:color w:val="000000"/>
          <w:sz w:val="24"/>
          <w:szCs w:val="24"/>
        </w:rPr>
        <w:t xml:space="preserve">, T. A. (2025). Lived experiences of street food vendors of </w:t>
      </w:r>
      <w:proofErr w:type="spellStart"/>
      <w:r w:rsidRPr="006A1B29">
        <w:rPr>
          <w:rFonts w:ascii="Times New Roman" w:eastAsia="Times New Roman" w:hAnsi="Times New Roman" w:cs="Times New Roman"/>
          <w:color w:val="000000"/>
          <w:sz w:val="24"/>
          <w:szCs w:val="24"/>
        </w:rPr>
        <w:t>Mayorgueños</w:t>
      </w:r>
      <w:proofErr w:type="spellEnd"/>
      <w:r w:rsidRPr="006A1B29">
        <w:rPr>
          <w:rFonts w:ascii="Times New Roman" w:eastAsia="Times New Roman" w:hAnsi="Times New Roman" w:cs="Times New Roman"/>
          <w:color w:val="000000"/>
          <w:sz w:val="24"/>
          <w:szCs w:val="24"/>
        </w:rPr>
        <w:t xml:space="preserve">. </w:t>
      </w:r>
      <w:r w:rsidRPr="006A1B29">
        <w:rPr>
          <w:rFonts w:ascii="Times New Roman" w:eastAsia="Times New Roman" w:hAnsi="Times New Roman" w:cs="Times New Roman"/>
          <w:i/>
          <w:iCs/>
          <w:color w:val="000000"/>
          <w:sz w:val="24"/>
          <w:szCs w:val="24"/>
        </w:rPr>
        <w:t>American Journal of Social Development and Entrepreneurship, 4</w:t>
      </w:r>
      <w:r w:rsidRPr="006A1B29">
        <w:rPr>
          <w:rFonts w:ascii="Times New Roman" w:eastAsia="Times New Roman" w:hAnsi="Times New Roman" w:cs="Times New Roman"/>
          <w:color w:val="000000"/>
          <w:sz w:val="24"/>
          <w:szCs w:val="24"/>
        </w:rPr>
        <w:t>(1), 20–32.</w:t>
      </w:r>
      <w:hyperlink r:id="rId28" w:history="1">
        <w:r w:rsidRPr="006A1B29">
          <w:rPr>
            <w:rFonts w:ascii="Times New Roman" w:eastAsia="Times New Roman" w:hAnsi="Times New Roman" w:cs="Times New Roman"/>
            <w:color w:val="000000"/>
            <w:sz w:val="24"/>
            <w:szCs w:val="24"/>
            <w:u w:val="single"/>
          </w:rPr>
          <w:t>https://doi.org/10.54536/ajsde.v4i1.4552</w:t>
        </w:r>
      </w:hyperlink>
    </w:p>
    <w:p w14:paraId="2C128413"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Salamandane</w:t>
      </w:r>
      <w:proofErr w:type="spellEnd"/>
      <w:r w:rsidRPr="006A1B29">
        <w:rPr>
          <w:rFonts w:ascii="Times New Roman" w:eastAsia="Times New Roman" w:hAnsi="Times New Roman" w:cs="Times New Roman"/>
          <w:color w:val="000000"/>
          <w:sz w:val="24"/>
          <w:szCs w:val="24"/>
          <w:shd w:val="clear" w:color="auto" w:fill="FFFFFF"/>
        </w:rPr>
        <w:t xml:space="preserve">, A., </w:t>
      </w:r>
      <w:proofErr w:type="spellStart"/>
      <w:r w:rsidRPr="006A1B29">
        <w:rPr>
          <w:rFonts w:ascii="Times New Roman" w:eastAsia="Times New Roman" w:hAnsi="Times New Roman" w:cs="Times New Roman"/>
          <w:color w:val="000000"/>
          <w:sz w:val="24"/>
          <w:szCs w:val="24"/>
          <w:shd w:val="clear" w:color="auto" w:fill="FFFFFF"/>
        </w:rPr>
        <w:t>Malfeito</w:t>
      </w:r>
      <w:proofErr w:type="spellEnd"/>
      <w:r w:rsidRPr="006A1B29">
        <w:rPr>
          <w:rFonts w:ascii="Times New Roman" w:eastAsia="Times New Roman" w:hAnsi="Times New Roman" w:cs="Times New Roman"/>
          <w:color w:val="000000"/>
          <w:sz w:val="24"/>
          <w:szCs w:val="24"/>
          <w:shd w:val="clear" w:color="auto" w:fill="FFFFFF"/>
        </w:rPr>
        <w:t xml:space="preserve">-Ferreira, M., &amp; Brito, L. (2023). The socioeconomic factors of street food vending in developing countries and its implications for public health: A systematic review. </w:t>
      </w:r>
      <w:r w:rsidRPr="006A1B29">
        <w:rPr>
          <w:rFonts w:ascii="Times New Roman" w:eastAsia="Times New Roman" w:hAnsi="Times New Roman" w:cs="Times New Roman"/>
          <w:i/>
          <w:iCs/>
          <w:color w:val="000000"/>
          <w:sz w:val="24"/>
          <w:szCs w:val="24"/>
          <w:shd w:val="clear" w:color="auto" w:fill="FFFFFF"/>
        </w:rPr>
        <w:t>Foods, 12</w:t>
      </w:r>
      <w:r w:rsidRPr="006A1B29">
        <w:rPr>
          <w:rFonts w:ascii="Times New Roman" w:eastAsia="Times New Roman" w:hAnsi="Times New Roman" w:cs="Times New Roman"/>
          <w:color w:val="000000"/>
          <w:sz w:val="24"/>
          <w:szCs w:val="24"/>
          <w:shd w:val="clear" w:color="auto" w:fill="FFFFFF"/>
        </w:rPr>
        <w:t>(20), Article 3774.</w:t>
      </w:r>
      <w:hyperlink r:id="rId29" w:history="1">
        <w:r w:rsidRPr="006A1B29">
          <w:rPr>
            <w:rFonts w:ascii="Times New Roman" w:eastAsia="Times New Roman" w:hAnsi="Times New Roman" w:cs="Times New Roman"/>
            <w:color w:val="000000"/>
            <w:sz w:val="24"/>
            <w:szCs w:val="24"/>
            <w:u w:val="single"/>
          </w:rPr>
          <w:t>https://doi.org/10.3390/foods12203774</w:t>
        </w:r>
      </w:hyperlink>
    </w:p>
    <w:p w14:paraId="5D619894"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Solidum, G. M. (2023). </w:t>
      </w:r>
      <w:r w:rsidRPr="006A1B29">
        <w:rPr>
          <w:rFonts w:ascii="Times New Roman" w:eastAsia="Times New Roman" w:hAnsi="Times New Roman" w:cs="Times New Roman"/>
          <w:i/>
          <w:iCs/>
          <w:color w:val="000000"/>
          <w:sz w:val="24"/>
          <w:szCs w:val="24"/>
          <w:shd w:val="clear" w:color="auto" w:fill="FFFFFF"/>
        </w:rPr>
        <w:t>Status and Problems of the Street Vendors: Inputs for Local Government Unit Planning</w:t>
      </w:r>
      <w:r w:rsidRPr="006A1B29">
        <w:rPr>
          <w:rFonts w:ascii="Times New Roman" w:eastAsia="Times New Roman" w:hAnsi="Times New Roman" w:cs="Times New Roman"/>
          <w:color w:val="000000"/>
          <w:sz w:val="24"/>
          <w:szCs w:val="24"/>
          <w:shd w:val="clear" w:color="auto" w:fill="FFFFFF"/>
        </w:rPr>
        <w:t xml:space="preserve">. </w:t>
      </w:r>
      <w:r w:rsidRPr="006A1B29">
        <w:rPr>
          <w:rFonts w:ascii="Times New Roman" w:eastAsia="Times New Roman" w:hAnsi="Times New Roman" w:cs="Times New Roman"/>
          <w:i/>
          <w:iCs/>
          <w:color w:val="000000"/>
          <w:sz w:val="24"/>
          <w:szCs w:val="24"/>
          <w:shd w:val="clear" w:color="auto" w:fill="FFFFFF"/>
        </w:rPr>
        <w:t>Sprin Journal of Arts, Humanities and Social Sciences, 2</w:t>
      </w:r>
      <w:r w:rsidRPr="006A1B29">
        <w:rPr>
          <w:rFonts w:ascii="Times New Roman" w:eastAsia="Times New Roman" w:hAnsi="Times New Roman" w:cs="Times New Roman"/>
          <w:color w:val="000000"/>
          <w:sz w:val="24"/>
          <w:szCs w:val="24"/>
          <w:shd w:val="clear" w:color="auto" w:fill="FFFFFF"/>
        </w:rPr>
        <w:t>(4), 51–62.</w:t>
      </w:r>
      <w:hyperlink r:id="rId30" w:history="1">
        <w:r w:rsidRPr="006A1B29">
          <w:rPr>
            <w:rFonts w:ascii="Times New Roman" w:eastAsia="Times New Roman" w:hAnsi="Times New Roman" w:cs="Times New Roman"/>
            <w:color w:val="000000"/>
            <w:sz w:val="24"/>
            <w:szCs w:val="24"/>
            <w:u w:val="single"/>
          </w:rPr>
          <w:t>https://doi.org/10.55559/sjahss.v2i04.102</w:t>
        </w:r>
      </w:hyperlink>
    </w:p>
    <w:p w14:paraId="04275124"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r w:rsidRPr="006A1B29">
        <w:rPr>
          <w:rFonts w:ascii="Times New Roman" w:eastAsia="Times New Roman" w:hAnsi="Times New Roman" w:cs="Times New Roman"/>
          <w:color w:val="000000"/>
          <w:sz w:val="24"/>
          <w:szCs w:val="24"/>
          <w:shd w:val="clear" w:color="auto" w:fill="FFFFFF"/>
        </w:rPr>
        <w:t xml:space="preserve">Verma, R., Patel, M., Deep Shikha, &amp; Mishra, S. (2022). Assessment of food safety aspects and socioeconomic status among street food vendors in Lucknow city. </w:t>
      </w:r>
      <w:r w:rsidRPr="006A1B29">
        <w:rPr>
          <w:rFonts w:ascii="Times New Roman" w:eastAsia="Times New Roman" w:hAnsi="Times New Roman" w:cs="Times New Roman"/>
          <w:i/>
          <w:iCs/>
          <w:color w:val="000000"/>
          <w:sz w:val="24"/>
          <w:szCs w:val="24"/>
          <w:shd w:val="clear" w:color="auto" w:fill="FFFFFF"/>
        </w:rPr>
        <w:t xml:space="preserve">Journal of </w:t>
      </w:r>
      <w:r w:rsidRPr="006A1B29">
        <w:rPr>
          <w:rFonts w:ascii="Times New Roman" w:eastAsia="Times New Roman" w:hAnsi="Times New Roman" w:cs="Times New Roman"/>
          <w:i/>
          <w:iCs/>
          <w:color w:val="000000"/>
          <w:sz w:val="24"/>
          <w:szCs w:val="24"/>
          <w:shd w:val="clear" w:color="auto" w:fill="FFFFFF"/>
        </w:rPr>
        <w:lastRenderedPageBreak/>
        <w:t>Agriculture and Food Research, 11</w:t>
      </w:r>
      <w:r w:rsidRPr="006A1B29">
        <w:rPr>
          <w:rFonts w:ascii="Times New Roman" w:eastAsia="Times New Roman" w:hAnsi="Times New Roman" w:cs="Times New Roman"/>
          <w:color w:val="000000"/>
          <w:sz w:val="24"/>
          <w:szCs w:val="24"/>
          <w:shd w:val="clear" w:color="auto" w:fill="FFFFFF"/>
        </w:rPr>
        <w:t>, 100469.</w:t>
      </w:r>
      <w:hyperlink r:id="rId31" w:history="1">
        <w:r w:rsidRPr="006A1B29">
          <w:rPr>
            <w:rFonts w:ascii="Times New Roman" w:eastAsia="Times New Roman" w:hAnsi="Times New Roman" w:cs="Times New Roman"/>
            <w:color w:val="000000"/>
            <w:sz w:val="24"/>
            <w:szCs w:val="24"/>
            <w:u w:val="single"/>
          </w:rPr>
          <w:t>https://doi.org/10.1016/j.jafr.2022.100469</w:t>
        </w:r>
      </w:hyperlink>
    </w:p>
    <w:p w14:paraId="736090B7" w14:textId="77777777" w:rsidR="006A1B29" w:rsidRPr="006A1B29" w:rsidRDefault="006A1B29" w:rsidP="00CF4149">
      <w:pPr>
        <w:spacing w:line="240" w:lineRule="auto"/>
        <w:ind w:left="720" w:hanging="720"/>
        <w:jc w:val="both"/>
        <w:rPr>
          <w:rFonts w:ascii="Times New Roman" w:eastAsia="Times New Roman" w:hAnsi="Times New Roman" w:cs="Times New Roman"/>
          <w:sz w:val="24"/>
          <w:szCs w:val="24"/>
        </w:rPr>
      </w:pPr>
      <w:proofErr w:type="spellStart"/>
      <w:r w:rsidRPr="006A1B29">
        <w:rPr>
          <w:rFonts w:ascii="Times New Roman" w:eastAsia="Times New Roman" w:hAnsi="Times New Roman" w:cs="Times New Roman"/>
          <w:color w:val="000000"/>
          <w:sz w:val="24"/>
          <w:szCs w:val="24"/>
          <w:shd w:val="clear" w:color="auto" w:fill="FFFFFF"/>
        </w:rPr>
        <w:t>Winarno</w:t>
      </w:r>
      <w:proofErr w:type="spellEnd"/>
      <w:r w:rsidRPr="006A1B29">
        <w:rPr>
          <w:rFonts w:ascii="Times New Roman" w:eastAsia="Times New Roman" w:hAnsi="Times New Roman" w:cs="Times New Roman"/>
          <w:color w:val="000000"/>
          <w:sz w:val="24"/>
          <w:szCs w:val="24"/>
          <w:shd w:val="clear" w:color="auto" w:fill="FFFFFF"/>
        </w:rPr>
        <w:t>, H., &amp; Putra, P. (2021). Informal economy and micro-enterprises: Understanding the resilience of street vendors. Journal of Entrepreneurship in Emerging Economies, 13(5), 987–1004. https://doi.org/10.1108/JEEE-07-2020-0245</w:t>
      </w:r>
    </w:p>
    <w:p w14:paraId="5A9CB6FD" w14:textId="77777777" w:rsidR="006A1B29" w:rsidRPr="006A1B29" w:rsidRDefault="006A1B29" w:rsidP="00CF4149">
      <w:pPr>
        <w:spacing w:line="240" w:lineRule="auto"/>
        <w:jc w:val="both"/>
        <w:rPr>
          <w:rFonts w:ascii="Times New Roman" w:hAnsi="Times New Roman" w:cs="Times New Roman"/>
          <w:b/>
          <w:sz w:val="24"/>
          <w:szCs w:val="24"/>
        </w:rPr>
      </w:pPr>
    </w:p>
    <w:sectPr w:rsidR="006A1B29" w:rsidRPr="006A1B29" w:rsidSect="00EF3203">
      <w:headerReference w:type="default" r:id="rId32"/>
      <w:pgSz w:w="11907" w:h="16839"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EFCA3" w14:textId="77777777" w:rsidR="00535C79" w:rsidRDefault="00535C79" w:rsidP="00C5103F">
      <w:pPr>
        <w:spacing w:after="0" w:line="240" w:lineRule="auto"/>
      </w:pPr>
      <w:r>
        <w:separator/>
      </w:r>
    </w:p>
  </w:endnote>
  <w:endnote w:type="continuationSeparator" w:id="0">
    <w:p w14:paraId="038F42E8" w14:textId="77777777" w:rsidR="00535C79" w:rsidRDefault="00535C79" w:rsidP="00C51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CE6BC" w14:textId="77777777" w:rsidR="00535C79" w:rsidRDefault="00535C79" w:rsidP="00C5103F">
      <w:pPr>
        <w:spacing w:after="0" w:line="240" w:lineRule="auto"/>
      </w:pPr>
      <w:r>
        <w:separator/>
      </w:r>
    </w:p>
  </w:footnote>
  <w:footnote w:type="continuationSeparator" w:id="0">
    <w:p w14:paraId="650E2753" w14:textId="77777777" w:rsidR="00535C79" w:rsidRDefault="00535C79" w:rsidP="00C51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3532"/>
      <w:docPartObj>
        <w:docPartGallery w:val="Page Numbers (Top of Page)"/>
        <w:docPartUnique/>
      </w:docPartObj>
    </w:sdtPr>
    <w:sdtEndPr/>
    <w:sdtContent>
      <w:p w14:paraId="058F8FCC" w14:textId="77777777" w:rsidR="00C5103F" w:rsidRDefault="002437D5">
        <w:pPr>
          <w:pStyle w:val="Header"/>
          <w:jc w:val="right"/>
        </w:pPr>
        <w:r>
          <w:fldChar w:fldCharType="begin"/>
        </w:r>
        <w:r>
          <w:instrText xml:space="preserve"> PAGE   \* MERGEFORMAT </w:instrText>
        </w:r>
        <w:r>
          <w:fldChar w:fldCharType="separate"/>
        </w:r>
        <w:r w:rsidR="005A72B3">
          <w:rPr>
            <w:noProof/>
          </w:rPr>
          <w:t>12</w:t>
        </w:r>
        <w:r>
          <w:rPr>
            <w:noProof/>
          </w:rPr>
          <w:fldChar w:fldCharType="end"/>
        </w:r>
      </w:p>
    </w:sdtContent>
  </w:sdt>
  <w:p w14:paraId="6F8C2B9F" w14:textId="77777777" w:rsidR="00C5103F" w:rsidRDefault="00C510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69"/>
    <w:rsid w:val="00014039"/>
    <w:rsid w:val="000347FD"/>
    <w:rsid w:val="00052818"/>
    <w:rsid w:val="000827E7"/>
    <w:rsid w:val="000D5F4F"/>
    <w:rsid w:val="0017120A"/>
    <w:rsid w:val="00193766"/>
    <w:rsid w:val="002437D5"/>
    <w:rsid w:val="00271ABD"/>
    <w:rsid w:val="0035103E"/>
    <w:rsid w:val="003762B9"/>
    <w:rsid w:val="003B220A"/>
    <w:rsid w:val="00426B49"/>
    <w:rsid w:val="0042799C"/>
    <w:rsid w:val="00440DA0"/>
    <w:rsid w:val="0049224C"/>
    <w:rsid w:val="004D2A57"/>
    <w:rsid w:val="00535C79"/>
    <w:rsid w:val="00537ADA"/>
    <w:rsid w:val="00590FB2"/>
    <w:rsid w:val="005A72B3"/>
    <w:rsid w:val="006068BB"/>
    <w:rsid w:val="00613608"/>
    <w:rsid w:val="0063147D"/>
    <w:rsid w:val="00651359"/>
    <w:rsid w:val="006745D5"/>
    <w:rsid w:val="00686280"/>
    <w:rsid w:val="00697548"/>
    <w:rsid w:val="006A1B29"/>
    <w:rsid w:val="006A3266"/>
    <w:rsid w:val="006B36C5"/>
    <w:rsid w:val="006D1315"/>
    <w:rsid w:val="006E0167"/>
    <w:rsid w:val="00771C99"/>
    <w:rsid w:val="007A56DC"/>
    <w:rsid w:val="008115DD"/>
    <w:rsid w:val="00856942"/>
    <w:rsid w:val="00880FA4"/>
    <w:rsid w:val="008A31D6"/>
    <w:rsid w:val="008C4F4C"/>
    <w:rsid w:val="008F0D2C"/>
    <w:rsid w:val="009344B5"/>
    <w:rsid w:val="00951413"/>
    <w:rsid w:val="009756EA"/>
    <w:rsid w:val="009B10EE"/>
    <w:rsid w:val="009B57F6"/>
    <w:rsid w:val="009F00BD"/>
    <w:rsid w:val="009F2E64"/>
    <w:rsid w:val="00A740C2"/>
    <w:rsid w:val="00A95515"/>
    <w:rsid w:val="00BA797B"/>
    <w:rsid w:val="00C04533"/>
    <w:rsid w:val="00C5103F"/>
    <w:rsid w:val="00C618D5"/>
    <w:rsid w:val="00CE2FC7"/>
    <w:rsid w:val="00CF2A81"/>
    <w:rsid w:val="00CF4149"/>
    <w:rsid w:val="00D31787"/>
    <w:rsid w:val="00D346F5"/>
    <w:rsid w:val="00E17988"/>
    <w:rsid w:val="00E676C8"/>
    <w:rsid w:val="00E7670F"/>
    <w:rsid w:val="00EC2D44"/>
    <w:rsid w:val="00EE2E8C"/>
    <w:rsid w:val="00EE357F"/>
    <w:rsid w:val="00EF3203"/>
    <w:rsid w:val="00F46322"/>
    <w:rsid w:val="00F87DDA"/>
    <w:rsid w:val="00FC0C99"/>
    <w:rsid w:val="00FC5369"/>
    <w:rsid w:val="00FD19CE"/>
    <w:rsid w:val="00FF4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4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7E7"/>
    <w:rPr>
      <w:b/>
      <w:bCs/>
    </w:rPr>
  </w:style>
  <w:style w:type="character" w:styleId="Hyperlink">
    <w:name w:val="Hyperlink"/>
    <w:basedOn w:val="DefaultParagraphFont"/>
    <w:uiPriority w:val="99"/>
    <w:unhideWhenUsed/>
    <w:rsid w:val="006A1B29"/>
    <w:rPr>
      <w:color w:val="0000FF"/>
      <w:u w:val="single"/>
    </w:rPr>
  </w:style>
  <w:style w:type="paragraph" w:styleId="Header">
    <w:name w:val="header"/>
    <w:basedOn w:val="Normal"/>
    <w:link w:val="HeaderChar"/>
    <w:uiPriority w:val="99"/>
    <w:unhideWhenUsed/>
    <w:rsid w:val="00C5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03F"/>
  </w:style>
  <w:style w:type="paragraph" w:styleId="Footer">
    <w:name w:val="footer"/>
    <w:basedOn w:val="Normal"/>
    <w:link w:val="FooterChar"/>
    <w:uiPriority w:val="99"/>
    <w:semiHidden/>
    <w:unhideWhenUsed/>
    <w:rsid w:val="00C510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03F"/>
  </w:style>
  <w:style w:type="character" w:styleId="PlaceholderText">
    <w:name w:val="Placeholder Text"/>
    <w:basedOn w:val="DefaultParagraphFont"/>
    <w:uiPriority w:val="99"/>
    <w:semiHidden/>
    <w:rsid w:val="00771C99"/>
    <w:rPr>
      <w:color w:val="808080"/>
    </w:rPr>
  </w:style>
  <w:style w:type="paragraph" w:styleId="BalloonText">
    <w:name w:val="Balloon Text"/>
    <w:basedOn w:val="Normal"/>
    <w:link w:val="BalloonTextChar"/>
    <w:uiPriority w:val="99"/>
    <w:semiHidden/>
    <w:unhideWhenUsed/>
    <w:rsid w:val="0077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C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5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A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27E7"/>
    <w:rPr>
      <w:b/>
      <w:bCs/>
    </w:rPr>
  </w:style>
  <w:style w:type="character" w:styleId="Hyperlink">
    <w:name w:val="Hyperlink"/>
    <w:basedOn w:val="DefaultParagraphFont"/>
    <w:uiPriority w:val="99"/>
    <w:unhideWhenUsed/>
    <w:rsid w:val="006A1B29"/>
    <w:rPr>
      <w:color w:val="0000FF"/>
      <w:u w:val="single"/>
    </w:rPr>
  </w:style>
  <w:style w:type="paragraph" w:styleId="Header">
    <w:name w:val="header"/>
    <w:basedOn w:val="Normal"/>
    <w:link w:val="HeaderChar"/>
    <w:uiPriority w:val="99"/>
    <w:unhideWhenUsed/>
    <w:rsid w:val="00C51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03F"/>
  </w:style>
  <w:style w:type="paragraph" w:styleId="Footer">
    <w:name w:val="footer"/>
    <w:basedOn w:val="Normal"/>
    <w:link w:val="FooterChar"/>
    <w:uiPriority w:val="99"/>
    <w:semiHidden/>
    <w:unhideWhenUsed/>
    <w:rsid w:val="00C510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03F"/>
  </w:style>
  <w:style w:type="character" w:styleId="PlaceholderText">
    <w:name w:val="Placeholder Text"/>
    <w:basedOn w:val="DefaultParagraphFont"/>
    <w:uiPriority w:val="99"/>
    <w:semiHidden/>
    <w:rsid w:val="00771C99"/>
    <w:rPr>
      <w:color w:val="808080"/>
    </w:rPr>
  </w:style>
  <w:style w:type="paragraph" w:styleId="BalloonText">
    <w:name w:val="Balloon Text"/>
    <w:basedOn w:val="Normal"/>
    <w:link w:val="BalloonTextChar"/>
    <w:uiPriority w:val="99"/>
    <w:semiHidden/>
    <w:unhideWhenUsed/>
    <w:rsid w:val="00771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C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78597">
      <w:bodyDiv w:val="1"/>
      <w:marLeft w:val="0"/>
      <w:marRight w:val="0"/>
      <w:marTop w:val="0"/>
      <w:marBottom w:val="0"/>
      <w:divBdr>
        <w:top w:val="none" w:sz="0" w:space="0" w:color="auto"/>
        <w:left w:val="none" w:sz="0" w:space="0" w:color="auto"/>
        <w:bottom w:val="none" w:sz="0" w:space="0" w:color="auto"/>
        <w:right w:val="none" w:sz="0" w:space="0" w:color="auto"/>
      </w:divBdr>
    </w:div>
    <w:div w:id="248468785">
      <w:bodyDiv w:val="1"/>
      <w:marLeft w:val="0"/>
      <w:marRight w:val="0"/>
      <w:marTop w:val="0"/>
      <w:marBottom w:val="0"/>
      <w:divBdr>
        <w:top w:val="none" w:sz="0" w:space="0" w:color="auto"/>
        <w:left w:val="none" w:sz="0" w:space="0" w:color="auto"/>
        <w:bottom w:val="none" w:sz="0" w:space="0" w:color="auto"/>
        <w:right w:val="none" w:sz="0" w:space="0" w:color="auto"/>
      </w:divBdr>
    </w:div>
    <w:div w:id="402918993">
      <w:bodyDiv w:val="1"/>
      <w:marLeft w:val="0"/>
      <w:marRight w:val="0"/>
      <w:marTop w:val="0"/>
      <w:marBottom w:val="0"/>
      <w:divBdr>
        <w:top w:val="none" w:sz="0" w:space="0" w:color="auto"/>
        <w:left w:val="none" w:sz="0" w:space="0" w:color="auto"/>
        <w:bottom w:val="none" w:sz="0" w:space="0" w:color="auto"/>
        <w:right w:val="none" w:sz="0" w:space="0" w:color="auto"/>
      </w:divBdr>
    </w:div>
    <w:div w:id="446968726">
      <w:bodyDiv w:val="1"/>
      <w:marLeft w:val="0"/>
      <w:marRight w:val="0"/>
      <w:marTop w:val="0"/>
      <w:marBottom w:val="0"/>
      <w:divBdr>
        <w:top w:val="none" w:sz="0" w:space="0" w:color="auto"/>
        <w:left w:val="none" w:sz="0" w:space="0" w:color="auto"/>
        <w:bottom w:val="none" w:sz="0" w:space="0" w:color="auto"/>
        <w:right w:val="none" w:sz="0" w:space="0" w:color="auto"/>
      </w:divBdr>
    </w:div>
    <w:div w:id="590087564">
      <w:bodyDiv w:val="1"/>
      <w:marLeft w:val="0"/>
      <w:marRight w:val="0"/>
      <w:marTop w:val="0"/>
      <w:marBottom w:val="0"/>
      <w:divBdr>
        <w:top w:val="none" w:sz="0" w:space="0" w:color="auto"/>
        <w:left w:val="none" w:sz="0" w:space="0" w:color="auto"/>
        <w:bottom w:val="none" w:sz="0" w:space="0" w:color="auto"/>
        <w:right w:val="none" w:sz="0" w:space="0" w:color="auto"/>
      </w:divBdr>
    </w:div>
    <w:div w:id="632752999">
      <w:bodyDiv w:val="1"/>
      <w:marLeft w:val="0"/>
      <w:marRight w:val="0"/>
      <w:marTop w:val="0"/>
      <w:marBottom w:val="0"/>
      <w:divBdr>
        <w:top w:val="none" w:sz="0" w:space="0" w:color="auto"/>
        <w:left w:val="none" w:sz="0" w:space="0" w:color="auto"/>
        <w:bottom w:val="none" w:sz="0" w:space="0" w:color="auto"/>
        <w:right w:val="none" w:sz="0" w:space="0" w:color="auto"/>
      </w:divBdr>
    </w:div>
    <w:div w:id="883519198">
      <w:bodyDiv w:val="1"/>
      <w:marLeft w:val="0"/>
      <w:marRight w:val="0"/>
      <w:marTop w:val="0"/>
      <w:marBottom w:val="0"/>
      <w:divBdr>
        <w:top w:val="none" w:sz="0" w:space="0" w:color="auto"/>
        <w:left w:val="none" w:sz="0" w:space="0" w:color="auto"/>
        <w:bottom w:val="none" w:sz="0" w:space="0" w:color="auto"/>
        <w:right w:val="none" w:sz="0" w:space="0" w:color="auto"/>
      </w:divBdr>
    </w:div>
    <w:div w:id="886916768">
      <w:bodyDiv w:val="1"/>
      <w:marLeft w:val="0"/>
      <w:marRight w:val="0"/>
      <w:marTop w:val="0"/>
      <w:marBottom w:val="0"/>
      <w:divBdr>
        <w:top w:val="none" w:sz="0" w:space="0" w:color="auto"/>
        <w:left w:val="none" w:sz="0" w:space="0" w:color="auto"/>
        <w:bottom w:val="none" w:sz="0" w:space="0" w:color="auto"/>
        <w:right w:val="none" w:sz="0" w:space="0" w:color="auto"/>
      </w:divBdr>
    </w:div>
    <w:div w:id="1033308160">
      <w:bodyDiv w:val="1"/>
      <w:marLeft w:val="0"/>
      <w:marRight w:val="0"/>
      <w:marTop w:val="0"/>
      <w:marBottom w:val="0"/>
      <w:divBdr>
        <w:top w:val="none" w:sz="0" w:space="0" w:color="auto"/>
        <w:left w:val="none" w:sz="0" w:space="0" w:color="auto"/>
        <w:bottom w:val="none" w:sz="0" w:space="0" w:color="auto"/>
        <w:right w:val="none" w:sz="0" w:space="0" w:color="auto"/>
      </w:divBdr>
      <w:divsChild>
        <w:div w:id="974019292">
          <w:marLeft w:val="-15"/>
          <w:marRight w:val="0"/>
          <w:marTop w:val="0"/>
          <w:marBottom w:val="0"/>
          <w:divBdr>
            <w:top w:val="none" w:sz="0" w:space="0" w:color="auto"/>
            <w:left w:val="none" w:sz="0" w:space="0" w:color="auto"/>
            <w:bottom w:val="none" w:sz="0" w:space="0" w:color="auto"/>
            <w:right w:val="none" w:sz="0" w:space="0" w:color="auto"/>
          </w:divBdr>
        </w:div>
      </w:divsChild>
    </w:div>
    <w:div w:id="1047099818">
      <w:bodyDiv w:val="1"/>
      <w:marLeft w:val="0"/>
      <w:marRight w:val="0"/>
      <w:marTop w:val="0"/>
      <w:marBottom w:val="0"/>
      <w:divBdr>
        <w:top w:val="none" w:sz="0" w:space="0" w:color="auto"/>
        <w:left w:val="none" w:sz="0" w:space="0" w:color="auto"/>
        <w:bottom w:val="none" w:sz="0" w:space="0" w:color="auto"/>
        <w:right w:val="none" w:sz="0" w:space="0" w:color="auto"/>
      </w:divBdr>
    </w:div>
    <w:div w:id="1083844500">
      <w:bodyDiv w:val="1"/>
      <w:marLeft w:val="0"/>
      <w:marRight w:val="0"/>
      <w:marTop w:val="0"/>
      <w:marBottom w:val="0"/>
      <w:divBdr>
        <w:top w:val="none" w:sz="0" w:space="0" w:color="auto"/>
        <w:left w:val="none" w:sz="0" w:space="0" w:color="auto"/>
        <w:bottom w:val="none" w:sz="0" w:space="0" w:color="auto"/>
        <w:right w:val="none" w:sz="0" w:space="0" w:color="auto"/>
      </w:divBdr>
    </w:div>
    <w:div w:id="1178034943">
      <w:bodyDiv w:val="1"/>
      <w:marLeft w:val="0"/>
      <w:marRight w:val="0"/>
      <w:marTop w:val="0"/>
      <w:marBottom w:val="0"/>
      <w:divBdr>
        <w:top w:val="none" w:sz="0" w:space="0" w:color="auto"/>
        <w:left w:val="none" w:sz="0" w:space="0" w:color="auto"/>
        <w:bottom w:val="none" w:sz="0" w:space="0" w:color="auto"/>
        <w:right w:val="none" w:sz="0" w:space="0" w:color="auto"/>
      </w:divBdr>
    </w:div>
    <w:div w:id="1193416414">
      <w:bodyDiv w:val="1"/>
      <w:marLeft w:val="0"/>
      <w:marRight w:val="0"/>
      <w:marTop w:val="0"/>
      <w:marBottom w:val="0"/>
      <w:divBdr>
        <w:top w:val="none" w:sz="0" w:space="0" w:color="auto"/>
        <w:left w:val="none" w:sz="0" w:space="0" w:color="auto"/>
        <w:bottom w:val="none" w:sz="0" w:space="0" w:color="auto"/>
        <w:right w:val="none" w:sz="0" w:space="0" w:color="auto"/>
      </w:divBdr>
      <w:divsChild>
        <w:div w:id="2019499452">
          <w:marLeft w:val="-15"/>
          <w:marRight w:val="0"/>
          <w:marTop w:val="0"/>
          <w:marBottom w:val="0"/>
          <w:divBdr>
            <w:top w:val="none" w:sz="0" w:space="0" w:color="auto"/>
            <w:left w:val="none" w:sz="0" w:space="0" w:color="auto"/>
            <w:bottom w:val="none" w:sz="0" w:space="0" w:color="auto"/>
            <w:right w:val="none" w:sz="0" w:space="0" w:color="auto"/>
          </w:divBdr>
        </w:div>
      </w:divsChild>
    </w:div>
    <w:div w:id="1226915276">
      <w:bodyDiv w:val="1"/>
      <w:marLeft w:val="0"/>
      <w:marRight w:val="0"/>
      <w:marTop w:val="0"/>
      <w:marBottom w:val="0"/>
      <w:divBdr>
        <w:top w:val="none" w:sz="0" w:space="0" w:color="auto"/>
        <w:left w:val="none" w:sz="0" w:space="0" w:color="auto"/>
        <w:bottom w:val="none" w:sz="0" w:space="0" w:color="auto"/>
        <w:right w:val="none" w:sz="0" w:space="0" w:color="auto"/>
      </w:divBdr>
    </w:div>
    <w:div w:id="1229418015">
      <w:bodyDiv w:val="1"/>
      <w:marLeft w:val="0"/>
      <w:marRight w:val="0"/>
      <w:marTop w:val="0"/>
      <w:marBottom w:val="0"/>
      <w:divBdr>
        <w:top w:val="none" w:sz="0" w:space="0" w:color="auto"/>
        <w:left w:val="none" w:sz="0" w:space="0" w:color="auto"/>
        <w:bottom w:val="none" w:sz="0" w:space="0" w:color="auto"/>
        <w:right w:val="none" w:sz="0" w:space="0" w:color="auto"/>
      </w:divBdr>
    </w:div>
    <w:div w:id="1306664329">
      <w:bodyDiv w:val="1"/>
      <w:marLeft w:val="0"/>
      <w:marRight w:val="0"/>
      <w:marTop w:val="0"/>
      <w:marBottom w:val="0"/>
      <w:divBdr>
        <w:top w:val="none" w:sz="0" w:space="0" w:color="auto"/>
        <w:left w:val="none" w:sz="0" w:space="0" w:color="auto"/>
        <w:bottom w:val="none" w:sz="0" w:space="0" w:color="auto"/>
        <w:right w:val="none" w:sz="0" w:space="0" w:color="auto"/>
      </w:divBdr>
    </w:div>
    <w:div w:id="1443694301">
      <w:bodyDiv w:val="1"/>
      <w:marLeft w:val="0"/>
      <w:marRight w:val="0"/>
      <w:marTop w:val="0"/>
      <w:marBottom w:val="0"/>
      <w:divBdr>
        <w:top w:val="none" w:sz="0" w:space="0" w:color="auto"/>
        <w:left w:val="none" w:sz="0" w:space="0" w:color="auto"/>
        <w:bottom w:val="none" w:sz="0" w:space="0" w:color="auto"/>
        <w:right w:val="none" w:sz="0" w:space="0" w:color="auto"/>
      </w:divBdr>
    </w:div>
    <w:div w:id="1561165765">
      <w:bodyDiv w:val="1"/>
      <w:marLeft w:val="0"/>
      <w:marRight w:val="0"/>
      <w:marTop w:val="0"/>
      <w:marBottom w:val="0"/>
      <w:divBdr>
        <w:top w:val="none" w:sz="0" w:space="0" w:color="auto"/>
        <w:left w:val="none" w:sz="0" w:space="0" w:color="auto"/>
        <w:bottom w:val="none" w:sz="0" w:space="0" w:color="auto"/>
        <w:right w:val="none" w:sz="0" w:space="0" w:color="auto"/>
      </w:divBdr>
    </w:div>
    <w:div w:id="1565721844">
      <w:bodyDiv w:val="1"/>
      <w:marLeft w:val="0"/>
      <w:marRight w:val="0"/>
      <w:marTop w:val="0"/>
      <w:marBottom w:val="0"/>
      <w:divBdr>
        <w:top w:val="none" w:sz="0" w:space="0" w:color="auto"/>
        <w:left w:val="none" w:sz="0" w:space="0" w:color="auto"/>
        <w:bottom w:val="none" w:sz="0" w:space="0" w:color="auto"/>
        <w:right w:val="none" w:sz="0" w:space="0" w:color="auto"/>
      </w:divBdr>
    </w:div>
    <w:div w:id="1719356245">
      <w:bodyDiv w:val="1"/>
      <w:marLeft w:val="0"/>
      <w:marRight w:val="0"/>
      <w:marTop w:val="0"/>
      <w:marBottom w:val="0"/>
      <w:divBdr>
        <w:top w:val="none" w:sz="0" w:space="0" w:color="auto"/>
        <w:left w:val="none" w:sz="0" w:space="0" w:color="auto"/>
        <w:bottom w:val="none" w:sz="0" w:space="0" w:color="auto"/>
        <w:right w:val="none" w:sz="0" w:space="0" w:color="auto"/>
      </w:divBdr>
    </w:div>
    <w:div w:id="1727796616">
      <w:bodyDiv w:val="1"/>
      <w:marLeft w:val="0"/>
      <w:marRight w:val="0"/>
      <w:marTop w:val="0"/>
      <w:marBottom w:val="0"/>
      <w:divBdr>
        <w:top w:val="none" w:sz="0" w:space="0" w:color="auto"/>
        <w:left w:val="none" w:sz="0" w:space="0" w:color="auto"/>
        <w:bottom w:val="none" w:sz="0" w:space="0" w:color="auto"/>
        <w:right w:val="none" w:sz="0" w:space="0" w:color="auto"/>
      </w:divBdr>
    </w:div>
    <w:div w:id="1760248813">
      <w:bodyDiv w:val="1"/>
      <w:marLeft w:val="0"/>
      <w:marRight w:val="0"/>
      <w:marTop w:val="0"/>
      <w:marBottom w:val="0"/>
      <w:divBdr>
        <w:top w:val="none" w:sz="0" w:space="0" w:color="auto"/>
        <w:left w:val="none" w:sz="0" w:space="0" w:color="auto"/>
        <w:bottom w:val="none" w:sz="0" w:space="0" w:color="auto"/>
        <w:right w:val="none" w:sz="0" w:space="0" w:color="auto"/>
      </w:divBdr>
    </w:div>
    <w:div w:id="1881087234">
      <w:bodyDiv w:val="1"/>
      <w:marLeft w:val="0"/>
      <w:marRight w:val="0"/>
      <w:marTop w:val="0"/>
      <w:marBottom w:val="0"/>
      <w:divBdr>
        <w:top w:val="none" w:sz="0" w:space="0" w:color="auto"/>
        <w:left w:val="none" w:sz="0" w:space="0" w:color="auto"/>
        <w:bottom w:val="none" w:sz="0" w:space="0" w:color="auto"/>
        <w:right w:val="none" w:sz="0" w:space="0" w:color="auto"/>
      </w:divBdr>
    </w:div>
    <w:div w:id="1945648997">
      <w:bodyDiv w:val="1"/>
      <w:marLeft w:val="0"/>
      <w:marRight w:val="0"/>
      <w:marTop w:val="0"/>
      <w:marBottom w:val="0"/>
      <w:divBdr>
        <w:top w:val="none" w:sz="0" w:space="0" w:color="auto"/>
        <w:left w:val="none" w:sz="0" w:space="0" w:color="auto"/>
        <w:bottom w:val="none" w:sz="0" w:space="0" w:color="auto"/>
        <w:right w:val="none" w:sz="0" w:space="0" w:color="auto"/>
      </w:divBdr>
    </w:div>
    <w:div w:id="1988126332">
      <w:bodyDiv w:val="1"/>
      <w:marLeft w:val="0"/>
      <w:marRight w:val="0"/>
      <w:marTop w:val="0"/>
      <w:marBottom w:val="0"/>
      <w:divBdr>
        <w:top w:val="none" w:sz="0" w:space="0" w:color="auto"/>
        <w:left w:val="none" w:sz="0" w:space="0" w:color="auto"/>
        <w:bottom w:val="none" w:sz="0" w:space="0" w:color="auto"/>
        <w:right w:val="none" w:sz="0" w:space="0" w:color="auto"/>
      </w:divBdr>
    </w:div>
    <w:div w:id="2010865353">
      <w:bodyDiv w:val="1"/>
      <w:marLeft w:val="0"/>
      <w:marRight w:val="0"/>
      <w:marTop w:val="0"/>
      <w:marBottom w:val="0"/>
      <w:divBdr>
        <w:top w:val="none" w:sz="0" w:space="0" w:color="auto"/>
        <w:left w:val="none" w:sz="0" w:space="0" w:color="auto"/>
        <w:bottom w:val="none" w:sz="0" w:space="0" w:color="auto"/>
        <w:right w:val="none" w:sz="0" w:space="0" w:color="auto"/>
      </w:divBdr>
    </w:div>
    <w:div w:id="210842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324/josr.v4i1.2328" TargetMode="External"/><Relationship Id="rId18" Type="http://schemas.openxmlformats.org/officeDocument/2006/relationships/hyperlink" Target="https://doi.org/10.2139/ssrn.4956994" TargetMode="External"/><Relationship Id="rId26" Type="http://schemas.openxmlformats.org/officeDocument/2006/relationships/hyperlink" Target="https://doi.org/10.1108/IJSSP-07-2020-0285" TargetMode="External"/><Relationship Id="rId3" Type="http://schemas.microsoft.com/office/2007/relationships/stylesWithEffects" Target="stylesWithEffects.xml"/><Relationship Id="rId21" Type="http://schemas.openxmlformats.org/officeDocument/2006/relationships/hyperlink" Target="https://doi.org/10.3389/fpubh.2022.849059"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jsr.internationaljournallabs.com/index.php/ijsr/article/download/2328/1334/12002?utm_source=chatgpt.com" TargetMode="External"/><Relationship Id="rId17" Type="http://schemas.openxmlformats.org/officeDocument/2006/relationships/hyperlink" Target="https://doi.org/10.1016/j.foodpol.2020.101997" TargetMode="External"/><Relationship Id="rId25" Type="http://schemas.openxmlformats.org/officeDocument/2006/relationships/hyperlink" Target="https://doi.org/10.1108/IJSSP-07-2020-028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cribd.com/document/697952690/Expenses-and-income-of-street-vendors?utm_source=chatgpt.com" TargetMode="External"/><Relationship Id="rId20" Type="http://schemas.openxmlformats.org/officeDocument/2006/relationships/hyperlink" Target="https://doi.org/https:/dx.doi.org/10.47772/IJRISS.2023.701142" TargetMode="External"/><Relationship Id="rId29" Type="http://schemas.openxmlformats.org/officeDocument/2006/relationships/hyperlink" Target="https://doi.org/10.3390/foods12203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932.2025.2559975" TargetMode="External"/><Relationship Id="rId24" Type="http://schemas.openxmlformats.org/officeDocument/2006/relationships/hyperlink" Target="https://doi.org/10.3389/fnut.2025.1621204"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4536/ajsde.v4i1.4552" TargetMode="External"/><Relationship Id="rId23" Type="http://schemas.openxmlformats.org/officeDocument/2006/relationships/hyperlink" Target="https://doi.org/10.1177/09562478221113753" TargetMode="External"/><Relationship Id="rId28" Type="http://schemas.openxmlformats.org/officeDocument/2006/relationships/hyperlink" Target="https://doi.org/10.54536/ajsde.v4i1.4552" TargetMode="External"/><Relationship Id="rId10" Type="http://schemas.openxmlformats.org/officeDocument/2006/relationships/hyperlink" Target="https://doi.org/10.1007/s11524-025-00999-4" TargetMode="External"/><Relationship Id="rId19" Type="http://schemas.openxmlformats.org/officeDocument/2006/relationships/hyperlink" Target="https://doi.org/10.1186/s12889-020-08527-6" TargetMode="External"/><Relationship Id="rId31" Type="http://schemas.openxmlformats.org/officeDocument/2006/relationships/hyperlink" Target="https://doi.org/10.1016/j.jafr.2022.100469" TargetMode="External"/><Relationship Id="rId4" Type="http://schemas.openxmlformats.org/officeDocument/2006/relationships/settings" Target="settings.xml"/><Relationship Id="rId9" Type="http://schemas.openxmlformats.org/officeDocument/2006/relationships/hyperlink" Target="https://doi.org/10.1007/s12571-022-01257-0" TargetMode="External"/><Relationship Id="rId14" Type="http://schemas.openxmlformats.org/officeDocument/2006/relationships/hyperlink" Target="https://krinstitute.org/assets/contentMS/img/template/editor/NEXUS_DP2%20Literature%20Review%20on%20Night%20Markets%20FINAL.pdf?utm_source=chatgpt.com" TargetMode="External"/><Relationship Id="rId22" Type="http://schemas.openxmlformats.org/officeDocument/2006/relationships/hyperlink" Target="https://doi.org/10.3389/fpubh.2022.849059" TargetMode="External"/><Relationship Id="rId27" Type="http://schemas.openxmlformats.org/officeDocument/2006/relationships/hyperlink" Target="https://doi.org/10.556442/eabmij.v4i03.212" TargetMode="External"/><Relationship Id="rId30" Type="http://schemas.openxmlformats.org/officeDocument/2006/relationships/hyperlink" Target="https://doi.org/10.55559/sjahss.v2i04.102" TargetMode="External"/><Relationship Id="rId8" Type="http://schemas.openxmlformats.org/officeDocument/2006/relationships/hyperlink" Target="https://www.ijfmr.com/papers/2024/5/27345.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8F899-4B7C-4322-9FF7-4752C79E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qwert</cp:lastModifiedBy>
  <cp:revision>3</cp:revision>
  <dcterms:created xsi:type="dcterms:W3CDTF">2026-03-02T08:11:00Z</dcterms:created>
  <dcterms:modified xsi:type="dcterms:W3CDTF">2026-03-03T12:12:00Z</dcterms:modified>
</cp:coreProperties>
</file>