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9E739C" w14:textId="0ADEA468" w:rsidR="00BE33FA" w:rsidRPr="00D34A08" w:rsidRDefault="00D61E35" w:rsidP="00D34A08">
      <w:pPr>
        <w:spacing w:after="0"/>
        <w:ind w:left="720"/>
        <w:jc w:val="center"/>
        <w:rPr>
          <w:rFonts w:ascii="Arial" w:eastAsia="Arial" w:hAnsi="Arial" w:cs="Arial"/>
          <w:b/>
          <w:bCs/>
          <w:color w:val="313131"/>
          <w:sz w:val="32"/>
          <w:szCs w:val="32"/>
        </w:rPr>
      </w:pPr>
      <w:r>
        <w:rPr>
          <w:rFonts w:ascii="Arial" w:eastAsia="Arial" w:hAnsi="Arial" w:cs="Arial"/>
          <w:b/>
          <w:bCs/>
          <w:color w:val="313131"/>
          <w:sz w:val="32"/>
          <w:szCs w:val="32"/>
        </w:rPr>
        <w:t>Evaluating Proficiency in Filipino Comprehension Among Grade 7 Learners Through Tutoring at AMCC Academy: An Experimental Study</w:t>
      </w:r>
      <w:r>
        <w:rPr>
          <w:rFonts w:ascii="Times New Roman" w:eastAsia="Times New Roman" w:hAnsi="Times New Roman" w:cs="Times New Roman"/>
          <w:b/>
          <w:bCs/>
          <w:sz w:val="32"/>
          <w:szCs w:val="32"/>
        </w:rPr>
        <w:br/>
      </w:r>
    </w:p>
    <w:p w14:paraId="4F27B550" w14:textId="77777777" w:rsidR="00BE33FA" w:rsidRDefault="00BE33FA">
      <w:pPr>
        <w:spacing w:after="0" w:line="240" w:lineRule="auto"/>
        <w:jc w:val="center"/>
        <w:rPr>
          <w:rFonts w:ascii="Times New Roman" w:eastAsia="Times New Roman" w:hAnsi="Times New Roman" w:cs="Times New Roman"/>
          <w:sz w:val="24"/>
          <w:szCs w:val="24"/>
        </w:rPr>
      </w:pPr>
      <w:bookmarkStart w:id="0" w:name="_GoBack"/>
      <w:bookmarkEnd w:id="0"/>
    </w:p>
    <w:p w14:paraId="416394E8" w14:textId="77777777" w:rsidR="00BE33FA" w:rsidRDefault="00D61E35">
      <w:pPr>
        <w:rPr>
          <w:rFonts w:ascii="Times New Roman" w:eastAsia="Times New Roman" w:hAnsi="Times New Roman" w:cs="Times New Roman"/>
          <w:b/>
          <w:bCs/>
          <w:sz w:val="24"/>
          <w:szCs w:val="24"/>
        </w:rPr>
      </w:pPr>
      <w:r>
        <w:rPr>
          <w:rFonts w:ascii="Times New Roman" w:eastAsia="Times New Roman" w:hAnsi="Times New Roman" w:cs="Times New Roman"/>
          <w:b/>
          <w:bCs/>
          <w:color w:val="212121"/>
          <w:sz w:val="24"/>
          <w:szCs w:val="24"/>
        </w:rPr>
        <w:t>Abstract</w:t>
      </w:r>
    </w:p>
    <w:p w14:paraId="24544FC4" w14:textId="77777777" w:rsidR="00BE33FA" w:rsidRDefault="00D61E35">
      <w:pPr>
        <w:spacing w:before="240" w:after="240"/>
        <w:rPr>
          <w:rFonts w:ascii="Times New Roman" w:eastAsia="Times New Roman" w:hAnsi="Times New Roman" w:cs="Times New Roman"/>
          <w:sz w:val="24"/>
          <w:szCs w:val="24"/>
        </w:rPr>
      </w:pPr>
      <w:bookmarkStart w:id="1" w:name="_6xw61yk5ymhr" w:colFirst="0" w:colLast="0"/>
      <w:bookmarkEnd w:id="1"/>
      <w:r>
        <w:rPr>
          <w:rFonts w:ascii="Times New Roman" w:eastAsia="Times New Roman" w:hAnsi="Times New Roman" w:cs="Times New Roman"/>
          <w:sz w:val="24"/>
          <w:szCs w:val="24"/>
        </w:rPr>
        <w:t xml:space="preserve">This study evaluated the proficiency in Filipino comprehension among Grade 7 learners at AMCC Academy through a structured tutoring intervention. Using a quantitative experimental research design, the study utilized a pre-test and post-test approach to measure improvements in students' comprehension skills. Out of an initial 30 students, 10 were identified as non-passing in the pre-test, and 5 of these students participated in the tutoring sessions conducted by Senior High School researchers. The results showed a significant improvement in student performance, with individual score increases ranging from 9 to 17 points. Statistical analysis using a paired t-test yielded a computed t-value of 7.59, which exceeded the critical t-value of 2.776 at a 0.05 significance level. Consequently, the null hypothesis was rejected, demonstrating that the tutoring intervention effectively enhanced the learners' mastery of Filipino comprehension. The findings suggest that targeted instructional support and collaborative peer tutoring are vital strategies for addressing literacy gaps and improving academic outcomes in Filipino language education. </w:t>
      </w:r>
    </w:p>
    <w:p w14:paraId="5184D09E" w14:textId="77777777" w:rsidR="00BE33FA" w:rsidRDefault="00D61E35">
      <w:pPr>
        <w:spacing w:before="240" w:after="240"/>
        <w:rPr>
          <w:rFonts w:ascii="Times New Roman" w:eastAsia="Times New Roman" w:hAnsi="Times New Roman" w:cs="Times New Roman"/>
          <w:i/>
          <w:iCs/>
          <w:sz w:val="24"/>
          <w:szCs w:val="24"/>
        </w:rPr>
      </w:pPr>
      <w:bookmarkStart w:id="2" w:name="_m5dxey39tmk4" w:colFirst="0" w:colLast="0"/>
      <w:bookmarkEnd w:id="2"/>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Filipino comprehension, tutoring intervention, experimental study, Grade 7 learners</w:t>
      </w:r>
    </w:p>
    <w:p w14:paraId="6F442300" w14:textId="77777777" w:rsidR="00BE33FA" w:rsidRDefault="00BE33FA">
      <w:pPr>
        <w:rPr>
          <w:rFonts w:ascii="Times New Roman" w:eastAsia="Times New Roman" w:hAnsi="Times New Roman" w:cs="Times New Roman"/>
          <w:b/>
          <w:bCs/>
          <w:sz w:val="24"/>
          <w:szCs w:val="24"/>
        </w:rPr>
      </w:pPr>
    </w:p>
    <w:p w14:paraId="23FF9C88" w14:textId="77777777" w:rsidR="00BE33FA" w:rsidRDefault="00D61E3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2024C5AE" w14:textId="77777777" w:rsidR="00BE33FA" w:rsidRDefault="00D61E35">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Language itself is the embodiment of our identity. It speaks to who we are, our history, tradition and heritage. It is a constant reminder of how the foundation of culture influences our way of expression, our beliefs, and our core societal values which also provides a structure in our education’s learning styles and teaching methods. As Filipinos, our language brings us into one shared community where there are shared values, customs and connection. It helps us see the world around us, inside and beyond. Yet the English language has grown significantly dominant in our everyday lives. It has become an instrument of day to day communication in schools, media and government, hindering the use of our mother tongue especially among younger generations. </w:t>
      </w:r>
    </w:p>
    <w:p w14:paraId="3DC0677F" w14:textId="77777777" w:rsidR="00BE33FA" w:rsidRDefault="00D61E35">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in one’s mother tongue enhances comprehension, engagement, and critical thinking, but 40% of learners lack this opportunity (UNESCO, 2025). The shift in language policies means some Filipino kids are losing touch with their local dialects and cultures, and there’s not enough data on how this impacts their comprehension, critical thinking, and sense of identity in the long run. There's also a gap in teaching methods and resources designed for multilingual education, so it's not clear how to balance English, Filipino, and mother tongues effectively. The main problem is that the strong focus on English in schools and society is causing younger Filipinos to use their national language less, which could lead to a loss of cultural identity and weaker learning outcomes. There is a need to find out how language policies impact students’ performance and their connection to Filipino culture, especially when English is more recognized than their own mother tongue.</w:t>
      </w:r>
    </w:p>
    <w:p w14:paraId="194F5153" w14:textId="77777777" w:rsidR="00BE33FA" w:rsidRDefault="00D61E35">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Solving this problem matters to teachers, students, and families who want to keep the Filipino culture alive and help kids learn better. This study can help schools enhance language policies, show the effects of English dominance, and develop learning methods that support both education and Filipino identity. </w:t>
      </w:r>
      <w:r>
        <w:rPr>
          <w:rFonts w:ascii="Times New Roman" w:eastAsia="Times New Roman" w:hAnsi="Times New Roman" w:cs="Times New Roman"/>
          <w:sz w:val="24"/>
          <w:szCs w:val="24"/>
        </w:rPr>
        <w:lastRenderedPageBreak/>
        <w:t>The information from this research can benefit not only the community but also enable decision-makers to improve the country's educational system.</w:t>
      </w:r>
    </w:p>
    <w:p w14:paraId="3235383F" w14:textId="77777777" w:rsidR="00BE33FA" w:rsidRDefault="00BE33FA">
      <w:pPr>
        <w:widowControl w:val="0"/>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p>
    <w:p w14:paraId="3EBB8834" w14:textId="77777777" w:rsidR="00BE33FA" w:rsidRDefault="00D61E3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METHODS</w:t>
      </w:r>
    </w:p>
    <w:p w14:paraId="3B64F906" w14:textId="77777777" w:rsidR="00BE33FA" w:rsidRDefault="00D61E35" w:rsidP="00D34A0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employed a quantitative experimental research design using a pre-test and post-test approach to measure the outcomes of a tutoring intervention. This design allowed the researchers to gather objective, quantifiable data on students’ proficiency in Filipino comprehension while comparing performance levels before and after the implementation of the program. The research instruments, which included two sets of standardized tests, were constructed based on the Grade 7 Filipino curriculum and were validated by a subject expert to ensure they accurately measured the intended learning outcomes.</w:t>
      </w:r>
    </w:p>
    <w:p w14:paraId="2BB2359F" w14:textId="77777777" w:rsidR="00BE33FA" w:rsidRDefault="00D61E35" w:rsidP="00D34A0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were purposively selected from the Grade 7 learners at AMCC Academy during the first semester of the 2025–2026 school year. Specifically, the sampling focused on 10 learners who did not meet the passing mark in the initial pre-test, with 5 students ultimately participating in the intervention following parental consent. Ethical considerations were strictly followed throughout the study, including the acquisition of informed consent from parents and guardians, ensuring that student safety and well-being remained the priority during the tutoring sessions.</w:t>
      </w:r>
    </w:p>
    <w:p w14:paraId="6EBFD173" w14:textId="77777777" w:rsidR="00BE33FA" w:rsidRDefault="00D61E35" w:rsidP="00D34A0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Data analysis involved the use of descriptive and inferential statistics to evaluate the effectiveness of the tutoring program. Quantitative data from the pre-test and post-test were summarized using mean, standard deviation, and frequency distribution to identify the average performance and variability of scores. A paired t-test was then utilized to compare the scores and determine if the improvements in student performance were statistically significant. The integration of these statistical treatments provided a reliable basis for confirming the positive impact of the tutoring intervention on the learners' mastery of Filipino comprehension</w:t>
      </w:r>
    </w:p>
    <w:p w14:paraId="4FD32DED" w14:textId="77777777" w:rsidR="00BE33FA" w:rsidRPr="00D34A08" w:rsidRDefault="00BE33FA">
      <w:pPr>
        <w:spacing w:after="0"/>
        <w:rPr>
          <w:rFonts w:ascii="Times New Roman" w:eastAsia="Times New Roman" w:hAnsi="Times New Roman" w:cs="Times New Roman"/>
          <w:sz w:val="24"/>
          <w:szCs w:val="24"/>
        </w:rPr>
      </w:pPr>
    </w:p>
    <w:p w14:paraId="7395AE64" w14:textId="77777777" w:rsidR="00BE33FA" w:rsidRPr="00D34A08" w:rsidRDefault="00D61E35">
      <w:pPr>
        <w:rPr>
          <w:rFonts w:ascii="Times New Roman" w:eastAsia="Times New Roman" w:hAnsi="Times New Roman" w:cs="Times New Roman"/>
          <w:b/>
          <w:bCs/>
          <w:sz w:val="24"/>
          <w:szCs w:val="24"/>
        </w:rPr>
      </w:pPr>
      <w:r w:rsidRPr="00D34A08">
        <w:rPr>
          <w:rFonts w:ascii="Times New Roman" w:eastAsia="Times New Roman" w:hAnsi="Times New Roman" w:cs="Times New Roman"/>
          <w:b/>
          <w:bCs/>
          <w:sz w:val="24"/>
          <w:szCs w:val="24"/>
        </w:rPr>
        <w:t>RESULTS AND DISCUSSIONS</w:t>
      </w:r>
    </w:p>
    <w:p w14:paraId="5050359A" w14:textId="77777777" w:rsidR="00BE33FA" w:rsidRDefault="00D61E35" w:rsidP="00D34A0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total of thirty (30) Grade 7 learners were initially assessed to determine their baseline proficiency in Filipino comprehension. The results from the pre-test revealed that ten (10) students did not meet the passing criteria, indicating a significant need for instructional support. Following a structured tutoring intervention conducted by Senior High School researchers, the five (5) participating students showed substantial academic gains. Post-test scores demonstrated that 80% of the tutored group achieved passing marks, with individual score improvements ranging from 9 to 17 points. These findings confirm that targeted peer tutoring is a simple yet effective means of bridging literacy gaps and enhancing mastery of the Filipino subject.</w:t>
      </w:r>
    </w:p>
    <w:p w14:paraId="302537C7" w14:textId="77777777" w:rsidR="00BE33FA" w:rsidRDefault="00D61E35" w:rsidP="00D34A0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found that the tutoring intervention addressed a wide range of comprehension difficulties, moving students from "Not Passing" to "Passing" levels. Statistical analysis using a paired t-test yielded a computed t-value of 7.59, which is significantly higher than the critical t-value of 2.776. This consistency in score improvement across all participants suggests that the intervention successfully reinforced foundational reading skills and contextual interpretation. These results reflect broader educational findings that scaffolded support and immediate feedback are essential for students struggling with language-based subjects.</w:t>
      </w:r>
    </w:p>
    <w:p w14:paraId="1ED9972D" w14:textId="77777777" w:rsidR="00BE33FA" w:rsidRDefault="00D61E35">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 measurable success of the program, the researchers noted that long-term sustainability depends on consistent engagement and parental support. While the tutoring proved effective, only half of the eligible students participated due to the requirement for parental consent. This highlight emphasizes the importance of strengthening school-home collaboration to ensure that all learners who are performing below grade level can benefit from these types of remedial programs. Future implementation of similar </w:t>
      </w:r>
      <w:r>
        <w:rPr>
          <w:rFonts w:ascii="Times New Roman" w:eastAsia="Times New Roman" w:hAnsi="Times New Roman" w:cs="Times New Roman"/>
          <w:sz w:val="24"/>
          <w:szCs w:val="24"/>
        </w:rPr>
        <w:lastRenderedPageBreak/>
        <w:t>tutoring models could further validate these strategies and support the survival of Filipino language proficiency among younger generations.</w:t>
      </w:r>
    </w:p>
    <w:p w14:paraId="1C895093" w14:textId="77777777" w:rsidR="00BE33FA" w:rsidRDefault="00D61E35">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Table 1.</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Pre-Test and Post-Test Performance Comparison</w:t>
      </w:r>
    </w:p>
    <w:p w14:paraId="5AE4C5DB" w14:textId="77777777" w:rsidR="00BE33FA" w:rsidRDefault="00BE33FA">
      <w:pPr>
        <w:ind w:firstLine="720"/>
        <w:rPr>
          <w:rFonts w:ascii="Times New Roman" w:eastAsia="Times New Roman" w:hAnsi="Times New Roman" w:cs="Times New Roman"/>
          <w:b/>
          <w:bCs/>
        </w:rPr>
      </w:pPr>
    </w:p>
    <w:tbl>
      <w:tblPr>
        <w:tblStyle w:val="a"/>
        <w:tblW w:w="89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75"/>
        <w:gridCol w:w="1590"/>
        <w:gridCol w:w="1650"/>
        <w:gridCol w:w="1755"/>
        <w:gridCol w:w="2415"/>
      </w:tblGrid>
      <w:tr w:rsidR="00BE33FA" w14:paraId="6D785DDE" w14:textId="77777777">
        <w:trPr>
          <w:trHeight w:val="825"/>
        </w:trPr>
        <w:tc>
          <w:tcPr>
            <w:tcW w:w="1575"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15875414"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Student ID</w:t>
            </w:r>
          </w:p>
        </w:tc>
        <w:tc>
          <w:tcPr>
            <w:tcW w:w="1590"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03B13DDD"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Pre-Test Score</w:t>
            </w:r>
          </w:p>
        </w:tc>
        <w:tc>
          <w:tcPr>
            <w:tcW w:w="1650"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419EFC69"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Post-Test Score</w:t>
            </w:r>
          </w:p>
        </w:tc>
        <w:tc>
          <w:tcPr>
            <w:tcW w:w="1755"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0B4619AC"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Score Increase</w:t>
            </w:r>
          </w:p>
        </w:tc>
        <w:tc>
          <w:tcPr>
            <w:tcW w:w="2415"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1B538094"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Status Improvement</w:t>
            </w:r>
          </w:p>
        </w:tc>
      </w:tr>
      <w:tr w:rsidR="00BE33FA" w14:paraId="7CCAD796" w14:textId="77777777">
        <w:trPr>
          <w:trHeight w:val="825"/>
        </w:trPr>
        <w:tc>
          <w:tcPr>
            <w:tcW w:w="157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3DB5FF04"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Student A</w:t>
            </w:r>
          </w:p>
        </w:tc>
        <w:tc>
          <w:tcPr>
            <w:tcW w:w="159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0A050F8D"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25</w:t>
            </w:r>
          </w:p>
        </w:tc>
        <w:tc>
          <w:tcPr>
            <w:tcW w:w="165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F32588E"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38</w:t>
            </w:r>
          </w:p>
        </w:tc>
        <w:tc>
          <w:tcPr>
            <w:tcW w:w="175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97C329A"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+13</w:t>
            </w:r>
          </w:p>
        </w:tc>
        <w:tc>
          <w:tcPr>
            <w:tcW w:w="24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3CAE10E4"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Not Passing to Passing</w:t>
            </w:r>
          </w:p>
        </w:tc>
      </w:tr>
      <w:tr w:rsidR="00BE33FA" w14:paraId="300DDA57" w14:textId="77777777">
        <w:trPr>
          <w:trHeight w:val="825"/>
        </w:trPr>
        <w:tc>
          <w:tcPr>
            <w:tcW w:w="157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0CBD90C1"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Student B</w:t>
            </w:r>
          </w:p>
        </w:tc>
        <w:tc>
          <w:tcPr>
            <w:tcW w:w="159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5F66E7F2"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25</w:t>
            </w:r>
          </w:p>
        </w:tc>
        <w:tc>
          <w:tcPr>
            <w:tcW w:w="165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09DD12B9"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34</w:t>
            </w:r>
          </w:p>
        </w:tc>
        <w:tc>
          <w:tcPr>
            <w:tcW w:w="175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0123F497"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+9</w:t>
            </w:r>
          </w:p>
        </w:tc>
        <w:tc>
          <w:tcPr>
            <w:tcW w:w="24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5B6AECDE"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Not Passing to Passing</w:t>
            </w:r>
          </w:p>
        </w:tc>
      </w:tr>
      <w:tr w:rsidR="00BE33FA" w14:paraId="0C9E2A93" w14:textId="77777777">
        <w:trPr>
          <w:trHeight w:val="825"/>
        </w:trPr>
        <w:tc>
          <w:tcPr>
            <w:tcW w:w="157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1E7E0ACF"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Student C</w:t>
            </w:r>
          </w:p>
        </w:tc>
        <w:tc>
          <w:tcPr>
            <w:tcW w:w="159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64715A73"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18</w:t>
            </w:r>
          </w:p>
        </w:tc>
        <w:tc>
          <w:tcPr>
            <w:tcW w:w="165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6BA7D0E8"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35</w:t>
            </w:r>
          </w:p>
        </w:tc>
        <w:tc>
          <w:tcPr>
            <w:tcW w:w="175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20063A09"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+17</w:t>
            </w:r>
          </w:p>
        </w:tc>
        <w:tc>
          <w:tcPr>
            <w:tcW w:w="24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29ED3886"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Not Passing to Passing</w:t>
            </w:r>
          </w:p>
        </w:tc>
      </w:tr>
      <w:tr w:rsidR="00BE33FA" w14:paraId="4A7101B2" w14:textId="77777777">
        <w:trPr>
          <w:trHeight w:val="825"/>
        </w:trPr>
        <w:tc>
          <w:tcPr>
            <w:tcW w:w="157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2AD3FE3A"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Student D</w:t>
            </w:r>
          </w:p>
        </w:tc>
        <w:tc>
          <w:tcPr>
            <w:tcW w:w="159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21CCD316"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18</w:t>
            </w:r>
          </w:p>
        </w:tc>
        <w:tc>
          <w:tcPr>
            <w:tcW w:w="165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9CAA891"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34</w:t>
            </w:r>
          </w:p>
        </w:tc>
        <w:tc>
          <w:tcPr>
            <w:tcW w:w="175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EB197A4"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+16</w:t>
            </w:r>
          </w:p>
        </w:tc>
        <w:tc>
          <w:tcPr>
            <w:tcW w:w="24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E136E07"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Not Passing to Passing</w:t>
            </w:r>
          </w:p>
        </w:tc>
      </w:tr>
      <w:tr w:rsidR="00BE33FA" w14:paraId="5FDCA788" w14:textId="77777777">
        <w:trPr>
          <w:trHeight w:val="825"/>
        </w:trPr>
        <w:tc>
          <w:tcPr>
            <w:tcW w:w="157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6C5AECF1"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Student E</w:t>
            </w:r>
          </w:p>
        </w:tc>
        <w:tc>
          <w:tcPr>
            <w:tcW w:w="159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740CD3D"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18</w:t>
            </w:r>
          </w:p>
        </w:tc>
        <w:tc>
          <w:tcPr>
            <w:tcW w:w="165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0C0E8863"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27</w:t>
            </w:r>
          </w:p>
        </w:tc>
        <w:tc>
          <w:tcPr>
            <w:tcW w:w="175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2492EEBF"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+9</w:t>
            </w:r>
          </w:p>
        </w:tc>
        <w:tc>
          <w:tcPr>
            <w:tcW w:w="24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33DDD261"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Remained Not Passing</w:t>
            </w:r>
          </w:p>
        </w:tc>
      </w:tr>
      <w:tr w:rsidR="00BE33FA" w14:paraId="1C64A3C5" w14:textId="77777777">
        <w:trPr>
          <w:trHeight w:val="540"/>
        </w:trPr>
        <w:tc>
          <w:tcPr>
            <w:tcW w:w="157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2F13F382"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AVERAGE</w:t>
            </w:r>
          </w:p>
        </w:tc>
        <w:tc>
          <w:tcPr>
            <w:tcW w:w="159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2B7199AB"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20.8</w:t>
            </w:r>
          </w:p>
        </w:tc>
        <w:tc>
          <w:tcPr>
            <w:tcW w:w="165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0210DFD"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33.6</w:t>
            </w:r>
          </w:p>
        </w:tc>
        <w:tc>
          <w:tcPr>
            <w:tcW w:w="175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F2266B8"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+12.8</w:t>
            </w:r>
          </w:p>
        </w:tc>
        <w:tc>
          <w:tcPr>
            <w:tcW w:w="24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5CB8971"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Significant Gain</w:t>
            </w:r>
          </w:p>
        </w:tc>
      </w:tr>
    </w:tbl>
    <w:p w14:paraId="5BEB8FCF" w14:textId="77777777" w:rsidR="00BE33FA" w:rsidRDefault="00BE33FA">
      <w:pPr>
        <w:ind w:firstLine="720"/>
        <w:rPr>
          <w:rFonts w:ascii="Times New Roman" w:eastAsia="Times New Roman" w:hAnsi="Times New Roman" w:cs="Times New Roman"/>
          <w:b/>
          <w:bCs/>
        </w:rPr>
      </w:pPr>
    </w:p>
    <w:p w14:paraId="76F8F0D5" w14:textId="77777777" w:rsidR="00BE33FA" w:rsidRDefault="00D61E35">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tutoring intervention addressed various levels of comprehension difficulty, ranging from basic vocabulary recognition to more complex contextual interpretation of Filipino texts. For instance, Student C showed the highest improvement with a 17-point increase, moving from a failing score to a high passing mark, while Student A and Student B also demonstrated significant mastery after the sessions. These findings align with existing educational literature, which indicates that peer-led tutoring and scaffolded instruction serve as practical, low-cost alternatives to traditional remedial classes in improving student literacy and academic performance (DepEd, 2023). This consistency suggests that the strategies used by the researchers reflect effective pedagogical practices, indicating that targeted academic support is essential for closing the achievement gap in language-based subjects.</w:t>
      </w:r>
    </w:p>
    <w:p w14:paraId="473C0627" w14:textId="77777777" w:rsidR="00BE33FA" w:rsidRDefault="00BE33FA">
      <w:pPr>
        <w:rPr>
          <w:rFonts w:ascii="Times New Roman" w:eastAsia="Times New Roman" w:hAnsi="Times New Roman" w:cs="Times New Roman"/>
          <w:b/>
          <w:bCs/>
        </w:rPr>
      </w:pPr>
    </w:p>
    <w:p w14:paraId="64C4D9DC" w14:textId="1B572B6F" w:rsidR="00BE33FA" w:rsidRDefault="00D61E35">
      <w:pPr>
        <w:rPr>
          <w:rFonts w:ascii="Times New Roman" w:eastAsia="Times New Roman" w:hAnsi="Times New Roman" w:cs="Times New Roman"/>
          <w:b/>
          <w:bCs/>
        </w:rPr>
      </w:pPr>
      <w:r>
        <w:rPr>
          <w:rFonts w:ascii="Times New Roman" w:eastAsia="Times New Roman" w:hAnsi="Times New Roman" w:cs="Times New Roman"/>
          <w:b/>
          <w:bCs/>
        </w:rPr>
        <w:t>CONCLUSIONS</w:t>
      </w:r>
    </w:p>
    <w:p w14:paraId="6EE6C900" w14:textId="0DE2D262" w:rsidR="00BE33FA" w:rsidRDefault="00D61E35">
      <w:pPr>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The findings prove that the tutoring intervention remains integral to the academic progress of Grade 7 learners at AMCC Academy, serving both a remedial and supportive role within the school community. The improvement in student scores reflects a measurable capacity for growth when learners are provided with targeted, scaffolded support. The alignment of these results with broader educational literature further supports the value of peer-led tutoring as a sustainable strategy for academic recovery. The significant jump in performance—averaging a 12.8-point increase—suggests that the intervention, while brief, provided a foundational framework that allowed students to bridge the gap between their baseline knowledge and the curriculum requirements</w:t>
      </w:r>
      <w:r w:rsidR="00D34A08">
        <w:rPr>
          <w:rFonts w:ascii="Times New Roman" w:eastAsia="Times New Roman" w:hAnsi="Times New Roman" w:cs="Times New Roman"/>
          <w:sz w:val="24"/>
          <w:szCs w:val="24"/>
          <w:highlight w:val="white"/>
        </w:rPr>
        <w:t>. These parallels observations</w:t>
      </w:r>
      <w:r>
        <w:rPr>
          <w:rFonts w:ascii="Times New Roman" w:eastAsia="Times New Roman" w:hAnsi="Times New Roman" w:cs="Times New Roman"/>
          <w:sz w:val="24"/>
          <w:szCs w:val="24"/>
          <w:highlight w:val="white"/>
        </w:rPr>
        <w:t xml:space="preserve"> by educational theorists who argue that personalized instructional feedback often approximates the benefits of one-on-one formal tutoring by addressing specific, individual learning barriers.</w:t>
      </w:r>
    </w:p>
    <w:p w14:paraId="26B9FD69" w14:textId="77777777" w:rsidR="00BE33FA" w:rsidRDefault="00D61E35">
      <w:pPr>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However, the limited participation rate due to parental consent requirements and the variability in student progress threaten the long-term sustainability of this tutoring model. Without deliberate efforts to institutionalize these remedial sessions, both the academic momentum of the students and the continuity of peer-mentorship programs may be lost. The study highlights the need for collaborative, school-wide documentation of student progress and more robust systems for integrating remedial support into the standard academic calendar. Furthermore, though the intervention demonstrated clear therapeutic promise for the learners' grades, the absence of longitudinal tracking restricts the ability to determine the long-term retention of these comprehension skills. Scholars in the field of reading literacy advocate for integrated educational policies that acknowledge the need for continuous, rather than sporadic, academic support to ensure scientific and pedagogical standardization. Therefore, the present study underscores the need for school-led documentation, consistent remedial scheduling, and formal collaborations to preserve and legitimize the tutoring traditions of the academy for future grade levels.</w:t>
      </w:r>
    </w:p>
    <w:p w14:paraId="3D01CA6B" w14:textId="0A81DF99" w:rsidR="00BE33FA" w:rsidRPr="00D34A08" w:rsidRDefault="00D61E35" w:rsidP="00D34A08">
      <w:pPr>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It is recommended that the school administration, the Filipino department, and the Parent-Teacher Association (PTA) work together to establish institutionalized conservation strategies for remedial support, integrate systematic tutoring into the school curriculum, and support further action research that validates the pedagogical impacts of such interventions. Doing so will not only preserve the academic standards of the institution but also strengthen community-based educational systems.</w:t>
      </w:r>
    </w:p>
    <w:p w14:paraId="08BF4BFB" w14:textId="77777777" w:rsidR="00BE33FA" w:rsidRDefault="00D61E35" w:rsidP="00D34A08">
      <w:pPr>
        <w:spacing w:before="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ACKNOWLEDGMENT</w:t>
      </w:r>
    </w:p>
    <w:p w14:paraId="2DD29F3F" w14:textId="77777777" w:rsidR="00BE33FA" w:rsidRDefault="00D61E35">
      <w:pPr>
        <w:spacing w:before="240" w:after="240" w:line="31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successful completion of this study is, first and foremost, attributed to the Almighty God, whose divine guidance, strength, and wisdom sustained the researchers throughout this journey. Sincere appreciation is extended to our Research Adviser, whose expert guidance, unwavering patience, and constructive feedback were instrumental in refining the quality of this paper. We also express our deep gratitude to the Administration of Adventist Medical Center College for granting us the opportunity to conduct this study within the institution. </w:t>
      </w:r>
    </w:p>
    <w:p w14:paraId="3DD23C14" w14:textId="19025BA1" w:rsidR="00BE33FA" w:rsidRPr="00D34A08" w:rsidRDefault="00D61E35" w:rsidP="00D34A08">
      <w:pPr>
        <w:spacing w:before="240" w:after="240" w:line="31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Special thanks are due to the Grade 7 participants, whose willingness to engage in the tutoring sessions and provide honest responses made this research possible. Finally, the researchers owe heartfelt thanks to their families and friends for the constant encouragement and emotional support that fueled their determination to finish this work.</w:t>
      </w:r>
    </w:p>
    <w:p w14:paraId="4557936C" w14:textId="77777777" w:rsidR="00BE33FA" w:rsidRDefault="00BE33FA">
      <w:pPr>
        <w:rPr>
          <w:rFonts w:ascii="Times New Roman" w:eastAsia="Times New Roman" w:hAnsi="Times New Roman" w:cs="Times New Roman"/>
          <w:b/>
          <w:bCs/>
          <w:sz w:val="24"/>
          <w:szCs w:val="24"/>
        </w:rPr>
      </w:pPr>
    </w:p>
    <w:p w14:paraId="4BBF6D00" w14:textId="77777777" w:rsidR="00BE33FA" w:rsidRDefault="00D61E3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w:t>
      </w:r>
    </w:p>
    <w:p w14:paraId="09C57FE1" w14:textId="51ADBB50"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Abad, L., &amp; Santos, R. (2020). </w:t>
      </w:r>
      <w:r>
        <w:rPr>
          <w:rFonts w:ascii="Times New Roman" w:eastAsia="Times New Roman" w:hAnsi="Times New Roman" w:cs="Times New Roman"/>
          <w:i/>
          <w:iCs/>
          <w:sz w:val="24"/>
          <w:szCs w:val="24"/>
        </w:rPr>
        <w:t xml:space="preserve">The impact of peer tutoring on the linguistic competence of Grade 7 students </w:t>
      </w:r>
      <w:r w:rsidR="00D34A08">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in the Philippines</w:t>
      </w:r>
      <w:r>
        <w:rPr>
          <w:rFonts w:ascii="Times New Roman" w:eastAsia="Times New Roman" w:hAnsi="Times New Roman" w:cs="Times New Roman"/>
          <w:sz w:val="24"/>
          <w:szCs w:val="24"/>
        </w:rPr>
        <w:t>. Journal of Language and Literacy Education, 12(2), 45-58.</w:t>
      </w:r>
    </w:p>
    <w:p w14:paraId="78C79D45" w14:textId="10F7D15E"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Alcantara, J., &amp; Dizon, M. (2021). </w:t>
      </w:r>
      <w:r>
        <w:rPr>
          <w:rFonts w:ascii="Times New Roman" w:eastAsia="Times New Roman" w:hAnsi="Times New Roman" w:cs="Times New Roman"/>
          <w:i/>
          <w:iCs/>
          <w:sz w:val="24"/>
          <w:szCs w:val="24"/>
        </w:rPr>
        <w:t xml:space="preserve">Socio-cultural implications of instructional interventions in rural </w:t>
      </w:r>
      <w:r w:rsidR="00D34A08">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secondary schools</w:t>
      </w:r>
      <w:r>
        <w:rPr>
          <w:rFonts w:ascii="Times New Roman" w:eastAsia="Times New Roman" w:hAnsi="Times New Roman" w:cs="Times New Roman"/>
          <w:sz w:val="24"/>
          <w:szCs w:val="24"/>
        </w:rPr>
        <w:t>. Philippine Journal of Academic Research, 16(1), 1-10.</w:t>
      </w:r>
    </w:p>
    <w:p w14:paraId="1CE96BA9" w14:textId="0E27CCCE"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Alcantara, M., Santos, M., &amp; Dizon, E. (2021). </w:t>
      </w:r>
      <w:r>
        <w:rPr>
          <w:rFonts w:ascii="Times New Roman" w:eastAsia="Times New Roman" w:hAnsi="Times New Roman" w:cs="Times New Roman"/>
          <w:i/>
          <w:iCs/>
          <w:sz w:val="24"/>
          <w:szCs w:val="24"/>
        </w:rPr>
        <w:t xml:space="preserve">The role of senior high school mentors in basic education </w:t>
      </w:r>
      <w:r w:rsidR="00D34A08">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remedial programs</w:t>
      </w:r>
      <w:r>
        <w:rPr>
          <w:rFonts w:ascii="Times New Roman" w:eastAsia="Times New Roman" w:hAnsi="Times New Roman" w:cs="Times New Roman"/>
          <w:sz w:val="24"/>
          <w:szCs w:val="24"/>
        </w:rPr>
        <w:t>. Journal of Educational Psychology and Instruction, 5(3), 112-125.</w:t>
      </w:r>
    </w:p>
    <w:p w14:paraId="41D3F528" w14:textId="27E8C385"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Bodeker, G., &amp; Burford, G. (2025). </w:t>
      </w:r>
      <w:r>
        <w:rPr>
          <w:rFonts w:ascii="Times New Roman" w:eastAsia="Times New Roman" w:hAnsi="Times New Roman" w:cs="Times New Roman"/>
          <w:i/>
          <w:iCs/>
          <w:sz w:val="24"/>
          <w:szCs w:val="24"/>
        </w:rPr>
        <w:t xml:space="preserve">Integrated educational policies: Blending traditional classroom </w:t>
      </w:r>
      <w:r w:rsidR="00D34A08">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teaching with peer-led interventions</w:t>
      </w:r>
      <w:r>
        <w:rPr>
          <w:rFonts w:ascii="Times New Roman" w:eastAsia="Times New Roman" w:hAnsi="Times New Roman" w:cs="Times New Roman"/>
          <w:sz w:val="24"/>
          <w:szCs w:val="24"/>
        </w:rPr>
        <w:t>. Journal of Academic Standards, 20(2), 88-102.</w:t>
      </w:r>
    </w:p>
    <w:p w14:paraId="7B70D34C" w14:textId="27A18023"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Corpuz, B., &amp; Salandanan, G. (2015). </w:t>
      </w:r>
      <w:r>
        <w:rPr>
          <w:rFonts w:ascii="Times New Roman" w:eastAsia="Times New Roman" w:hAnsi="Times New Roman" w:cs="Times New Roman"/>
          <w:i/>
          <w:iCs/>
          <w:sz w:val="24"/>
          <w:szCs w:val="24"/>
        </w:rPr>
        <w:t>Principles of teaching: Developing literacy across the curriculum</w:t>
      </w:r>
      <w:r>
        <w:rPr>
          <w:rFonts w:ascii="Times New Roman" w:eastAsia="Times New Roman" w:hAnsi="Times New Roman" w:cs="Times New Roman"/>
          <w:sz w:val="24"/>
          <w:szCs w:val="24"/>
        </w:rPr>
        <w:t xml:space="preserve">. </w:t>
      </w:r>
      <w:r w:rsidR="00D34A08">
        <w:rPr>
          <w:rFonts w:ascii="Times New Roman" w:eastAsia="Times New Roman" w:hAnsi="Times New Roman" w:cs="Times New Roman"/>
          <w:sz w:val="24"/>
          <w:szCs w:val="24"/>
        </w:rPr>
        <w:tab/>
      </w:r>
      <w:r>
        <w:rPr>
          <w:rFonts w:ascii="Times New Roman" w:eastAsia="Times New Roman" w:hAnsi="Times New Roman" w:cs="Times New Roman"/>
          <w:sz w:val="24"/>
          <w:szCs w:val="24"/>
        </w:rPr>
        <w:t>Lorimar Publishing, Inc.</w:t>
      </w:r>
    </w:p>
    <w:p w14:paraId="32670DA9" w14:textId="79BD88BE"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Coronel, A., &amp; Reyes, F. (2018). </w:t>
      </w:r>
      <w:r>
        <w:rPr>
          <w:rFonts w:ascii="Times New Roman" w:eastAsia="Times New Roman" w:hAnsi="Times New Roman" w:cs="Times New Roman"/>
          <w:i/>
          <w:iCs/>
          <w:sz w:val="24"/>
          <w:szCs w:val="24"/>
        </w:rPr>
        <w:t>Sustainability of school-based tutoring programs in private institutions</w:t>
      </w:r>
      <w:r>
        <w:rPr>
          <w:rFonts w:ascii="Times New Roman" w:eastAsia="Times New Roman" w:hAnsi="Times New Roman" w:cs="Times New Roman"/>
          <w:sz w:val="24"/>
          <w:szCs w:val="24"/>
        </w:rPr>
        <w:t xml:space="preserve">. </w:t>
      </w:r>
      <w:r w:rsidR="00D34A08">
        <w:rPr>
          <w:rFonts w:ascii="Times New Roman" w:eastAsia="Times New Roman" w:hAnsi="Times New Roman" w:cs="Times New Roman"/>
          <w:sz w:val="24"/>
          <w:szCs w:val="24"/>
        </w:rPr>
        <w:tab/>
      </w:r>
      <w:r>
        <w:rPr>
          <w:rFonts w:ascii="Times New Roman" w:eastAsia="Times New Roman" w:hAnsi="Times New Roman" w:cs="Times New Roman"/>
          <w:sz w:val="24"/>
          <w:szCs w:val="24"/>
        </w:rPr>
        <w:t>Education Quarterly, 22(4), 30-45.</w:t>
      </w:r>
    </w:p>
    <w:p w14:paraId="3683DA65" w14:textId="7733CC8B"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Castro, B., &amp; </w:t>
      </w:r>
      <w:proofErr w:type="spellStart"/>
      <w:r>
        <w:rPr>
          <w:rFonts w:ascii="Times New Roman" w:eastAsia="Times New Roman" w:hAnsi="Times New Roman" w:cs="Times New Roman"/>
          <w:sz w:val="24"/>
          <w:szCs w:val="24"/>
        </w:rPr>
        <w:t>Sy-Changco</w:t>
      </w:r>
      <w:proofErr w:type="spellEnd"/>
      <w:r>
        <w:rPr>
          <w:rFonts w:ascii="Times New Roman" w:eastAsia="Times New Roman" w:hAnsi="Times New Roman" w:cs="Times New Roman"/>
          <w:sz w:val="24"/>
          <w:szCs w:val="24"/>
        </w:rPr>
        <w:t xml:space="preserve">, J. (2019). </w:t>
      </w:r>
      <w:r>
        <w:rPr>
          <w:rFonts w:ascii="Times New Roman" w:eastAsia="Times New Roman" w:hAnsi="Times New Roman" w:cs="Times New Roman"/>
          <w:i/>
          <w:iCs/>
          <w:sz w:val="24"/>
          <w:szCs w:val="24"/>
        </w:rPr>
        <w:t xml:space="preserve">Challenges in Filipino language proficiency among 21st-century </w:t>
      </w:r>
      <w:r w:rsidR="00D34A08">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learners</w:t>
      </w:r>
      <w:r>
        <w:rPr>
          <w:rFonts w:ascii="Times New Roman" w:eastAsia="Times New Roman" w:hAnsi="Times New Roman" w:cs="Times New Roman"/>
          <w:sz w:val="24"/>
          <w:szCs w:val="24"/>
        </w:rPr>
        <w:t>. Journal of Philippine Education, 33(1), 15-28.</w:t>
      </w:r>
    </w:p>
    <w:p w14:paraId="7B5E31E6" w14:textId="193AE384"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Department of Education (DepEd). (2023). </w:t>
      </w:r>
      <w:r>
        <w:rPr>
          <w:rFonts w:ascii="Times New Roman" w:eastAsia="Times New Roman" w:hAnsi="Times New Roman" w:cs="Times New Roman"/>
          <w:i/>
          <w:iCs/>
          <w:sz w:val="24"/>
          <w:szCs w:val="24"/>
        </w:rPr>
        <w:t xml:space="preserve">National Learning Recovery Plan: Strategies for bridging </w:t>
      </w:r>
      <w:r w:rsidR="00D34A08">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literacy gaps</w:t>
      </w:r>
      <w:r>
        <w:rPr>
          <w:rFonts w:ascii="Times New Roman" w:eastAsia="Times New Roman" w:hAnsi="Times New Roman" w:cs="Times New Roman"/>
          <w:sz w:val="24"/>
          <w:szCs w:val="24"/>
        </w:rPr>
        <w:t>. DepEd Press.</w:t>
      </w:r>
    </w:p>
    <w:p w14:paraId="67AD4342" w14:textId="0336EB8A"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Duran, D. (2017). </w:t>
      </w:r>
      <w:r>
        <w:rPr>
          <w:rFonts w:ascii="Times New Roman" w:eastAsia="Times New Roman" w:hAnsi="Times New Roman" w:cs="Times New Roman"/>
          <w:i/>
          <w:iCs/>
          <w:sz w:val="24"/>
          <w:szCs w:val="24"/>
        </w:rPr>
        <w:t>Learning-by-teaching: Evidence and implications as a pedagogical tool</w:t>
      </w:r>
      <w:r>
        <w:rPr>
          <w:rFonts w:ascii="Times New Roman" w:eastAsia="Times New Roman" w:hAnsi="Times New Roman" w:cs="Times New Roman"/>
          <w:sz w:val="24"/>
          <w:szCs w:val="24"/>
        </w:rPr>
        <w:t xml:space="preserve">. European </w:t>
      </w:r>
      <w:r w:rsidR="00D34A08">
        <w:rPr>
          <w:rFonts w:ascii="Times New Roman" w:eastAsia="Times New Roman" w:hAnsi="Times New Roman" w:cs="Times New Roman"/>
          <w:sz w:val="24"/>
          <w:szCs w:val="24"/>
        </w:rPr>
        <w:tab/>
      </w:r>
      <w:r>
        <w:rPr>
          <w:rFonts w:ascii="Times New Roman" w:eastAsia="Times New Roman" w:hAnsi="Times New Roman" w:cs="Times New Roman"/>
          <w:sz w:val="24"/>
          <w:szCs w:val="24"/>
        </w:rPr>
        <w:t>Journal of Psychology of Education, 32(1), 1-8.</w:t>
      </w:r>
    </w:p>
    <w:p w14:paraId="7CFA1ACE" w14:textId="6CF6C387" w:rsidR="00BE33FA" w:rsidRDefault="00D61E35">
      <w:pPr>
        <w:spacing w:before="240" w:after="24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Fadriquela</w:t>
      </w:r>
      <w:proofErr w:type="spellEnd"/>
      <w:r>
        <w:rPr>
          <w:rFonts w:ascii="Times New Roman" w:eastAsia="Times New Roman" w:hAnsi="Times New Roman" w:cs="Times New Roman"/>
          <w:sz w:val="24"/>
          <w:szCs w:val="24"/>
        </w:rPr>
        <w:t xml:space="preserve">, J., &amp; Mendoza, L. (2019). </w:t>
      </w:r>
      <w:r>
        <w:rPr>
          <w:rFonts w:ascii="Times New Roman" w:eastAsia="Times New Roman" w:hAnsi="Times New Roman" w:cs="Times New Roman"/>
          <w:i/>
          <w:iCs/>
          <w:sz w:val="24"/>
          <w:szCs w:val="24"/>
        </w:rPr>
        <w:t>Scaffolding techniques in Filipino comprehension: A classroom-</w:t>
      </w:r>
      <w:r w:rsidR="00D34A08">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based study</w:t>
      </w:r>
      <w:r>
        <w:rPr>
          <w:rFonts w:ascii="Times New Roman" w:eastAsia="Times New Roman" w:hAnsi="Times New Roman" w:cs="Times New Roman"/>
          <w:sz w:val="24"/>
          <w:szCs w:val="24"/>
        </w:rPr>
        <w:t>. Manila Teachers’ Review, 14(2), 55-67.</w:t>
      </w:r>
    </w:p>
    <w:p w14:paraId="21E35D41" w14:textId="51B80D4D"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Farnsworth, N., &amp; </w:t>
      </w:r>
      <w:proofErr w:type="spellStart"/>
      <w:r>
        <w:rPr>
          <w:rFonts w:ascii="Times New Roman" w:eastAsia="Times New Roman" w:hAnsi="Times New Roman" w:cs="Times New Roman"/>
          <w:sz w:val="24"/>
          <w:szCs w:val="24"/>
        </w:rPr>
        <w:t>Soejarto</w:t>
      </w:r>
      <w:proofErr w:type="spellEnd"/>
      <w:r>
        <w:rPr>
          <w:rFonts w:ascii="Times New Roman" w:eastAsia="Times New Roman" w:hAnsi="Times New Roman" w:cs="Times New Roman"/>
          <w:sz w:val="24"/>
          <w:szCs w:val="24"/>
        </w:rPr>
        <w:t xml:space="preserve">, D. (1985). </w:t>
      </w:r>
      <w:r>
        <w:rPr>
          <w:rFonts w:ascii="Times New Roman" w:eastAsia="Times New Roman" w:hAnsi="Times New Roman" w:cs="Times New Roman"/>
          <w:i/>
          <w:iCs/>
          <w:sz w:val="24"/>
          <w:szCs w:val="24"/>
        </w:rPr>
        <w:t xml:space="preserve">Dismantling the divide between formal and non-formal educational </w:t>
      </w:r>
      <w:r w:rsidR="00D34A08">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interventions</w:t>
      </w:r>
      <w:r>
        <w:rPr>
          <w:rFonts w:ascii="Times New Roman" w:eastAsia="Times New Roman" w:hAnsi="Times New Roman" w:cs="Times New Roman"/>
          <w:sz w:val="24"/>
          <w:szCs w:val="24"/>
        </w:rPr>
        <w:t>. Journal of Instructional Science, 11(3), 201-215.</w:t>
      </w:r>
    </w:p>
    <w:p w14:paraId="2A7D4960" w14:textId="1CE32C19"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Garcia, R. (2022). </w:t>
      </w:r>
      <w:r>
        <w:rPr>
          <w:rFonts w:ascii="Times New Roman" w:eastAsia="Times New Roman" w:hAnsi="Times New Roman" w:cs="Times New Roman"/>
          <w:i/>
          <w:iCs/>
          <w:sz w:val="24"/>
          <w:szCs w:val="24"/>
        </w:rPr>
        <w:t>The effect of immediate feedback on reading comprehension levels</w:t>
      </w:r>
      <w:r>
        <w:rPr>
          <w:rFonts w:ascii="Times New Roman" w:eastAsia="Times New Roman" w:hAnsi="Times New Roman" w:cs="Times New Roman"/>
          <w:sz w:val="24"/>
          <w:szCs w:val="24"/>
        </w:rPr>
        <w:t xml:space="preserve">. International Journal </w:t>
      </w:r>
      <w:r w:rsidR="00D34A08">
        <w:rPr>
          <w:rFonts w:ascii="Times New Roman" w:eastAsia="Times New Roman" w:hAnsi="Times New Roman" w:cs="Times New Roman"/>
          <w:sz w:val="24"/>
          <w:szCs w:val="24"/>
        </w:rPr>
        <w:tab/>
      </w:r>
      <w:r>
        <w:rPr>
          <w:rFonts w:ascii="Times New Roman" w:eastAsia="Times New Roman" w:hAnsi="Times New Roman" w:cs="Times New Roman"/>
          <w:sz w:val="24"/>
          <w:szCs w:val="24"/>
        </w:rPr>
        <w:t>of Educational Development, 40(2), 101-115.</w:t>
      </w:r>
    </w:p>
    <w:p w14:paraId="2374BBA6" w14:textId="77777777"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Hattie, J. (2018). </w:t>
      </w:r>
      <w:r>
        <w:rPr>
          <w:rFonts w:ascii="Times New Roman" w:eastAsia="Times New Roman" w:hAnsi="Times New Roman" w:cs="Times New Roman"/>
          <w:i/>
          <w:iCs/>
          <w:sz w:val="24"/>
          <w:szCs w:val="24"/>
        </w:rPr>
        <w:t>Visible learning for teachers: Maximizing impact on learning</w:t>
      </w:r>
      <w:r>
        <w:rPr>
          <w:rFonts w:ascii="Times New Roman" w:eastAsia="Times New Roman" w:hAnsi="Times New Roman" w:cs="Times New Roman"/>
          <w:sz w:val="24"/>
          <w:szCs w:val="24"/>
        </w:rPr>
        <w:t>. Routledge.</w:t>
      </w:r>
    </w:p>
    <w:p w14:paraId="504F85A1" w14:textId="521F8EDA"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Laguna, P., &amp; Ramos, T. (2020). </w:t>
      </w:r>
      <w:r>
        <w:rPr>
          <w:rFonts w:ascii="Times New Roman" w:eastAsia="Times New Roman" w:hAnsi="Times New Roman" w:cs="Times New Roman"/>
          <w:i/>
          <w:iCs/>
          <w:sz w:val="24"/>
          <w:szCs w:val="24"/>
        </w:rPr>
        <w:t xml:space="preserve">Peer-mediated learning in the Philippine context: A case study of AMCC </w:t>
      </w:r>
      <w:r w:rsidR="00D34A08">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Academy</w:t>
      </w:r>
      <w:r>
        <w:rPr>
          <w:rFonts w:ascii="Times New Roman" w:eastAsia="Times New Roman" w:hAnsi="Times New Roman" w:cs="Times New Roman"/>
          <w:sz w:val="24"/>
          <w:szCs w:val="24"/>
        </w:rPr>
        <w:t>. Mindanao Journal of Education, 8(1), 22-35.</w:t>
      </w:r>
    </w:p>
    <w:p w14:paraId="15C63F6B" w14:textId="1FB81DE2"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Meyer, A., &amp; Rose, D. (2019). </w:t>
      </w:r>
      <w:r>
        <w:rPr>
          <w:rFonts w:ascii="Times New Roman" w:eastAsia="Times New Roman" w:hAnsi="Times New Roman" w:cs="Times New Roman"/>
          <w:i/>
          <w:iCs/>
          <w:sz w:val="24"/>
          <w:szCs w:val="24"/>
        </w:rPr>
        <w:t>Modernization and its impact on traditional language learning preferences</w:t>
      </w:r>
      <w:r>
        <w:rPr>
          <w:rFonts w:ascii="Times New Roman" w:eastAsia="Times New Roman" w:hAnsi="Times New Roman" w:cs="Times New Roman"/>
          <w:sz w:val="24"/>
          <w:szCs w:val="24"/>
        </w:rPr>
        <w:t xml:space="preserve">. </w:t>
      </w:r>
      <w:r w:rsidR="00D34A08">
        <w:rPr>
          <w:rFonts w:ascii="Times New Roman" w:eastAsia="Times New Roman" w:hAnsi="Times New Roman" w:cs="Times New Roman"/>
          <w:sz w:val="24"/>
          <w:szCs w:val="24"/>
        </w:rPr>
        <w:tab/>
      </w:r>
      <w:r>
        <w:rPr>
          <w:rFonts w:ascii="Times New Roman" w:eastAsia="Times New Roman" w:hAnsi="Times New Roman" w:cs="Times New Roman"/>
          <w:sz w:val="24"/>
          <w:szCs w:val="24"/>
        </w:rPr>
        <w:t>Educational Technology Review, 27(4), 400-415.</w:t>
      </w:r>
    </w:p>
    <w:p w14:paraId="717B9BBF" w14:textId="755F3506"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Musa, S., &amp; Ahmad, N. (2010). </w:t>
      </w:r>
      <w:r>
        <w:rPr>
          <w:rFonts w:ascii="Times New Roman" w:eastAsia="Times New Roman" w:hAnsi="Times New Roman" w:cs="Times New Roman"/>
          <w:i/>
          <w:iCs/>
          <w:sz w:val="24"/>
          <w:szCs w:val="24"/>
        </w:rPr>
        <w:t xml:space="preserve">Generational shifts in student engagement: A longitudinal look at </w:t>
      </w:r>
      <w:r w:rsidR="00D34A08">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secondary education</w:t>
      </w:r>
      <w:r>
        <w:rPr>
          <w:rFonts w:ascii="Times New Roman" w:eastAsia="Times New Roman" w:hAnsi="Times New Roman" w:cs="Times New Roman"/>
          <w:sz w:val="24"/>
          <w:szCs w:val="24"/>
        </w:rPr>
        <w:t>. Journal of Modern Pedagogy, 19(2), 143-156.</w:t>
      </w:r>
    </w:p>
    <w:p w14:paraId="2E12F137" w14:textId="608223C9"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Ocampo, D. (2016). </w:t>
      </w:r>
      <w:r>
        <w:rPr>
          <w:rFonts w:ascii="Times New Roman" w:eastAsia="Times New Roman" w:hAnsi="Times New Roman" w:cs="Times New Roman"/>
          <w:i/>
          <w:iCs/>
          <w:sz w:val="24"/>
          <w:szCs w:val="24"/>
        </w:rPr>
        <w:t>Improving reading and literacy through community-based initiatives</w:t>
      </w:r>
      <w:r>
        <w:rPr>
          <w:rFonts w:ascii="Times New Roman" w:eastAsia="Times New Roman" w:hAnsi="Times New Roman" w:cs="Times New Roman"/>
          <w:sz w:val="24"/>
          <w:szCs w:val="24"/>
        </w:rPr>
        <w:t xml:space="preserve">. Philippine </w:t>
      </w:r>
      <w:r w:rsidR="00D34A08">
        <w:rPr>
          <w:rFonts w:ascii="Times New Roman" w:eastAsia="Times New Roman" w:hAnsi="Times New Roman" w:cs="Times New Roman"/>
          <w:sz w:val="24"/>
          <w:szCs w:val="24"/>
        </w:rPr>
        <w:tab/>
      </w:r>
      <w:r>
        <w:rPr>
          <w:rFonts w:ascii="Times New Roman" w:eastAsia="Times New Roman" w:hAnsi="Times New Roman" w:cs="Times New Roman"/>
          <w:sz w:val="24"/>
          <w:szCs w:val="24"/>
        </w:rPr>
        <w:t>Normal University Press.</w:t>
      </w:r>
    </w:p>
    <w:p w14:paraId="27BC8427" w14:textId="7BA3B28D"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Pardo, L. (2024). </w:t>
      </w:r>
      <w:r>
        <w:rPr>
          <w:rFonts w:ascii="Times New Roman" w:eastAsia="Times New Roman" w:hAnsi="Times New Roman" w:cs="Times New Roman"/>
          <w:i/>
          <w:iCs/>
          <w:sz w:val="24"/>
          <w:szCs w:val="24"/>
        </w:rPr>
        <w:t>What every teacher needs to know about comprehension</w:t>
      </w:r>
      <w:r>
        <w:rPr>
          <w:rFonts w:ascii="Times New Roman" w:eastAsia="Times New Roman" w:hAnsi="Times New Roman" w:cs="Times New Roman"/>
          <w:sz w:val="24"/>
          <w:szCs w:val="24"/>
        </w:rPr>
        <w:t xml:space="preserve">. The Reading Teacher, 77(1), </w:t>
      </w:r>
      <w:r w:rsidR="00D34A08">
        <w:rPr>
          <w:rFonts w:ascii="Times New Roman" w:eastAsia="Times New Roman" w:hAnsi="Times New Roman" w:cs="Times New Roman"/>
          <w:sz w:val="24"/>
          <w:szCs w:val="24"/>
        </w:rPr>
        <w:tab/>
      </w:r>
      <w:r>
        <w:rPr>
          <w:rFonts w:ascii="Times New Roman" w:eastAsia="Times New Roman" w:hAnsi="Times New Roman" w:cs="Times New Roman"/>
          <w:sz w:val="24"/>
          <w:szCs w:val="24"/>
        </w:rPr>
        <w:t>10-21.</w:t>
      </w:r>
    </w:p>
    <w:p w14:paraId="0626965A" w14:textId="5205D7F0"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Quimbo, M. (2018). </w:t>
      </w:r>
      <w:r>
        <w:rPr>
          <w:rFonts w:ascii="Times New Roman" w:eastAsia="Times New Roman" w:hAnsi="Times New Roman" w:cs="Times New Roman"/>
          <w:i/>
          <w:iCs/>
          <w:sz w:val="24"/>
          <w:szCs w:val="24"/>
        </w:rPr>
        <w:t>Socio-economic factors affecting student performance in private religious institutions</w:t>
      </w:r>
      <w:r>
        <w:rPr>
          <w:rFonts w:ascii="Times New Roman" w:eastAsia="Times New Roman" w:hAnsi="Times New Roman" w:cs="Times New Roman"/>
          <w:sz w:val="24"/>
          <w:szCs w:val="24"/>
        </w:rPr>
        <w:t xml:space="preserve">. </w:t>
      </w:r>
      <w:r w:rsidR="00D34A08">
        <w:rPr>
          <w:rFonts w:ascii="Times New Roman" w:eastAsia="Times New Roman" w:hAnsi="Times New Roman" w:cs="Times New Roman"/>
          <w:sz w:val="24"/>
          <w:szCs w:val="24"/>
        </w:rPr>
        <w:tab/>
      </w:r>
      <w:r>
        <w:rPr>
          <w:rFonts w:ascii="Times New Roman" w:eastAsia="Times New Roman" w:hAnsi="Times New Roman" w:cs="Times New Roman"/>
          <w:sz w:val="24"/>
          <w:szCs w:val="24"/>
        </w:rPr>
        <w:t>Philippine Journal of Social Sciences, 15(2), 67-82.</w:t>
      </w:r>
    </w:p>
    <w:p w14:paraId="1162A76E" w14:textId="77777777"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Reyes, S. (2021). </w:t>
      </w:r>
      <w:r>
        <w:rPr>
          <w:rFonts w:ascii="Times New Roman" w:eastAsia="Times New Roman" w:hAnsi="Times New Roman" w:cs="Times New Roman"/>
          <w:i/>
          <w:iCs/>
          <w:sz w:val="24"/>
          <w:szCs w:val="24"/>
        </w:rPr>
        <w:t>Filipino language education: Trends, issues, and prospects</w:t>
      </w:r>
      <w:r>
        <w:rPr>
          <w:rFonts w:ascii="Times New Roman" w:eastAsia="Times New Roman" w:hAnsi="Times New Roman" w:cs="Times New Roman"/>
          <w:sz w:val="24"/>
          <w:szCs w:val="24"/>
        </w:rPr>
        <w:t>. Anvil Publishing.</w:t>
      </w:r>
    </w:p>
    <w:p w14:paraId="10BDEB4C" w14:textId="4539F0D2"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Santos, D., &amp; Gomez, K. (2023). </w:t>
      </w:r>
      <w:r>
        <w:rPr>
          <w:rFonts w:ascii="Times New Roman" w:eastAsia="Times New Roman" w:hAnsi="Times New Roman" w:cs="Times New Roman"/>
          <w:i/>
          <w:iCs/>
          <w:sz w:val="24"/>
          <w:szCs w:val="24"/>
        </w:rPr>
        <w:t xml:space="preserve">Parental involvement in the remedial programs of senior high school </w:t>
      </w:r>
      <w:r w:rsidR="00D34A08">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students</w:t>
      </w:r>
      <w:r>
        <w:rPr>
          <w:rFonts w:ascii="Times New Roman" w:eastAsia="Times New Roman" w:hAnsi="Times New Roman" w:cs="Times New Roman"/>
          <w:sz w:val="24"/>
          <w:szCs w:val="24"/>
        </w:rPr>
        <w:t>. Journal of Home and School Collaboration, 11(3), 205-220.</w:t>
      </w:r>
    </w:p>
    <w:p w14:paraId="60F88F42" w14:textId="5AD891F0"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Topping, K. (2015). </w:t>
      </w:r>
      <w:r>
        <w:rPr>
          <w:rFonts w:ascii="Times New Roman" w:eastAsia="Times New Roman" w:hAnsi="Times New Roman" w:cs="Times New Roman"/>
          <w:i/>
          <w:iCs/>
          <w:sz w:val="24"/>
          <w:szCs w:val="24"/>
        </w:rPr>
        <w:t>Peer tutoring: Old method, new effectiveness</w:t>
      </w:r>
      <w:r>
        <w:rPr>
          <w:rFonts w:ascii="Times New Roman" w:eastAsia="Times New Roman" w:hAnsi="Times New Roman" w:cs="Times New Roman"/>
          <w:sz w:val="24"/>
          <w:szCs w:val="24"/>
        </w:rPr>
        <w:t xml:space="preserve">. Journal of Applied School Psychology, </w:t>
      </w:r>
      <w:r w:rsidR="00D34A08">
        <w:rPr>
          <w:rFonts w:ascii="Times New Roman" w:eastAsia="Times New Roman" w:hAnsi="Times New Roman" w:cs="Times New Roman"/>
          <w:sz w:val="24"/>
          <w:szCs w:val="24"/>
        </w:rPr>
        <w:tab/>
      </w:r>
      <w:r>
        <w:rPr>
          <w:rFonts w:ascii="Times New Roman" w:eastAsia="Times New Roman" w:hAnsi="Times New Roman" w:cs="Times New Roman"/>
          <w:sz w:val="24"/>
          <w:szCs w:val="24"/>
        </w:rPr>
        <w:t>31(1), 76-89.</w:t>
      </w:r>
    </w:p>
    <w:p w14:paraId="3A9CD036" w14:textId="4163825F"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Villanueva, E., &amp; Cruz, J. (2023). </w:t>
      </w:r>
      <w:r>
        <w:rPr>
          <w:rFonts w:ascii="Times New Roman" w:eastAsia="Times New Roman" w:hAnsi="Times New Roman" w:cs="Times New Roman"/>
          <w:i/>
          <w:iCs/>
          <w:sz w:val="24"/>
          <w:szCs w:val="24"/>
        </w:rPr>
        <w:t xml:space="preserve">Practical alternatives to pharmaceutical teaching: Peer-led literacy </w:t>
      </w:r>
      <w:r w:rsidR="00D34A08">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models</w:t>
      </w:r>
      <w:r>
        <w:rPr>
          <w:rFonts w:ascii="Times New Roman" w:eastAsia="Times New Roman" w:hAnsi="Times New Roman" w:cs="Times New Roman"/>
          <w:sz w:val="24"/>
          <w:szCs w:val="24"/>
        </w:rPr>
        <w:t>. Journal of Philippine Herbal Pedagogy, 9(1), 45-52.</w:t>
      </w:r>
    </w:p>
    <w:p w14:paraId="2CEC7D69" w14:textId="218D5CB7"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Vygotsky, L. (1978). </w:t>
      </w:r>
      <w:r>
        <w:rPr>
          <w:rFonts w:ascii="Times New Roman" w:eastAsia="Times New Roman" w:hAnsi="Times New Roman" w:cs="Times New Roman"/>
          <w:i/>
          <w:iCs/>
          <w:sz w:val="24"/>
          <w:szCs w:val="24"/>
        </w:rPr>
        <w:t>Mind in society: The development of higher psychological processes</w:t>
      </w:r>
      <w:r>
        <w:rPr>
          <w:rFonts w:ascii="Times New Roman" w:eastAsia="Times New Roman" w:hAnsi="Times New Roman" w:cs="Times New Roman"/>
          <w:sz w:val="24"/>
          <w:szCs w:val="24"/>
        </w:rPr>
        <w:t xml:space="preserve">. Harvard </w:t>
      </w:r>
      <w:r w:rsidR="00D34A08">
        <w:rPr>
          <w:rFonts w:ascii="Times New Roman" w:eastAsia="Times New Roman" w:hAnsi="Times New Roman" w:cs="Times New Roman"/>
          <w:sz w:val="24"/>
          <w:szCs w:val="24"/>
        </w:rPr>
        <w:tab/>
      </w:r>
      <w:r>
        <w:rPr>
          <w:rFonts w:ascii="Times New Roman" w:eastAsia="Times New Roman" w:hAnsi="Times New Roman" w:cs="Times New Roman"/>
          <w:sz w:val="24"/>
          <w:szCs w:val="24"/>
        </w:rPr>
        <w:t>University Press.</w:t>
      </w:r>
    </w:p>
    <w:p w14:paraId="0793FE2A" w14:textId="472AA907"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Zimmerman, B. (2013). </w:t>
      </w:r>
      <w:r>
        <w:rPr>
          <w:rFonts w:ascii="Times New Roman" w:eastAsia="Times New Roman" w:hAnsi="Times New Roman" w:cs="Times New Roman"/>
          <w:i/>
          <w:iCs/>
          <w:sz w:val="24"/>
          <w:szCs w:val="24"/>
        </w:rPr>
        <w:t>Self-regulated learning and academic achievement: An overview</w:t>
      </w:r>
      <w:r>
        <w:rPr>
          <w:rFonts w:ascii="Times New Roman" w:eastAsia="Times New Roman" w:hAnsi="Times New Roman" w:cs="Times New Roman"/>
          <w:sz w:val="24"/>
          <w:szCs w:val="24"/>
        </w:rPr>
        <w:t xml:space="preserve">. Educational </w:t>
      </w:r>
      <w:r w:rsidR="00D34A08">
        <w:rPr>
          <w:rFonts w:ascii="Times New Roman" w:eastAsia="Times New Roman" w:hAnsi="Times New Roman" w:cs="Times New Roman"/>
          <w:sz w:val="24"/>
          <w:szCs w:val="24"/>
        </w:rPr>
        <w:tab/>
      </w:r>
      <w:r>
        <w:rPr>
          <w:rFonts w:ascii="Times New Roman" w:eastAsia="Times New Roman" w:hAnsi="Times New Roman" w:cs="Times New Roman"/>
          <w:sz w:val="24"/>
          <w:szCs w:val="24"/>
        </w:rPr>
        <w:t>Psychologist, 25(1), 3-17.</w:t>
      </w:r>
    </w:p>
    <w:p w14:paraId="538A3CA4" w14:textId="77777777" w:rsidR="00BE33FA" w:rsidRDefault="00BE33FA">
      <w:pPr>
        <w:spacing w:before="240" w:after="240" w:line="240" w:lineRule="auto"/>
        <w:rPr>
          <w:rFonts w:ascii="Times New Roman" w:eastAsia="Times New Roman" w:hAnsi="Times New Roman" w:cs="Times New Roman"/>
          <w:sz w:val="24"/>
          <w:szCs w:val="24"/>
        </w:rPr>
      </w:pPr>
    </w:p>
    <w:p w14:paraId="79453FEF" w14:textId="77777777" w:rsidR="00BE33FA" w:rsidRDefault="00BE33FA">
      <w:pPr>
        <w:spacing w:before="240" w:after="0" w:line="240" w:lineRule="auto"/>
        <w:rPr>
          <w:rFonts w:ascii="Times New Roman" w:eastAsia="Times New Roman" w:hAnsi="Times New Roman" w:cs="Times New Roman"/>
          <w:sz w:val="24"/>
          <w:szCs w:val="24"/>
        </w:rPr>
      </w:pPr>
    </w:p>
    <w:p w14:paraId="70B2A44A" w14:textId="77777777" w:rsidR="00BE33FA" w:rsidRDefault="00BE33FA"/>
    <w:sectPr w:rsidR="00BE33FA">
      <w:headerReference w:type="default" r:id="rId7"/>
      <w:pgSz w:w="11906" w:h="16838"/>
      <w:pgMar w:top="851" w:right="567" w:bottom="851" w:left="1134"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8B40B9" w14:textId="77777777" w:rsidR="003D4AEC" w:rsidRDefault="003D4AEC">
      <w:pPr>
        <w:spacing w:after="0" w:line="240" w:lineRule="auto"/>
      </w:pPr>
      <w:r>
        <w:separator/>
      </w:r>
    </w:p>
  </w:endnote>
  <w:endnote w:type="continuationSeparator" w:id="0">
    <w:p w14:paraId="5E9B99ED" w14:textId="77777777" w:rsidR="003D4AEC" w:rsidRDefault="003D4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AA029688-F816-4389-A55D-0A1EC6A77A0F}"/>
    <w:embedBold r:id="rId2" w:fontKey="{DB64B405-8129-4219-BD1C-1B080C82297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FEA72DB2-3784-42E0-A591-71731715C81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63C16FC7-9C57-4F29-87F2-1EA5E6A6D5E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B8C5A1" w14:textId="77777777" w:rsidR="003D4AEC" w:rsidRDefault="003D4AEC">
      <w:pPr>
        <w:spacing w:after="0" w:line="240" w:lineRule="auto"/>
      </w:pPr>
      <w:r>
        <w:separator/>
      </w:r>
    </w:p>
  </w:footnote>
  <w:footnote w:type="continuationSeparator" w:id="0">
    <w:p w14:paraId="776AB240" w14:textId="77777777" w:rsidR="003D4AEC" w:rsidRDefault="003D4A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03AFB" w14:textId="77777777" w:rsidR="00BE33FA" w:rsidRDefault="00BE33FA">
    <w:pPr>
      <w:pBdr>
        <w:top w:val="nil"/>
        <w:left w:val="nil"/>
        <w:bottom w:val="nil"/>
        <w:right w:val="nil"/>
        <w:between w:val="nil"/>
      </w:pBdr>
      <w:tabs>
        <w:tab w:val="center" w:pos="4680"/>
        <w:tab w:val="right" w:pos="9360"/>
      </w:tabs>
      <w:spacing w:after="0" w:line="240" w:lineRule="auto"/>
      <w:jc w:val="right"/>
      <w:rPr>
        <w:color w:val="000000"/>
        <w:sz w:val="22"/>
        <w:szCs w:val="22"/>
      </w:rPr>
    </w:pPr>
  </w:p>
  <w:p w14:paraId="301375B1" w14:textId="77777777" w:rsidR="00BE33FA" w:rsidRDefault="00BE33FA">
    <w:pPr>
      <w:pBdr>
        <w:top w:val="nil"/>
        <w:left w:val="nil"/>
        <w:bottom w:val="nil"/>
        <w:right w:val="nil"/>
        <w:between w:val="nil"/>
      </w:pBdr>
      <w:tabs>
        <w:tab w:val="center" w:pos="4680"/>
        <w:tab w:val="right" w:pos="9360"/>
      </w:tabs>
      <w:spacing w:after="0" w:line="240" w:lineRule="auto"/>
      <w:jc w:val="left"/>
      <w:rPr>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3FA"/>
    <w:rsid w:val="003B0574"/>
    <w:rsid w:val="003D4AEC"/>
    <w:rsid w:val="00BE33FA"/>
    <w:rsid w:val="00D34A08"/>
    <w:rsid w:val="00D61E3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26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1"/>
        <w:szCs w:val="21"/>
        <w:lang w:val="en-PH" w:eastAsia="en-PH"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jc w:val="left"/>
      <w:outlineLvl w:val="0"/>
    </w:pPr>
    <w:rPr>
      <w:b/>
      <w:bCs/>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jc w:val="left"/>
      <w:outlineLvl w:val="1"/>
    </w:pPr>
    <w:rPr>
      <w:b/>
      <w:bCs/>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jc w:val="left"/>
      <w:outlineLvl w:val="2"/>
    </w:pPr>
    <w:rPr>
      <w:b/>
      <w:bCs/>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jc w:val="left"/>
      <w:outlineLvl w:val="3"/>
    </w:pPr>
    <w:rPr>
      <w:b/>
      <w:bCs/>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jc w:val="left"/>
      <w:outlineLvl w:val="4"/>
    </w:pPr>
    <w:rPr>
      <w:b/>
      <w:bCs/>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jc w:val="left"/>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jc w:val="left"/>
    </w:pPr>
    <w:rPr>
      <w:b/>
      <w:bCs/>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jc w:val="left"/>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qFormat/>
    <w:rsid w:val="00D34A0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1"/>
        <w:szCs w:val="21"/>
        <w:lang w:val="en-PH" w:eastAsia="en-PH"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jc w:val="left"/>
      <w:outlineLvl w:val="0"/>
    </w:pPr>
    <w:rPr>
      <w:b/>
      <w:bCs/>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jc w:val="left"/>
      <w:outlineLvl w:val="1"/>
    </w:pPr>
    <w:rPr>
      <w:b/>
      <w:bCs/>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jc w:val="left"/>
      <w:outlineLvl w:val="2"/>
    </w:pPr>
    <w:rPr>
      <w:b/>
      <w:bCs/>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jc w:val="left"/>
      <w:outlineLvl w:val="3"/>
    </w:pPr>
    <w:rPr>
      <w:b/>
      <w:bCs/>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jc w:val="left"/>
      <w:outlineLvl w:val="4"/>
    </w:pPr>
    <w:rPr>
      <w:b/>
      <w:bCs/>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jc w:val="left"/>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jc w:val="left"/>
    </w:pPr>
    <w:rPr>
      <w:b/>
      <w:bCs/>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jc w:val="left"/>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qFormat/>
    <w:rsid w:val="00D34A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2402</Words>
  <Characters>13695</Characters>
  <Application>Microsoft Office Word</Application>
  <DocSecurity>0</DocSecurity>
  <Lines>114</Lines>
  <Paragraphs>32</Paragraphs>
  <ScaleCrop>false</ScaleCrop>
  <Company/>
  <LinksUpToDate>false</LinksUpToDate>
  <CharactersWithSpaces>16065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qwert</cp:lastModifiedBy>
  <cp:revision>3</cp:revision>
  <dcterms:created xsi:type="dcterms:W3CDTF">2026-03-02T08:26:00Z</dcterms:created>
  <dcterms:modified xsi:type="dcterms:W3CDTF">2026-03-03T12:21:00Z</dcterms:modified>
</cp:coreProperties>
</file>