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11" w:rsidRDefault="00B15237" w:rsidP="00B15237">
      <w:pPr>
        <w:jc w:val="center"/>
        <w:rPr>
          <w:rFonts w:ascii="Times New Roman" w:eastAsia="Times New Roman" w:hAnsi="Times New Roman" w:cs="Times New Roman"/>
          <w:b/>
          <w:bCs/>
          <w:i/>
          <w:iCs/>
          <w:kern w:val="36"/>
          <w:sz w:val="28"/>
          <w:szCs w:val="28"/>
          <w:lang w:eastAsia="en-GB"/>
        </w:rPr>
      </w:pPr>
      <w:r>
        <w:rPr>
          <w:rFonts w:ascii="Times New Roman" w:eastAsia="Times New Roman" w:hAnsi="Times New Roman" w:cs="Times New Roman"/>
          <w:b/>
          <w:bCs/>
          <w:kern w:val="36"/>
          <w:sz w:val="28"/>
          <w:szCs w:val="28"/>
          <w:lang w:eastAsia="en-GB"/>
        </w:rPr>
        <w:t xml:space="preserve">RESEARCH TITLE: </w:t>
      </w:r>
      <w:r w:rsidRPr="00B15237">
        <w:rPr>
          <w:rFonts w:ascii="Times New Roman" w:eastAsia="Times New Roman" w:hAnsi="Times New Roman" w:cs="Times New Roman"/>
          <w:b/>
          <w:bCs/>
          <w:kern w:val="36"/>
          <w:sz w:val="28"/>
          <w:szCs w:val="28"/>
          <w:lang w:eastAsia="en-GB"/>
        </w:rPr>
        <w:t xml:space="preserve">Production and Characterization of </w:t>
      </w:r>
      <w:proofErr w:type="spellStart"/>
      <w:r w:rsidRPr="00B15237">
        <w:rPr>
          <w:rFonts w:ascii="Times New Roman" w:eastAsia="Times New Roman" w:hAnsi="Times New Roman" w:cs="Times New Roman"/>
          <w:b/>
          <w:bCs/>
          <w:kern w:val="36"/>
          <w:sz w:val="28"/>
          <w:szCs w:val="28"/>
          <w:lang w:eastAsia="en-GB"/>
        </w:rPr>
        <w:t>Cellulase</w:t>
      </w:r>
      <w:proofErr w:type="spellEnd"/>
      <w:r w:rsidRPr="00B15237">
        <w:rPr>
          <w:rFonts w:ascii="Times New Roman" w:eastAsia="Times New Roman" w:hAnsi="Times New Roman" w:cs="Times New Roman"/>
          <w:b/>
          <w:bCs/>
          <w:kern w:val="36"/>
          <w:sz w:val="28"/>
          <w:szCs w:val="28"/>
          <w:lang w:eastAsia="en-GB"/>
        </w:rPr>
        <w:t xml:space="preserve"> from </w:t>
      </w:r>
      <w:proofErr w:type="spellStart"/>
      <w:r w:rsidRPr="00B15237">
        <w:rPr>
          <w:rFonts w:ascii="Times New Roman" w:eastAsia="Times New Roman" w:hAnsi="Times New Roman" w:cs="Times New Roman"/>
          <w:b/>
          <w:bCs/>
          <w:i/>
          <w:iCs/>
          <w:kern w:val="36"/>
          <w:sz w:val="28"/>
          <w:szCs w:val="28"/>
          <w:lang w:eastAsia="en-GB"/>
        </w:rPr>
        <w:t>Penicillium</w:t>
      </w:r>
      <w:proofErr w:type="spellEnd"/>
      <w:r w:rsidRPr="00B15237">
        <w:rPr>
          <w:rFonts w:ascii="Times New Roman" w:eastAsia="Times New Roman" w:hAnsi="Times New Roman" w:cs="Times New Roman"/>
          <w:b/>
          <w:bCs/>
          <w:i/>
          <w:iCs/>
          <w:kern w:val="36"/>
          <w:sz w:val="28"/>
          <w:szCs w:val="28"/>
          <w:lang w:eastAsia="en-GB"/>
        </w:rPr>
        <w:t xml:space="preserve"> </w:t>
      </w:r>
      <w:proofErr w:type="spellStart"/>
      <w:r w:rsidRPr="00B15237">
        <w:rPr>
          <w:rFonts w:ascii="Times New Roman" w:eastAsia="Times New Roman" w:hAnsi="Times New Roman" w:cs="Times New Roman"/>
          <w:b/>
          <w:bCs/>
          <w:i/>
          <w:iCs/>
          <w:kern w:val="36"/>
          <w:sz w:val="28"/>
          <w:szCs w:val="28"/>
          <w:lang w:eastAsia="en-GB"/>
        </w:rPr>
        <w:t>chrysogenum</w:t>
      </w:r>
      <w:proofErr w:type="spellEnd"/>
      <w:r w:rsidRPr="00B15237">
        <w:rPr>
          <w:rFonts w:ascii="Times New Roman" w:eastAsia="Times New Roman" w:hAnsi="Times New Roman" w:cs="Times New Roman"/>
          <w:b/>
          <w:bCs/>
          <w:kern w:val="36"/>
          <w:sz w:val="28"/>
          <w:szCs w:val="28"/>
          <w:lang w:eastAsia="en-GB"/>
        </w:rPr>
        <w:t xml:space="preserve"> and </w:t>
      </w:r>
      <w:proofErr w:type="spellStart"/>
      <w:r w:rsidRPr="00B15237">
        <w:rPr>
          <w:rFonts w:ascii="Times New Roman" w:eastAsia="Times New Roman" w:hAnsi="Times New Roman" w:cs="Times New Roman"/>
          <w:b/>
          <w:bCs/>
          <w:i/>
          <w:iCs/>
          <w:kern w:val="36"/>
          <w:sz w:val="28"/>
          <w:szCs w:val="28"/>
          <w:lang w:eastAsia="en-GB"/>
        </w:rPr>
        <w:t>Aspergillus</w:t>
      </w:r>
      <w:proofErr w:type="spellEnd"/>
      <w:r w:rsidRPr="00B15237">
        <w:rPr>
          <w:rFonts w:ascii="Times New Roman" w:eastAsia="Times New Roman" w:hAnsi="Times New Roman" w:cs="Times New Roman"/>
          <w:b/>
          <w:bCs/>
          <w:i/>
          <w:iCs/>
          <w:kern w:val="36"/>
          <w:sz w:val="28"/>
          <w:szCs w:val="28"/>
          <w:lang w:eastAsia="en-GB"/>
        </w:rPr>
        <w:t xml:space="preserve"> </w:t>
      </w:r>
      <w:proofErr w:type="spellStart"/>
      <w:r w:rsidRPr="00B15237">
        <w:rPr>
          <w:rFonts w:ascii="Times New Roman" w:eastAsia="Times New Roman" w:hAnsi="Times New Roman" w:cs="Times New Roman"/>
          <w:b/>
          <w:bCs/>
          <w:i/>
          <w:iCs/>
          <w:kern w:val="36"/>
          <w:sz w:val="28"/>
          <w:szCs w:val="28"/>
          <w:lang w:eastAsia="en-GB"/>
        </w:rPr>
        <w:t>oxysporium</w:t>
      </w:r>
      <w:proofErr w:type="spellEnd"/>
    </w:p>
    <w:p w:rsidR="007E6DDC" w:rsidRPr="00C83347" w:rsidRDefault="007E6DDC" w:rsidP="00C83347">
      <w:pPr>
        <w:pStyle w:val="NoSpacing"/>
        <w:jc w:val="center"/>
        <w:rPr>
          <w:b/>
        </w:rPr>
      </w:pPr>
      <w:bookmarkStart w:id="0" w:name="_GoBack"/>
      <w:bookmarkEnd w:id="0"/>
      <w:r w:rsidRPr="00C83347">
        <w:rPr>
          <w:b/>
        </w:rPr>
        <w:t>Abstract</w:t>
      </w:r>
    </w:p>
    <w:p w:rsidR="007E6DDC" w:rsidRPr="007E6DDC" w:rsidRDefault="007E6DDC" w:rsidP="007E6DDC">
      <w:pPr>
        <w:pStyle w:val="NoSpacing"/>
        <w:jc w:val="both"/>
        <w:rPr>
          <w:rFonts w:ascii="Times New Roman" w:hAnsi="Times New Roman" w:cs="Times New Roman"/>
          <w:sz w:val="24"/>
          <w:szCs w:val="24"/>
        </w:rPr>
      </w:pP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 enzymes play an important role in the degradation of cellulose into simpler sugars and are widely used in several industrial applications such as biofuel production, food processing, and waste management. This study investigated the production and characterization of </w:t>
      </w: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 from fungal isolates obtained from corn cob substrate. Agricultural wastes such as corn cobs are rich in cellulose and can serve as suitable substrates for </w:t>
      </w: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-producing microorganisms. The fungal isolates were cultured and screened for </w:t>
      </w: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 production using cellulose agar medium. Identification of the isolates revealed the presence of </w:t>
      </w:r>
      <w:proofErr w:type="spellStart"/>
      <w:r w:rsidRPr="007E6DDC">
        <w:rPr>
          <w:rFonts w:ascii="Times New Roman" w:hAnsi="Times New Roman" w:cs="Times New Roman"/>
          <w:sz w:val="24"/>
          <w:szCs w:val="24"/>
        </w:rPr>
        <w:t>Penicillium</w:t>
      </w:r>
      <w:proofErr w:type="spellEnd"/>
      <w:r w:rsidRPr="007E6DDC">
        <w:rPr>
          <w:rFonts w:ascii="Times New Roman" w:hAnsi="Times New Roman" w:cs="Times New Roman"/>
          <w:sz w:val="24"/>
          <w:szCs w:val="24"/>
        </w:rPr>
        <w:t xml:space="preserve"> </w:t>
      </w:r>
      <w:proofErr w:type="spellStart"/>
      <w:r w:rsidRPr="007E6DDC">
        <w:rPr>
          <w:rFonts w:ascii="Times New Roman" w:hAnsi="Times New Roman" w:cs="Times New Roman"/>
          <w:sz w:val="24"/>
          <w:szCs w:val="24"/>
        </w:rPr>
        <w:t>chrysogenum</w:t>
      </w:r>
      <w:proofErr w:type="spellEnd"/>
      <w:r w:rsidRPr="007E6DDC">
        <w:rPr>
          <w:rFonts w:ascii="Times New Roman" w:hAnsi="Times New Roman" w:cs="Times New Roman"/>
          <w:sz w:val="24"/>
          <w:szCs w:val="24"/>
        </w:rPr>
        <w:t xml:space="preserve"> and </w:t>
      </w:r>
      <w:proofErr w:type="spellStart"/>
      <w:r w:rsidRPr="007E6DDC">
        <w:rPr>
          <w:rFonts w:ascii="Times New Roman" w:hAnsi="Times New Roman" w:cs="Times New Roman"/>
          <w:sz w:val="24"/>
          <w:szCs w:val="24"/>
        </w:rPr>
        <w:t>Aspergillus</w:t>
      </w:r>
      <w:proofErr w:type="spellEnd"/>
      <w:r w:rsidRPr="007E6DDC">
        <w:rPr>
          <w:rFonts w:ascii="Times New Roman" w:hAnsi="Times New Roman" w:cs="Times New Roman"/>
          <w:sz w:val="24"/>
          <w:szCs w:val="24"/>
        </w:rPr>
        <w:t xml:space="preserve"> </w:t>
      </w:r>
      <w:proofErr w:type="spellStart"/>
      <w:r w:rsidRPr="007E6DDC">
        <w:rPr>
          <w:rFonts w:ascii="Times New Roman" w:hAnsi="Times New Roman" w:cs="Times New Roman"/>
          <w:sz w:val="24"/>
          <w:szCs w:val="24"/>
        </w:rPr>
        <w:t>oxysporium</w:t>
      </w:r>
      <w:proofErr w:type="spellEnd"/>
      <w:r w:rsidRPr="007E6DDC">
        <w:rPr>
          <w:rFonts w:ascii="Times New Roman" w:hAnsi="Times New Roman" w:cs="Times New Roman"/>
          <w:sz w:val="24"/>
          <w:szCs w:val="24"/>
        </w:rPr>
        <w:t xml:space="preserve">. Enzyme production was evaluated by measuring the diameter of hydrolysis zones formed around fungal colonies. The results showed that both fungal species were capable of producing </w:t>
      </w: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 however, </w:t>
      </w:r>
      <w:proofErr w:type="spellStart"/>
      <w:r w:rsidRPr="007E6DDC">
        <w:rPr>
          <w:rFonts w:ascii="Times New Roman" w:hAnsi="Times New Roman" w:cs="Times New Roman"/>
          <w:sz w:val="24"/>
          <w:szCs w:val="24"/>
        </w:rPr>
        <w:t>Aspergillus</w:t>
      </w:r>
      <w:proofErr w:type="spellEnd"/>
      <w:r w:rsidRPr="007E6DDC">
        <w:rPr>
          <w:rFonts w:ascii="Times New Roman" w:hAnsi="Times New Roman" w:cs="Times New Roman"/>
          <w:sz w:val="24"/>
          <w:szCs w:val="24"/>
        </w:rPr>
        <w:t xml:space="preserve"> </w:t>
      </w:r>
      <w:proofErr w:type="spellStart"/>
      <w:r w:rsidRPr="007E6DDC">
        <w:rPr>
          <w:rFonts w:ascii="Times New Roman" w:hAnsi="Times New Roman" w:cs="Times New Roman"/>
          <w:sz w:val="24"/>
          <w:szCs w:val="24"/>
        </w:rPr>
        <w:t>oxysporium</w:t>
      </w:r>
      <w:proofErr w:type="spellEnd"/>
      <w:r w:rsidRPr="007E6DDC">
        <w:rPr>
          <w:rFonts w:ascii="Times New Roman" w:hAnsi="Times New Roman" w:cs="Times New Roman"/>
          <w:sz w:val="24"/>
          <w:szCs w:val="24"/>
        </w:rPr>
        <w:t xml:space="preserve"> demonstrated higher cellulolytic activity compared to </w:t>
      </w:r>
      <w:proofErr w:type="spellStart"/>
      <w:r w:rsidRPr="007E6DDC">
        <w:rPr>
          <w:rFonts w:ascii="Times New Roman" w:hAnsi="Times New Roman" w:cs="Times New Roman"/>
          <w:sz w:val="24"/>
          <w:szCs w:val="24"/>
        </w:rPr>
        <w:t>Penicillium</w:t>
      </w:r>
      <w:proofErr w:type="spellEnd"/>
      <w:r w:rsidRPr="007E6DDC">
        <w:rPr>
          <w:rFonts w:ascii="Times New Roman" w:hAnsi="Times New Roman" w:cs="Times New Roman"/>
          <w:sz w:val="24"/>
          <w:szCs w:val="24"/>
        </w:rPr>
        <w:t xml:space="preserve"> </w:t>
      </w:r>
      <w:proofErr w:type="spellStart"/>
      <w:r w:rsidRPr="007E6DDC">
        <w:rPr>
          <w:rFonts w:ascii="Times New Roman" w:hAnsi="Times New Roman" w:cs="Times New Roman"/>
          <w:sz w:val="24"/>
          <w:szCs w:val="24"/>
        </w:rPr>
        <w:t>chrysogenum</w:t>
      </w:r>
      <w:proofErr w:type="spellEnd"/>
      <w:r w:rsidRPr="007E6DDC">
        <w:rPr>
          <w:rFonts w:ascii="Times New Roman" w:hAnsi="Times New Roman" w:cs="Times New Roman"/>
          <w:sz w:val="24"/>
          <w:szCs w:val="24"/>
        </w:rPr>
        <w:t xml:space="preserve">. The findings highlight the potential of these fungi for </w:t>
      </w:r>
      <w:proofErr w:type="spellStart"/>
      <w:r w:rsidRPr="007E6DDC">
        <w:rPr>
          <w:rFonts w:ascii="Times New Roman" w:hAnsi="Times New Roman" w:cs="Times New Roman"/>
          <w:sz w:val="24"/>
          <w:szCs w:val="24"/>
        </w:rPr>
        <w:t>cellulase</w:t>
      </w:r>
      <w:proofErr w:type="spellEnd"/>
      <w:r w:rsidRPr="007E6DDC">
        <w:rPr>
          <w:rFonts w:ascii="Times New Roman" w:hAnsi="Times New Roman" w:cs="Times New Roman"/>
          <w:sz w:val="24"/>
          <w:szCs w:val="24"/>
        </w:rPr>
        <w:t xml:space="preserve"> production and their possible industrial applications.</w:t>
      </w:r>
    </w:p>
    <w:p w:rsidR="007E6DDC" w:rsidRPr="005E6709" w:rsidRDefault="007E6DDC" w:rsidP="007E6DDC">
      <w:pPr>
        <w:spacing w:before="100" w:beforeAutospacing="1" w:after="100" w:afterAutospacing="1" w:line="240" w:lineRule="auto"/>
        <w:rPr>
          <w:rFonts w:ascii="Times New Roman" w:eastAsia="Times New Roman" w:hAnsi="Times New Roman" w:cs="Times New Roman"/>
          <w:sz w:val="24"/>
          <w:szCs w:val="24"/>
          <w:lang w:eastAsia="en-GB"/>
        </w:rPr>
      </w:pPr>
      <w:r w:rsidRPr="005E6709">
        <w:rPr>
          <w:rFonts w:ascii="Times New Roman" w:eastAsia="Times New Roman" w:hAnsi="Times New Roman" w:cs="Times New Roman"/>
          <w:b/>
          <w:bCs/>
          <w:sz w:val="24"/>
          <w:szCs w:val="24"/>
          <w:lang w:eastAsia="en-GB"/>
        </w:rPr>
        <w:t>Keywords:</w:t>
      </w:r>
      <w:r w:rsidRPr="005E6709">
        <w:rPr>
          <w:rFonts w:ascii="Times New Roman" w:eastAsia="Times New Roman" w:hAnsi="Times New Roman" w:cs="Times New Roman"/>
          <w:sz w:val="24"/>
          <w:szCs w:val="24"/>
          <w:lang w:eastAsia="en-GB"/>
        </w:rPr>
        <w:t xml:space="preserve">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Fungi, Agricultural waste, Enzyme production, Corn cob substrate</w:t>
      </w:r>
    </w:p>
    <w:p w:rsidR="00E60BF8" w:rsidRDefault="00E60BF8" w:rsidP="007E6DDC">
      <w:pPr>
        <w:spacing w:line="360" w:lineRule="auto"/>
        <w:jc w:val="center"/>
      </w:pPr>
      <w:r>
        <w:rPr>
          <w:rFonts w:ascii="Times New Roman" w:hAnsi="Times New Roman" w:cs="Times New Roman"/>
          <w:b/>
          <w:sz w:val="28"/>
          <w:szCs w:val="28"/>
        </w:rPr>
        <w:t>INTRODUCTION</w:t>
      </w:r>
    </w:p>
    <w:p w:rsidR="00E60BF8" w:rsidRDefault="00E60BF8" w:rsidP="00E60BF8">
      <w:pPr>
        <w:spacing w:line="360" w:lineRule="auto"/>
        <w:jc w:val="both"/>
      </w:pPr>
      <w:r>
        <w:rPr>
          <w:rFonts w:ascii="Times New Roman" w:hAnsi="Times New Roman" w:cs="Times New Roman"/>
          <w:sz w:val="24"/>
          <w:szCs w:val="24"/>
        </w:rPr>
        <w:t>In recent decades, the global demand for enzymes has increased substantially, driven largely by industrial advancements and the growing preference for environmentally friendly technologies that align with the principles of green chemistry. Enzymes offer a sustainable alternative to harsh chemical catalysts, as they are biodegradable, highly specific, and operate under moderate conditions, thereby reducing energy consumption and environmental pollution (</w:t>
      </w:r>
      <w:proofErr w:type="spellStart"/>
      <w:r>
        <w:rPr>
          <w:rFonts w:ascii="Times New Roman" w:hAnsi="Times New Roman" w:cs="Times New Roman"/>
          <w:sz w:val="24"/>
          <w:szCs w:val="24"/>
        </w:rPr>
        <w:t>Maghraby</w:t>
      </w:r>
      <w:proofErr w:type="spellEnd"/>
      <w:r>
        <w:rPr>
          <w:rFonts w:ascii="Times New Roman" w:hAnsi="Times New Roman" w:cs="Times New Roman"/>
          <w:i/>
          <w:sz w:val="24"/>
          <w:szCs w:val="24"/>
        </w:rPr>
        <w:t xml:space="preserve"> et al., </w:t>
      </w:r>
      <w:r>
        <w:rPr>
          <w:rFonts w:ascii="Times New Roman" w:hAnsi="Times New Roman" w:cs="Times New Roman"/>
          <w:sz w:val="24"/>
          <w:szCs w:val="24"/>
        </w:rPr>
        <w:t>2023). For large-scale enzyme production to be economically viable, the use of affordable and readily available substrates is essential. Plant biomass, particularly plant cell walls, represents a major renewable carbon source due to its abundance and rich polysaccharide composition. These cell walls contain cellulose, hemicellulose, and other complex carbohydrates that can be hydrolyzed by microbial enzymes into simpler sugars. Microorganisms utilize these sugars as sources of energy and carbon, while the hydrolysis products also serve as valuable raw materials in several industrial processes. Consequently, microbial enzymes that degrade plant-derived polymers have attracted considerable scientific and commercial interest (</w:t>
      </w:r>
      <w:proofErr w:type="spellStart"/>
      <w:r>
        <w:rPr>
          <w:rFonts w:ascii="Times New Roman" w:hAnsi="Times New Roman" w:cs="Times New Roman"/>
          <w:sz w:val="24"/>
          <w:szCs w:val="24"/>
        </w:rPr>
        <w:t>Maghraby</w:t>
      </w:r>
      <w:proofErr w:type="spellEnd"/>
      <w:r>
        <w:rPr>
          <w:rFonts w:ascii="Times New Roman" w:hAnsi="Times New Roman" w:cs="Times New Roman"/>
          <w:i/>
          <w:sz w:val="24"/>
          <w:szCs w:val="24"/>
        </w:rPr>
        <w:t xml:space="preserve"> et al., </w:t>
      </w:r>
      <w:r>
        <w:rPr>
          <w:rFonts w:ascii="Times New Roman" w:hAnsi="Times New Roman" w:cs="Times New Roman"/>
          <w:sz w:val="24"/>
          <w:szCs w:val="24"/>
        </w:rPr>
        <w:t>2023).</w:t>
      </w:r>
    </w:p>
    <w:p w:rsidR="00E60BF8" w:rsidRDefault="00E60BF8" w:rsidP="00E60BF8">
      <w:pPr>
        <w:spacing w:line="360" w:lineRule="auto"/>
        <w:jc w:val="both"/>
      </w:pPr>
      <w:r>
        <w:rPr>
          <w:rFonts w:ascii="Times New Roman" w:hAnsi="Times New Roman" w:cs="Times New Roman"/>
          <w:sz w:val="24"/>
          <w:szCs w:val="24"/>
        </w:rPr>
        <w:t xml:space="preserve">Among microbial enzymes,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have emerged as one of the most important and widely exploited enzyme groups.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are a complex system of enzymes responsible for the degradation of cellulose, the most abundant organic polymer on Earth, accounting for approximately 45 percent of all organic matter in the environment (</w:t>
      </w:r>
      <w:proofErr w:type="spellStart"/>
      <w:r>
        <w:rPr>
          <w:rFonts w:ascii="Times New Roman" w:hAnsi="Times New Roman" w:cs="Times New Roman"/>
          <w:sz w:val="24"/>
          <w:szCs w:val="24"/>
        </w:rPr>
        <w:t>Singhania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2017). </w:t>
      </w: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enzyme system consists primarily of three major components that act synergistically to achieve complete cellulose hydrolysis. These include endo-1,4-β-D-</w:t>
      </w:r>
      <w:proofErr w:type="spellStart"/>
      <w:r>
        <w:rPr>
          <w:rFonts w:ascii="Times New Roman" w:hAnsi="Times New Roman" w:cs="Times New Roman"/>
          <w:sz w:val="24"/>
          <w:szCs w:val="24"/>
        </w:rPr>
        <w:t>glucanases</w:t>
      </w:r>
      <w:proofErr w:type="spellEnd"/>
      <w:r>
        <w:rPr>
          <w:rFonts w:ascii="Times New Roman" w:hAnsi="Times New Roman" w:cs="Times New Roman"/>
          <w:sz w:val="24"/>
          <w:szCs w:val="24"/>
        </w:rPr>
        <w:t xml:space="preserve"> (EC 3.2.1.4), which randomly cleave internal β-1,4-glycosidic bonds within cellulose chains; </w:t>
      </w:r>
      <w:proofErr w:type="spellStart"/>
      <w:r>
        <w:rPr>
          <w:rFonts w:ascii="Times New Roman" w:hAnsi="Times New Roman" w:cs="Times New Roman"/>
          <w:sz w:val="24"/>
          <w:szCs w:val="24"/>
        </w:rPr>
        <w:t>exoglucanases</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cellobiohydrolases</w:t>
      </w:r>
      <w:proofErr w:type="spellEnd"/>
      <w:r>
        <w:rPr>
          <w:rFonts w:ascii="Times New Roman" w:hAnsi="Times New Roman" w:cs="Times New Roman"/>
          <w:sz w:val="24"/>
          <w:szCs w:val="24"/>
        </w:rPr>
        <w:t xml:space="preserve"> (EC 3.2.1.91), which act on the newly formed chain ends to release </w:t>
      </w:r>
      <w:proofErr w:type="spellStart"/>
      <w:r>
        <w:rPr>
          <w:rFonts w:ascii="Times New Roman" w:hAnsi="Times New Roman" w:cs="Times New Roman"/>
          <w:sz w:val="24"/>
          <w:szCs w:val="24"/>
        </w:rPr>
        <w:t>cellobiose</w:t>
      </w:r>
      <w:proofErr w:type="spellEnd"/>
      <w:r>
        <w:rPr>
          <w:rFonts w:ascii="Times New Roman" w:hAnsi="Times New Roman" w:cs="Times New Roman"/>
          <w:sz w:val="24"/>
          <w:szCs w:val="24"/>
        </w:rPr>
        <w:t xml:space="preserve"> units; and β-</w:t>
      </w:r>
      <w:proofErr w:type="spellStart"/>
      <w:r>
        <w:rPr>
          <w:rFonts w:ascii="Times New Roman" w:hAnsi="Times New Roman" w:cs="Times New Roman"/>
          <w:sz w:val="24"/>
          <w:szCs w:val="24"/>
        </w:rPr>
        <w:t>glucosidases</w:t>
      </w:r>
      <w:proofErr w:type="spellEnd"/>
      <w:r>
        <w:rPr>
          <w:rFonts w:ascii="Times New Roman" w:hAnsi="Times New Roman" w:cs="Times New Roman"/>
          <w:sz w:val="24"/>
          <w:szCs w:val="24"/>
        </w:rPr>
        <w:t xml:space="preserve"> (EC 3.2.1.21), which hydrolyze </w:t>
      </w:r>
      <w:proofErr w:type="spellStart"/>
      <w:r>
        <w:rPr>
          <w:rFonts w:ascii="Times New Roman" w:hAnsi="Times New Roman" w:cs="Times New Roman"/>
          <w:sz w:val="24"/>
          <w:szCs w:val="24"/>
        </w:rPr>
        <w:t>cellobiose</w:t>
      </w:r>
      <w:proofErr w:type="spellEnd"/>
      <w:r>
        <w:rPr>
          <w:rFonts w:ascii="Times New Roman" w:hAnsi="Times New Roman" w:cs="Times New Roman"/>
          <w:sz w:val="24"/>
          <w:szCs w:val="24"/>
        </w:rPr>
        <w:t xml:space="preserve"> and short oligosaccharides into free glucose molecules. The coordinated action of these enzymes converts insoluble cellulose into soluble sugars that can be assimilated by microorganisms or utilized in industrial fermentations (</w:t>
      </w:r>
      <w:proofErr w:type="spellStart"/>
      <w:r>
        <w:rPr>
          <w:rFonts w:ascii="Times New Roman" w:hAnsi="Times New Roman" w:cs="Times New Roman"/>
          <w:sz w:val="24"/>
          <w:szCs w:val="24"/>
        </w:rPr>
        <w:t>Shyaula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2023).</w:t>
      </w:r>
    </w:p>
    <w:p w:rsidR="00E60BF8" w:rsidRDefault="00E60BF8" w:rsidP="00E60BF8">
      <w:pPr>
        <w:spacing w:line="360" w:lineRule="auto"/>
        <w:jc w:val="both"/>
      </w:pP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occupy a prominent position in the global enzyme market due to their extensive industrial applications. They are ranked as the third largest class of industrial enzymes by market value and contribute approximately 20 percent of the total enzyme market worldwide. Their widespread demand is attributed to their diverse applications in industries such as pulp and paper, textiles, food and beverages, detergents, animal feed, pharmaceuticals, starch processing, and biofuel production (</w:t>
      </w:r>
      <w:proofErr w:type="spellStart"/>
      <w:r>
        <w:rPr>
          <w:rFonts w:ascii="Times New Roman" w:hAnsi="Times New Roman" w:cs="Times New Roman"/>
          <w:sz w:val="24"/>
          <w:szCs w:val="24"/>
        </w:rPr>
        <w:t>Behera</w:t>
      </w:r>
      <w:proofErr w:type="spellEnd"/>
      <w:r>
        <w:rPr>
          <w:rFonts w:ascii="Times New Roman" w:hAnsi="Times New Roman" w:cs="Times New Roman"/>
          <w:sz w:val="24"/>
          <w:szCs w:val="24"/>
        </w:rPr>
        <w:t xml:space="preserve"> and Ray, 2016). These applications highlight the economic importance of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and the need for efficient production systems (</w:t>
      </w:r>
      <w:proofErr w:type="spellStart"/>
      <w:r>
        <w:rPr>
          <w:rFonts w:ascii="Times New Roman" w:hAnsi="Times New Roman" w:cs="Times New Roman"/>
          <w:sz w:val="24"/>
          <w:szCs w:val="24"/>
        </w:rPr>
        <w:t>Ejaz</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2021).</w:t>
      </w:r>
    </w:p>
    <w:p w:rsidR="00E60BF8" w:rsidRDefault="00E60BF8" w:rsidP="00E60BF8">
      <w:pPr>
        <w:spacing w:line="360" w:lineRule="auto"/>
        <w:jc w:val="both"/>
      </w:pPr>
      <w:r>
        <w:rPr>
          <w:rFonts w:ascii="Times New Roman" w:hAnsi="Times New Roman" w:cs="Times New Roman"/>
          <w:sz w:val="24"/>
          <w:szCs w:val="24"/>
        </w:rPr>
        <w:t xml:space="preserve">Microorganisms are the primary producers of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with bacteria, fungi, and </w:t>
      </w:r>
      <w:proofErr w:type="spellStart"/>
      <w:r>
        <w:rPr>
          <w:rFonts w:ascii="Times New Roman" w:hAnsi="Times New Roman" w:cs="Times New Roman"/>
          <w:sz w:val="24"/>
          <w:szCs w:val="24"/>
        </w:rPr>
        <w:t>actinomycetes</w:t>
      </w:r>
      <w:proofErr w:type="spellEnd"/>
      <w:r>
        <w:rPr>
          <w:rFonts w:ascii="Times New Roman" w:hAnsi="Times New Roman" w:cs="Times New Roman"/>
          <w:sz w:val="24"/>
          <w:szCs w:val="24"/>
        </w:rPr>
        <w:t xml:space="preserve"> all reported to possess cellulolytic capabilities. However, fungi have emerged as the most effective and commercially preferred producers of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due to their high enzyme yields, strong hydrolytic potential, and ability to secrete enzymes extracellularly. Species belonging to the genera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Trichoderma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Aspergillus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are particularly notable for their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-producing capacity and are widely used in both laboratory and industrial settings (Srivastava </w:t>
      </w:r>
      <w:r>
        <w:rPr>
          <w:rFonts w:ascii="Times New Roman" w:hAnsi="Times New Roman" w:cs="Times New Roman"/>
          <w:i/>
          <w:sz w:val="24"/>
          <w:szCs w:val="24"/>
        </w:rPr>
        <w:t>et al.,</w:t>
      </w:r>
      <w:r>
        <w:rPr>
          <w:rFonts w:ascii="Times New Roman" w:hAnsi="Times New Roman" w:cs="Times New Roman"/>
          <w:sz w:val="24"/>
          <w:szCs w:val="24"/>
        </w:rPr>
        <w:t xml:space="preserve"> 2018). Among these, </w:t>
      </w:r>
      <w:proofErr w:type="spellStart"/>
      <w:r>
        <w:rPr>
          <w:rFonts w:ascii="Times New Roman" w:hAnsi="Times New Roman" w:cs="Times New Roman"/>
          <w:i/>
          <w:sz w:val="24"/>
          <w:szCs w:val="24"/>
        </w:rPr>
        <w:t>Aspergillus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and</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chrysogenum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have gained attention due to their robustness, adaptability to diverse substrates, and capacity to produce stable and efficient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systems. Agricultural wastes such as rice bran, wheat bran, sugarcane bagasse, cassava peels, banana peels, and other </w:t>
      </w:r>
      <w:proofErr w:type="spellStart"/>
      <w:r>
        <w:rPr>
          <w:rFonts w:ascii="Times New Roman" w:hAnsi="Times New Roman" w:cs="Times New Roman"/>
          <w:sz w:val="24"/>
          <w:szCs w:val="24"/>
        </w:rPr>
        <w:t>lignocellulosic</w:t>
      </w:r>
      <w:proofErr w:type="spellEnd"/>
      <w:r>
        <w:rPr>
          <w:rFonts w:ascii="Times New Roman" w:hAnsi="Times New Roman" w:cs="Times New Roman"/>
          <w:sz w:val="24"/>
          <w:szCs w:val="24"/>
        </w:rPr>
        <w:t xml:space="preserve"> residues have been successfully used as substrates for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providing both an economic and environmental benefit by valorizing waste materials (</w:t>
      </w:r>
      <w:proofErr w:type="spellStart"/>
      <w:r>
        <w:rPr>
          <w:rFonts w:ascii="Times New Roman" w:hAnsi="Times New Roman" w:cs="Times New Roman"/>
          <w:sz w:val="24"/>
          <w:szCs w:val="24"/>
        </w:rPr>
        <w:t>Sulyman</w:t>
      </w:r>
      <w:proofErr w:type="spellEnd"/>
      <w:r>
        <w:rPr>
          <w:rFonts w:ascii="Times New Roman" w:hAnsi="Times New Roman" w:cs="Times New Roman"/>
          <w:i/>
          <w:sz w:val="24"/>
          <w:szCs w:val="24"/>
        </w:rPr>
        <w:t xml:space="preserve"> et al.</w:t>
      </w:r>
      <w:r>
        <w:rPr>
          <w:rFonts w:ascii="Times New Roman" w:hAnsi="Times New Roman" w:cs="Times New Roman"/>
          <w:sz w:val="24"/>
          <w:szCs w:val="24"/>
        </w:rPr>
        <w:t>, 2020).</w:t>
      </w:r>
    </w:p>
    <w:p w:rsidR="00B15237" w:rsidRPr="00E60BF8" w:rsidRDefault="00E60BF8" w:rsidP="00E60BF8">
      <w:pPr>
        <w:spacing w:line="360" w:lineRule="auto"/>
        <w:jc w:val="both"/>
      </w:pPr>
      <w:r>
        <w:rPr>
          <w:rFonts w:ascii="Times New Roman" w:hAnsi="Times New Roman" w:cs="Times New Roman"/>
          <w:sz w:val="24"/>
          <w:szCs w:val="24"/>
        </w:rPr>
        <w:t xml:space="preserve">Despite extensive research 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there remains a need to optimize enzyme yield and characterize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from different microbial sources to meet specific industrial requirements. The enzymatic properties of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including activity, stability, and </w:t>
      </w:r>
      <w:r>
        <w:rPr>
          <w:rFonts w:ascii="Times New Roman" w:hAnsi="Times New Roman" w:cs="Times New Roman"/>
          <w:sz w:val="24"/>
          <w:szCs w:val="24"/>
        </w:rPr>
        <w:lastRenderedPageBreak/>
        <w:t xml:space="preserve">substrate specificity, vary significantly depending on the producing organism and cultivation conditions. Therefore, the present study focuses on the production and characterization of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enzymes from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chrysogenum</w:t>
      </w:r>
      <w:proofErr w:type="spellEnd"/>
      <w:r>
        <w:rPr>
          <w:rFonts w:ascii="Times New Roman" w:hAnsi="Times New Roman" w:cs="Times New Roman"/>
          <w:sz w:val="24"/>
          <w:szCs w:val="24"/>
        </w:rPr>
        <w:t xml:space="preserve"> and</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Aspergillus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These fungi are well-recognized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producers with proven industrial relevance. Investigating their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potential and enzymatic characteristics contributes to the growing body of knowledge on sustainable enzyme production and supports the development of cost-effective biotechnological processes for industrial and environmental applications.</w:t>
      </w:r>
    </w:p>
    <w:p w:rsidR="00E60BF8" w:rsidRDefault="00E60BF8" w:rsidP="00E60BF8">
      <w:pPr>
        <w:spacing w:line="360" w:lineRule="auto"/>
        <w:jc w:val="center"/>
      </w:pPr>
      <w:r>
        <w:rPr>
          <w:rFonts w:ascii="Times New Roman" w:hAnsi="Times New Roman" w:cs="Times New Roman"/>
          <w:b/>
          <w:sz w:val="28"/>
          <w:szCs w:val="28"/>
        </w:rPr>
        <w:t>MATERIALS AND METHODS</w:t>
      </w:r>
    </w:p>
    <w:p w:rsidR="00E60BF8" w:rsidRDefault="00E60BF8" w:rsidP="00A65FEB">
      <w:pPr>
        <w:tabs>
          <w:tab w:val="left" w:pos="2729"/>
        </w:tabs>
        <w:spacing w:after="0" w:line="360" w:lineRule="auto"/>
        <w:jc w:val="both"/>
      </w:pPr>
      <w:r>
        <w:rPr>
          <w:rFonts w:ascii="Times New Roman" w:hAnsi="Times New Roman" w:cs="Times New Roman"/>
          <w:b/>
          <w:sz w:val="24"/>
          <w:szCs w:val="24"/>
        </w:rPr>
        <w:t>STUDY AREA</w:t>
      </w:r>
      <w:r w:rsidR="007E6DDC">
        <w:rPr>
          <w:rFonts w:ascii="Times New Roman" w:hAnsi="Times New Roman" w:cs="Times New Roman"/>
          <w:b/>
          <w:sz w:val="24"/>
          <w:szCs w:val="24"/>
        </w:rPr>
        <w:tab/>
      </w:r>
    </w:p>
    <w:p w:rsidR="00E60BF8" w:rsidRDefault="00E60BF8" w:rsidP="00A65FEB">
      <w:pPr>
        <w:spacing w:after="0" w:line="360" w:lineRule="auto"/>
        <w:jc w:val="both"/>
      </w:pPr>
      <w:r>
        <w:rPr>
          <w:rFonts w:ascii="Times New Roman" w:hAnsi="Times New Roman" w:cs="Times New Roman"/>
          <w:sz w:val="24"/>
          <w:szCs w:val="24"/>
        </w:rPr>
        <w:t xml:space="preserve">The study was carried out at the Microbiology Laboratory of </w:t>
      </w:r>
      <w:proofErr w:type="spellStart"/>
      <w:r>
        <w:rPr>
          <w:rFonts w:ascii="Times New Roman" w:hAnsi="Times New Roman" w:cs="Times New Roman"/>
          <w:sz w:val="24"/>
          <w:szCs w:val="24"/>
        </w:rPr>
        <w:t>Yaba</w:t>
      </w:r>
      <w:proofErr w:type="spellEnd"/>
      <w:r>
        <w:rPr>
          <w:rFonts w:ascii="Times New Roman" w:hAnsi="Times New Roman" w:cs="Times New Roman"/>
          <w:sz w:val="24"/>
          <w:szCs w:val="24"/>
        </w:rPr>
        <w:t xml:space="preserve"> College of Technology (YABATECH), Lagos, Nigeria. </w:t>
      </w:r>
    </w:p>
    <w:p w:rsidR="00E60BF8" w:rsidRDefault="00E60BF8" w:rsidP="00A65FEB">
      <w:pPr>
        <w:spacing w:after="0" w:line="360" w:lineRule="auto"/>
        <w:jc w:val="both"/>
      </w:pPr>
      <w:r>
        <w:rPr>
          <w:rFonts w:ascii="Times New Roman" w:hAnsi="Times New Roman" w:cs="Times New Roman"/>
          <w:b/>
          <w:sz w:val="24"/>
          <w:szCs w:val="24"/>
        </w:rPr>
        <w:t xml:space="preserve">MATERIALS / APPARATUS </w:t>
      </w:r>
    </w:p>
    <w:p w:rsidR="00E60BF8" w:rsidRDefault="00E60BF8" w:rsidP="00A65FEB">
      <w:pPr>
        <w:spacing w:after="0" w:line="360" w:lineRule="auto"/>
        <w:jc w:val="both"/>
      </w:pPr>
      <w:r>
        <w:rPr>
          <w:rFonts w:ascii="Times New Roman" w:hAnsi="Times New Roman" w:cs="Times New Roman"/>
          <w:sz w:val="24"/>
          <w:szCs w:val="24"/>
        </w:rPr>
        <w:t>Corn cobs, Distilled water, Ethanol (70%), Beakers, Measuring cylinders, Potato Dextrose Agar (PDA), CMC (</w:t>
      </w:r>
      <w:proofErr w:type="spellStart"/>
      <w:r>
        <w:rPr>
          <w:rFonts w:ascii="Times New Roman" w:hAnsi="Times New Roman" w:cs="Times New Roman"/>
          <w:sz w:val="24"/>
          <w:szCs w:val="24"/>
        </w:rPr>
        <w:t>Carboxymethylcellulose</w:t>
      </w:r>
      <w:proofErr w:type="spellEnd"/>
      <w:r>
        <w:rPr>
          <w:rFonts w:ascii="Times New Roman" w:hAnsi="Times New Roman" w:cs="Times New Roman"/>
          <w:sz w:val="24"/>
          <w:szCs w:val="24"/>
        </w:rPr>
        <w:t xml:space="preserve">), Congo red, Sterile distilled water, Sodium Chloride, Bradford reagent, DNSA reagent, Chloramphenicol, Autoclave, Incubator, Petri dishes, Inoculating loop, Conical flasks, Bunsen burner, Marker, </w:t>
      </w:r>
      <w:proofErr w:type="spellStart"/>
      <w:r>
        <w:rPr>
          <w:rFonts w:ascii="Times New Roman" w:hAnsi="Times New Roman" w:cs="Times New Roman"/>
          <w:sz w:val="24"/>
          <w:szCs w:val="24"/>
        </w:rPr>
        <w:t>Lactophenol</w:t>
      </w:r>
      <w:proofErr w:type="spellEnd"/>
      <w:r>
        <w:rPr>
          <w:rFonts w:ascii="Times New Roman" w:hAnsi="Times New Roman" w:cs="Times New Roman"/>
          <w:sz w:val="24"/>
          <w:szCs w:val="24"/>
        </w:rPr>
        <w:t xml:space="preserve"> cotton blue stain, Glass slides, Cover slips, Microscope, pH meter, Spectrophotometer, Water bath, Test tubes, Pipettes, Thermometer, </w:t>
      </w:r>
      <w:proofErr w:type="spellStart"/>
      <w:r>
        <w:rPr>
          <w:rFonts w:ascii="Times New Roman" w:hAnsi="Times New Roman" w:cs="Times New Roman"/>
          <w:sz w:val="24"/>
          <w:szCs w:val="24"/>
        </w:rPr>
        <w:t>Curvette</w:t>
      </w:r>
      <w:proofErr w:type="spellEnd"/>
      <w:r>
        <w:rPr>
          <w:rFonts w:ascii="Times New Roman" w:hAnsi="Times New Roman" w:cs="Times New Roman"/>
          <w:sz w:val="24"/>
          <w:szCs w:val="24"/>
        </w:rPr>
        <w:t>, Centrifuge, Refrigerator, Oven, Cotton wool, Gloves, Sample bottles.</w:t>
      </w:r>
    </w:p>
    <w:p w:rsidR="00E60BF8" w:rsidRDefault="00E60BF8" w:rsidP="00A65FEB">
      <w:pPr>
        <w:spacing w:after="0" w:line="360" w:lineRule="auto"/>
        <w:jc w:val="both"/>
      </w:pPr>
      <w:r>
        <w:rPr>
          <w:rFonts w:ascii="Times New Roman" w:hAnsi="Times New Roman" w:cs="Times New Roman"/>
          <w:b/>
          <w:sz w:val="24"/>
          <w:szCs w:val="24"/>
        </w:rPr>
        <w:t>SAMPLE COLLECTION AND PREPARATION</w:t>
      </w:r>
    </w:p>
    <w:p w:rsidR="00E60BF8" w:rsidRDefault="00E60BF8" w:rsidP="00A65FEB">
      <w:pPr>
        <w:spacing w:after="0" w:line="360" w:lineRule="auto"/>
        <w:jc w:val="both"/>
      </w:pPr>
      <w:r>
        <w:rPr>
          <w:rFonts w:ascii="Times New Roman" w:hAnsi="Times New Roman" w:cs="Times New Roman"/>
          <w:sz w:val="24"/>
          <w:szCs w:val="24"/>
        </w:rPr>
        <w:t>Corn cobs were used as the substrate for this study. The samples were obtained from three different sources within Lagos State, which include Ketu Market, a domestic waste dump site, and a residential household. Then, the samples obtained were kept at ambient room temperature for seven days to allow natural fungal growth. All the corn cob samples from the different locations were then transported to the laboratory for further microbiological analysis.</w:t>
      </w:r>
    </w:p>
    <w:p w:rsidR="00E60BF8" w:rsidRDefault="00E60BF8" w:rsidP="00A65FEB">
      <w:pPr>
        <w:spacing w:after="0" w:line="360" w:lineRule="auto"/>
        <w:jc w:val="both"/>
      </w:pPr>
      <w:r>
        <w:rPr>
          <w:rFonts w:ascii="Times New Roman" w:hAnsi="Times New Roman" w:cs="Times New Roman"/>
          <w:b/>
          <w:sz w:val="24"/>
          <w:szCs w:val="24"/>
        </w:rPr>
        <w:t>MEDIA PREPARATION</w:t>
      </w:r>
    </w:p>
    <w:p w:rsidR="00E60BF8" w:rsidRDefault="00E60BF8" w:rsidP="00A65FEB">
      <w:pPr>
        <w:spacing w:after="0" w:line="360" w:lineRule="auto"/>
        <w:jc w:val="both"/>
      </w:pPr>
      <w:r>
        <w:rPr>
          <w:rFonts w:ascii="Times New Roman" w:hAnsi="Times New Roman" w:cs="Times New Roman"/>
          <w:sz w:val="24"/>
          <w:szCs w:val="24"/>
        </w:rPr>
        <w:t>The solid Media used for isolation of microorganisms in this study was Potato Dextrose Agar (PDA). It was weighed and prepared according to the manufacturer’s specification and sterilized in an autoclave at a temperature of 121</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15 minutes. After preparation of PDA, chloramphenicol was added to it in order to inhibit the growth of bacteria. The glassware </w:t>
      </w:r>
      <w:r>
        <w:rPr>
          <w:rFonts w:ascii="Times New Roman" w:hAnsi="Times New Roman" w:cs="Times New Roman"/>
          <w:sz w:val="24"/>
          <w:szCs w:val="24"/>
        </w:rPr>
        <w:lastRenderedPageBreak/>
        <w:t>used for the experiment was properly washed, rinsed with distilled water, and sterilized in a hot air oven at 160°C for 2 hours.</w:t>
      </w:r>
    </w:p>
    <w:p w:rsidR="00E60BF8" w:rsidRDefault="00E60BF8" w:rsidP="00A65FEB">
      <w:pPr>
        <w:spacing w:after="0" w:line="360" w:lineRule="auto"/>
        <w:jc w:val="both"/>
      </w:pPr>
      <w:r>
        <w:rPr>
          <w:rFonts w:ascii="Times New Roman" w:hAnsi="Times New Roman" w:cs="Times New Roman"/>
          <w:b/>
          <w:sz w:val="24"/>
          <w:szCs w:val="24"/>
        </w:rPr>
        <w:t>DILUTION OF SAMPLES</w:t>
      </w:r>
    </w:p>
    <w:p w:rsidR="00E60BF8" w:rsidRDefault="00E60BF8" w:rsidP="00A65FEB">
      <w:pPr>
        <w:spacing w:after="0" w:line="360" w:lineRule="auto"/>
        <w:jc w:val="both"/>
      </w:pPr>
      <w:r>
        <w:rPr>
          <w:rFonts w:ascii="Times New Roman" w:hAnsi="Times New Roman" w:cs="Times New Roman"/>
          <w:sz w:val="24"/>
          <w:szCs w:val="24"/>
        </w:rPr>
        <w:t xml:space="preserve">Serial dilution was carried out to obtain a suitable microbial load for fungal isolation. One gram of the fungal-colonized portion of the corn cob was aseptically transferred into 9 mL of sterile distilled water in a test tube and thoroughly mixed to obtain a 10⁻¹ dilution. From this suspension, 1 mL was aseptically transferred into another test tube containing 9 mL of sterile distilled water to produce a 10⁻² dilution. This process was continued in the same manner until a final dilution factor of 10⁻⁵ was achieved. </w:t>
      </w:r>
    </w:p>
    <w:p w:rsidR="00E60BF8" w:rsidRDefault="00E60BF8" w:rsidP="00A65FEB">
      <w:pPr>
        <w:spacing w:after="0" w:line="360" w:lineRule="auto"/>
        <w:jc w:val="both"/>
      </w:pPr>
      <w:r>
        <w:rPr>
          <w:rFonts w:ascii="Times New Roman" w:hAnsi="Times New Roman" w:cs="Times New Roman"/>
          <w:b/>
          <w:sz w:val="24"/>
          <w:szCs w:val="24"/>
        </w:rPr>
        <w:t>ISOLATION OF FUNGI</w:t>
      </w:r>
    </w:p>
    <w:p w:rsidR="00E60BF8" w:rsidRDefault="00E60BF8" w:rsidP="00A65FEB">
      <w:pPr>
        <w:spacing w:after="0" w:line="360" w:lineRule="auto"/>
        <w:jc w:val="both"/>
      </w:pPr>
      <w:r>
        <w:rPr>
          <w:rFonts w:ascii="Times New Roman" w:hAnsi="Times New Roman" w:cs="Times New Roman"/>
          <w:sz w:val="24"/>
          <w:szCs w:val="24"/>
        </w:rPr>
        <w:t xml:space="preserve">Isolation of fungi was carried out using the pour plate technique. From the prepared serial dilutions, 0.1 mL of the 10⁻³ dilution was aseptically transferred into sterile Petri dishes. Sterile molten Potato Dextrose Agar (PDA), previously cooled to about 45 °C, was poured into the plates and gently swirled to ensure even distribution of the inoculum. The plates were allowed to solidify and then incubated at room temperature for 3 days. </w:t>
      </w:r>
    </w:p>
    <w:p w:rsidR="00E60BF8" w:rsidRDefault="00E60BF8" w:rsidP="00A65FEB">
      <w:pPr>
        <w:spacing w:after="0" w:line="360" w:lineRule="auto"/>
        <w:jc w:val="both"/>
      </w:pPr>
      <w:r>
        <w:rPr>
          <w:rFonts w:ascii="Times New Roman" w:hAnsi="Times New Roman" w:cs="Times New Roman"/>
          <w:b/>
          <w:sz w:val="24"/>
          <w:szCs w:val="24"/>
        </w:rPr>
        <w:t>SUB-CULTURING AND PURIFICATION OF FUNGI</w:t>
      </w:r>
    </w:p>
    <w:p w:rsidR="00E60BF8" w:rsidRDefault="00E60BF8" w:rsidP="00A65FEB">
      <w:pPr>
        <w:spacing w:after="0" w:line="360" w:lineRule="auto"/>
        <w:jc w:val="both"/>
      </w:pPr>
      <w:proofErr w:type="spellStart"/>
      <w:r>
        <w:rPr>
          <w:rFonts w:ascii="Times New Roman" w:hAnsi="Times New Roman" w:cs="Times New Roman"/>
          <w:sz w:val="24"/>
          <w:szCs w:val="24"/>
        </w:rPr>
        <w:t>Subculturing</w:t>
      </w:r>
      <w:proofErr w:type="spellEnd"/>
      <w:r>
        <w:rPr>
          <w:rFonts w:ascii="Times New Roman" w:hAnsi="Times New Roman" w:cs="Times New Roman"/>
          <w:sz w:val="24"/>
          <w:szCs w:val="24"/>
        </w:rPr>
        <w:t xml:space="preserve"> and purification of the isolated fungi were carried out to obtain pure fungal cultures. Distinct fungal colonies from the primary isolation plates were selected based on their morphological appearance. Using a sterile inoculating needle, a small portion of mycelium from the edge of each selected colony was aseptically transferred onto freshly prepared Potato Dextrose Agar (PDA) plates. The inoculated plates were incubated at room temperature for 3 days.</w:t>
      </w:r>
    </w:p>
    <w:p w:rsidR="00E60BF8" w:rsidRDefault="00E60BF8" w:rsidP="00A65FEB">
      <w:pPr>
        <w:spacing w:after="0" w:line="360" w:lineRule="auto"/>
        <w:jc w:val="both"/>
      </w:pPr>
      <w:r>
        <w:rPr>
          <w:rFonts w:ascii="Times New Roman" w:hAnsi="Times New Roman" w:cs="Times New Roman"/>
          <w:b/>
          <w:sz w:val="24"/>
          <w:szCs w:val="24"/>
        </w:rPr>
        <w:t>IDENTIFICATION OF FUNGI</w:t>
      </w:r>
    </w:p>
    <w:p w:rsidR="00E60BF8" w:rsidRDefault="00E60BF8" w:rsidP="00A65FEB">
      <w:pPr>
        <w:spacing w:after="0" w:line="360" w:lineRule="auto"/>
        <w:jc w:val="both"/>
      </w:pPr>
      <w:r>
        <w:rPr>
          <w:rFonts w:ascii="Times New Roman" w:hAnsi="Times New Roman" w:cs="Times New Roman"/>
          <w:sz w:val="24"/>
          <w:szCs w:val="24"/>
        </w:rPr>
        <w:t>The purified fungal isolates were identified using standard macroscopic and microscopic techniques.</w:t>
      </w:r>
    </w:p>
    <w:p w:rsidR="00E60BF8" w:rsidRDefault="00E60BF8" w:rsidP="00A65FEB">
      <w:pPr>
        <w:pStyle w:val="ListParagraph"/>
        <w:numPr>
          <w:ilvl w:val="0"/>
          <w:numId w:val="1"/>
        </w:numPr>
        <w:spacing w:after="0" w:line="360" w:lineRule="auto"/>
        <w:jc w:val="both"/>
      </w:pPr>
      <w:r>
        <w:rPr>
          <w:rFonts w:ascii="Times New Roman" w:hAnsi="Times New Roman" w:cs="Times New Roman"/>
          <w:b/>
          <w:sz w:val="24"/>
          <w:szCs w:val="24"/>
        </w:rPr>
        <w:t xml:space="preserve">Macroscopic Identification: </w:t>
      </w:r>
    </w:p>
    <w:p w:rsidR="00E60BF8" w:rsidRDefault="00E60BF8" w:rsidP="00A65FEB">
      <w:pPr>
        <w:spacing w:after="0" w:line="360" w:lineRule="auto"/>
        <w:jc w:val="both"/>
      </w:pPr>
      <w:r>
        <w:rPr>
          <w:rFonts w:ascii="Times New Roman" w:hAnsi="Times New Roman" w:cs="Times New Roman"/>
          <w:sz w:val="24"/>
          <w:szCs w:val="24"/>
        </w:rPr>
        <w:t xml:space="preserve">Macroscopic identification was carried out by observing the cultural characteristics of the fungal colonies on Potato Dextrose Agar (PDA). Parameters such as colony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texture, margin, elevation, surface appearance, and rate of growth were carefully examined and recorded after incubation</w:t>
      </w:r>
    </w:p>
    <w:p w:rsidR="00E60BF8" w:rsidRDefault="00E60BF8" w:rsidP="00A65FEB">
      <w:pPr>
        <w:pStyle w:val="ListParagraph"/>
        <w:numPr>
          <w:ilvl w:val="0"/>
          <w:numId w:val="2"/>
        </w:numPr>
        <w:spacing w:after="0" w:line="360" w:lineRule="auto"/>
        <w:jc w:val="both"/>
      </w:pPr>
      <w:r>
        <w:rPr>
          <w:rFonts w:ascii="Times New Roman" w:hAnsi="Times New Roman" w:cs="Times New Roman"/>
          <w:b/>
          <w:sz w:val="24"/>
          <w:szCs w:val="24"/>
        </w:rPr>
        <w:t xml:space="preserve">Microscopic Identification: </w:t>
      </w:r>
    </w:p>
    <w:p w:rsidR="00E60BF8" w:rsidRDefault="00E60BF8" w:rsidP="00A65FEB">
      <w:pPr>
        <w:spacing w:after="0" w:line="360" w:lineRule="auto"/>
        <w:jc w:val="both"/>
      </w:pPr>
      <w:r>
        <w:rPr>
          <w:rFonts w:ascii="Times New Roman" w:hAnsi="Times New Roman" w:cs="Times New Roman"/>
          <w:sz w:val="24"/>
          <w:szCs w:val="24"/>
        </w:rPr>
        <w:t xml:space="preserve">Microscopic identification was performed using the </w:t>
      </w:r>
      <w:proofErr w:type="spellStart"/>
      <w:r>
        <w:rPr>
          <w:rFonts w:ascii="Times New Roman" w:hAnsi="Times New Roman" w:cs="Times New Roman"/>
          <w:sz w:val="24"/>
          <w:szCs w:val="24"/>
        </w:rPr>
        <w:t>lactophenol</w:t>
      </w:r>
      <w:proofErr w:type="spellEnd"/>
      <w:r>
        <w:rPr>
          <w:rFonts w:ascii="Times New Roman" w:hAnsi="Times New Roman" w:cs="Times New Roman"/>
          <w:sz w:val="24"/>
          <w:szCs w:val="24"/>
        </w:rPr>
        <w:t xml:space="preserve"> cotton blue staining technique. A small portion of fungal mycelium was aseptically placed on a clean glass slide, stained with </w:t>
      </w:r>
      <w:proofErr w:type="spellStart"/>
      <w:r>
        <w:rPr>
          <w:rFonts w:ascii="Times New Roman" w:hAnsi="Times New Roman" w:cs="Times New Roman"/>
          <w:sz w:val="24"/>
          <w:szCs w:val="24"/>
        </w:rPr>
        <w:t>lactophenol</w:t>
      </w:r>
      <w:proofErr w:type="spellEnd"/>
      <w:r>
        <w:rPr>
          <w:rFonts w:ascii="Times New Roman" w:hAnsi="Times New Roman" w:cs="Times New Roman"/>
          <w:sz w:val="24"/>
          <w:szCs w:val="24"/>
        </w:rPr>
        <w:t xml:space="preserve"> cotton blue, and gently covered with a coverslip. The stained </w:t>
      </w:r>
      <w:r>
        <w:rPr>
          <w:rFonts w:ascii="Times New Roman" w:hAnsi="Times New Roman" w:cs="Times New Roman"/>
          <w:sz w:val="24"/>
          <w:szCs w:val="24"/>
        </w:rPr>
        <w:lastRenderedPageBreak/>
        <w:t>preparation was examined under a microscope at ×10 and ×40 magnifications to observe the characteristics.</w:t>
      </w:r>
    </w:p>
    <w:p w:rsidR="00E60BF8" w:rsidRDefault="00E60BF8" w:rsidP="00A65FEB">
      <w:pPr>
        <w:spacing w:after="0" w:line="360" w:lineRule="auto"/>
        <w:jc w:val="both"/>
      </w:pPr>
      <w:r>
        <w:rPr>
          <w:rFonts w:ascii="Times New Roman" w:hAnsi="Times New Roman" w:cs="Times New Roman"/>
          <w:b/>
          <w:caps/>
          <w:sz w:val="24"/>
          <w:szCs w:val="24"/>
        </w:rPr>
        <w:t>Screening of Cellulase Activity</w:t>
      </w:r>
    </w:p>
    <w:p w:rsidR="00E60BF8" w:rsidRDefault="00E60BF8" w:rsidP="00A65FEB">
      <w:pPr>
        <w:spacing w:after="0" w:line="360" w:lineRule="auto"/>
        <w:jc w:val="both"/>
      </w:pPr>
      <w:r>
        <w:rPr>
          <w:rFonts w:ascii="Times New Roman" w:hAnsi="Times New Roman" w:cs="Times New Roman"/>
          <w:sz w:val="24"/>
          <w:szCs w:val="24"/>
        </w:rPr>
        <w:t xml:space="preserve">Screening for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was carried out using the Congo Red plate assay to evaluate the cellulose-degrading ability of the fungal isolates. After identification,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chrysogenum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i/>
          <w:sz w:val="24"/>
          <w:szCs w:val="24"/>
        </w:rPr>
        <w:t>Aspergillus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were selected for screening. The isolates were inoculated onto cellulose-containing agar plates and incubated under suitable conditions to allow growth and enzyme secretion. Following incubation, the plates were flooded with Congo Red solution prepared by dissolving 2 g of Congo Red in 200 mL of distilled water and allowed to stain for 15 minutes at room temperature. Excess stain was then removed by washing the plates with sodium chloride solution prepared by dissolving 2 g of sodium chloride in 200 mL of distilled water. Clear zones around the fungal colonies indicated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chrysogenum</w:t>
      </w:r>
      <w:proofErr w:type="spellEnd"/>
      <w:r>
        <w:rPr>
          <w:rFonts w:ascii="Times New Roman" w:hAnsi="Times New Roman" w:cs="Times New Roman"/>
          <w:sz w:val="24"/>
          <w:szCs w:val="24"/>
        </w:rPr>
        <w:t xml:space="preserve"> exhibited a wider zone of clearance compared to </w:t>
      </w:r>
      <w:proofErr w:type="spellStart"/>
      <w:r>
        <w:rPr>
          <w:rFonts w:ascii="Times New Roman" w:hAnsi="Times New Roman" w:cs="Times New Roman"/>
          <w:i/>
          <w:sz w:val="24"/>
          <w:szCs w:val="24"/>
        </w:rPr>
        <w:t>Aspergillus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indicating a higher cellulolytic potential.</w:t>
      </w:r>
    </w:p>
    <w:p w:rsidR="00E60BF8" w:rsidRDefault="00E60BF8" w:rsidP="00A65FEB">
      <w:pPr>
        <w:spacing w:after="0" w:line="360" w:lineRule="auto"/>
        <w:jc w:val="both"/>
      </w:pPr>
      <w:r>
        <w:rPr>
          <w:rFonts w:ascii="Times New Roman" w:hAnsi="Times New Roman" w:cs="Times New Roman"/>
          <w:b/>
          <w:sz w:val="24"/>
          <w:szCs w:val="24"/>
        </w:rPr>
        <w:t xml:space="preserve">ANALYSIS OF ENZYME ACTIVITY </w:t>
      </w:r>
    </w:p>
    <w:p w:rsidR="00E60BF8" w:rsidRDefault="00E60BF8" w:rsidP="00A65FEB">
      <w:pPr>
        <w:pStyle w:val="ListParagraph"/>
        <w:numPr>
          <w:ilvl w:val="0"/>
          <w:numId w:val="3"/>
        </w:numPr>
        <w:spacing w:after="0" w:line="360" w:lineRule="auto"/>
        <w:jc w:val="both"/>
      </w:pPr>
      <w:r>
        <w:rPr>
          <w:rFonts w:ascii="Times New Roman" w:hAnsi="Times New Roman" w:cs="Times New Roman"/>
          <w:b/>
          <w:sz w:val="24"/>
          <w:szCs w:val="24"/>
        </w:rPr>
        <w:t>Effect of pH on Turbidity</w:t>
      </w:r>
    </w:p>
    <w:p w:rsidR="00E60BF8" w:rsidRDefault="00E60BF8" w:rsidP="00A65FEB">
      <w:pPr>
        <w:spacing w:after="0" w:line="360" w:lineRule="auto"/>
        <w:jc w:val="both"/>
      </w:pPr>
      <w:r>
        <w:rPr>
          <w:rFonts w:ascii="Times New Roman" w:hAnsi="Times New Roman" w:cs="Times New Roman"/>
          <w:sz w:val="24"/>
          <w:szCs w:val="24"/>
        </w:rPr>
        <w:t xml:space="preserve">The effect of pH on turbidity was examined to evaluate the influence of hydrogen ion concentration on fungal growth and biomass formation during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CMC (</w:t>
      </w:r>
      <w:proofErr w:type="spellStart"/>
      <w:r>
        <w:rPr>
          <w:rFonts w:ascii="Times New Roman" w:hAnsi="Times New Roman" w:cs="Times New Roman"/>
          <w:sz w:val="24"/>
          <w:szCs w:val="24"/>
        </w:rPr>
        <w:t>Carboxymethylcellulose</w:t>
      </w:r>
      <w:proofErr w:type="spellEnd"/>
      <w:r>
        <w:rPr>
          <w:rFonts w:ascii="Times New Roman" w:hAnsi="Times New Roman" w:cs="Times New Roman"/>
          <w:sz w:val="24"/>
          <w:szCs w:val="24"/>
        </w:rPr>
        <w:t xml:space="preserve">) broth was prepared and dispensed into sterile test tubes. The pH of the media was adjusted across a range of pH 3 to 9 using appropriate buffer systems, including citrate buffer for acidic conditions, phosphate buffer for near-neutral pH, and </w:t>
      </w:r>
      <w:proofErr w:type="spellStart"/>
      <w:r>
        <w:rPr>
          <w:rFonts w:ascii="Times New Roman" w:hAnsi="Times New Roman" w:cs="Times New Roman"/>
          <w:sz w:val="24"/>
          <w:szCs w:val="24"/>
        </w:rPr>
        <w:t>Tris-HCl</w:t>
      </w:r>
      <w:proofErr w:type="spellEnd"/>
      <w:r>
        <w:rPr>
          <w:rFonts w:ascii="Times New Roman" w:hAnsi="Times New Roman" w:cs="Times New Roman"/>
          <w:sz w:val="24"/>
          <w:szCs w:val="24"/>
        </w:rPr>
        <w:t xml:space="preserve"> buffer for alkaline conditions. A calibrated pH meter was used to ensure accurate pH adjustment before sterilization. Each test tube containing the adjusted broth was inoculated with the fungal inoculum and incubated at room temperature for 3 days. After incubation, fungal growth was assessed by measuring turbidity, which served as an indirect indicator of biomass concentration. The cultures were gently mixed, and aliquots were transferred into clean cuvettes for optical density measurement. Turbidity readings were obtained using a spectrophotometer. </w:t>
      </w:r>
      <w:proofErr w:type="spellStart"/>
      <w:r>
        <w:rPr>
          <w:rFonts w:ascii="Times New Roman" w:hAnsi="Times New Roman" w:cs="Times New Roman"/>
          <w:sz w:val="24"/>
          <w:szCs w:val="24"/>
        </w:rPr>
        <w:t>Uninoculated</w:t>
      </w:r>
      <w:proofErr w:type="spellEnd"/>
      <w:r>
        <w:rPr>
          <w:rFonts w:ascii="Times New Roman" w:hAnsi="Times New Roman" w:cs="Times New Roman"/>
          <w:sz w:val="24"/>
          <w:szCs w:val="24"/>
        </w:rPr>
        <w:t xml:space="preserve"> broth adjusted to corresponding pH values served as blanks to eliminate background interference. All measurements were performed in triplicate to ensure reproducibility and accuracy. The turbidity values obtained were compared across the different pH levels to determine the pH range that best supported fungal growth. </w:t>
      </w:r>
    </w:p>
    <w:p w:rsidR="00E60BF8" w:rsidRDefault="00E60BF8" w:rsidP="00A65FEB">
      <w:pPr>
        <w:pStyle w:val="ListParagraph"/>
        <w:numPr>
          <w:ilvl w:val="0"/>
          <w:numId w:val="4"/>
        </w:numPr>
        <w:spacing w:after="0" w:line="360" w:lineRule="auto"/>
        <w:jc w:val="both"/>
      </w:pPr>
      <w:r>
        <w:rPr>
          <w:rFonts w:ascii="Times New Roman" w:hAnsi="Times New Roman" w:cs="Times New Roman"/>
          <w:b/>
          <w:sz w:val="24"/>
          <w:szCs w:val="24"/>
        </w:rPr>
        <w:t xml:space="preserve">Effect of pH on </w:t>
      </w:r>
      <w:proofErr w:type="spellStart"/>
      <w:r>
        <w:rPr>
          <w:rFonts w:ascii="Times New Roman" w:hAnsi="Times New Roman" w:cs="Times New Roman"/>
          <w:b/>
          <w:sz w:val="24"/>
          <w:szCs w:val="24"/>
        </w:rPr>
        <w:t>Cellulase</w:t>
      </w:r>
      <w:proofErr w:type="spellEnd"/>
      <w:r>
        <w:rPr>
          <w:rFonts w:ascii="Times New Roman" w:hAnsi="Times New Roman" w:cs="Times New Roman"/>
          <w:b/>
          <w:sz w:val="24"/>
          <w:szCs w:val="24"/>
        </w:rPr>
        <w:t xml:space="preserve"> Activity</w:t>
      </w:r>
    </w:p>
    <w:p w:rsidR="00E60BF8" w:rsidRDefault="00E60BF8" w:rsidP="00A65FEB">
      <w:pPr>
        <w:spacing w:after="0" w:line="360" w:lineRule="auto"/>
        <w:jc w:val="both"/>
      </w:pPr>
      <w:r>
        <w:rPr>
          <w:rFonts w:ascii="Times New Roman" w:hAnsi="Times New Roman" w:cs="Times New Roman"/>
          <w:sz w:val="24"/>
          <w:szCs w:val="24"/>
        </w:rPr>
        <w:t xml:space="preserve">The effect of pH 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investigated to determine the optimum pH at which the enzyme exhibited maximum catalytic efficiency. Crude enzyme extract obtained from the </w:t>
      </w:r>
      <w:r>
        <w:rPr>
          <w:rFonts w:ascii="Times New Roman" w:hAnsi="Times New Roman" w:cs="Times New Roman"/>
          <w:sz w:val="24"/>
          <w:szCs w:val="24"/>
        </w:rPr>
        <w:lastRenderedPageBreak/>
        <w:t xml:space="preserve">fungal cultures was used as the enzyme source, while </w:t>
      </w:r>
      <w:proofErr w:type="spellStart"/>
      <w:r>
        <w:rPr>
          <w:rFonts w:ascii="Times New Roman" w:hAnsi="Times New Roman" w:cs="Times New Roman"/>
          <w:sz w:val="24"/>
          <w:szCs w:val="24"/>
        </w:rPr>
        <w:t>carboxymethyl</w:t>
      </w:r>
      <w:proofErr w:type="spellEnd"/>
      <w:r>
        <w:rPr>
          <w:rFonts w:ascii="Times New Roman" w:hAnsi="Times New Roman" w:cs="Times New Roman"/>
          <w:sz w:val="24"/>
          <w:szCs w:val="24"/>
        </w:rPr>
        <w:t xml:space="preserve"> cellulose (CMC) served as the substrate. Reaction mixtures were prepared in test tubes containing CMC substrate dissolved in buffer solutions of varying pH values. Different buffer systems were employed to cover a wide pH range, ensuring enzyme stability and consistent reaction conditions. Equal volumes of crude enzyme extract were added to each reaction mixture to maintain uniform enzyme concentration. The mixtures were incubated in a water bath at a constant temperature for a fixed reaction time to allow enzymatic hydrolysis of cellulose. Following incubation, the enzymatic reaction was terminated by the addition of DNS reagent (3,5-dinitrosalicylic acid), which reacts with reducing sugars released during cellulose breakdown. The test tubes were then heated in the water bath to develop a reddish-brown color indicative of reducing sugar formation. After cooling, absorbance was measured using a spectrophotometer at 540 nm. Appropriate blanks containing substrate and buffer without enzyme were prepared to correct for background absorbance.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calculated based on the amount of reducing sugar produced at each pH level. The pH corresponding to the highest enzyme activity was identified as the optimum </w:t>
      </w:r>
      <w:proofErr w:type="spellStart"/>
      <w:r>
        <w:rPr>
          <w:rFonts w:ascii="Times New Roman" w:hAnsi="Times New Roman" w:cs="Times New Roman"/>
          <w:sz w:val="24"/>
          <w:szCs w:val="24"/>
        </w:rPr>
        <w:t>pH.</w:t>
      </w:r>
      <w:proofErr w:type="spellEnd"/>
    </w:p>
    <w:p w:rsidR="00E60BF8" w:rsidRDefault="00E60BF8" w:rsidP="00A65FEB">
      <w:pPr>
        <w:pStyle w:val="ListParagraph"/>
        <w:numPr>
          <w:ilvl w:val="0"/>
          <w:numId w:val="5"/>
        </w:numPr>
        <w:spacing w:after="0" w:line="360" w:lineRule="auto"/>
        <w:jc w:val="both"/>
      </w:pPr>
      <w:r>
        <w:rPr>
          <w:rFonts w:ascii="Times New Roman" w:hAnsi="Times New Roman" w:cs="Times New Roman"/>
          <w:b/>
          <w:sz w:val="24"/>
          <w:szCs w:val="24"/>
        </w:rPr>
        <w:t xml:space="preserve">Effect of Temperature on </w:t>
      </w:r>
      <w:proofErr w:type="spellStart"/>
      <w:r>
        <w:rPr>
          <w:rFonts w:ascii="Times New Roman" w:hAnsi="Times New Roman" w:cs="Times New Roman"/>
          <w:b/>
          <w:sz w:val="24"/>
          <w:szCs w:val="24"/>
        </w:rPr>
        <w:t>Cellulase</w:t>
      </w:r>
      <w:proofErr w:type="spellEnd"/>
      <w:r>
        <w:rPr>
          <w:rFonts w:ascii="Times New Roman" w:hAnsi="Times New Roman" w:cs="Times New Roman"/>
          <w:b/>
          <w:sz w:val="24"/>
          <w:szCs w:val="24"/>
        </w:rPr>
        <w:t xml:space="preserve"> Activity</w:t>
      </w:r>
    </w:p>
    <w:p w:rsidR="00E60BF8" w:rsidRDefault="00E60BF8" w:rsidP="00A65FEB">
      <w:pPr>
        <w:spacing w:after="0" w:line="360" w:lineRule="auto"/>
        <w:jc w:val="both"/>
      </w:pPr>
      <w:r>
        <w:rPr>
          <w:rFonts w:ascii="Times New Roman" w:hAnsi="Times New Roman" w:cs="Times New Roman"/>
          <w:sz w:val="24"/>
          <w:szCs w:val="24"/>
        </w:rPr>
        <w:t xml:space="preserve">The influence of temperature 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evaluated to establish the thermal conditions under which the enzyme functioned most effectively. Reaction mixtures containing crude enzyme extract, CMC substrate, and appropriate buffer were prepared in test tubes. The pH of all reaction mixtures was kept constant to isolate the effect of temperature. The prepared reaction tubes were incubated in a thermostatically controlled water bath set at different temperatures, typically ranging from low to moderately high values. A thermometer was used to confirm the accuracy of the water bath temperature throughout the incubation period. Each reaction was allowed to proceed for a fixed time to ensure comparability. At the end of incubation, the enzymatic reactions were stopped using DNS reagent, followed by heating in the water bath to facilitate color development. The reaction mixtures were cooled, and absorbance readings were taken using a spectrophotometer at 540 nm. Control reactions without enzyme were included to account for non-enzymatic substrate degradation.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calculated based on reducing sugar concentration released at each temperature. The temperature that yielded the highest enzyme activity was identified as the optimum temperature.</w:t>
      </w:r>
    </w:p>
    <w:p w:rsidR="00E60BF8" w:rsidRDefault="00E60BF8" w:rsidP="00A65FEB">
      <w:pPr>
        <w:pStyle w:val="ListParagraph"/>
        <w:numPr>
          <w:ilvl w:val="0"/>
          <w:numId w:val="6"/>
        </w:numPr>
        <w:spacing w:after="0" w:line="360" w:lineRule="auto"/>
        <w:jc w:val="both"/>
      </w:pPr>
      <w:r>
        <w:rPr>
          <w:rFonts w:ascii="Times New Roman" w:hAnsi="Times New Roman" w:cs="Times New Roman"/>
          <w:b/>
          <w:sz w:val="24"/>
          <w:szCs w:val="24"/>
        </w:rPr>
        <w:t xml:space="preserve">Effect of Carbon Sources on </w:t>
      </w:r>
      <w:proofErr w:type="spellStart"/>
      <w:r>
        <w:rPr>
          <w:rFonts w:ascii="Times New Roman" w:hAnsi="Times New Roman" w:cs="Times New Roman"/>
          <w:b/>
          <w:sz w:val="24"/>
          <w:szCs w:val="24"/>
        </w:rPr>
        <w:t>Cellulase</w:t>
      </w:r>
      <w:proofErr w:type="spellEnd"/>
      <w:r>
        <w:rPr>
          <w:rFonts w:ascii="Times New Roman" w:hAnsi="Times New Roman" w:cs="Times New Roman"/>
          <w:b/>
          <w:sz w:val="24"/>
          <w:szCs w:val="24"/>
        </w:rPr>
        <w:t xml:space="preserve"> Activity</w:t>
      </w:r>
    </w:p>
    <w:p w:rsidR="00E60BF8" w:rsidRDefault="00E60BF8" w:rsidP="00A65FEB">
      <w:pPr>
        <w:spacing w:after="0" w:line="360" w:lineRule="auto"/>
        <w:jc w:val="both"/>
      </w:pPr>
      <w:r>
        <w:rPr>
          <w:rFonts w:ascii="Times New Roman" w:hAnsi="Times New Roman" w:cs="Times New Roman"/>
          <w:sz w:val="24"/>
          <w:szCs w:val="24"/>
        </w:rPr>
        <w:t xml:space="preserve">The effect of different carbon sources 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production was studied to assess how substrate availability influences enzyme synthesis. A basal salt medium was prepared and </w:t>
      </w:r>
      <w:r>
        <w:rPr>
          <w:rFonts w:ascii="Times New Roman" w:hAnsi="Times New Roman" w:cs="Times New Roman"/>
          <w:sz w:val="24"/>
          <w:szCs w:val="24"/>
        </w:rPr>
        <w:lastRenderedPageBreak/>
        <w:t xml:space="preserve">supplemented separately with different carbon sources, including glucose, sucrose, lactose, and corn cob powder. The media were dispensed into conical flasks and sterilized before inoculation. Each flask was inoculated with the fungal culture and incubated under controlled conditions in an incubator to ensure proper aeration and nutrient distribution. Measuring cylinders were used to ensure accurate preparation of media components. The cultures were incubated for a defined period to allow sufficient enzyme production. After incubation, the cultures were centrifuged to obtain crude enzyme extracts.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then assayed using standard enzymatic methods involving CMC substrate and DNS reagent. Absorbance readings were obtained using a spectrophotometer. The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activities recorded for each carbon source were compared to determine which substrate most effectively induced enzyme production.</w:t>
      </w:r>
    </w:p>
    <w:p w:rsidR="00E60BF8" w:rsidRDefault="00E60BF8" w:rsidP="00A65FEB">
      <w:pPr>
        <w:pStyle w:val="ListParagraph"/>
        <w:numPr>
          <w:ilvl w:val="0"/>
          <w:numId w:val="7"/>
        </w:numPr>
        <w:spacing w:after="0" w:line="360" w:lineRule="auto"/>
        <w:jc w:val="both"/>
      </w:pPr>
      <w:r>
        <w:rPr>
          <w:rFonts w:ascii="Times New Roman" w:hAnsi="Times New Roman" w:cs="Times New Roman"/>
          <w:b/>
          <w:sz w:val="24"/>
          <w:szCs w:val="24"/>
        </w:rPr>
        <w:t xml:space="preserve">Effect of Metal Ions on </w:t>
      </w:r>
      <w:proofErr w:type="spellStart"/>
      <w:r>
        <w:rPr>
          <w:rFonts w:ascii="Times New Roman" w:hAnsi="Times New Roman" w:cs="Times New Roman"/>
          <w:b/>
          <w:sz w:val="24"/>
          <w:szCs w:val="24"/>
        </w:rPr>
        <w:t>Cellulase</w:t>
      </w:r>
      <w:proofErr w:type="spellEnd"/>
      <w:r>
        <w:rPr>
          <w:rFonts w:ascii="Times New Roman" w:hAnsi="Times New Roman" w:cs="Times New Roman"/>
          <w:b/>
          <w:sz w:val="24"/>
          <w:szCs w:val="24"/>
        </w:rPr>
        <w:t xml:space="preserve"> Activity</w:t>
      </w:r>
    </w:p>
    <w:p w:rsidR="00E60BF8" w:rsidRDefault="00E60BF8" w:rsidP="00A65FEB">
      <w:pPr>
        <w:spacing w:after="0" w:line="360" w:lineRule="auto"/>
        <w:jc w:val="both"/>
      </w:pPr>
      <w:r>
        <w:rPr>
          <w:rFonts w:ascii="Times New Roman" w:hAnsi="Times New Roman" w:cs="Times New Roman"/>
          <w:sz w:val="24"/>
          <w:szCs w:val="24"/>
        </w:rPr>
        <w:t xml:space="preserve">The influence of metal ions on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was investigated to determine their role as enzyme activators or inhibitors. Metal salt solutions of </w:t>
      </w:r>
      <w:proofErr w:type="spellStart"/>
      <w:r>
        <w:rPr>
          <w:rFonts w:ascii="Times New Roman" w:hAnsi="Times New Roman" w:cs="Times New Roman"/>
          <w:sz w:val="24"/>
          <w:szCs w:val="24"/>
        </w:rPr>
        <w:t>MgSO</w:t>
      </w:r>
      <w:proofErr w:type="spellEnd"/>
      <w:r>
        <w:rPr>
          <w:rFonts w:ascii="Times New Roman" w:hAnsi="Times New Roman" w:cs="Times New Roman"/>
          <w:sz w:val="24"/>
          <w:szCs w:val="24"/>
        </w:rPr>
        <w:t xml:space="preserve">₄, </w:t>
      </w:r>
      <w:proofErr w:type="spellStart"/>
      <w:r>
        <w:rPr>
          <w:rFonts w:ascii="Times New Roman" w:hAnsi="Times New Roman" w:cs="Times New Roman"/>
          <w:sz w:val="24"/>
          <w:szCs w:val="24"/>
        </w:rPr>
        <w:t>MnSO</w:t>
      </w:r>
      <w:proofErr w:type="spellEnd"/>
      <w:r>
        <w:rPr>
          <w:rFonts w:ascii="Times New Roman" w:hAnsi="Times New Roman" w:cs="Times New Roman"/>
          <w:sz w:val="24"/>
          <w:szCs w:val="24"/>
        </w:rPr>
        <w:t xml:space="preserve">₄, </w:t>
      </w:r>
      <w:proofErr w:type="spellStart"/>
      <w:r>
        <w:rPr>
          <w:rFonts w:ascii="Times New Roman" w:hAnsi="Times New Roman" w:cs="Times New Roman"/>
          <w:sz w:val="24"/>
          <w:szCs w:val="24"/>
        </w:rPr>
        <w:t>FeSO</w:t>
      </w:r>
      <w:proofErr w:type="spellEnd"/>
      <w:r>
        <w:rPr>
          <w:rFonts w:ascii="Times New Roman" w:hAnsi="Times New Roman" w:cs="Times New Roman"/>
          <w:sz w:val="24"/>
          <w:szCs w:val="24"/>
        </w:rPr>
        <w:t xml:space="preserve">₄, </w:t>
      </w:r>
      <w:proofErr w:type="spellStart"/>
      <w:r>
        <w:rPr>
          <w:rFonts w:ascii="Times New Roman" w:hAnsi="Times New Roman" w:cs="Times New Roman"/>
          <w:sz w:val="24"/>
          <w:szCs w:val="24"/>
        </w:rPr>
        <w:t>CuSO</w:t>
      </w:r>
      <w:proofErr w:type="spellEnd"/>
      <w:r>
        <w:rPr>
          <w:rFonts w:ascii="Times New Roman" w:hAnsi="Times New Roman" w:cs="Times New Roman"/>
          <w:sz w:val="24"/>
          <w:szCs w:val="24"/>
        </w:rPr>
        <w:t xml:space="preserve">₄, and </w:t>
      </w:r>
      <w:proofErr w:type="spellStart"/>
      <w:r>
        <w:rPr>
          <w:rFonts w:ascii="Times New Roman" w:hAnsi="Times New Roman" w:cs="Times New Roman"/>
          <w:sz w:val="24"/>
          <w:szCs w:val="24"/>
        </w:rPr>
        <w:t>ZnSO</w:t>
      </w:r>
      <w:proofErr w:type="spellEnd"/>
      <w:r>
        <w:rPr>
          <w:rFonts w:ascii="Times New Roman" w:hAnsi="Times New Roman" w:cs="Times New Roman"/>
          <w:sz w:val="24"/>
          <w:szCs w:val="24"/>
        </w:rPr>
        <w:t xml:space="preserve">₄ were prepared at appropriate concentrations. Reaction mixtures containing crude enzyme extract, CMC substrate, buffer, and individual metal ions were prepared in test tubes. Control reactions without metal ions were also set up to serve as references. The reaction mixtures were incubated in a water bath at a constant temperature for a fixed duration. Pipettes were used to ensure precise measurement of all reagents. Following incubation, the reactions were terminated using DNS reagent, and the tubes were heated to develop color. Absorbance was measured using a spectrophotometer at 540 nm.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activity in the presence of each metal ion was calculated and compared with the control.</w:t>
      </w:r>
    </w:p>
    <w:p w:rsidR="00E60BF8" w:rsidRPr="00E60BF8" w:rsidRDefault="00E60BF8" w:rsidP="00A65FEB">
      <w:pPr>
        <w:pStyle w:val="ListParagraph"/>
        <w:numPr>
          <w:ilvl w:val="0"/>
          <w:numId w:val="8"/>
        </w:numPr>
        <w:spacing w:after="0" w:line="360" w:lineRule="auto"/>
        <w:jc w:val="both"/>
      </w:pPr>
      <w:r>
        <w:rPr>
          <w:rFonts w:ascii="Times New Roman" w:hAnsi="Times New Roman" w:cs="Times New Roman"/>
          <w:b/>
          <w:sz w:val="24"/>
          <w:szCs w:val="24"/>
        </w:rPr>
        <w:t xml:space="preserve">Kinetic </w:t>
      </w:r>
      <w:proofErr w:type="spellStart"/>
      <w:r>
        <w:rPr>
          <w:rFonts w:ascii="Times New Roman" w:hAnsi="Times New Roman" w:cs="Times New Roman"/>
          <w:b/>
          <w:sz w:val="24"/>
          <w:szCs w:val="24"/>
        </w:rPr>
        <w:t>Behaviour</w:t>
      </w:r>
      <w:proofErr w:type="spellEnd"/>
      <w:r>
        <w:rPr>
          <w:rFonts w:ascii="Times New Roman" w:hAnsi="Times New Roman" w:cs="Times New Roman"/>
          <w:b/>
          <w:sz w:val="24"/>
          <w:szCs w:val="24"/>
        </w:rPr>
        <w:t xml:space="preserve"> of the Enzymatic Reaction</w:t>
      </w:r>
    </w:p>
    <w:p w:rsidR="00B15237" w:rsidRPr="00E60BF8" w:rsidRDefault="00E60BF8" w:rsidP="00E60BF8">
      <w:pPr>
        <w:pStyle w:val="ListParagraph"/>
        <w:spacing w:line="360" w:lineRule="auto"/>
        <w:ind w:left="0"/>
        <w:jc w:val="both"/>
      </w:pPr>
      <w:r w:rsidRPr="00E60BF8">
        <w:rPr>
          <w:rFonts w:ascii="Times New Roman" w:hAnsi="Times New Roman" w:cs="Times New Roman"/>
          <w:sz w:val="24"/>
          <w:szCs w:val="24"/>
        </w:rPr>
        <w:t xml:space="preserve">The kinetic </w:t>
      </w:r>
      <w:proofErr w:type="spellStart"/>
      <w:r w:rsidRPr="00E60BF8">
        <w:rPr>
          <w:rFonts w:ascii="Times New Roman" w:hAnsi="Times New Roman" w:cs="Times New Roman"/>
          <w:sz w:val="24"/>
          <w:szCs w:val="24"/>
        </w:rPr>
        <w:t>behaviour</w:t>
      </w:r>
      <w:proofErr w:type="spellEnd"/>
      <w:r w:rsidRPr="00E60BF8">
        <w:rPr>
          <w:rFonts w:ascii="Times New Roman" w:hAnsi="Times New Roman" w:cs="Times New Roman"/>
          <w:sz w:val="24"/>
          <w:szCs w:val="24"/>
        </w:rPr>
        <w:t xml:space="preserve"> of </w:t>
      </w:r>
      <w:proofErr w:type="spellStart"/>
      <w:r w:rsidRPr="00E60BF8">
        <w:rPr>
          <w:rFonts w:ascii="Times New Roman" w:hAnsi="Times New Roman" w:cs="Times New Roman"/>
          <w:sz w:val="24"/>
          <w:szCs w:val="24"/>
        </w:rPr>
        <w:t>cellulase</w:t>
      </w:r>
      <w:proofErr w:type="spellEnd"/>
      <w:r w:rsidRPr="00E60BF8">
        <w:rPr>
          <w:rFonts w:ascii="Times New Roman" w:hAnsi="Times New Roman" w:cs="Times New Roman"/>
          <w:sz w:val="24"/>
          <w:szCs w:val="24"/>
        </w:rPr>
        <w:t xml:space="preserve"> was studied to understand the relationship between substrate concentration and reaction rate. Reaction mixtures were prepared using crude </w:t>
      </w:r>
      <w:proofErr w:type="spellStart"/>
      <w:r w:rsidRPr="00E60BF8">
        <w:rPr>
          <w:rFonts w:ascii="Times New Roman" w:hAnsi="Times New Roman" w:cs="Times New Roman"/>
          <w:sz w:val="24"/>
          <w:szCs w:val="24"/>
        </w:rPr>
        <w:t>cellulase</w:t>
      </w:r>
      <w:proofErr w:type="spellEnd"/>
      <w:r w:rsidRPr="00E60BF8">
        <w:rPr>
          <w:rFonts w:ascii="Times New Roman" w:hAnsi="Times New Roman" w:cs="Times New Roman"/>
          <w:sz w:val="24"/>
          <w:szCs w:val="24"/>
        </w:rPr>
        <w:t xml:space="preserve"> enzyme and CMC substrate at varying concentrations, while buffer solution maintained constant pH conditions. Each reaction was carried out in test tubes and incubated in a water bath at a predetermined optimal temperature. A stopwatch was used to control reaction time precisely. After incubation, DNS reagent was added to stop the reaction and facilitate color development. The mixtures were heated, cooled, and absorbance readings were taken using a spectrophotometer at 540 nm. The rate of reaction was calculated based on the amount of reducing sugar released per unit time.</w:t>
      </w:r>
    </w:p>
    <w:p w:rsidR="00622C2E" w:rsidRPr="008F79B8" w:rsidRDefault="00622C2E" w:rsidP="008F79B8">
      <w:pPr>
        <w:pStyle w:val="NoSpacing"/>
        <w:spacing w:line="276" w:lineRule="auto"/>
        <w:jc w:val="center"/>
        <w:rPr>
          <w:rFonts w:ascii="Times New Roman" w:hAnsi="Times New Roman" w:cs="Times New Roman"/>
          <w:b/>
          <w:sz w:val="24"/>
        </w:rPr>
      </w:pPr>
      <w:r w:rsidRPr="008F79B8">
        <w:rPr>
          <w:rFonts w:ascii="Times New Roman" w:hAnsi="Times New Roman" w:cs="Times New Roman"/>
          <w:b/>
          <w:sz w:val="24"/>
        </w:rPr>
        <w:t>RESULTS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lastRenderedPageBreak/>
        <w:t>Identification of Fungal Isolates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Microscopic examination (Table 2) revealed distinct morphological features that enabled presumptive identification of the fungal isolates. Septate, branched hyphae with brush-like conidiophores terminating in chains of conidia were observed in one isolate, consistent with </w:t>
      </w:r>
      <w:proofErr w:type="spellStart"/>
      <w:r w:rsidRPr="00C85B4F">
        <w:rPr>
          <w:rStyle w:val="Emphasis"/>
          <w:rFonts w:ascii="Times New Roman" w:hAnsi="Times New Roman" w:cs="Times New Roman"/>
          <w:i w:val="0"/>
          <w:iCs w:val="0"/>
          <w:sz w:val="24"/>
        </w:rPr>
        <w:t>Penicillium</w:t>
      </w:r>
      <w:proofErr w:type="spellEnd"/>
      <w:r w:rsidRPr="00C85B4F">
        <w:rPr>
          <w:rStyle w:val="Emphasis"/>
          <w:rFonts w:ascii="Times New Roman" w:hAnsi="Times New Roman" w:cs="Times New Roman"/>
          <w:i w:val="0"/>
          <w:iCs w:val="0"/>
          <w:sz w:val="24"/>
        </w:rPr>
        <w:t xml:space="preserve"> </w:t>
      </w:r>
      <w:proofErr w:type="spellStart"/>
      <w:r w:rsidRPr="00C85B4F">
        <w:rPr>
          <w:rStyle w:val="Emphasis"/>
          <w:rFonts w:ascii="Times New Roman" w:hAnsi="Times New Roman" w:cs="Times New Roman"/>
          <w:i w:val="0"/>
          <w:iCs w:val="0"/>
          <w:sz w:val="24"/>
        </w:rPr>
        <w:t>chrysogenum</w:t>
      </w:r>
      <w:proofErr w:type="spellEnd"/>
      <w:r w:rsidRPr="00C85B4F">
        <w:rPr>
          <w:rFonts w:ascii="Times New Roman" w:hAnsi="Times New Roman" w:cs="Times New Roman"/>
          <w:sz w:val="24"/>
        </w:rPr>
        <w:t xml:space="preserve">. Other isolates exhibited septate hyphae with long conidiophores ending in swollen vesicles surrounded by </w:t>
      </w:r>
      <w:proofErr w:type="spellStart"/>
      <w:r w:rsidRPr="00C85B4F">
        <w:rPr>
          <w:rFonts w:ascii="Times New Roman" w:hAnsi="Times New Roman" w:cs="Times New Roman"/>
          <w:sz w:val="24"/>
        </w:rPr>
        <w:t>phialides</w:t>
      </w:r>
      <w:proofErr w:type="spellEnd"/>
      <w:r w:rsidRPr="00C85B4F">
        <w:rPr>
          <w:rFonts w:ascii="Times New Roman" w:hAnsi="Times New Roman" w:cs="Times New Roman"/>
          <w:sz w:val="24"/>
        </w:rPr>
        <w:t xml:space="preserve"> bearing chains of conidia, characteristic of </w:t>
      </w:r>
      <w:proofErr w:type="spellStart"/>
      <w:r w:rsidRPr="00C85B4F">
        <w:rPr>
          <w:rStyle w:val="Emphasis"/>
          <w:rFonts w:ascii="Times New Roman" w:hAnsi="Times New Roman" w:cs="Times New Roman"/>
          <w:i w:val="0"/>
          <w:iCs w:val="0"/>
          <w:sz w:val="24"/>
        </w:rPr>
        <w:t>Aspergillus</w:t>
      </w:r>
      <w:proofErr w:type="spellEnd"/>
      <w:r w:rsidRPr="00C85B4F">
        <w:rPr>
          <w:rStyle w:val="Emphasis"/>
          <w:rFonts w:ascii="Times New Roman" w:hAnsi="Times New Roman" w:cs="Times New Roman"/>
          <w:i w:val="0"/>
          <w:iCs w:val="0"/>
          <w:sz w:val="24"/>
        </w:rPr>
        <w:t xml:space="preserve"> </w:t>
      </w:r>
      <w:proofErr w:type="spellStart"/>
      <w:r w:rsidRPr="00C85B4F">
        <w:rPr>
          <w:rStyle w:val="Emphasis"/>
          <w:rFonts w:ascii="Times New Roman" w:hAnsi="Times New Roman" w:cs="Times New Roman"/>
          <w:i w:val="0"/>
          <w:iCs w:val="0"/>
          <w:sz w:val="24"/>
        </w:rPr>
        <w:t>niger</w:t>
      </w:r>
      <w:proofErr w:type="spellEnd"/>
      <w:r w:rsidRPr="00C85B4F">
        <w:rPr>
          <w:rFonts w:ascii="Times New Roman" w:hAnsi="Times New Roman" w:cs="Times New Roman"/>
          <w:sz w:val="24"/>
        </w:rPr>
        <w:t xml:space="preserve">. Broad, non-septate hyphae with spherical sporangia were also observed in some isolates, consistent with </w:t>
      </w:r>
      <w:proofErr w:type="spellStart"/>
      <w:r w:rsidRPr="00C85B4F">
        <w:rPr>
          <w:rStyle w:val="Emphasis"/>
          <w:rFonts w:ascii="Times New Roman" w:hAnsi="Times New Roman" w:cs="Times New Roman"/>
          <w:i w:val="0"/>
          <w:iCs w:val="0"/>
          <w:sz w:val="24"/>
        </w:rPr>
        <w:t>Rhizopus</w:t>
      </w:r>
      <w:proofErr w:type="spellEnd"/>
      <w:r w:rsidRPr="00C85B4F">
        <w:rPr>
          <w:rFonts w:ascii="Times New Roman" w:hAnsi="Times New Roman" w:cs="Times New Roman"/>
          <w:sz w:val="24"/>
        </w:rPr>
        <w:t xml:space="preserve"> species. Based on cellulolytic potential, </w:t>
      </w:r>
      <w:r w:rsidRPr="00C85B4F">
        <w:rPr>
          <w:rStyle w:val="Emphasis"/>
          <w:rFonts w:ascii="Times New Roman" w:hAnsi="Times New Roman" w:cs="Times New Roman"/>
          <w:i w:val="0"/>
          <w:iCs w:val="0"/>
          <w:sz w:val="24"/>
        </w:rPr>
        <w:t xml:space="preserve">P. </w:t>
      </w:r>
      <w:proofErr w:type="spellStart"/>
      <w:r w:rsidRPr="00C85B4F">
        <w:rPr>
          <w:rStyle w:val="Emphasis"/>
          <w:rFonts w:ascii="Times New Roman" w:hAnsi="Times New Roman" w:cs="Times New Roman"/>
          <w:i w:val="0"/>
          <w:iCs w:val="0"/>
          <w:sz w:val="24"/>
        </w:rPr>
        <w:t>chrysogenum</w:t>
      </w:r>
      <w:proofErr w:type="spellEnd"/>
      <w:r w:rsidRPr="00C85B4F">
        <w:rPr>
          <w:rFonts w:ascii="Times New Roman" w:hAnsi="Times New Roman" w:cs="Times New Roman"/>
          <w:sz w:val="24"/>
        </w:rPr>
        <w:t xml:space="preserve"> and </w:t>
      </w:r>
      <w:r w:rsidRPr="00C85B4F">
        <w:rPr>
          <w:rStyle w:val="Emphasis"/>
          <w:rFonts w:ascii="Times New Roman" w:hAnsi="Times New Roman" w:cs="Times New Roman"/>
          <w:i w:val="0"/>
          <w:iCs w:val="0"/>
          <w:sz w:val="24"/>
        </w:rPr>
        <w:t xml:space="preserve">A. </w:t>
      </w:r>
      <w:proofErr w:type="spellStart"/>
      <w:r w:rsidRPr="00C85B4F">
        <w:rPr>
          <w:rStyle w:val="Emphasis"/>
          <w:rFonts w:ascii="Times New Roman" w:hAnsi="Times New Roman" w:cs="Times New Roman"/>
          <w:i w:val="0"/>
          <w:iCs w:val="0"/>
          <w:sz w:val="24"/>
        </w:rPr>
        <w:t>niger</w:t>
      </w:r>
      <w:proofErr w:type="spellEnd"/>
      <w:r w:rsidRPr="00C85B4F">
        <w:rPr>
          <w:rFonts w:ascii="Times New Roman" w:hAnsi="Times New Roman" w:cs="Times New Roman"/>
          <w:sz w:val="24"/>
        </w:rPr>
        <w:t xml:space="preserve"> were selected for further enzyme characterization.</w:t>
      </w:r>
    </w:p>
    <w:p w:rsidR="00F36213" w:rsidRDefault="00F36213" w:rsidP="00F36213">
      <w:pPr>
        <w:spacing w:line="240" w:lineRule="auto"/>
      </w:pPr>
      <w:r>
        <w:rPr>
          <w:rFonts w:ascii="Times New Roman" w:hAnsi="Times New Roman" w:cs="Times New Roman"/>
          <w:b/>
          <w:sz w:val="24"/>
          <w:szCs w:val="24"/>
        </w:rPr>
        <w:t>Table 2: Microscopic characteristics of fungal isolates</w:t>
      </w:r>
    </w:p>
    <w:tbl>
      <w:tblPr>
        <w:tblW w:w="0" w:type="auto"/>
        <w:tblBorders>
          <w:top w:val="single" w:sz="4" w:space="0" w:color="auto"/>
          <w:bottom w:val="single" w:sz="4" w:space="0" w:color="auto"/>
        </w:tblBorders>
        <w:tblLook w:val="04A0" w:firstRow="1" w:lastRow="0" w:firstColumn="1" w:lastColumn="0" w:noHBand="0" w:noVBand="1"/>
      </w:tblPr>
      <w:tblGrid>
        <w:gridCol w:w="900"/>
        <w:gridCol w:w="2070"/>
        <w:gridCol w:w="4230"/>
        <w:gridCol w:w="1620"/>
      </w:tblGrid>
      <w:tr w:rsidR="00F36213" w:rsidTr="00F36213">
        <w:tc>
          <w:tcPr>
            <w:tcW w:w="900" w:type="dxa"/>
            <w:tcBorders>
              <w:top w:val="single" w:sz="4" w:space="0" w:color="auto"/>
              <w:bottom w:val="single" w:sz="4" w:space="0" w:color="auto"/>
            </w:tcBorders>
          </w:tcPr>
          <w:p w:rsidR="00F36213" w:rsidRDefault="00F36213" w:rsidP="00C618BB">
            <w:pPr>
              <w:spacing w:line="240" w:lineRule="auto"/>
            </w:pPr>
            <w:r>
              <w:rPr>
                <w:rFonts w:ascii="Times New Roman" w:hAnsi="Times New Roman" w:cs="Times New Roman"/>
                <w:b/>
                <w:sz w:val="24"/>
                <w:szCs w:val="24"/>
              </w:rPr>
              <w:t>Isolate Code</w:t>
            </w:r>
          </w:p>
        </w:tc>
        <w:tc>
          <w:tcPr>
            <w:tcW w:w="2070" w:type="dxa"/>
            <w:tcBorders>
              <w:top w:val="single" w:sz="4" w:space="0" w:color="auto"/>
              <w:bottom w:val="single" w:sz="4" w:space="0" w:color="auto"/>
            </w:tcBorders>
          </w:tcPr>
          <w:p w:rsidR="00F36213" w:rsidRDefault="00F36213" w:rsidP="00C618BB">
            <w:pPr>
              <w:spacing w:line="240" w:lineRule="auto"/>
            </w:pPr>
            <w:r>
              <w:rPr>
                <w:rFonts w:ascii="Times New Roman" w:hAnsi="Times New Roman" w:cs="Times New Roman"/>
                <w:b/>
                <w:sz w:val="24"/>
                <w:szCs w:val="24"/>
              </w:rPr>
              <w:t>Hyphal Characteristics</w:t>
            </w:r>
          </w:p>
        </w:tc>
        <w:tc>
          <w:tcPr>
            <w:tcW w:w="4230" w:type="dxa"/>
            <w:tcBorders>
              <w:top w:val="single" w:sz="4" w:space="0" w:color="auto"/>
              <w:bottom w:val="single" w:sz="4" w:space="0" w:color="auto"/>
            </w:tcBorders>
          </w:tcPr>
          <w:p w:rsidR="00F36213" w:rsidRDefault="00F36213" w:rsidP="00C618BB">
            <w:pPr>
              <w:spacing w:line="240" w:lineRule="auto"/>
            </w:pPr>
            <w:r>
              <w:rPr>
                <w:rFonts w:ascii="Times New Roman" w:hAnsi="Times New Roman" w:cs="Times New Roman"/>
                <w:b/>
                <w:sz w:val="24"/>
                <w:szCs w:val="24"/>
              </w:rPr>
              <w:t>Reproductive Structures</w:t>
            </w:r>
          </w:p>
        </w:tc>
        <w:tc>
          <w:tcPr>
            <w:tcW w:w="1620" w:type="dxa"/>
            <w:tcBorders>
              <w:top w:val="single" w:sz="4" w:space="0" w:color="auto"/>
              <w:bottom w:val="single" w:sz="4" w:space="0" w:color="auto"/>
            </w:tcBorders>
          </w:tcPr>
          <w:p w:rsidR="00F36213" w:rsidRDefault="00F36213" w:rsidP="00C618BB">
            <w:pPr>
              <w:spacing w:line="240" w:lineRule="auto"/>
            </w:pPr>
            <w:r>
              <w:rPr>
                <w:rFonts w:ascii="Times New Roman" w:hAnsi="Times New Roman" w:cs="Times New Roman"/>
                <w:b/>
                <w:sz w:val="24"/>
                <w:szCs w:val="24"/>
              </w:rPr>
              <w:t>Presumptive Identification</w:t>
            </w:r>
          </w:p>
        </w:tc>
      </w:tr>
      <w:tr w:rsidR="00F36213" w:rsidTr="00F36213">
        <w:tc>
          <w:tcPr>
            <w:tcW w:w="900" w:type="dxa"/>
            <w:tcBorders>
              <w:top w:val="single" w:sz="4" w:space="0" w:color="auto"/>
            </w:tcBorders>
          </w:tcPr>
          <w:p w:rsidR="00F36213" w:rsidRDefault="00F36213" w:rsidP="00C618BB">
            <w:pPr>
              <w:spacing w:line="240" w:lineRule="auto"/>
            </w:pPr>
            <w:r>
              <w:rPr>
                <w:rFonts w:ascii="Times New Roman" w:hAnsi="Times New Roman" w:cs="Times New Roman"/>
                <w:sz w:val="24"/>
                <w:szCs w:val="24"/>
              </w:rPr>
              <w:t>HCC2</w:t>
            </w:r>
          </w:p>
        </w:tc>
        <w:tc>
          <w:tcPr>
            <w:tcW w:w="2070" w:type="dxa"/>
            <w:tcBorders>
              <w:top w:val="single" w:sz="4" w:space="0" w:color="auto"/>
            </w:tcBorders>
          </w:tcPr>
          <w:p w:rsidR="00F36213" w:rsidRDefault="00F36213" w:rsidP="00C618BB">
            <w:pPr>
              <w:spacing w:line="240" w:lineRule="auto"/>
            </w:pPr>
            <w:r>
              <w:rPr>
                <w:rFonts w:ascii="Times New Roman" w:hAnsi="Times New Roman" w:cs="Times New Roman"/>
                <w:sz w:val="24"/>
                <w:szCs w:val="24"/>
              </w:rPr>
              <w:t>Septate, thin and branched hyphae (2–5 µm thick)</w:t>
            </w:r>
          </w:p>
        </w:tc>
        <w:tc>
          <w:tcPr>
            <w:tcW w:w="4230" w:type="dxa"/>
            <w:tcBorders>
              <w:top w:val="single" w:sz="4" w:space="0" w:color="auto"/>
            </w:tcBorders>
          </w:tcPr>
          <w:p w:rsidR="00F36213" w:rsidRDefault="00F36213" w:rsidP="00C618BB">
            <w:pPr>
              <w:spacing w:line="240" w:lineRule="auto"/>
            </w:pPr>
            <w:r>
              <w:rPr>
                <w:rFonts w:ascii="Times New Roman" w:hAnsi="Times New Roman" w:cs="Times New Roman"/>
                <w:sz w:val="24"/>
                <w:szCs w:val="24"/>
              </w:rPr>
              <w:t>Branched conidiophores ending in brush-like clusters (</w:t>
            </w:r>
            <w:proofErr w:type="spellStart"/>
            <w:r>
              <w:rPr>
                <w:rFonts w:ascii="Times New Roman" w:hAnsi="Times New Roman" w:cs="Times New Roman"/>
                <w:sz w:val="24"/>
                <w:szCs w:val="24"/>
              </w:rPr>
              <w:t>penicilli</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phialides</w:t>
            </w:r>
            <w:proofErr w:type="spellEnd"/>
            <w:r>
              <w:rPr>
                <w:rFonts w:ascii="Times New Roman" w:hAnsi="Times New Roman" w:cs="Times New Roman"/>
                <w:sz w:val="24"/>
                <w:szCs w:val="24"/>
              </w:rPr>
              <w:t xml:space="preserve"> bearing chains of round conidia</w:t>
            </w:r>
          </w:p>
        </w:tc>
        <w:tc>
          <w:tcPr>
            <w:tcW w:w="1620" w:type="dxa"/>
            <w:tcBorders>
              <w:top w:val="single" w:sz="4" w:space="0" w:color="auto"/>
            </w:tcBorders>
          </w:tcPr>
          <w:p w:rsidR="00F36213" w:rsidRDefault="00F36213" w:rsidP="00C618BB">
            <w:pPr>
              <w:spacing w:line="240" w:lineRule="auto"/>
            </w:pPr>
            <w:proofErr w:type="spellStart"/>
            <w:r>
              <w:rPr>
                <w:rFonts w:ascii="Times New Roman" w:hAnsi="Times New Roman" w:cs="Times New Roman"/>
                <w:i/>
                <w:sz w:val="24"/>
                <w:szCs w:val="24"/>
              </w:rPr>
              <w:t>Penicillium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chrysogenum</w:t>
            </w:r>
            <w:proofErr w:type="spellEnd"/>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DCC6</w:t>
            </w:r>
          </w:p>
        </w:tc>
        <w:tc>
          <w:tcPr>
            <w:tcW w:w="2070" w:type="dxa"/>
          </w:tcPr>
          <w:p w:rsidR="00F36213" w:rsidRDefault="00F36213" w:rsidP="00C618BB">
            <w:pPr>
              <w:spacing w:line="240" w:lineRule="auto"/>
            </w:pPr>
            <w:r>
              <w:rPr>
                <w:rFonts w:ascii="Times New Roman" w:hAnsi="Times New Roman" w:cs="Times New Roman"/>
                <w:sz w:val="24"/>
                <w:szCs w:val="24"/>
              </w:rPr>
              <w:t>Septate and branched hyphae</w:t>
            </w:r>
          </w:p>
        </w:tc>
        <w:tc>
          <w:tcPr>
            <w:tcW w:w="4230" w:type="dxa"/>
          </w:tcPr>
          <w:p w:rsidR="00F36213" w:rsidRDefault="00F36213" w:rsidP="00C618BB">
            <w:pPr>
              <w:spacing w:line="240" w:lineRule="auto"/>
            </w:pPr>
            <w:r>
              <w:rPr>
                <w:rFonts w:ascii="Times New Roman" w:hAnsi="Times New Roman" w:cs="Times New Roman"/>
                <w:sz w:val="24"/>
                <w:szCs w:val="24"/>
              </w:rPr>
              <w:t xml:space="preserve">Long, smooth conidiophores ending in round vesicles covered with </w:t>
            </w:r>
            <w:proofErr w:type="spellStart"/>
            <w:r>
              <w:rPr>
                <w:rFonts w:ascii="Times New Roman" w:hAnsi="Times New Roman" w:cs="Times New Roman"/>
                <w:sz w:val="24"/>
                <w:szCs w:val="24"/>
              </w:rPr>
              <w:t>phialides</w:t>
            </w:r>
            <w:proofErr w:type="spellEnd"/>
            <w:r>
              <w:rPr>
                <w:rFonts w:ascii="Times New Roman" w:hAnsi="Times New Roman" w:cs="Times New Roman"/>
                <w:sz w:val="24"/>
                <w:szCs w:val="24"/>
              </w:rPr>
              <w:t xml:space="preserve"> bearing chains of conidia</w:t>
            </w:r>
          </w:p>
        </w:tc>
        <w:tc>
          <w:tcPr>
            <w:tcW w:w="1620" w:type="dxa"/>
          </w:tcPr>
          <w:p w:rsidR="00F36213" w:rsidRDefault="00F36213" w:rsidP="00C618BB">
            <w:pPr>
              <w:spacing w:line="240" w:lineRule="auto"/>
            </w:pPr>
            <w:proofErr w:type="spellStart"/>
            <w:r>
              <w:rPr>
                <w:rFonts w:ascii="Times New Roman" w:hAnsi="Times New Roman" w:cs="Times New Roman"/>
                <w:i/>
                <w:sz w:val="24"/>
                <w:szCs w:val="24"/>
              </w:rPr>
              <w:t>Aspergillus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niger</w:t>
            </w:r>
            <w:proofErr w:type="spellEnd"/>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DCC4</w:t>
            </w:r>
          </w:p>
        </w:tc>
        <w:tc>
          <w:tcPr>
            <w:tcW w:w="2070" w:type="dxa"/>
          </w:tcPr>
          <w:p w:rsidR="00F36213" w:rsidRDefault="00F36213" w:rsidP="00C618BB">
            <w:pPr>
              <w:spacing w:line="240" w:lineRule="auto"/>
            </w:pPr>
            <w:r>
              <w:rPr>
                <w:rFonts w:ascii="Times New Roman" w:hAnsi="Times New Roman" w:cs="Times New Roman"/>
                <w:sz w:val="24"/>
                <w:szCs w:val="24"/>
              </w:rPr>
              <w:t>Septate and branched hyphae</w:t>
            </w:r>
          </w:p>
        </w:tc>
        <w:tc>
          <w:tcPr>
            <w:tcW w:w="4230" w:type="dxa"/>
          </w:tcPr>
          <w:p w:rsidR="00F36213" w:rsidRDefault="00F36213" w:rsidP="00C618BB">
            <w:pPr>
              <w:spacing w:line="240" w:lineRule="auto"/>
            </w:pPr>
            <w:r>
              <w:rPr>
                <w:rFonts w:ascii="Times New Roman" w:hAnsi="Times New Roman" w:cs="Times New Roman"/>
                <w:sz w:val="24"/>
                <w:szCs w:val="24"/>
              </w:rPr>
              <w:t xml:space="preserve">Erect, unbranched conidiophores ending in swollen vesicles surrounded by </w:t>
            </w:r>
            <w:proofErr w:type="spellStart"/>
            <w:r>
              <w:rPr>
                <w:rFonts w:ascii="Times New Roman" w:hAnsi="Times New Roman" w:cs="Times New Roman"/>
                <w:sz w:val="24"/>
                <w:szCs w:val="24"/>
              </w:rPr>
              <w:t>phialides</w:t>
            </w:r>
            <w:proofErr w:type="spellEnd"/>
            <w:r>
              <w:rPr>
                <w:rFonts w:ascii="Times New Roman" w:hAnsi="Times New Roman" w:cs="Times New Roman"/>
                <w:sz w:val="24"/>
                <w:szCs w:val="24"/>
              </w:rPr>
              <w:t xml:space="preserve"> producing conidia</w:t>
            </w:r>
          </w:p>
        </w:tc>
        <w:tc>
          <w:tcPr>
            <w:tcW w:w="1620" w:type="dxa"/>
          </w:tcPr>
          <w:p w:rsidR="00F36213" w:rsidRDefault="00F36213" w:rsidP="00C618BB">
            <w:pPr>
              <w:spacing w:line="240" w:lineRule="auto"/>
            </w:pPr>
            <w:proofErr w:type="spellStart"/>
            <w:r>
              <w:rPr>
                <w:rFonts w:ascii="Times New Roman" w:hAnsi="Times New Roman" w:cs="Times New Roman"/>
                <w:i/>
                <w:sz w:val="24"/>
                <w:szCs w:val="24"/>
              </w:rPr>
              <w:t>Aspergillus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niger</w:t>
            </w:r>
            <w:proofErr w:type="spellEnd"/>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HCC4</w:t>
            </w:r>
          </w:p>
        </w:tc>
        <w:tc>
          <w:tcPr>
            <w:tcW w:w="2070" w:type="dxa"/>
          </w:tcPr>
          <w:p w:rsidR="00F36213" w:rsidRDefault="00F36213" w:rsidP="00C618BB">
            <w:pPr>
              <w:spacing w:line="240" w:lineRule="auto"/>
            </w:pPr>
            <w:r>
              <w:rPr>
                <w:rFonts w:ascii="Times New Roman" w:hAnsi="Times New Roman" w:cs="Times New Roman"/>
                <w:sz w:val="24"/>
                <w:szCs w:val="24"/>
              </w:rPr>
              <w:t xml:space="preserve">Broad, </w:t>
            </w:r>
            <w:proofErr w:type="spellStart"/>
            <w:r>
              <w:rPr>
                <w:rFonts w:ascii="Times New Roman" w:hAnsi="Times New Roman" w:cs="Times New Roman"/>
                <w:sz w:val="24"/>
                <w:szCs w:val="24"/>
              </w:rPr>
              <w:t>coenocytic</w:t>
            </w:r>
            <w:proofErr w:type="spellEnd"/>
            <w:r>
              <w:rPr>
                <w:rFonts w:ascii="Times New Roman" w:hAnsi="Times New Roman" w:cs="Times New Roman"/>
                <w:sz w:val="24"/>
                <w:szCs w:val="24"/>
              </w:rPr>
              <w:t xml:space="preserve"> (non-</w:t>
            </w:r>
            <w:proofErr w:type="spellStart"/>
            <w:r>
              <w:rPr>
                <w:rFonts w:ascii="Times New Roman" w:hAnsi="Times New Roman" w:cs="Times New Roman"/>
                <w:sz w:val="24"/>
                <w:szCs w:val="24"/>
              </w:rPr>
              <w:t>septate</w:t>
            </w:r>
            <w:proofErr w:type="spellEnd"/>
            <w:r>
              <w:rPr>
                <w:rFonts w:ascii="Times New Roman" w:hAnsi="Times New Roman" w:cs="Times New Roman"/>
                <w:sz w:val="24"/>
                <w:szCs w:val="24"/>
              </w:rPr>
              <w:t>) hyphae</w:t>
            </w:r>
          </w:p>
        </w:tc>
        <w:tc>
          <w:tcPr>
            <w:tcW w:w="4230" w:type="dxa"/>
          </w:tcPr>
          <w:p w:rsidR="00F36213" w:rsidRDefault="00F36213" w:rsidP="00C618BB">
            <w:pPr>
              <w:spacing w:line="240" w:lineRule="auto"/>
            </w:pPr>
            <w:r>
              <w:rPr>
                <w:rFonts w:ascii="Times New Roman" w:hAnsi="Times New Roman" w:cs="Times New Roman"/>
                <w:sz w:val="24"/>
                <w:szCs w:val="24"/>
              </w:rPr>
              <w:t xml:space="preserve">Long, </w:t>
            </w:r>
            <w:proofErr w:type="spellStart"/>
            <w:r>
              <w:rPr>
                <w:rFonts w:ascii="Times New Roman" w:hAnsi="Times New Roman" w:cs="Times New Roman"/>
                <w:sz w:val="24"/>
                <w:szCs w:val="24"/>
              </w:rPr>
              <w:t>unbranched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sporangiophores</w:t>
            </w:r>
            <w:proofErr w:type="spellEnd"/>
            <w:r>
              <w:rPr>
                <w:rFonts w:ascii="Times New Roman" w:hAnsi="Times New Roman" w:cs="Times New Roman"/>
                <w:sz w:val="24"/>
                <w:szCs w:val="24"/>
              </w:rPr>
              <w:t xml:space="preserve"> ending in spherical sporangia containing spores; rhizoids present at base</w:t>
            </w:r>
          </w:p>
        </w:tc>
        <w:tc>
          <w:tcPr>
            <w:tcW w:w="1620" w:type="dxa"/>
          </w:tcPr>
          <w:p w:rsidR="00F36213" w:rsidRDefault="00F36213" w:rsidP="00C618BB">
            <w:pPr>
              <w:spacing w:line="240" w:lineRule="auto"/>
            </w:pPr>
            <w:proofErr w:type="spellStart"/>
            <w:r>
              <w:rPr>
                <w:rFonts w:ascii="Times New Roman" w:hAnsi="Times New Roman" w:cs="Times New Roman"/>
                <w:i/>
                <w:sz w:val="24"/>
                <w:szCs w:val="24"/>
              </w:rPr>
              <w:t>Rhizopus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stolonifer</w:t>
            </w:r>
            <w:proofErr w:type="spellEnd"/>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HCC6</w:t>
            </w:r>
          </w:p>
        </w:tc>
        <w:tc>
          <w:tcPr>
            <w:tcW w:w="2070" w:type="dxa"/>
          </w:tcPr>
          <w:p w:rsidR="00F36213" w:rsidRDefault="00F36213" w:rsidP="00C618BB">
            <w:pPr>
              <w:spacing w:line="240" w:lineRule="auto"/>
            </w:pPr>
            <w:r>
              <w:rPr>
                <w:rFonts w:ascii="Times New Roman" w:hAnsi="Times New Roman" w:cs="Times New Roman"/>
                <w:sz w:val="24"/>
                <w:szCs w:val="24"/>
              </w:rPr>
              <w:t>Broad, non-septate hyphae</w:t>
            </w:r>
          </w:p>
        </w:tc>
        <w:tc>
          <w:tcPr>
            <w:tcW w:w="4230" w:type="dxa"/>
          </w:tcPr>
          <w:p w:rsidR="00F36213" w:rsidRDefault="00F36213" w:rsidP="00C618BB">
            <w:pPr>
              <w:spacing w:line="240" w:lineRule="auto"/>
            </w:pPr>
            <w:r>
              <w:rPr>
                <w:rFonts w:ascii="Times New Roman" w:hAnsi="Times New Roman" w:cs="Times New Roman"/>
                <w:sz w:val="24"/>
                <w:szCs w:val="24"/>
              </w:rPr>
              <w:t xml:space="preserve">Long </w:t>
            </w:r>
            <w:proofErr w:type="spellStart"/>
            <w:r>
              <w:rPr>
                <w:rFonts w:ascii="Times New Roman" w:hAnsi="Times New Roman" w:cs="Times New Roman"/>
                <w:sz w:val="24"/>
                <w:szCs w:val="24"/>
              </w:rPr>
              <w:t>unbranched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sporangiophores</w:t>
            </w:r>
            <w:proofErr w:type="spellEnd"/>
            <w:r>
              <w:rPr>
                <w:rFonts w:ascii="Times New Roman" w:hAnsi="Times New Roman" w:cs="Times New Roman"/>
                <w:sz w:val="24"/>
                <w:szCs w:val="24"/>
              </w:rPr>
              <w:t xml:space="preserve"> ending in round sporangia filled with </w:t>
            </w:r>
            <w:proofErr w:type="spellStart"/>
            <w:r>
              <w:rPr>
                <w:rFonts w:ascii="Times New Roman" w:hAnsi="Times New Roman" w:cs="Times New Roman"/>
                <w:sz w:val="24"/>
                <w:szCs w:val="24"/>
              </w:rPr>
              <w:t>sporangiospores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columella</w:t>
            </w:r>
            <w:proofErr w:type="spellEnd"/>
            <w:r>
              <w:rPr>
                <w:rFonts w:ascii="Times New Roman" w:hAnsi="Times New Roman" w:cs="Times New Roman"/>
                <w:sz w:val="24"/>
                <w:szCs w:val="24"/>
              </w:rPr>
              <w:t xml:space="preserve"> visible</w:t>
            </w:r>
          </w:p>
        </w:tc>
        <w:tc>
          <w:tcPr>
            <w:tcW w:w="1620" w:type="dxa"/>
          </w:tcPr>
          <w:p w:rsidR="00F36213" w:rsidRDefault="00F36213" w:rsidP="00C618BB">
            <w:pPr>
              <w:spacing w:line="240" w:lineRule="auto"/>
            </w:pPr>
            <w:proofErr w:type="spellStart"/>
            <w:r>
              <w:rPr>
                <w:rFonts w:ascii="Times New Roman" w:hAnsi="Times New Roman" w:cs="Times New Roman"/>
                <w:sz w:val="24"/>
                <w:szCs w:val="24"/>
              </w:rPr>
              <w:t>Rhizopus</w:t>
            </w:r>
            <w:proofErr w:type="spellEnd"/>
            <w:r>
              <w:rPr>
                <w:rFonts w:ascii="Times New Roman" w:hAnsi="Times New Roman" w:cs="Times New Roman"/>
                <w:sz w:val="24"/>
                <w:szCs w:val="24"/>
              </w:rPr>
              <w:t xml:space="preserve"> spp.</w:t>
            </w:r>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 xml:space="preserve">DCC1 </w:t>
            </w:r>
          </w:p>
        </w:tc>
        <w:tc>
          <w:tcPr>
            <w:tcW w:w="2070" w:type="dxa"/>
          </w:tcPr>
          <w:p w:rsidR="00F36213" w:rsidRDefault="00F36213" w:rsidP="00C618BB">
            <w:pPr>
              <w:spacing w:line="240" w:lineRule="auto"/>
            </w:pPr>
            <w:r>
              <w:rPr>
                <w:rFonts w:ascii="Times New Roman" w:hAnsi="Times New Roman" w:cs="Times New Roman"/>
                <w:sz w:val="24"/>
                <w:szCs w:val="24"/>
              </w:rPr>
              <w:t>Broad, non-septate hyphae</w:t>
            </w:r>
          </w:p>
        </w:tc>
        <w:tc>
          <w:tcPr>
            <w:tcW w:w="4230" w:type="dxa"/>
          </w:tcPr>
          <w:p w:rsidR="00F36213" w:rsidRDefault="00F36213" w:rsidP="00C618BB">
            <w:pPr>
              <w:spacing w:line="240" w:lineRule="auto"/>
            </w:pPr>
            <w:r>
              <w:rPr>
                <w:rFonts w:ascii="Times New Roman" w:hAnsi="Times New Roman" w:cs="Times New Roman"/>
                <w:sz w:val="24"/>
                <w:szCs w:val="24"/>
              </w:rPr>
              <w:t xml:space="preserve">Large spherical sporangium at </w:t>
            </w:r>
            <w:proofErr w:type="spellStart"/>
            <w:r>
              <w:rPr>
                <w:rFonts w:ascii="Times New Roman" w:hAnsi="Times New Roman" w:cs="Times New Roman"/>
                <w:sz w:val="24"/>
                <w:szCs w:val="24"/>
              </w:rPr>
              <w:t>hyphal</w:t>
            </w:r>
            <w:proofErr w:type="spellEnd"/>
            <w:r>
              <w:rPr>
                <w:rFonts w:ascii="Times New Roman" w:hAnsi="Times New Roman" w:cs="Times New Roman"/>
                <w:sz w:val="24"/>
                <w:szCs w:val="24"/>
              </w:rPr>
              <w:t xml:space="preserve"> tip; </w:t>
            </w:r>
            <w:proofErr w:type="spellStart"/>
            <w:r>
              <w:rPr>
                <w:rFonts w:ascii="Times New Roman" w:hAnsi="Times New Roman" w:cs="Times New Roman"/>
                <w:sz w:val="24"/>
                <w:szCs w:val="24"/>
              </w:rPr>
              <w:t>sporangiospore</w:t>
            </w:r>
            <w:proofErr w:type="spellEnd"/>
            <w:r>
              <w:rPr>
                <w:rFonts w:ascii="Times New Roman" w:hAnsi="Times New Roman" w:cs="Times New Roman"/>
                <w:sz w:val="24"/>
                <w:szCs w:val="24"/>
              </w:rPr>
              <w:t xml:space="preserve"> visible </w:t>
            </w:r>
          </w:p>
        </w:tc>
        <w:tc>
          <w:tcPr>
            <w:tcW w:w="1620" w:type="dxa"/>
          </w:tcPr>
          <w:p w:rsidR="00F36213" w:rsidRDefault="00F36213" w:rsidP="00C618BB">
            <w:pPr>
              <w:spacing w:line="240" w:lineRule="auto"/>
            </w:pPr>
            <w:proofErr w:type="spellStart"/>
            <w:r>
              <w:rPr>
                <w:rFonts w:ascii="Times New Roman" w:hAnsi="Times New Roman" w:cs="Times New Roman"/>
                <w:sz w:val="24"/>
                <w:szCs w:val="24"/>
              </w:rPr>
              <w:t>Rhizopus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p>
        </w:tc>
      </w:tr>
      <w:tr w:rsidR="00F36213" w:rsidTr="00F36213">
        <w:tc>
          <w:tcPr>
            <w:tcW w:w="900" w:type="dxa"/>
          </w:tcPr>
          <w:p w:rsidR="00F36213" w:rsidRDefault="00F36213" w:rsidP="00C618BB">
            <w:pPr>
              <w:spacing w:line="240" w:lineRule="auto"/>
            </w:pPr>
            <w:r>
              <w:rPr>
                <w:rFonts w:ascii="Times New Roman" w:hAnsi="Times New Roman" w:cs="Times New Roman"/>
                <w:sz w:val="24"/>
                <w:szCs w:val="24"/>
              </w:rPr>
              <w:t>DCC2</w:t>
            </w:r>
          </w:p>
        </w:tc>
        <w:tc>
          <w:tcPr>
            <w:tcW w:w="2070" w:type="dxa"/>
          </w:tcPr>
          <w:p w:rsidR="00F36213" w:rsidRDefault="00F36213" w:rsidP="00C618BB">
            <w:pPr>
              <w:spacing w:line="240" w:lineRule="auto"/>
            </w:pPr>
            <w:r>
              <w:rPr>
                <w:rFonts w:ascii="Times New Roman" w:hAnsi="Times New Roman" w:cs="Times New Roman"/>
                <w:sz w:val="24"/>
                <w:szCs w:val="24"/>
              </w:rPr>
              <w:t xml:space="preserve">Septate, branched hyaline </w:t>
            </w:r>
          </w:p>
        </w:tc>
        <w:tc>
          <w:tcPr>
            <w:tcW w:w="4230" w:type="dxa"/>
          </w:tcPr>
          <w:p w:rsidR="00F36213" w:rsidRDefault="00F36213" w:rsidP="00C618BB">
            <w:pPr>
              <w:spacing w:line="240" w:lineRule="auto"/>
            </w:pPr>
            <w:r>
              <w:rPr>
                <w:rFonts w:ascii="Times New Roman" w:hAnsi="Times New Roman" w:cs="Times New Roman"/>
                <w:sz w:val="24"/>
                <w:szCs w:val="24"/>
              </w:rPr>
              <w:t xml:space="preserve">Long </w:t>
            </w:r>
            <w:proofErr w:type="spellStart"/>
            <w:r>
              <w:rPr>
                <w:rFonts w:ascii="Times New Roman" w:hAnsi="Times New Roman" w:cs="Times New Roman"/>
                <w:sz w:val="24"/>
                <w:szCs w:val="24"/>
              </w:rPr>
              <w:t>conidiospore</w:t>
            </w:r>
            <w:proofErr w:type="spellEnd"/>
            <w:r>
              <w:rPr>
                <w:rFonts w:ascii="Times New Roman" w:hAnsi="Times New Roman" w:cs="Times New Roman"/>
                <w:sz w:val="24"/>
                <w:szCs w:val="24"/>
              </w:rPr>
              <w:t xml:space="preserve"> ending in a swollen vesicle surrounded by </w:t>
            </w:r>
            <w:proofErr w:type="spellStart"/>
            <w:r>
              <w:rPr>
                <w:rFonts w:ascii="Times New Roman" w:hAnsi="Times New Roman" w:cs="Times New Roman"/>
                <w:sz w:val="24"/>
                <w:szCs w:val="24"/>
              </w:rPr>
              <w:t>phialides</w:t>
            </w:r>
            <w:proofErr w:type="spellEnd"/>
            <w:r>
              <w:rPr>
                <w:rFonts w:ascii="Times New Roman" w:hAnsi="Times New Roman" w:cs="Times New Roman"/>
                <w:sz w:val="24"/>
                <w:szCs w:val="24"/>
              </w:rPr>
              <w:t xml:space="preserve"> bearing chains of conidia</w:t>
            </w:r>
          </w:p>
        </w:tc>
        <w:tc>
          <w:tcPr>
            <w:tcW w:w="1620" w:type="dxa"/>
          </w:tcPr>
          <w:p w:rsidR="00F36213" w:rsidRDefault="00F36213" w:rsidP="00C618BB">
            <w:pPr>
              <w:spacing w:line="240" w:lineRule="auto"/>
            </w:pPr>
            <w:proofErr w:type="spellStart"/>
            <w:r>
              <w:rPr>
                <w:rFonts w:ascii="Times New Roman" w:hAnsi="Times New Roman" w:cs="Times New Roman"/>
                <w:sz w:val="24"/>
                <w:szCs w:val="24"/>
              </w:rPr>
              <w:t>Aspergillus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w:t>
            </w:r>
          </w:p>
        </w:tc>
      </w:tr>
    </w:tbl>
    <w:p w:rsidR="00F36213" w:rsidRDefault="00F36213" w:rsidP="00F36213">
      <w:pPr>
        <w:spacing w:line="240" w:lineRule="auto"/>
      </w:pPr>
      <w:r>
        <w:rPr>
          <w:rFonts w:ascii="Times New Roman" w:hAnsi="Times New Roman" w:cs="Times New Roman"/>
          <w:b/>
          <w:sz w:val="24"/>
          <w:szCs w:val="24"/>
        </w:rPr>
        <w:t>Key words:</w:t>
      </w:r>
      <w:r>
        <w:t xml:space="preserve"> </w:t>
      </w:r>
      <w:r>
        <w:rPr>
          <w:rFonts w:ascii="Times New Roman" w:hAnsi="Times New Roman" w:cs="Times New Roman"/>
          <w:sz w:val="24"/>
          <w:szCs w:val="24"/>
        </w:rPr>
        <w:t>RCC = Residential Corn cob, DCC = Dumpsite Corn cob</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Screening for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Production</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Qualitative screening using the Congo red assay (Table 3) demonstrated varying cellulolytic capacities among the isolates. Clear zones around colonies confirmed extracellular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secretion. The largest hydrolysis zones were observed in selected </w:t>
      </w:r>
      <w:proofErr w:type="spellStart"/>
      <w:r w:rsidRPr="00C85B4F">
        <w:rPr>
          <w:rStyle w:val="Emphasis"/>
          <w:rFonts w:ascii="Times New Roman" w:hAnsi="Times New Roman" w:cs="Times New Roman"/>
          <w:i w:val="0"/>
          <w:iCs w:val="0"/>
          <w:sz w:val="24"/>
        </w:rPr>
        <w:t>Aspergillus</w:t>
      </w:r>
      <w:proofErr w:type="spellEnd"/>
      <w:r w:rsidRPr="00C85B4F">
        <w:rPr>
          <w:rFonts w:ascii="Times New Roman" w:hAnsi="Times New Roman" w:cs="Times New Roman"/>
          <w:sz w:val="24"/>
        </w:rPr>
        <w:t xml:space="preserve"> and </w:t>
      </w:r>
      <w:proofErr w:type="spellStart"/>
      <w:r w:rsidRPr="00C85B4F">
        <w:rPr>
          <w:rStyle w:val="Emphasis"/>
          <w:rFonts w:ascii="Times New Roman" w:hAnsi="Times New Roman" w:cs="Times New Roman"/>
          <w:i w:val="0"/>
          <w:iCs w:val="0"/>
          <w:sz w:val="24"/>
        </w:rPr>
        <w:t>Penicillium</w:t>
      </w:r>
      <w:proofErr w:type="spellEnd"/>
      <w:r w:rsidRPr="00C85B4F">
        <w:rPr>
          <w:rFonts w:ascii="Times New Roman" w:hAnsi="Times New Roman" w:cs="Times New Roman"/>
          <w:sz w:val="24"/>
        </w:rPr>
        <w:t xml:space="preserve"> isolates, indicating higher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production. Isolates with smaller clearing zones exhibited comparatively weaker cellulolytic activity. These results justified the selection of high-performing isolates for quantitative enzyme analysis.</w:t>
      </w:r>
    </w:p>
    <w:p w:rsidR="00F36213" w:rsidRPr="00A65FEB" w:rsidRDefault="00A65FEB" w:rsidP="00A65FEB">
      <w:pPr>
        <w:pStyle w:val="NoSpacing"/>
        <w:spacing w:line="276" w:lineRule="auto"/>
        <w:jc w:val="both"/>
        <w:rPr>
          <w:rFonts w:ascii="Times New Roman" w:hAnsi="Times New Roman" w:cs="Times New Roman"/>
          <w:sz w:val="24"/>
        </w:rPr>
      </w:pPr>
      <w:r>
        <w:rPr>
          <w:rFonts w:ascii="Times New Roman" w:hAnsi="Times New Roman" w:cs="Times New Roman"/>
          <w:sz w:val="24"/>
        </w:rPr>
        <w:lastRenderedPageBreak/>
        <w:t>Glucose Standard Curve</w:t>
      </w:r>
    </w:p>
    <w:p w:rsidR="00F36213" w:rsidRDefault="00F36213" w:rsidP="00F36213">
      <w:pPr>
        <w:spacing w:line="240" w:lineRule="auto"/>
        <w:jc w:val="both"/>
      </w:pPr>
      <w:r>
        <w:rPr>
          <w:rFonts w:ascii="Times New Roman" w:hAnsi="Times New Roman" w:cs="Times New Roman"/>
          <w:b/>
          <w:sz w:val="24"/>
          <w:szCs w:val="24"/>
        </w:rPr>
        <w:t xml:space="preserve">Table 3: Screening for </w:t>
      </w:r>
      <w:proofErr w:type="spellStart"/>
      <w:r>
        <w:rPr>
          <w:rFonts w:ascii="Times New Roman" w:hAnsi="Times New Roman" w:cs="Times New Roman"/>
          <w:b/>
          <w:sz w:val="24"/>
          <w:szCs w:val="24"/>
        </w:rPr>
        <w:t>cellulase</w:t>
      </w:r>
      <w:proofErr w:type="spellEnd"/>
      <w:r>
        <w:rPr>
          <w:rFonts w:ascii="Times New Roman" w:hAnsi="Times New Roman" w:cs="Times New Roman"/>
          <w:b/>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4501"/>
        <w:gridCol w:w="4518"/>
      </w:tblGrid>
      <w:tr w:rsidR="00F36213" w:rsidTr="00F36213">
        <w:tc>
          <w:tcPr>
            <w:tcW w:w="4501" w:type="dxa"/>
            <w:tcBorders>
              <w:top w:val="single" w:sz="4" w:space="0" w:color="auto"/>
              <w:bottom w:val="single" w:sz="4" w:space="0" w:color="auto"/>
            </w:tcBorders>
          </w:tcPr>
          <w:p w:rsidR="00F36213" w:rsidRDefault="00F36213" w:rsidP="00F36213">
            <w:pPr>
              <w:spacing w:after="0" w:line="240" w:lineRule="auto"/>
              <w:jc w:val="both"/>
            </w:pPr>
            <w:r>
              <w:rPr>
                <w:rFonts w:ascii="Times New Roman" w:hAnsi="Times New Roman" w:cs="Times New Roman"/>
                <w:b/>
                <w:sz w:val="24"/>
                <w:szCs w:val="24"/>
              </w:rPr>
              <w:t xml:space="preserve">Isolate code </w:t>
            </w:r>
          </w:p>
        </w:tc>
        <w:tc>
          <w:tcPr>
            <w:tcW w:w="4518" w:type="dxa"/>
            <w:tcBorders>
              <w:top w:val="single" w:sz="4" w:space="0" w:color="auto"/>
              <w:bottom w:val="single" w:sz="4" w:space="0" w:color="auto"/>
            </w:tcBorders>
          </w:tcPr>
          <w:p w:rsidR="00F36213" w:rsidRDefault="00F36213" w:rsidP="00F36213">
            <w:pPr>
              <w:spacing w:after="0" w:line="240" w:lineRule="auto"/>
              <w:jc w:val="both"/>
            </w:pPr>
            <w:r>
              <w:rPr>
                <w:rFonts w:ascii="Times New Roman" w:hAnsi="Times New Roman" w:cs="Times New Roman"/>
                <w:b/>
                <w:sz w:val="24"/>
                <w:szCs w:val="24"/>
              </w:rPr>
              <w:t>Clearing zone diameter (mm)</w:t>
            </w:r>
          </w:p>
        </w:tc>
      </w:tr>
      <w:tr w:rsidR="00F36213" w:rsidTr="00F36213">
        <w:tc>
          <w:tcPr>
            <w:tcW w:w="4501" w:type="dxa"/>
            <w:tcBorders>
              <w:top w:val="single" w:sz="4" w:space="0" w:color="auto"/>
            </w:tcBorders>
          </w:tcPr>
          <w:p w:rsidR="00F36213" w:rsidRDefault="00F36213" w:rsidP="00F36213">
            <w:pPr>
              <w:spacing w:after="0" w:line="240" w:lineRule="auto"/>
              <w:jc w:val="both"/>
            </w:pPr>
            <w:r>
              <w:rPr>
                <w:rFonts w:ascii="Times New Roman" w:hAnsi="Times New Roman" w:cs="Times New Roman"/>
                <w:sz w:val="24"/>
                <w:szCs w:val="24"/>
              </w:rPr>
              <w:t>DCC4</w:t>
            </w:r>
          </w:p>
        </w:tc>
        <w:tc>
          <w:tcPr>
            <w:tcW w:w="4518" w:type="dxa"/>
            <w:tcBorders>
              <w:top w:val="single" w:sz="4" w:space="0" w:color="auto"/>
            </w:tcBorders>
          </w:tcPr>
          <w:p w:rsidR="00F36213" w:rsidRDefault="00F36213" w:rsidP="00F36213">
            <w:pPr>
              <w:spacing w:after="0" w:line="240" w:lineRule="auto"/>
              <w:jc w:val="both"/>
            </w:pPr>
            <w:r>
              <w:rPr>
                <w:rFonts w:ascii="Times New Roman" w:hAnsi="Times New Roman" w:cs="Times New Roman"/>
                <w:sz w:val="24"/>
                <w:szCs w:val="24"/>
              </w:rPr>
              <w:t>17</w:t>
            </w:r>
          </w:p>
        </w:tc>
      </w:tr>
      <w:tr w:rsidR="00F36213" w:rsidTr="00F36213">
        <w:tc>
          <w:tcPr>
            <w:tcW w:w="4501" w:type="dxa"/>
          </w:tcPr>
          <w:p w:rsidR="00F36213" w:rsidRDefault="00F36213" w:rsidP="00F36213">
            <w:pPr>
              <w:spacing w:after="0" w:line="240" w:lineRule="auto"/>
              <w:jc w:val="both"/>
            </w:pPr>
            <w:r>
              <w:rPr>
                <w:rFonts w:ascii="Times New Roman" w:hAnsi="Times New Roman" w:cs="Times New Roman"/>
                <w:sz w:val="24"/>
                <w:szCs w:val="24"/>
              </w:rPr>
              <w:t>DCC6</w:t>
            </w:r>
          </w:p>
        </w:tc>
        <w:tc>
          <w:tcPr>
            <w:tcW w:w="4518" w:type="dxa"/>
          </w:tcPr>
          <w:p w:rsidR="00F36213" w:rsidRDefault="00F36213" w:rsidP="00F36213">
            <w:pPr>
              <w:spacing w:after="0" w:line="240" w:lineRule="auto"/>
              <w:jc w:val="both"/>
            </w:pPr>
            <w:r>
              <w:rPr>
                <w:rFonts w:ascii="Times New Roman" w:hAnsi="Times New Roman" w:cs="Times New Roman"/>
                <w:sz w:val="24"/>
                <w:szCs w:val="24"/>
              </w:rPr>
              <w:t>16.3</w:t>
            </w:r>
          </w:p>
        </w:tc>
      </w:tr>
      <w:tr w:rsidR="00F36213" w:rsidTr="00F36213">
        <w:tc>
          <w:tcPr>
            <w:tcW w:w="4501" w:type="dxa"/>
          </w:tcPr>
          <w:p w:rsidR="00F36213" w:rsidRDefault="00F36213" w:rsidP="00F36213">
            <w:pPr>
              <w:spacing w:after="0" w:line="240" w:lineRule="auto"/>
              <w:jc w:val="both"/>
            </w:pPr>
            <w:r>
              <w:rPr>
                <w:rFonts w:ascii="Times New Roman" w:hAnsi="Times New Roman" w:cs="Times New Roman"/>
                <w:sz w:val="24"/>
                <w:szCs w:val="24"/>
              </w:rPr>
              <w:t>HCC4</w:t>
            </w:r>
          </w:p>
        </w:tc>
        <w:tc>
          <w:tcPr>
            <w:tcW w:w="4518" w:type="dxa"/>
          </w:tcPr>
          <w:p w:rsidR="00F36213" w:rsidRDefault="00F36213" w:rsidP="00F36213">
            <w:pPr>
              <w:spacing w:after="0" w:line="240" w:lineRule="auto"/>
              <w:jc w:val="both"/>
            </w:pPr>
            <w:r>
              <w:rPr>
                <w:rFonts w:ascii="Times New Roman" w:hAnsi="Times New Roman" w:cs="Times New Roman"/>
                <w:sz w:val="24"/>
                <w:szCs w:val="24"/>
              </w:rPr>
              <w:t>13.3</w:t>
            </w:r>
          </w:p>
        </w:tc>
      </w:tr>
      <w:tr w:rsidR="00F36213" w:rsidTr="00F36213">
        <w:tc>
          <w:tcPr>
            <w:tcW w:w="4501" w:type="dxa"/>
          </w:tcPr>
          <w:p w:rsidR="00F36213" w:rsidRDefault="00F36213" w:rsidP="00F36213">
            <w:pPr>
              <w:spacing w:after="0" w:line="240" w:lineRule="auto"/>
              <w:jc w:val="both"/>
            </w:pPr>
            <w:r>
              <w:rPr>
                <w:rFonts w:ascii="Times New Roman" w:hAnsi="Times New Roman" w:cs="Times New Roman"/>
                <w:sz w:val="24"/>
                <w:szCs w:val="24"/>
              </w:rPr>
              <w:t>HCC6</w:t>
            </w:r>
          </w:p>
        </w:tc>
        <w:tc>
          <w:tcPr>
            <w:tcW w:w="4518" w:type="dxa"/>
          </w:tcPr>
          <w:p w:rsidR="00F36213" w:rsidRDefault="00F36213" w:rsidP="00F36213">
            <w:pPr>
              <w:spacing w:after="0" w:line="240" w:lineRule="auto"/>
              <w:jc w:val="both"/>
            </w:pPr>
            <w:r>
              <w:rPr>
                <w:rFonts w:ascii="Times New Roman" w:hAnsi="Times New Roman" w:cs="Times New Roman"/>
                <w:sz w:val="24"/>
                <w:szCs w:val="24"/>
              </w:rPr>
              <w:t>7</w:t>
            </w:r>
          </w:p>
        </w:tc>
      </w:tr>
      <w:tr w:rsidR="00F36213" w:rsidTr="00F36213">
        <w:tc>
          <w:tcPr>
            <w:tcW w:w="4501" w:type="dxa"/>
          </w:tcPr>
          <w:p w:rsidR="00F36213" w:rsidRDefault="00F36213" w:rsidP="00F36213">
            <w:pPr>
              <w:spacing w:after="0" w:line="240" w:lineRule="auto"/>
              <w:jc w:val="both"/>
            </w:pPr>
            <w:r>
              <w:rPr>
                <w:rFonts w:ascii="Times New Roman" w:hAnsi="Times New Roman" w:cs="Times New Roman"/>
                <w:sz w:val="24"/>
                <w:szCs w:val="24"/>
              </w:rPr>
              <w:t>HCC2</w:t>
            </w:r>
          </w:p>
        </w:tc>
        <w:tc>
          <w:tcPr>
            <w:tcW w:w="4518" w:type="dxa"/>
          </w:tcPr>
          <w:p w:rsidR="00F36213" w:rsidRDefault="00F36213" w:rsidP="00F36213">
            <w:pPr>
              <w:spacing w:after="0" w:line="240" w:lineRule="auto"/>
              <w:jc w:val="both"/>
            </w:pPr>
            <w:r>
              <w:rPr>
                <w:rFonts w:ascii="Times New Roman" w:hAnsi="Times New Roman" w:cs="Times New Roman"/>
                <w:sz w:val="24"/>
                <w:szCs w:val="24"/>
              </w:rPr>
              <w:t>13</w:t>
            </w:r>
          </w:p>
        </w:tc>
      </w:tr>
      <w:tr w:rsidR="00F36213" w:rsidTr="00F36213">
        <w:tc>
          <w:tcPr>
            <w:tcW w:w="4501" w:type="dxa"/>
          </w:tcPr>
          <w:p w:rsidR="00F36213" w:rsidRDefault="00F36213" w:rsidP="00F36213">
            <w:pPr>
              <w:spacing w:after="0" w:line="240" w:lineRule="auto"/>
              <w:jc w:val="both"/>
            </w:pPr>
            <w:r>
              <w:rPr>
                <w:rFonts w:ascii="Times New Roman" w:hAnsi="Times New Roman" w:cs="Times New Roman"/>
                <w:sz w:val="24"/>
                <w:szCs w:val="24"/>
              </w:rPr>
              <w:t>DCC1</w:t>
            </w:r>
          </w:p>
        </w:tc>
        <w:tc>
          <w:tcPr>
            <w:tcW w:w="4518" w:type="dxa"/>
          </w:tcPr>
          <w:p w:rsidR="00F36213" w:rsidRDefault="00F36213" w:rsidP="00F36213">
            <w:pPr>
              <w:spacing w:after="0" w:line="240" w:lineRule="auto"/>
              <w:jc w:val="both"/>
            </w:pPr>
            <w:r>
              <w:rPr>
                <w:rFonts w:ascii="Times New Roman" w:hAnsi="Times New Roman" w:cs="Times New Roman"/>
                <w:sz w:val="24"/>
                <w:szCs w:val="24"/>
              </w:rPr>
              <w:t>3</w:t>
            </w:r>
          </w:p>
        </w:tc>
      </w:tr>
    </w:tbl>
    <w:p w:rsidR="00F36213" w:rsidRDefault="00F36213" w:rsidP="00F36213">
      <w:pPr>
        <w:spacing w:line="240" w:lineRule="auto"/>
        <w:rPr>
          <w:rFonts w:ascii="Times New Roman" w:hAnsi="Times New Roman" w:cs="Times New Roman"/>
          <w:sz w:val="24"/>
        </w:rPr>
      </w:pPr>
      <w:r>
        <w:rPr>
          <w:rFonts w:ascii="Times New Roman" w:hAnsi="Times New Roman" w:cs="Times New Roman"/>
          <w:b/>
          <w:sz w:val="24"/>
          <w:szCs w:val="24"/>
        </w:rPr>
        <w:t>Keywords:</w:t>
      </w:r>
      <w:r>
        <w:t xml:space="preserve"> </w:t>
      </w:r>
      <w:r>
        <w:rPr>
          <w:rFonts w:ascii="Times New Roman" w:hAnsi="Times New Roman" w:cs="Times New Roman"/>
          <w:sz w:val="24"/>
          <w:szCs w:val="24"/>
        </w:rPr>
        <w:t>RCC = Residential Corn cob, DCC = Dumpsite Corn cob</w:t>
      </w:r>
    </w:p>
    <w:p w:rsidR="00622C2E"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The glucose calibration curve (Figure 1) demonstrated a strong linear relationship between glucose concentration and absorbance at 540 nm. The regression analysis confirmed the reliability and accuracy of the DNS method for quantifying reducing sugars released during enzymatic hydrolysis. The linearity of the curve validates the subsequent enzyme activity calculations.</w:t>
      </w:r>
    </w:p>
    <w:p w:rsidR="00402F2F" w:rsidRDefault="00402F2F" w:rsidP="00402F2F">
      <w:pPr>
        <w:jc w:val="both"/>
        <w:rPr>
          <w:rFonts w:ascii="Times New Roman" w:hAnsi="Times New Roman" w:cs="Times New Roman"/>
          <w:sz w:val="24"/>
        </w:rPr>
      </w:pPr>
    </w:p>
    <w:p w:rsidR="00402F2F" w:rsidRDefault="00402F2F" w:rsidP="00402F2F">
      <w:pPr>
        <w:jc w:val="both"/>
        <w:rPr>
          <w:rFonts w:ascii="Times New Roman" w:hAnsi="Times New Roman" w:cs="Times New Roman"/>
          <w:sz w:val="24"/>
        </w:rPr>
      </w:pPr>
      <w:r>
        <w:rPr>
          <w:noProof/>
          <w:lang w:val="en-IN" w:eastAsia="en-IN"/>
        </w:rPr>
        <w:drawing>
          <wp:inline distT="0" distB="0" distL="114300" distR="114300" wp14:anchorId="2F77FAA3" wp14:editId="28D70354">
            <wp:extent cx="5276850" cy="219075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2F2F" w:rsidRPr="00402F2F" w:rsidRDefault="00402F2F" w:rsidP="00402F2F">
      <w:pPr>
        <w:jc w:val="both"/>
        <w:rPr>
          <w:rFonts w:ascii="Times New Roman" w:hAnsi="Times New Roman" w:cs="Times New Roman"/>
          <w:b/>
          <w:bCs/>
          <w:sz w:val="24"/>
        </w:rPr>
      </w:pPr>
      <w:r>
        <w:rPr>
          <w:rFonts w:ascii="Times New Roman" w:hAnsi="Times New Roman" w:cs="Times New Roman"/>
          <w:b/>
          <w:bCs/>
          <w:sz w:val="24"/>
        </w:rPr>
        <w:t>Figure 1: line plot representing glucose standard at1</w:t>
      </w:r>
      <w:r>
        <w:rPr>
          <w:rFonts w:ascii="Times New Roman" w:hAnsi="Times New Roman" w:cs="Times New Roman"/>
          <w:b/>
          <w:bCs/>
          <w:sz w:val="24"/>
          <w:vertAlign w:val="superscript"/>
        </w:rPr>
        <w:t>st</w:t>
      </w:r>
      <w:r>
        <w:rPr>
          <w:rFonts w:ascii="Times New Roman" w:hAnsi="Times New Roman" w:cs="Times New Roman"/>
          <w:b/>
          <w:bCs/>
          <w:sz w:val="24"/>
        </w:rPr>
        <w:t xml:space="preserve"> and 2</w:t>
      </w:r>
      <w:r>
        <w:rPr>
          <w:rFonts w:ascii="Times New Roman" w:hAnsi="Times New Roman" w:cs="Times New Roman"/>
          <w:b/>
          <w:bCs/>
          <w:sz w:val="24"/>
          <w:vertAlign w:val="superscript"/>
        </w:rPr>
        <w:t>nd</w:t>
      </w:r>
      <w:r>
        <w:rPr>
          <w:rFonts w:ascii="Times New Roman" w:hAnsi="Times New Roman" w:cs="Times New Roman"/>
          <w:b/>
          <w:bCs/>
          <w:sz w:val="24"/>
        </w:rPr>
        <w:t xml:space="preserve"> reagents at different concentrations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Effect of pH on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w:t>
      </w:r>
    </w:p>
    <w:p w:rsidR="00402F2F" w:rsidRDefault="00622C2E" w:rsidP="00A65FEB">
      <w:pPr>
        <w:pStyle w:val="NoSpacing"/>
        <w:spacing w:line="276" w:lineRule="auto"/>
        <w:jc w:val="both"/>
        <w:rPr>
          <w:rFonts w:ascii="Times New Roman" w:hAnsi="Times New Roman" w:cs="Times New Roman"/>
          <w:sz w:val="24"/>
        </w:rPr>
      </w:pP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 varied significantly across the tested pH range (Figure 7). Maximum activity was observed under mildly acidic conditions, after which activity declined at both lower and higher pH values. The sharp decrease outside the optimum range suggests sensitivity of enzyme conformation and catalytic efficiency to hydrogen ion concentration.</w:t>
      </w:r>
    </w:p>
    <w:p w:rsidR="00402F2F" w:rsidRDefault="00402F2F" w:rsidP="00402F2F">
      <w:pPr>
        <w:jc w:val="both"/>
        <w:rPr>
          <w:rFonts w:ascii="Times New Roman" w:hAnsi="Times New Roman" w:cs="Times New Roman"/>
          <w:sz w:val="24"/>
        </w:rPr>
      </w:pPr>
      <w:r>
        <w:rPr>
          <w:noProof/>
          <w:lang w:val="en-IN" w:eastAsia="en-IN"/>
        </w:rPr>
        <w:lastRenderedPageBreak/>
        <w:drawing>
          <wp:inline distT="0" distB="0" distL="114300" distR="114300" wp14:anchorId="09F1B070" wp14:editId="180A6C17">
            <wp:extent cx="5320800" cy="2647950"/>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2F2F" w:rsidRDefault="00402F2F" w:rsidP="00F50D53">
      <w:pPr>
        <w:spacing w:after="0"/>
        <w:jc w:val="both"/>
        <w:rPr>
          <w:rFonts w:ascii="Times New Roman" w:hAnsi="Times New Roman" w:cs="Times New Roman"/>
          <w:b/>
          <w:bCs/>
          <w:sz w:val="24"/>
        </w:rPr>
      </w:pPr>
      <w:r>
        <w:rPr>
          <w:rFonts w:ascii="Times New Roman" w:hAnsi="Times New Roman" w:cs="Times New Roman"/>
          <w:b/>
          <w:bCs/>
          <w:sz w:val="24"/>
        </w:rPr>
        <w:t>Figure 7: Line plot representing effect of pH on cellulous activity</w:t>
      </w:r>
    </w:p>
    <w:p w:rsidR="00622C2E" w:rsidRPr="00C85B4F" w:rsidRDefault="00622C2E" w:rsidP="00F50D53">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Effect of Temperature on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w:t>
      </w:r>
    </w:p>
    <w:p w:rsidR="00622C2E"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Temperature influenced enzyme performance markedly (Figure 6). Enzyme activity increased progressively with temperature up to an optimum point, beyond which activity declined. The decrease at higher temperatures suggests possible thermal instability or partial denaturation of the enzyme structure.</w:t>
      </w:r>
    </w:p>
    <w:p w:rsidR="00402F2F" w:rsidRDefault="00402F2F" w:rsidP="00402F2F">
      <w:pPr>
        <w:jc w:val="both"/>
        <w:rPr>
          <w:rFonts w:ascii="Times New Roman" w:hAnsi="Times New Roman" w:cs="Times New Roman"/>
          <w:sz w:val="24"/>
        </w:rPr>
      </w:pPr>
      <w:r>
        <w:rPr>
          <w:noProof/>
          <w:lang w:val="en-IN" w:eastAsia="en-IN"/>
        </w:rPr>
        <w:drawing>
          <wp:inline distT="0" distB="0" distL="114300" distR="114300" wp14:anchorId="0F1C23CA" wp14:editId="4595C883">
            <wp:extent cx="5410200" cy="2257425"/>
            <wp:effectExtent l="0" t="0" r="0" b="9525"/>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2F2F" w:rsidRDefault="00402F2F" w:rsidP="00402F2F">
      <w:pPr>
        <w:jc w:val="both"/>
        <w:rPr>
          <w:rFonts w:ascii="Times New Roman" w:hAnsi="Times New Roman" w:cs="Times New Roman"/>
          <w:b/>
          <w:bCs/>
          <w:sz w:val="24"/>
        </w:rPr>
      </w:pPr>
      <w:r>
        <w:rPr>
          <w:rFonts w:ascii="Times New Roman" w:hAnsi="Times New Roman" w:cs="Times New Roman"/>
          <w:b/>
          <w:bCs/>
          <w:sz w:val="24"/>
        </w:rPr>
        <w:t>Figure 6: Line plot representing effect of temperature on cellulose</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Effect of Carbon Sources on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Production</w:t>
      </w:r>
    </w:p>
    <w:p w:rsidR="00622C2E"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Different carbon sources significantly affected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production (Figure 5). Complex </w:t>
      </w:r>
      <w:proofErr w:type="spellStart"/>
      <w:r w:rsidRPr="00C85B4F">
        <w:rPr>
          <w:rFonts w:ascii="Times New Roman" w:hAnsi="Times New Roman" w:cs="Times New Roman"/>
          <w:sz w:val="24"/>
        </w:rPr>
        <w:t>lignocellulosic</w:t>
      </w:r>
      <w:proofErr w:type="spellEnd"/>
      <w:r w:rsidRPr="00C85B4F">
        <w:rPr>
          <w:rFonts w:ascii="Times New Roman" w:hAnsi="Times New Roman" w:cs="Times New Roman"/>
          <w:sz w:val="24"/>
        </w:rPr>
        <w:t xml:space="preserve"> substrates supported higher enzyme activity compared to simple sugars. Enzyme production was comparatively reduced in media containing easily </w:t>
      </w:r>
      <w:proofErr w:type="spellStart"/>
      <w:r w:rsidRPr="00C85B4F">
        <w:rPr>
          <w:rFonts w:ascii="Times New Roman" w:hAnsi="Times New Roman" w:cs="Times New Roman"/>
          <w:sz w:val="24"/>
        </w:rPr>
        <w:t>metabolizable</w:t>
      </w:r>
      <w:proofErr w:type="spellEnd"/>
      <w:r w:rsidRPr="00C85B4F">
        <w:rPr>
          <w:rFonts w:ascii="Times New Roman" w:hAnsi="Times New Roman" w:cs="Times New Roman"/>
          <w:sz w:val="24"/>
        </w:rPr>
        <w:t xml:space="preserve"> sugars, indicating possible catabolite repression effects.</w:t>
      </w:r>
    </w:p>
    <w:p w:rsidR="00402F2F" w:rsidRDefault="00402F2F" w:rsidP="00402F2F">
      <w:pPr>
        <w:jc w:val="both"/>
        <w:rPr>
          <w:rFonts w:ascii="Times New Roman" w:hAnsi="Times New Roman" w:cs="Times New Roman"/>
          <w:sz w:val="24"/>
        </w:rPr>
      </w:pPr>
      <w:r>
        <w:rPr>
          <w:noProof/>
          <w:lang w:val="en-IN" w:eastAsia="en-IN"/>
        </w:rPr>
        <w:lastRenderedPageBreak/>
        <w:drawing>
          <wp:inline distT="0" distB="0" distL="114300" distR="114300" wp14:anchorId="3DA89BF3" wp14:editId="087394D8">
            <wp:extent cx="5676900" cy="255270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2F2F" w:rsidRDefault="00402F2F" w:rsidP="00402F2F">
      <w:pPr>
        <w:jc w:val="both"/>
        <w:rPr>
          <w:rFonts w:ascii="Times New Roman" w:hAnsi="Times New Roman" w:cs="Times New Roman"/>
          <w:b/>
          <w:bCs/>
          <w:sz w:val="24"/>
        </w:rPr>
      </w:pPr>
      <w:r>
        <w:rPr>
          <w:rFonts w:ascii="Times New Roman" w:hAnsi="Times New Roman" w:cs="Times New Roman"/>
          <w:b/>
          <w:bCs/>
          <w:sz w:val="24"/>
        </w:rPr>
        <w:t>Figure 5: Bar chart representing effect of carbon on cellulose from 1hr to 6hr</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Effect of Metal Ions on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w:t>
      </w:r>
    </w:p>
    <w:p w:rsidR="00402F2F" w:rsidRDefault="00622C2E" w:rsidP="00402F2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Metal ions exhibited varying effects on enzyme activity (Figure 4). Some ions enhanced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 while others caused noticeable inhibition. The stimulatory effects suggest possible cofactor roles or stabilization of enzyme structure, whereas inhibitory effects may be due to interference with the enzyme’s active site.</w:t>
      </w:r>
    </w:p>
    <w:p w:rsidR="00402F2F" w:rsidRDefault="00402F2F" w:rsidP="00402F2F">
      <w:pPr>
        <w:jc w:val="both"/>
        <w:rPr>
          <w:rFonts w:ascii="Times New Roman" w:hAnsi="Times New Roman" w:cs="Times New Roman"/>
          <w:sz w:val="24"/>
        </w:rPr>
      </w:pPr>
    </w:p>
    <w:p w:rsidR="00402F2F" w:rsidRDefault="00402F2F" w:rsidP="00402F2F">
      <w:pPr>
        <w:jc w:val="both"/>
        <w:rPr>
          <w:rFonts w:ascii="Times New Roman" w:hAnsi="Times New Roman" w:cs="Times New Roman"/>
          <w:sz w:val="24"/>
        </w:rPr>
      </w:pPr>
      <w:r>
        <w:rPr>
          <w:noProof/>
          <w:lang w:val="en-IN" w:eastAsia="en-IN"/>
        </w:rPr>
        <w:drawing>
          <wp:inline distT="0" distB="0" distL="114300" distR="114300" wp14:anchorId="2F1E6A99" wp14:editId="3CEC3497">
            <wp:extent cx="5219700" cy="2200275"/>
            <wp:effectExtent l="0" t="0" r="0" b="9525"/>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2F2F" w:rsidRDefault="00402F2F" w:rsidP="00402F2F">
      <w:pPr>
        <w:jc w:val="both"/>
        <w:rPr>
          <w:rFonts w:ascii="Times New Roman" w:hAnsi="Times New Roman" w:cs="Times New Roman"/>
          <w:b/>
          <w:bCs/>
          <w:sz w:val="24"/>
        </w:rPr>
      </w:pPr>
      <w:r>
        <w:rPr>
          <w:rFonts w:ascii="Times New Roman" w:hAnsi="Times New Roman" w:cs="Times New Roman"/>
          <w:b/>
          <w:bCs/>
          <w:sz w:val="24"/>
        </w:rPr>
        <w:t>Figure 4: Bar chart representing metals results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Kinetic Behavior of </w:t>
      </w:r>
      <w:proofErr w:type="spellStart"/>
      <w:r w:rsidRPr="00C85B4F">
        <w:rPr>
          <w:rFonts w:ascii="Times New Roman" w:hAnsi="Times New Roman" w:cs="Times New Roman"/>
          <w:sz w:val="24"/>
        </w:rPr>
        <w:t>Cellulase</w:t>
      </w:r>
      <w:proofErr w:type="spellEnd"/>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The kinetic profile (Figure 3) demonstrated an increase in reaction rate with increasing substrate concentration until a plateau was reached, indicating enzyme saturation. This behavior is consistent with classical </w:t>
      </w:r>
      <w:proofErr w:type="spellStart"/>
      <w:r w:rsidRPr="00C85B4F">
        <w:rPr>
          <w:rFonts w:ascii="Times New Roman" w:hAnsi="Times New Roman" w:cs="Times New Roman"/>
          <w:sz w:val="24"/>
        </w:rPr>
        <w:t>Michaelis</w:t>
      </w:r>
      <w:proofErr w:type="spellEnd"/>
      <w:r w:rsidRPr="00C85B4F">
        <w:rPr>
          <w:rFonts w:ascii="Times New Roman" w:hAnsi="Times New Roman" w:cs="Times New Roman"/>
          <w:sz w:val="24"/>
        </w:rPr>
        <w:t>–</w:t>
      </w:r>
      <w:proofErr w:type="spellStart"/>
      <w:r w:rsidRPr="00C85B4F">
        <w:rPr>
          <w:rFonts w:ascii="Times New Roman" w:hAnsi="Times New Roman" w:cs="Times New Roman"/>
          <w:sz w:val="24"/>
        </w:rPr>
        <w:t>Menten</w:t>
      </w:r>
      <w:proofErr w:type="spellEnd"/>
      <w:r w:rsidRPr="00C85B4F">
        <w:rPr>
          <w:rFonts w:ascii="Times New Roman" w:hAnsi="Times New Roman" w:cs="Times New Roman"/>
          <w:sz w:val="24"/>
        </w:rPr>
        <w:t xml:space="preserve"> kinetics and confirms that the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exhibits predictable substrate-dependent catalytic activity.</w:t>
      </w:r>
    </w:p>
    <w:p w:rsidR="00622C2E" w:rsidRPr="00C85B4F" w:rsidRDefault="00622C2E" w:rsidP="00C85B4F">
      <w:pPr>
        <w:pStyle w:val="NoSpacing"/>
        <w:spacing w:line="276" w:lineRule="auto"/>
        <w:jc w:val="both"/>
        <w:rPr>
          <w:rFonts w:ascii="Times New Roman" w:hAnsi="Times New Roman" w:cs="Times New Roman"/>
          <w:sz w:val="24"/>
        </w:rPr>
      </w:pPr>
    </w:p>
    <w:p w:rsidR="00402F2F" w:rsidRPr="00C85B4F" w:rsidRDefault="00402F2F" w:rsidP="00402F2F">
      <w:pPr>
        <w:pStyle w:val="NoSpacing"/>
        <w:spacing w:line="276" w:lineRule="auto"/>
        <w:jc w:val="both"/>
        <w:rPr>
          <w:rFonts w:ascii="Times New Roman" w:hAnsi="Times New Roman" w:cs="Times New Roman"/>
          <w:sz w:val="24"/>
        </w:rPr>
      </w:pPr>
    </w:p>
    <w:p w:rsidR="00402F2F" w:rsidRDefault="00402F2F" w:rsidP="00402F2F">
      <w:pPr>
        <w:jc w:val="both"/>
        <w:rPr>
          <w:rFonts w:ascii="Times New Roman" w:hAnsi="Times New Roman" w:cs="Times New Roman"/>
          <w:sz w:val="24"/>
        </w:rPr>
      </w:pPr>
      <w:r>
        <w:rPr>
          <w:noProof/>
          <w:lang w:val="en-IN" w:eastAsia="en-IN"/>
        </w:rPr>
        <w:lastRenderedPageBreak/>
        <w:drawing>
          <wp:inline distT="0" distB="0" distL="114300" distR="114300" wp14:anchorId="7B50AC22" wp14:editId="60E894A1">
            <wp:extent cx="5286375" cy="2162175"/>
            <wp:effectExtent l="0" t="0" r="9525" b="9525"/>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618BB" w:rsidRDefault="00402F2F" w:rsidP="00C618BB">
      <w:pPr>
        <w:jc w:val="both"/>
        <w:rPr>
          <w:rFonts w:ascii="Times New Roman" w:hAnsi="Times New Roman" w:cs="Times New Roman"/>
          <w:b/>
          <w:bCs/>
          <w:sz w:val="24"/>
        </w:rPr>
      </w:pPr>
      <w:r>
        <w:rPr>
          <w:rFonts w:ascii="Times New Roman" w:hAnsi="Times New Roman" w:cs="Times New Roman"/>
          <w:b/>
          <w:bCs/>
          <w:sz w:val="24"/>
        </w:rPr>
        <w:t>Figure 3: Line plot representing kinetic parameters results</w:t>
      </w:r>
    </w:p>
    <w:p w:rsidR="00622C2E" w:rsidRPr="00C618BB" w:rsidRDefault="00622C2E" w:rsidP="00C618BB">
      <w:pPr>
        <w:jc w:val="both"/>
        <w:rPr>
          <w:rFonts w:ascii="Times New Roman" w:hAnsi="Times New Roman" w:cs="Times New Roman"/>
          <w:b/>
          <w:bCs/>
          <w:sz w:val="24"/>
        </w:rPr>
      </w:pPr>
      <w:r w:rsidRPr="00402F2F">
        <w:rPr>
          <w:rFonts w:ascii="Times New Roman" w:hAnsi="Times New Roman" w:cs="Times New Roman"/>
          <w:b/>
          <w:sz w:val="24"/>
        </w:rPr>
        <w:t>DISCUSSION</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The present study demonstrates the successful isolation, screening, and characterization of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-producing fungi from corn cob substrates. Microscopic identification confirmed the presence of </w:t>
      </w:r>
      <w:proofErr w:type="spellStart"/>
      <w:r w:rsidRPr="00C85B4F">
        <w:rPr>
          <w:rFonts w:ascii="Times New Roman" w:hAnsi="Times New Roman" w:cs="Times New Roman"/>
          <w:sz w:val="24"/>
        </w:rPr>
        <w:t>Penicillium</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chrysogenum</w:t>
      </w:r>
      <w:proofErr w:type="spellEnd"/>
      <w:r w:rsidRPr="00C85B4F">
        <w:rPr>
          <w:rFonts w:ascii="Times New Roman" w:hAnsi="Times New Roman" w:cs="Times New Roman"/>
          <w:sz w:val="24"/>
        </w:rPr>
        <w:t xml:space="preserve"> and </w:t>
      </w:r>
      <w:proofErr w:type="spellStart"/>
      <w:r w:rsidRPr="00C85B4F">
        <w:rPr>
          <w:rFonts w:ascii="Times New Roman" w:hAnsi="Times New Roman" w:cs="Times New Roman"/>
          <w:sz w:val="24"/>
        </w:rPr>
        <w:t>Aspergillus</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niger</w:t>
      </w:r>
      <w:proofErr w:type="spellEnd"/>
      <w:r w:rsidRPr="00C85B4F">
        <w:rPr>
          <w:rFonts w:ascii="Times New Roman" w:hAnsi="Times New Roman" w:cs="Times New Roman"/>
          <w:sz w:val="24"/>
        </w:rPr>
        <w:t xml:space="preserve">, both widely reported as efficient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producers in previous studies (</w:t>
      </w:r>
      <w:proofErr w:type="spellStart"/>
      <w:r w:rsidRPr="00C85B4F">
        <w:rPr>
          <w:rFonts w:ascii="Times New Roman" w:hAnsi="Times New Roman" w:cs="Times New Roman"/>
          <w:sz w:val="24"/>
        </w:rPr>
        <w:t>Singhania</w:t>
      </w:r>
      <w:proofErr w:type="spellEnd"/>
      <w:r w:rsidRPr="00C85B4F">
        <w:rPr>
          <w:rFonts w:ascii="Times New Roman" w:hAnsi="Times New Roman" w:cs="Times New Roman"/>
          <w:sz w:val="24"/>
        </w:rPr>
        <w:t xml:space="preserve"> et al., 2017; </w:t>
      </w:r>
      <w:proofErr w:type="spellStart"/>
      <w:r w:rsidRPr="00C85B4F">
        <w:rPr>
          <w:rFonts w:ascii="Times New Roman" w:hAnsi="Times New Roman" w:cs="Times New Roman"/>
          <w:sz w:val="24"/>
        </w:rPr>
        <w:t>Behera</w:t>
      </w:r>
      <w:proofErr w:type="spellEnd"/>
      <w:r w:rsidRPr="00C85B4F">
        <w:rPr>
          <w:rFonts w:ascii="Times New Roman" w:hAnsi="Times New Roman" w:cs="Times New Roman"/>
          <w:sz w:val="24"/>
        </w:rPr>
        <w:t xml:space="preserve"> &amp; Ray, 2016).</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The Congo red assay results revealed varying hydrolysis zone diameters among isolates, reflecting differences in extracellular enzyme secretion efficiency. Similar variability in cellulolytic potential among fungal strains has been reported in comparative studies of </w:t>
      </w:r>
      <w:proofErr w:type="spellStart"/>
      <w:r w:rsidRPr="00C85B4F">
        <w:rPr>
          <w:rFonts w:ascii="Times New Roman" w:hAnsi="Times New Roman" w:cs="Times New Roman"/>
          <w:sz w:val="24"/>
        </w:rPr>
        <w:t>Aspergillus</w:t>
      </w:r>
      <w:proofErr w:type="spellEnd"/>
      <w:r w:rsidRPr="00C85B4F">
        <w:rPr>
          <w:rFonts w:ascii="Times New Roman" w:hAnsi="Times New Roman" w:cs="Times New Roman"/>
          <w:sz w:val="24"/>
        </w:rPr>
        <w:t xml:space="preserve"> and </w:t>
      </w:r>
      <w:proofErr w:type="spellStart"/>
      <w:r w:rsidRPr="00C85B4F">
        <w:rPr>
          <w:rFonts w:ascii="Times New Roman" w:hAnsi="Times New Roman" w:cs="Times New Roman"/>
          <w:sz w:val="24"/>
        </w:rPr>
        <w:t>Penicillium</w:t>
      </w:r>
      <w:proofErr w:type="spellEnd"/>
      <w:r w:rsidRPr="00C85B4F">
        <w:rPr>
          <w:rFonts w:ascii="Times New Roman" w:hAnsi="Times New Roman" w:cs="Times New Roman"/>
          <w:sz w:val="24"/>
        </w:rPr>
        <w:t xml:space="preserve"> species (</w:t>
      </w:r>
      <w:proofErr w:type="spellStart"/>
      <w:r w:rsidRPr="00C85B4F">
        <w:rPr>
          <w:rFonts w:ascii="Times New Roman" w:hAnsi="Times New Roman" w:cs="Times New Roman"/>
          <w:sz w:val="24"/>
        </w:rPr>
        <w:t>Khokhar</w:t>
      </w:r>
      <w:proofErr w:type="spellEnd"/>
      <w:r w:rsidRPr="00C85B4F">
        <w:rPr>
          <w:rFonts w:ascii="Times New Roman" w:hAnsi="Times New Roman" w:cs="Times New Roman"/>
          <w:sz w:val="24"/>
        </w:rPr>
        <w:t xml:space="preserve"> et al., 2013). Larger clearing zones observed in selected isolates indicate stronger cellulose degradation capacity and correlate with enhanced enzyme production.</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The glucose standard curve confirmed the precision of the DNS assay method, consistent with the widely adopted protocol described by Miller (1959). Accurate linearity of the standard curve ensures reliable quantification of reducing sugars released during enzymatic hydrolysis.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The observed optimum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 under mildly acidic conditions aligns with previous reports that fungal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xml:space="preserve"> typically exhibit peak performance at pH 4–6 (</w:t>
      </w:r>
      <w:proofErr w:type="spellStart"/>
      <w:r w:rsidRPr="00C85B4F">
        <w:rPr>
          <w:rFonts w:ascii="Times New Roman" w:hAnsi="Times New Roman" w:cs="Times New Roman"/>
          <w:sz w:val="24"/>
        </w:rPr>
        <w:t>Singhania</w:t>
      </w:r>
      <w:proofErr w:type="spellEnd"/>
      <w:r w:rsidRPr="00C85B4F">
        <w:rPr>
          <w:rFonts w:ascii="Times New Roman" w:hAnsi="Times New Roman" w:cs="Times New Roman"/>
          <w:sz w:val="24"/>
        </w:rPr>
        <w:t xml:space="preserve"> et al., 2017). Acidic conditions favor proper ionization of catalytic amino acid residues at the enzyme’s active site. Deviations from this optimum likely altered enzyme conformation, reducing substrate binding efficiency.</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Temperature profiling revealed enhanced activity at moderate temperatures followed by a decline at elevated temperatures. This trend agrees with earlier studies showing that fungal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xml:space="preserve"> are generally </w:t>
      </w:r>
      <w:proofErr w:type="spellStart"/>
      <w:r w:rsidRPr="00C85B4F">
        <w:rPr>
          <w:rFonts w:ascii="Times New Roman" w:hAnsi="Times New Roman" w:cs="Times New Roman"/>
          <w:sz w:val="24"/>
        </w:rPr>
        <w:t>mesophilic</w:t>
      </w:r>
      <w:proofErr w:type="spellEnd"/>
      <w:r w:rsidRPr="00C85B4F">
        <w:rPr>
          <w:rFonts w:ascii="Times New Roman" w:hAnsi="Times New Roman" w:cs="Times New Roman"/>
          <w:sz w:val="24"/>
        </w:rPr>
        <w:t>, with optimal activity between 30°C and 50°C (</w:t>
      </w:r>
      <w:proofErr w:type="spellStart"/>
      <w:r w:rsidRPr="00C85B4F">
        <w:rPr>
          <w:rFonts w:ascii="Times New Roman" w:hAnsi="Times New Roman" w:cs="Times New Roman"/>
          <w:sz w:val="24"/>
        </w:rPr>
        <w:t>Behera</w:t>
      </w:r>
      <w:proofErr w:type="spellEnd"/>
      <w:r w:rsidRPr="00C85B4F">
        <w:rPr>
          <w:rFonts w:ascii="Times New Roman" w:hAnsi="Times New Roman" w:cs="Times New Roman"/>
          <w:sz w:val="24"/>
        </w:rPr>
        <w:t xml:space="preserve"> &amp; Ray, 2016). The reduction in activity at higher temperatures may be attributed to protein denaturation and structural instability.</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Carbon source evaluation demonstrated higher enzyme production in the presence of complex substrates compared to simple sugars. This observation supports existing literature indicating that </w:t>
      </w:r>
      <w:proofErr w:type="spellStart"/>
      <w:r w:rsidRPr="00C85B4F">
        <w:rPr>
          <w:rFonts w:ascii="Times New Roman" w:hAnsi="Times New Roman" w:cs="Times New Roman"/>
          <w:sz w:val="24"/>
        </w:rPr>
        <w:t>lignocellulosic</w:t>
      </w:r>
      <w:proofErr w:type="spellEnd"/>
      <w:r w:rsidRPr="00C85B4F">
        <w:rPr>
          <w:rFonts w:ascii="Times New Roman" w:hAnsi="Times New Roman" w:cs="Times New Roman"/>
          <w:sz w:val="24"/>
        </w:rPr>
        <w:t xml:space="preserve"> materials induce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gene expression, whereas glucose may suppress enzyme synthesis through catabolite repression mechanisms (</w:t>
      </w:r>
      <w:proofErr w:type="spellStart"/>
      <w:r w:rsidRPr="00C85B4F">
        <w:rPr>
          <w:rFonts w:ascii="Times New Roman" w:hAnsi="Times New Roman" w:cs="Times New Roman"/>
          <w:sz w:val="24"/>
        </w:rPr>
        <w:t>Singhania</w:t>
      </w:r>
      <w:proofErr w:type="spellEnd"/>
      <w:r w:rsidRPr="00C85B4F">
        <w:rPr>
          <w:rFonts w:ascii="Times New Roman" w:hAnsi="Times New Roman" w:cs="Times New Roman"/>
          <w:sz w:val="24"/>
        </w:rPr>
        <w:t xml:space="preserve"> et al., </w:t>
      </w:r>
      <w:r w:rsidRPr="00C85B4F">
        <w:rPr>
          <w:rFonts w:ascii="Times New Roman" w:hAnsi="Times New Roman" w:cs="Times New Roman"/>
          <w:sz w:val="24"/>
        </w:rPr>
        <w:lastRenderedPageBreak/>
        <w:t>2017). The use of corn cob substrate in this study further supports the potential of agricultural waste valorization for cost-effective enzyme production.</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Metal ion analysis revealed both stimulatory and inhibitory effects on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 Similar modulatory effects have been documented, where divalent cations such as Mg²⁺ and Mn²⁺ enhance enzyme stability, while heavy metals may inhibit catalytic function (</w:t>
      </w:r>
      <w:proofErr w:type="spellStart"/>
      <w:r w:rsidRPr="00C85B4F">
        <w:rPr>
          <w:rFonts w:ascii="Times New Roman" w:hAnsi="Times New Roman" w:cs="Times New Roman"/>
          <w:sz w:val="24"/>
        </w:rPr>
        <w:t>Ejaz</w:t>
      </w:r>
      <w:proofErr w:type="spellEnd"/>
      <w:r w:rsidRPr="00C85B4F">
        <w:rPr>
          <w:rFonts w:ascii="Times New Roman" w:hAnsi="Times New Roman" w:cs="Times New Roman"/>
          <w:sz w:val="24"/>
        </w:rPr>
        <w:t xml:space="preserve"> et al., 2021). These findings highlight the biochemical sensitivity of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xml:space="preserve"> to ionic environments.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The kinetic study confirmed classical </w:t>
      </w:r>
      <w:proofErr w:type="spellStart"/>
      <w:r w:rsidRPr="00C85B4F">
        <w:rPr>
          <w:rFonts w:ascii="Times New Roman" w:hAnsi="Times New Roman" w:cs="Times New Roman"/>
          <w:sz w:val="24"/>
        </w:rPr>
        <w:t>Michaelis</w:t>
      </w:r>
      <w:proofErr w:type="spellEnd"/>
      <w:r w:rsidRPr="00C85B4F">
        <w:rPr>
          <w:rFonts w:ascii="Times New Roman" w:hAnsi="Times New Roman" w:cs="Times New Roman"/>
          <w:sz w:val="24"/>
        </w:rPr>
        <w:t>–</w:t>
      </w:r>
      <w:proofErr w:type="spellStart"/>
      <w:r w:rsidRPr="00C85B4F">
        <w:rPr>
          <w:rFonts w:ascii="Times New Roman" w:hAnsi="Times New Roman" w:cs="Times New Roman"/>
          <w:sz w:val="24"/>
        </w:rPr>
        <w:t>Menten</w:t>
      </w:r>
      <w:proofErr w:type="spellEnd"/>
      <w:r w:rsidRPr="00C85B4F">
        <w:rPr>
          <w:rFonts w:ascii="Times New Roman" w:hAnsi="Times New Roman" w:cs="Times New Roman"/>
          <w:sz w:val="24"/>
        </w:rPr>
        <w:t xml:space="preserve"> behavior, demonstrating enzyme saturation at higher substrate concentrations. Such predictable kinetic behavior is advantageous for industrial scale-up, as it allows determination of optimal substrate loading conditions and reactor design parameters.</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Overall, the findings of this study are consistent with established literature and reinforce the industrial potential of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xml:space="preserve"> derived from </w:t>
      </w:r>
      <w:proofErr w:type="spellStart"/>
      <w:r w:rsidRPr="00C85B4F">
        <w:rPr>
          <w:rFonts w:ascii="Times New Roman" w:hAnsi="Times New Roman" w:cs="Times New Roman"/>
          <w:sz w:val="24"/>
        </w:rPr>
        <w:t>Penicillium</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chrysogenum</w:t>
      </w:r>
      <w:proofErr w:type="spellEnd"/>
      <w:r w:rsidRPr="00C85B4F">
        <w:rPr>
          <w:rFonts w:ascii="Times New Roman" w:hAnsi="Times New Roman" w:cs="Times New Roman"/>
          <w:sz w:val="24"/>
        </w:rPr>
        <w:t xml:space="preserve"> and </w:t>
      </w:r>
      <w:proofErr w:type="spellStart"/>
      <w:r w:rsidRPr="00C85B4F">
        <w:rPr>
          <w:rFonts w:ascii="Times New Roman" w:hAnsi="Times New Roman" w:cs="Times New Roman"/>
          <w:sz w:val="24"/>
        </w:rPr>
        <w:t>Aspergillus</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niger</w:t>
      </w:r>
      <w:proofErr w:type="spellEnd"/>
      <w:r w:rsidRPr="00C85B4F">
        <w:rPr>
          <w:rFonts w:ascii="Times New Roman" w:hAnsi="Times New Roman" w:cs="Times New Roman"/>
          <w:sz w:val="24"/>
        </w:rPr>
        <w:t xml:space="preserve">. The combination of acidic pH preference, moderate thermal stability, substrate </w:t>
      </w:r>
      <w:proofErr w:type="spellStart"/>
      <w:r w:rsidRPr="00C85B4F">
        <w:rPr>
          <w:rFonts w:ascii="Times New Roman" w:hAnsi="Times New Roman" w:cs="Times New Roman"/>
          <w:sz w:val="24"/>
        </w:rPr>
        <w:t>inducibility</w:t>
      </w:r>
      <w:proofErr w:type="spellEnd"/>
      <w:r w:rsidRPr="00C85B4F">
        <w:rPr>
          <w:rFonts w:ascii="Times New Roman" w:hAnsi="Times New Roman" w:cs="Times New Roman"/>
          <w:sz w:val="24"/>
        </w:rPr>
        <w:t>, and predictable kinetics supports their suitability for applications in biomass conversion, biofuel production, and waste management.</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CONCLUSION</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This study successfully isolated, screened, and characterized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-producing fungi from corn cob substrates collected within Lagos State. Microscopic examination confirmed the presence of </w:t>
      </w:r>
      <w:proofErr w:type="spellStart"/>
      <w:r w:rsidRPr="00C85B4F">
        <w:rPr>
          <w:rFonts w:ascii="Times New Roman" w:hAnsi="Times New Roman" w:cs="Times New Roman"/>
          <w:sz w:val="24"/>
        </w:rPr>
        <w:t>Penicillium</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chrysogenum</w:t>
      </w:r>
      <w:proofErr w:type="spellEnd"/>
      <w:r w:rsidRPr="00C85B4F">
        <w:rPr>
          <w:rFonts w:ascii="Times New Roman" w:hAnsi="Times New Roman" w:cs="Times New Roman"/>
          <w:sz w:val="24"/>
        </w:rPr>
        <w:t xml:space="preserve"> and </w:t>
      </w:r>
      <w:proofErr w:type="spellStart"/>
      <w:r w:rsidRPr="00C85B4F">
        <w:rPr>
          <w:rFonts w:ascii="Times New Roman" w:hAnsi="Times New Roman" w:cs="Times New Roman"/>
          <w:sz w:val="24"/>
        </w:rPr>
        <w:t>Aspergillus</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niger</w:t>
      </w:r>
      <w:proofErr w:type="spellEnd"/>
      <w:r w:rsidRPr="00C85B4F">
        <w:rPr>
          <w:rFonts w:ascii="Times New Roman" w:hAnsi="Times New Roman" w:cs="Times New Roman"/>
          <w:sz w:val="24"/>
        </w:rPr>
        <w:t xml:space="preserve"> among the isolates, both of which demonstrated significant extracellular cellulolytic activity.</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Qualitative screening using the Congo red assay revealed clear hydrolysis zones, indicating effective cellulose degradation. Quantitative analysis further confirmed measurable enzyme activity, supported by a reliable and linear glucose standard curve. The characterization studies demonstrated that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activity was strongly influenced by environmental factors. Maximum enzyme activity occurred under mildly acidic conditions, confirming the pH sensitivity typical of fungal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Temperature profiling revealed optimal performance at moderate temperatures, with decreased activity observed at higher temperatures due to possible thermal instability.</w:t>
      </w:r>
    </w:p>
    <w:p w:rsidR="00622C2E" w:rsidRPr="00C85B4F" w:rsidRDefault="00622C2E" w:rsidP="00C85B4F">
      <w:pPr>
        <w:pStyle w:val="NoSpacing"/>
        <w:spacing w:line="276" w:lineRule="auto"/>
        <w:jc w:val="both"/>
        <w:rPr>
          <w:rFonts w:ascii="Times New Roman" w:hAnsi="Times New Roman" w:cs="Times New Roman"/>
          <w:sz w:val="24"/>
        </w:rPr>
      </w:pPr>
      <w:r w:rsidRPr="00C85B4F">
        <w:rPr>
          <w:rFonts w:ascii="Times New Roman" w:hAnsi="Times New Roman" w:cs="Times New Roman"/>
          <w:sz w:val="24"/>
        </w:rPr>
        <w:t xml:space="preserve">Carbon source analysis showed that complex </w:t>
      </w:r>
      <w:proofErr w:type="spellStart"/>
      <w:r w:rsidRPr="00C85B4F">
        <w:rPr>
          <w:rFonts w:ascii="Times New Roman" w:hAnsi="Times New Roman" w:cs="Times New Roman"/>
          <w:sz w:val="24"/>
        </w:rPr>
        <w:t>lignocellulosic</w:t>
      </w:r>
      <w:proofErr w:type="spellEnd"/>
      <w:r w:rsidRPr="00C85B4F">
        <w:rPr>
          <w:rFonts w:ascii="Times New Roman" w:hAnsi="Times New Roman" w:cs="Times New Roman"/>
          <w:sz w:val="24"/>
        </w:rPr>
        <w:t xml:space="preserve"> substrates enhanced </w:t>
      </w:r>
      <w:proofErr w:type="spellStart"/>
      <w:r w:rsidRPr="00C85B4F">
        <w:rPr>
          <w:rFonts w:ascii="Times New Roman" w:hAnsi="Times New Roman" w:cs="Times New Roman"/>
          <w:sz w:val="24"/>
        </w:rPr>
        <w:t>cellulase</w:t>
      </w:r>
      <w:proofErr w:type="spellEnd"/>
      <w:r w:rsidRPr="00C85B4F">
        <w:rPr>
          <w:rFonts w:ascii="Times New Roman" w:hAnsi="Times New Roman" w:cs="Times New Roman"/>
          <w:sz w:val="24"/>
        </w:rPr>
        <w:t xml:space="preserve"> production more effectively than simple sugars, suggesting induction mechanisms and reduced catabolite repression. Additionally, metal ions exhibited both stimulatory and inhibitory effects, indicating that enzyme activity is modulated by ionic conditions. The kinetic study confirmed that the enzyme follows classical </w:t>
      </w:r>
      <w:proofErr w:type="spellStart"/>
      <w:r w:rsidRPr="00C85B4F">
        <w:rPr>
          <w:rFonts w:ascii="Times New Roman" w:hAnsi="Times New Roman" w:cs="Times New Roman"/>
          <w:sz w:val="24"/>
        </w:rPr>
        <w:t>Michaelis</w:t>
      </w:r>
      <w:proofErr w:type="spellEnd"/>
      <w:r w:rsidRPr="00C85B4F">
        <w:rPr>
          <w:rFonts w:ascii="Times New Roman" w:hAnsi="Times New Roman" w:cs="Times New Roman"/>
          <w:sz w:val="24"/>
        </w:rPr>
        <w:t>–</w:t>
      </w:r>
      <w:proofErr w:type="spellStart"/>
      <w:r w:rsidRPr="00C85B4F">
        <w:rPr>
          <w:rFonts w:ascii="Times New Roman" w:hAnsi="Times New Roman" w:cs="Times New Roman"/>
          <w:sz w:val="24"/>
        </w:rPr>
        <w:t>Menten</w:t>
      </w:r>
      <w:proofErr w:type="spellEnd"/>
      <w:r w:rsidRPr="00C85B4F">
        <w:rPr>
          <w:rFonts w:ascii="Times New Roman" w:hAnsi="Times New Roman" w:cs="Times New Roman"/>
          <w:sz w:val="24"/>
        </w:rPr>
        <w:t xml:space="preserve"> behavior, demonstrating predictable substrate-dependent catalytic activity.</w:t>
      </w:r>
    </w:p>
    <w:p w:rsidR="00622C2E" w:rsidRPr="00622C2E" w:rsidRDefault="00622C2E" w:rsidP="00C85B4F">
      <w:pPr>
        <w:pStyle w:val="NoSpacing"/>
        <w:spacing w:line="276" w:lineRule="auto"/>
        <w:jc w:val="both"/>
        <w:rPr>
          <w:rFonts w:ascii="Times New Roman" w:eastAsia="Times New Roman" w:hAnsi="Times New Roman" w:cs="Times New Roman"/>
          <w:lang w:val="en-GB" w:eastAsia="en-GB"/>
        </w:rPr>
      </w:pPr>
      <w:r w:rsidRPr="00C85B4F">
        <w:rPr>
          <w:rFonts w:ascii="Times New Roman" w:hAnsi="Times New Roman" w:cs="Times New Roman"/>
          <w:sz w:val="24"/>
        </w:rPr>
        <w:t xml:space="preserve">Overall, the findings highlight the biotechnological potential of </w:t>
      </w:r>
      <w:proofErr w:type="spellStart"/>
      <w:r w:rsidRPr="00C85B4F">
        <w:rPr>
          <w:rFonts w:ascii="Times New Roman" w:hAnsi="Times New Roman" w:cs="Times New Roman"/>
          <w:sz w:val="24"/>
        </w:rPr>
        <w:t>cellulases</w:t>
      </w:r>
      <w:proofErr w:type="spellEnd"/>
      <w:r w:rsidRPr="00C85B4F">
        <w:rPr>
          <w:rFonts w:ascii="Times New Roman" w:hAnsi="Times New Roman" w:cs="Times New Roman"/>
          <w:sz w:val="24"/>
        </w:rPr>
        <w:t xml:space="preserve"> produced by </w:t>
      </w:r>
      <w:proofErr w:type="spellStart"/>
      <w:r w:rsidRPr="00C85B4F">
        <w:rPr>
          <w:rFonts w:ascii="Times New Roman" w:hAnsi="Times New Roman" w:cs="Times New Roman"/>
          <w:sz w:val="24"/>
        </w:rPr>
        <w:t>Penicillium</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chrysogenum</w:t>
      </w:r>
      <w:proofErr w:type="spellEnd"/>
      <w:r w:rsidRPr="00C85B4F">
        <w:rPr>
          <w:rFonts w:ascii="Times New Roman" w:hAnsi="Times New Roman" w:cs="Times New Roman"/>
          <w:sz w:val="24"/>
        </w:rPr>
        <w:t xml:space="preserve"> and </w:t>
      </w:r>
      <w:proofErr w:type="spellStart"/>
      <w:r w:rsidRPr="00C85B4F">
        <w:rPr>
          <w:rFonts w:ascii="Times New Roman" w:hAnsi="Times New Roman" w:cs="Times New Roman"/>
          <w:sz w:val="24"/>
        </w:rPr>
        <w:t>Aspergillus</w:t>
      </w:r>
      <w:proofErr w:type="spellEnd"/>
      <w:r w:rsidRPr="00C85B4F">
        <w:rPr>
          <w:rFonts w:ascii="Times New Roman" w:hAnsi="Times New Roman" w:cs="Times New Roman"/>
          <w:sz w:val="24"/>
        </w:rPr>
        <w:t xml:space="preserve"> </w:t>
      </w:r>
      <w:proofErr w:type="spellStart"/>
      <w:r w:rsidRPr="00C85B4F">
        <w:rPr>
          <w:rFonts w:ascii="Times New Roman" w:hAnsi="Times New Roman" w:cs="Times New Roman"/>
          <w:sz w:val="24"/>
        </w:rPr>
        <w:t>niger</w:t>
      </w:r>
      <w:proofErr w:type="spellEnd"/>
      <w:r w:rsidRPr="00C85B4F">
        <w:rPr>
          <w:rFonts w:ascii="Times New Roman" w:hAnsi="Times New Roman" w:cs="Times New Roman"/>
          <w:sz w:val="24"/>
        </w:rPr>
        <w:t xml:space="preserve"> isolated from agro-waste substrates. The ability to utilize corn cob waste for enzyme production further supports sustainable bioprocessing and waste valorization strategies.</w:t>
      </w:r>
    </w:p>
    <w:p w:rsidR="00622C2E" w:rsidRPr="0045712C" w:rsidRDefault="00622C2E" w:rsidP="0045712C">
      <w:pPr>
        <w:pStyle w:val="NoSpacing"/>
        <w:jc w:val="both"/>
        <w:rPr>
          <w:rFonts w:ascii="Times New Roman" w:hAnsi="Times New Roman" w:cs="Times New Roman"/>
          <w:b/>
          <w:sz w:val="24"/>
          <w:szCs w:val="24"/>
        </w:rPr>
      </w:pPr>
      <w:r w:rsidRPr="0045712C">
        <w:rPr>
          <w:rFonts w:ascii="Times New Roman" w:hAnsi="Times New Roman" w:cs="Times New Roman"/>
          <w:b/>
          <w:sz w:val="24"/>
          <w:szCs w:val="24"/>
        </w:rPr>
        <w:t>RECOMMENDATIONS</w:t>
      </w:r>
    </w:p>
    <w:p w:rsidR="00622C2E" w:rsidRPr="0045712C" w:rsidRDefault="00622C2E" w:rsidP="0045712C">
      <w:pPr>
        <w:pStyle w:val="NoSpacing"/>
        <w:jc w:val="both"/>
        <w:rPr>
          <w:rFonts w:ascii="Times New Roman" w:hAnsi="Times New Roman" w:cs="Times New Roman"/>
          <w:sz w:val="24"/>
          <w:szCs w:val="24"/>
        </w:rPr>
      </w:pPr>
      <w:r w:rsidRPr="0045712C">
        <w:rPr>
          <w:rFonts w:ascii="Times New Roman" w:hAnsi="Times New Roman" w:cs="Times New Roman"/>
          <w:sz w:val="24"/>
          <w:szCs w:val="24"/>
        </w:rPr>
        <w:t>Based on the findings of this study, the following recommendations are proposed:</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Molecular Identification:</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Future studies should employ molecular techniques such as ITS rDNA sequencing to confirm species-level identification and enhance taxonomic accuracy.</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lastRenderedPageBreak/>
        <w:t>Optimization Studies:</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Further optimization using statistical approaches such as Response Surface Methodology (RSM) is recommended to maximize enzyme yield under controlled fermentation conditions.</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Purification and Characterization:</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 xml:space="preserve">Partial or complete purification of the </w:t>
      </w:r>
      <w:proofErr w:type="spellStart"/>
      <w:r w:rsidRPr="0045712C">
        <w:rPr>
          <w:rFonts w:ascii="Times New Roman" w:hAnsi="Times New Roman" w:cs="Times New Roman"/>
          <w:sz w:val="24"/>
          <w:szCs w:val="24"/>
          <w:lang w:val="en-GB" w:eastAsia="en-GB"/>
        </w:rPr>
        <w:t>cellulase</w:t>
      </w:r>
      <w:proofErr w:type="spellEnd"/>
      <w:r w:rsidRPr="0045712C">
        <w:rPr>
          <w:rFonts w:ascii="Times New Roman" w:hAnsi="Times New Roman" w:cs="Times New Roman"/>
          <w:sz w:val="24"/>
          <w:szCs w:val="24"/>
          <w:lang w:val="en-GB" w:eastAsia="en-GB"/>
        </w:rPr>
        <w:t xml:space="preserve"> enzyme should be carried out to determine detailed biochemical properties such as molecular weight, stability profile, and specific activity.</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Industrial Application Trials:</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The enzyme should be tested under industrially relevant conditions, particularly in biomass hydrolysis and bioethanol production systems.</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Scale-Up Studies:</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Pilot-scale fermentation studies are recommended to evaluate economic feasibility and commercial viability.</w:t>
      </w:r>
    </w:p>
    <w:p w:rsidR="00622C2E" w:rsidRPr="0045712C" w:rsidRDefault="00622C2E" w:rsidP="0045712C">
      <w:pPr>
        <w:pStyle w:val="NoSpacing"/>
        <w:jc w:val="both"/>
        <w:rPr>
          <w:rFonts w:ascii="Times New Roman" w:hAnsi="Times New Roman" w:cs="Times New Roman"/>
          <w:b/>
          <w:bCs/>
          <w:sz w:val="24"/>
          <w:szCs w:val="24"/>
          <w:lang w:val="en-GB" w:eastAsia="en-GB"/>
        </w:rPr>
      </w:pPr>
      <w:r w:rsidRPr="001215E0">
        <w:rPr>
          <w:rFonts w:ascii="Times New Roman" w:hAnsi="Times New Roman" w:cs="Times New Roman"/>
          <w:bCs/>
          <w:sz w:val="24"/>
          <w:szCs w:val="24"/>
          <w:lang w:val="en-GB" w:eastAsia="en-GB"/>
        </w:rPr>
        <w:t>Genetic Improvement:</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 xml:space="preserve">Strain improvement through mutagenesis or recombinant DNA technology may enhance </w:t>
      </w:r>
      <w:proofErr w:type="spellStart"/>
      <w:r w:rsidRPr="0045712C">
        <w:rPr>
          <w:rFonts w:ascii="Times New Roman" w:hAnsi="Times New Roman" w:cs="Times New Roman"/>
          <w:sz w:val="24"/>
          <w:szCs w:val="24"/>
          <w:lang w:val="en-GB" w:eastAsia="en-GB"/>
        </w:rPr>
        <w:t>cellulase</w:t>
      </w:r>
      <w:proofErr w:type="spellEnd"/>
      <w:r w:rsidRPr="0045712C">
        <w:rPr>
          <w:rFonts w:ascii="Times New Roman" w:hAnsi="Times New Roman" w:cs="Times New Roman"/>
          <w:sz w:val="24"/>
          <w:szCs w:val="24"/>
          <w:lang w:val="en-GB" w:eastAsia="en-GB"/>
        </w:rPr>
        <w:t xml:space="preserve"> productivity and stability.</w:t>
      </w:r>
    </w:p>
    <w:p w:rsidR="00622C2E" w:rsidRDefault="00622C2E" w:rsidP="002D5EE2">
      <w:pPr>
        <w:pStyle w:val="NoSpacing"/>
        <w:jc w:val="both"/>
        <w:rPr>
          <w:rFonts w:ascii="Times New Roman" w:hAnsi="Times New Roman" w:cs="Times New Roman"/>
          <w:sz w:val="24"/>
          <w:szCs w:val="24"/>
          <w:lang w:val="en-GB" w:eastAsia="en-GB"/>
        </w:rPr>
      </w:pPr>
      <w:r w:rsidRPr="001215E0">
        <w:rPr>
          <w:rFonts w:ascii="Times New Roman" w:hAnsi="Times New Roman" w:cs="Times New Roman"/>
          <w:bCs/>
          <w:sz w:val="24"/>
          <w:szCs w:val="24"/>
          <w:lang w:val="en-GB" w:eastAsia="en-GB"/>
        </w:rPr>
        <w:t>Comparative Substrate Evaluation:</w:t>
      </w:r>
      <w:r w:rsidR="0045712C">
        <w:rPr>
          <w:rFonts w:ascii="Times New Roman" w:hAnsi="Times New Roman" w:cs="Times New Roman"/>
          <w:b/>
          <w:bCs/>
          <w:sz w:val="24"/>
          <w:szCs w:val="24"/>
          <w:lang w:val="en-GB" w:eastAsia="en-GB"/>
        </w:rPr>
        <w:t xml:space="preserve"> </w:t>
      </w:r>
      <w:r w:rsidRPr="0045712C">
        <w:rPr>
          <w:rFonts w:ascii="Times New Roman" w:hAnsi="Times New Roman" w:cs="Times New Roman"/>
          <w:sz w:val="24"/>
          <w:szCs w:val="24"/>
          <w:lang w:val="en-GB" w:eastAsia="en-GB"/>
        </w:rPr>
        <w:t>Additional agricultural residues should be evaluated to identify the most cost-effective and high-yielding substrates for enzyme production.</w:t>
      </w:r>
    </w:p>
    <w:p w:rsidR="00A65FEB" w:rsidRPr="00F961FC" w:rsidRDefault="00F961FC" w:rsidP="00F961FC">
      <w:pPr>
        <w:pStyle w:val="NoSpacing"/>
        <w:spacing w:before="240"/>
        <w:jc w:val="both"/>
        <w:rPr>
          <w:rFonts w:ascii="Times New Roman" w:hAnsi="Times New Roman" w:cs="Times New Roman"/>
          <w:b/>
          <w:bCs/>
          <w:sz w:val="24"/>
          <w:szCs w:val="24"/>
          <w:lang w:val="en-GB" w:eastAsia="en-GB"/>
        </w:rPr>
      </w:pPr>
      <w:r w:rsidRPr="00F961FC">
        <w:rPr>
          <w:rFonts w:ascii="Times New Roman" w:hAnsi="Times New Roman" w:cs="Times New Roman"/>
          <w:b/>
          <w:bCs/>
          <w:sz w:val="24"/>
          <w:szCs w:val="24"/>
          <w:lang w:val="en-GB" w:eastAsia="en-GB"/>
        </w:rPr>
        <w:t>References</w:t>
      </w:r>
    </w:p>
    <w:p w:rsidR="00A65FEB" w:rsidRDefault="00A65FEB" w:rsidP="00F961FC">
      <w:pPr>
        <w:spacing w:before="240" w:after="0" w:line="240" w:lineRule="auto"/>
        <w:rPr>
          <w:rFonts w:ascii="Times New Roman" w:eastAsia="Times New Roman" w:hAnsi="Times New Roman" w:cs="Times New Roman"/>
          <w:sz w:val="24"/>
          <w:szCs w:val="24"/>
          <w:lang w:eastAsia="en-GB"/>
        </w:rPr>
      </w:pPr>
      <w:proofErr w:type="spellStart"/>
      <w:r w:rsidRPr="005E6709">
        <w:rPr>
          <w:rFonts w:ascii="Times New Roman" w:eastAsia="Times New Roman" w:hAnsi="Times New Roman" w:cs="Times New Roman"/>
          <w:sz w:val="24"/>
          <w:szCs w:val="24"/>
          <w:lang w:eastAsia="en-GB"/>
        </w:rPr>
        <w:t>Areeshi</w:t>
      </w:r>
      <w:proofErr w:type="spellEnd"/>
      <w:r w:rsidRPr="005E6709">
        <w:rPr>
          <w:rFonts w:ascii="Times New Roman" w:eastAsia="Times New Roman" w:hAnsi="Times New Roman" w:cs="Times New Roman"/>
          <w:sz w:val="24"/>
          <w:szCs w:val="24"/>
          <w:lang w:eastAsia="en-GB"/>
        </w:rPr>
        <w:t xml:space="preserve">, M. Y. (2022). Microbial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xml:space="preserve"> production using fruit wastes and its applications in biofuels production. </w:t>
      </w:r>
      <w:r w:rsidRPr="005E6709">
        <w:rPr>
          <w:rFonts w:ascii="Times New Roman" w:eastAsia="Times New Roman" w:hAnsi="Times New Roman" w:cs="Times New Roman"/>
          <w:i/>
          <w:iCs/>
          <w:sz w:val="24"/>
          <w:szCs w:val="24"/>
          <w:lang w:eastAsia="en-GB"/>
        </w:rPr>
        <w:t>International Journal of Food Microbiology, 378</w:t>
      </w:r>
      <w:r w:rsidRPr="005E6709">
        <w:rPr>
          <w:rFonts w:ascii="Times New Roman" w:eastAsia="Times New Roman" w:hAnsi="Times New Roman" w:cs="Times New Roman"/>
          <w:sz w:val="24"/>
          <w:szCs w:val="24"/>
          <w:lang w:eastAsia="en-GB"/>
        </w:rPr>
        <w:t xml:space="preserve">, 109814. </w:t>
      </w:r>
      <w:hyperlink r:id="rId13" w:history="1">
        <w:r w:rsidR="00216997" w:rsidRPr="002D0E1D">
          <w:rPr>
            <w:rStyle w:val="Hyperlink"/>
            <w:rFonts w:ascii="Times New Roman" w:eastAsia="Times New Roman" w:hAnsi="Times New Roman"/>
            <w:sz w:val="24"/>
            <w:szCs w:val="24"/>
            <w:lang w:eastAsia="en-GB"/>
          </w:rPr>
          <w:t>https://doi.org/10.1016/j.ijfoodmicro.2022.109814</w:t>
        </w:r>
      </w:hyperlink>
    </w:p>
    <w:p w:rsidR="00216997" w:rsidRPr="005E6709" w:rsidRDefault="00216997" w:rsidP="00F961FC">
      <w:pPr>
        <w:spacing w:before="240" w:after="0" w:line="24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Ayla, S., </w:t>
      </w:r>
      <w:proofErr w:type="spellStart"/>
      <w:r>
        <w:rPr>
          <w:rFonts w:ascii="Times New Roman" w:hAnsi="Times New Roman" w:cs="Times New Roman"/>
          <w:sz w:val="24"/>
          <w:szCs w:val="24"/>
        </w:rPr>
        <w:t>Golla</w:t>
      </w:r>
      <w:proofErr w:type="spellEnd"/>
      <w:r>
        <w:rPr>
          <w:rFonts w:ascii="Times New Roman" w:hAnsi="Times New Roman" w:cs="Times New Roman"/>
          <w:sz w:val="24"/>
          <w:szCs w:val="24"/>
        </w:rPr>
        <w:t xml:space="preserve">, N., and </w:t>
      </w:r>
      <w:proofErr w:type="spellStart"/>
      <w:r>
        <w:rPr>
          <w:rFonts w:ascii="Times New Roman" w:hAnsi="Times New Roman" w:cs="Times New Roman"/>
          <w:sz w:val="24"/>
          <w:szCs w:val="24"/>
        </w:rPr>
        <w:t>Pallipati</w:t>
      </w:r>
      <w:proofErr w:type="spellEnd"/>
      <w:r>
        <w:rPr>
          <w:rFonts w:ascii="Times New Roman" w:hAnsi="Times New Roman" w:cs="Times New Roman"/>
          <w:sz w:val="24"/>
          <w:szCs w:val="24"/>
        </w:rPr>
        <w:t xml:space="preserve">, S. (2018). Production of </w:t>
      </w:r>
      <w:proofErr w:type="spellStart"/>
      <w:r>
        <w:rPr>
          <w:rFonts w:ascii="Times New Roman" w:hAnsi="Times New Roman" w:cs="Times New Roman"/>
          <w:sz w:val="24"/>
          <w:szCs w:val="24"/>
        </w:rPr>
        <w:t>ligninolytic</w:t>
      </w:r>
      <w:proofErr w:type="spellEnd"/>
      <w:r>
        <w:rPr>
          <w:rFonts w:ascii="Times New Roman" w:hAnsi="Times New Roman" w:cs="Times New Roman"/>
          <w:sz w:val="24"/>
          <w:szCs w:val="24"/>
        </w:rPr>
        <w:t xml:space="preserve"> enzymes from </w:t>
      </w:r>
      <w:proofErr w:type="spellStart"/>
      <w:r>
        <w:rPr>
          <w:rFonts w:ascii="Times New Roman" w:hAnsi="Times New Roman" w:cs="Times New Roman"/>
          <w:i/>
          <w:sz w:val="24"/>
          <w:szCs w:val="24"/>
        </w:rPr>
        <w:t>Penicillium</w:t>
      </w:r>
      <w:proofErr w:type="spellEnd"/>
      <w:r>
        <w:rPr>
          <w:rFonts w:ascii="Times New Roman" w:hAnsi="Times New Roman" w:cs="Times New Roman"/>
          <w:sz w:val="24"/>
          <w:szCs w:val="24"/>
        </w:rPr>
        <w:t xml:space="preserve"> sp. and its efficiency to </w:t>
      </w:r>
      <w:proofErr w:type="spellStart"/>
      <w:r>
        <w:rPr>
          <w:rFonts w:ascii="Times New Roman" w:hAnsi="Times New Roman" w:cs="Times New Roman"/>
          <w:sz w:val="24"/>
          <w:szCs w:val="24"/>
        </w:rPr>
        <w:t>decolourise</w:t>
      </w:r>
      <w:proofErr w:type="spellEnd"/>
      <w:r>
        <w:rPr>
          <w:rFonts w:ascii="Times New Roman" w:hAnsi="Times New Roman" w:cs="Times New Roman"/>
          <w:sz w:val="24"/>
          <w:szCs w:val="24"/>
        </w:rPr>
        <w:t xml:space="preserve"> textile dyes. </w:t>
      </w:r>
      <w:r>
        <w:rPr>
          <w:rFonts w:ascii="Times New Roman" w:hAnsi="Times New Roman" w:cs="Times New Roman"/>
          <w:i/>
          <w:sz w:val="24"/>
          <w:szCs w:val="24"/>
        </w:rPr>
        <w:t>The Open Biotechnology Journal,</w:t>
      </w:r>
      <w:r>
        <w:rPr>
          <w:rFonts w:ascii="Times New Roman" w:hAnsi="Times New Roman" w:cs="Times New Roman"/>
          <w:sz w:val="24"/>
          <w:szCs w:val="24"/>
        </w:rPr>
        <w:t xml:space="preserve"> 12: 112–122.</w:t>
      </w:r>
    </w:p>
    <w:p w:rsidR="00A65FEB" w:rsidRDefault="00A65FEB" w:rsidP="00F961FC">
      <w:pPr>
        <w:spacing w:before="240" w:after="0" w:line="240" w:lineRule="auto"/>
        <w:rPr>
          <w:rFonts w:ascii="Times New Roman" w:eastAsia="Times New Roman" w:hAnsi="Times New Roman" w:cs="Times New Roman"/>
          <w:sz w:val="24"/>
          <w:szCs w:val="24"/>
          <w:lang w:eastAsia="en-GB"/>
        </w:rPr>
      </w:pPr>
      <w:proofErr w:type="spellStart"/>
      <w:r w:rsidRPr="005E6709">
        <w:rPr>
          <w:rFonts w:ascii="Times New Roman" w:eastAsia="Times New Roman" w:hAnsi="Times New Roman" w:cs="Times New Roman"/>
          <w:sz w:val="24"/>
          <w:szCs w:val="24"/>
          <w:lang w:eastAsia="en-GB"/>
        </w:rPr>
        <w:t>Bukar</w:t>
      </w:r>
      <w:proofErr w:type="spellEnd"/>
      <w:r w:rsidRPr="005E6709">
        <w:rPr>
          <w:rFonts w:ascii="Times New Roman" w:eastAsia="Times New Roman" w:hAnsi="Times New Roman" w:cs="Times New Roman"/>
          <w:sz w:val="24"/>
          <w:szCs w:val="24"/>
          <w:lang w:eastAsia="en-GB"/>
        </w:rPr>
        <w:t xml:space="preserve">, A., Abbas, M. I., </w:t>
      </w:r>
      <w:proofErr w:type="spellStart"/>
      <w:r w:rsidRPr="005E6709">
        <w:rPr>
          <w:rFonts w:ascii="Times New Roman" w:eastAsia="Times New Roman" w:hAnsi="Times New Roman" w:cs="Times New Roman"/>
          <w:sz w:val="24"/>
          <w:szCs w:val="24"/>
          <w:lang w:eastAsia="en-GB"/>
        </w:rPr>
        <w:t>Milala</w:t>
      </w:r>
      <w:proofErr w:type="spellEnd"/>
      <w:r w:rsidRPr="005E6709">
        <w:rPr>
          <w:rFonts w:ascii="Times New Roman" w:eastAsia="Times New Roman" w:hAnsi="Times New Roman" w:cs="Times New Roman"/>
          <w:sz w:val="24"/>
          <w:szCs w:val="24"/>
          <w:lang w:eastAsia="en-GB"/>
        </w:rPr>
        <w:t xml:space="preserve">, M. A., Isa, M. A., </w:t>
      </w:r>
      <w:proofErr w:type="spellStart"/>
      <w:r w:rsidRPr="005E6709">
        <w:rPr>
          <w:rFonts w:ascii="Times New Roman" w:eastAsia="Times New Roman" w:hAnsi="Times New Roman" w:cs="Times New Roman"/>
          <w:sz w:val="24"/>
          <w:szCs w:val="24"/>
          <w:lang w:eastAsia="en-GB"/>
        </w:rPr>
        <w:t>Allamin</w:t>
      </w:r>
      <w:proofErr w:type="spellEnd"/>
      <w:r w:rsidRPr="005E6709">
        <w:rPr>
          <w:rFonts w:ascii="Times New Roman" w:eastAsia="Times New Roman" w:hAnsi="Times New Roman" w:cs="Times New Roman"/>
          <w:sz w:val="24"/>
          <w:szCs w:val="24"/>
          <w:lang w:eastAsia="en-GB"/>
        </w:rPr>
        <w:t xml:space="preserve">, I. A., &amp; Ismail, H. Y. (2016). Optimization of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xml:space="preserve"> activity by </w:t>
      </w:r>
      <w:proofErr w:type="spellStart"/>
      <w:r w:rsidRPr="005E6709">
        <w:rPr>
          <w:rFonts w:ascii="Times New Roman" w:eastAsia="Times New Roman" w:hAnsi="Times New Roman" w:cs="Times New Roman"/>
          <w:i/>
          <w:iCs/>
          <w:sz w:val="24"/>
          <w:szCs w:val="24"/>
          <w:lang w:eastAsia="en-GB"/>
        </w:rPr>
        <w:t>Aspergillus</w:t>
      </w:r>
      <w:proofErr w:type="spellEnd"/>
      <w:r w:rsidRPr="005E6709">
        <w:rPr>
          <w:rFonts w:ascii="Times New Roman" w:eastAsia="Times New Roman" w:hAnsi="Times New Roman" w:cs="Times New Roman"/>
          <w:i/>
          <w:iCs/>
          <w:sz w:val="24"/>
          <w:szCs w:val="24"/>
          <w:lang w:eastAsia="en-GB"/>
        </w:rPr>
        <w:t xml:space="preserve"> </w:t>
      </w:r>
      <w:proofErr w:type="spellStart"/>
      <w:r w:rsidRPr="005E6709">
        <w:rPr>
          <w:rFonts w:ascii="Times New Roman" w:eastAsia="Times New Roman" w:hAnsi="Times New Roman" w:cs="Times New Roman"/>
          <w:i/>
          <w:iCs/>
          <w:sz w:val="24"/>
          <w:szCs w:val="24"/>
          <w:lang w:eastAsia="en-GB"/>
        </w:rPr>
        <w:t>niger</w:t>
      </w:r>
      <w:proofErr w:type="spellEnd"/>
      <w:r w:rsidRPr="005E6709">
        <w:rPr>
          <w:rFonts w:ascii="Times New Roman" w:eastAsia="Times New Roman" w:hAnsi="Times New Roman" w:cs="Times New Roman"/>
          <w:sz w:val="24"/>
          <w:szCs w:val="24"/>
          <w:lang w:eastAsia="en-GB"/>
        </w:rPr>
        <w:t xml:space="preserve"> and </w:t>
      </w:r>
      <w:proofErr w:type="spellStart"/>
      <w:r w:rsidRPr="005E6709">
        <w:rPr>
          <w:rFonts w:ascii="Times New Roman" w:eastAsia="Times New Roman" w:hAnsi="Times New Roman" w:cs="Times New Roman"/>
          <w:i/>
          <w:iCs/>
          <w:sz w:val="24"/>
          <w:szCs w:val="24"/>
          <w:lang w:eastAsia="en-GB"/>
        </w:rPr>
        <w:t>Penicillium</w:t>
      </w:r>
      <w:proofErr w:type="spellEnd"/>
      <w:r w:rsidRPr="005E6709">
        <w:rPr>
          <w:rFonts w:ascii="Times New Roman" w:eastAsia="Times New Roman" w:hAnsi="Times New Roman" w:cs="Times New Roman"/>
          <w:i/>
          <w:iCs/>
          <w:sz w:val="24"/>
          <w:szCs w:val="24"/>
          <w:lang w:eastAsia="en-GB"/>
        </w:rPr>
        <w:t xml:space="preserve"> </w:t>
      </w:r>
      <w:proofErr w:type="spellStart"/>
      <w:r w:rsidRPr="005E6709">
        <w:rPr>
          <w:rFonts w:ascii="Times New Roman" w:eastAsia="Times New Roman" w:hAnsi="Times New Roman" w:cs="Times New Roman"/>
          <w:i/>
          <w:iCs/>
          <w:sz w:val="24"/>
          <w:szCs w:val="24"/>
          <w:lang w:eastAsia="en-GB"/>
        </w:rPr>
        <w:t>chrysogenum</w:t>
      </w:r>
      <w:proofErr w:type="spellEnd"/>
      <w:r w:rsidRPr="005E6709">
        <w:rPr>
          <w:rFonts w:ascii="Times New Roman" w:eastAsia="Times New Roman" w:hAnsi="Times New Roman" w:cs="Times New Roman"/>
          <w:sz w:val="24"/>
          <w:szCs w:val="24"/>
          <w:lang w:eastAsia="en-GB"/>
        </w:rPr>
        <w:t xml:space="preserve"> using agricultural wastes. </w:t>
      </w:r>
      <w:r w:rsidRPr="005E6709">
        <w:rPr>
          <w:rFonts w:ascii="Times New Roman" w:eastAsia="Times New Roman" w:hAnsi="Times New Roman" w:cs="Times New Roman"/>
          <w:i/>
          <w:iCs/>
          <w:sz w:val="24"/>
          <w:szCs w:val="24"/>
          <w:lang w:eastAsia="en-GB"/>
        </w:rPr>
        <w:t>UMYU Journal of Microbiology Research</w:t>
      </w:r>
      <w:r w:rsidRPr="005E6709">
        <w:rPr>
          <w:rFonts w:ascii="Times New Roman" w:eastAsia="Times New Roman" w:hAnsi="Times New Roman" w:cs="Times New Roman"/>
          <w:sz w:val="24"/>
          <w:szCs w:val="24"/>
          <w:lang w:eastAsia="en-GB"/>
        </w:rPr>
        <w:t xml:space="preserve">. </w:t>
      </w:r>
      <w:hyperlink r:id="rId14" w:history="1">
        <w:r w:rsidR="00216997" w:rsidRPr="002D0E1D">
          <w:rPr>
            <w:rStyle w:val="Hyperlink"/>
            <w:rFonts w:ascii="Times New Roman" w:eastAsia="Times New Roman" w:hAnsi="Times New Roman"/>
            <w:sz w:val="24"/>
            <w:szCs w:val="24"/>
            <w:lang w:eastAsia="en-GB"/>
          </w:rPr>
          <w:t>https://doi.org/10.47430/ujmr.1611.025</w:t>
        </w:r>
      </w:hyperlink>
    </w:p>
    <w:p w:rsidR="00216997" w:rsidRDefault="00216997" w:rsidP="00F961FC">
      <w:pPr>
        <w:spacing w:before="240" w:after="0" w:line="240" w:lineRule="auto"/>
        <w:ind w:right="144"/>
        <w:jc w:val="both"/>
      </w:pPr>
      <w:r>
        <w:rPr>
          <w:rFonts w:ascii="Times New Roman" w:hAnsi="Times New Roman" w:cs="Times New Roman"/>
          <w:sz w:val="24"/>
          <w:szCs w:val="24"/>
        </w:rPr>
        <w:t xml:space="preserve">David, O. M., </w:t>
      </w:r>
      <w:proofErr w:type="spellStart"/>
      <w:r>
        <w:rPr>
          <w:rFonts w:ascii="Times New Roman" w:hAnsi="Times New Roman" w:cs="Times New Roman"/>
          <w:sz w:val="24"/>
          <w:szCs w:val="24"/>
        </w:rPr>
        <w:t>Olawusi</w:t>
      </w:r>
      <w:proofErr w:type="spellEnd"/>
      <w:r>
        <w:rPr>
          <w:rFonts w:ascii="Times New Roman" w:hAnsi="Times New Roman" w:cs="Times New Roman"/>
          <w:sz w:val="24"/>
          <w:szCs w:val="24"/>
        </w:rPr>
        <w:t xml:space="preserve">, A. C., </w:t>
      </w:r>
      <w:proofErr w:type="spellStart"/>
      <w:r>
        <w:rPr>
          <w:rFonts w:ascii="Times New Roman" w:hAnsi="Times New Roman" w:cs="Times New Roman"/>
          <w:sz w:val="24"/>
          <w:szCs w:val="24"/>
        </w:rPr>
        <w:t>Oluwole</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Adeola</w:t>
      </w:r>
      <w:proofErr w:type="spellEnd"/>
      <w:r>
        <w:rPr>
          <w:rFonts w:ascii="Times New Roman" w:hAnsi="Times New Roman" w:cs="Times New Roman"/>
          <w:sz w:val="24"/>
          <w:szCs w:val="24"/>
        </w:rPr>
        <w:t xml:space="preserve">, P. O., and </w:t>
      </w:r>
      <w:proofErr w:type="spellStart"/>
      <w:r>
        <w:rPr>
          <w:rFonts w:ascii="Times New Roman" w:hAnsi="Times New Roman" w:cs="Times New Roman"/>
          <w:sz w:val="24"/>
          <w:szCs w:val="24"/>
        </w:rPr>
        <w:t>Odeyemi</w:t>
      </w:r>
      <w:proofErr w:type="spellEnd"/>
      <w:r>
        <w:rPr>
          <w:rFonts w:ascii="Times New Roman" w:hAnsi="Times New Roman" w:cs="Times New Roman"/>
          <w:sz w:val="24"/>
          <w:szCs w:val="24"/>
        </w:rPr>
        <w:t xml:space="preserve">, A. T. (2023). Isolation, molecular characterization and application of </w:t>
      </w:r>
      <w:proofErr w:type="spellStart"/>
      <w:r>
        <w:rPr>
          <w:rFonts w:ascii="Times New Roman" w:hAnsi="Times New Roman" w:cs="Times New Roman"/>
          <w:sz w:val="24"/>
          <w:szCs w:val="24"/>
        </w:rPr>
        <w:t>Aspergillus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Penicillium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chrysogenum</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biofertilizer</w:t>
      </w:r>
      <w:proofErr w:type="spellEnd"/>
      <w:r>
        <w:rPr>
          <w:rFonts w:ascii="Times New Roman" w:hAnsi="Times New Roman" w:cs="Times New Roman"/>
          <w:sz w:val="24"/>
          <w:szCs w:val="24"/>
        </w:rPr>
        <w:t xml:space="preserve"> potentials to enhance rice growth. </w:t>
      </w:r>
      <w:r>
        <w:rPr>
          <w:rFonts w:ascii="Times New Roman" w:hAnsi="Times New Roman" w:cs="Times New Roman"/>
          <w:i/>
          <w:sz w:val="24"/>
          <w:szCs w:val="24"/>
        </w:rPr>
        <w:t>Tropical Journal of Natural Product Research,</w:t>
      </w:r>
      <w:r>
        <w:rPr>
          <w:rFonts w:ascii="Times New Roman" w:hAnsi="Times New Roman" w:cs="Times New Roman"/>
          <w:sz w:val="24"/>
          <w:szCs w:val="24"/>
        </w:rPr>
        <w:t xml:space="preserve"> 7(4): 2790–2795.</w:t>
      </w:r>
    </w:p>
    <w:p w:rsidR="00216997" w:rsidRPr="005E6709" w:rsidRDefault="00216997" w:rsidP="00F961FC">
      <w:pPr>
        <w:spacing w:before="240" w:after="0" w:line="240" w:lineRule="auto"/>
        <w:rPr>
          <w:rFonts w:ascii="Times New Roman" w:eastAsia="Times New Roman" w:hAnsi="Times New Roman" w:cs="Times New Roman"/>
          <w:sz w:val="24"/>
          <w:szCs w:val="24"/>
          <w:lang w:eastAsia="en-GB"/>
        </w:rPr>
      </w:pPr>
      <w:proofErr w:type="spellStart"/>
      <w:r>
        <w:rPr>
          <w:rFonts w:ascii="Times New Roman" w:hAnsi="Times New Roman" w:cs="Times New Roman"/>
          <w:sz w:val="24"/>
          <w:szCs w:val="24"/>
        </w:rPr>
        <w:t>Ejaz</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Sohail</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Ghanemi</w:t>
      </w:r>
      <w:proofErr w:type="spellEnd"/>
      <w:r>
        <w:rPr>
          <w:rFonts w:ascii="Times New Roman" w:hAnsi="Times New Roman" w:cs="Times New Roman"/>
          <w:sz w:val="24"/>
          <w:szCs w:val="24"/>
        </w:rPr>
        <w:t xml:space="preserve">, A. (2021).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From bioactivity to a variety of industrial applications. </w:t>
      </w:r>
      <w:proofErr w:type="spellStart"/>
      <w:r>
        <w:rPr>
          <w:rFonts w:ascii="Times New Roman" w:hAnsi="Times New Roman" w:cs="Times New Roman"/>
          <w:i/>
          <w:sz w:val="24"/>
          <w:szCs w:val="24"/>
        </w:rPr>
        <w:t>Biomimetics</w:t>
      </w:r>
      <w:proofErr w:type="spellEnd"/>
      <w:r>
        <w:rPr>
          <w:rFonts w:ascii="Times New Roman" w:hAnsi="Times New Roman" w:cs="Times New Roman"/>
          <w:sz w:val="24"/>
          <w:szCs w:val="24"/>
        </w:rPr>
        <w:t>, 6(3): 44.</w:t>
      </w:r>
    </w:p>
    <w:p w:rsidR="00A65FEB" w:rsidRPr="005E6709" w:rsidRDefault="00A65FEB" w:rsidP="00F961FC">
      <w:pPr>
        <w:spacing w:before="240" w:after="0" w:line="240" w:lineRule="auto"/>
        <w:rPr>
          <w:rFonts w:ascii="Times New Roman" w:eastAsia="Times New Roman" w:hAnsi="Times New Roman" w:cs="Times New Roman"/>
          <w:sz w:val="24"/>
          <w:szCs w:val="24"/>
          <w:lang w:eastAsia="en-GB"/>
        </w:rPr>
      </w:pPr>
      <w:proofErr w:type="spellStart"/>
      <w:r w:rsidRPr="005E6709">
        <w:rPr>
          <w:rFonts w:ascii="Times New Roman" w:eastAsia="Times New Roman" w:hAnsi="Times New Roman" w:cs="Times New Roman"/>
          <w:sz w:val="24"/>
          <w:szCs w:val="24"/>
          <w:lang w:eastAsia="en-GB"/>
        </w:rPr>
        <w:t>Gokhale</w:t>
      </w:r>
      <w:proofErr w:type="spellEnd"/>
      <w:r w:rsidRPr="005E6709">
        <w:rPr>
          <w:rFonts w:ascii="Times New Roman" w:eastAsia="Times New Roman" w:hAnsi="Times New Roman" w:cs="Times New Roman"/>
          <w:sz w:val="24"/>
          <w:szCs w:val="24"/>
          <w:lang w:eastAsia="en-GB"/>
        </w:rPr>
        <w:t xml:space="preserve">, D. V., </w:t>
      </w:r>
      <w:proofErr w:type="spellStart"/>
      <w:r w:rsidRPr="005E6709">
        <w:rPr>
          <w:rFonts w:ascii="Times New Roman" w:eastAsia="Times New Roman" w:hAnsi="Times New Roman" w:cs="Times New Roman"/>
          <w:sz w:val="24"/>
          <w:szCs w:val="24"/>
          <w:lang w:eastAsia="en-GB"/>
        </w:rPr>
        <w:t>Patil</w:t>
      </w:r>
      <w:proofErr w:type="spellEnd"/>
      <w:r w:rsidRPr="005E6709">
        <w:rPr>
          <w:rFonts w:ascii="Times New Roman" w:eastAsia="Times New Roman" w:hAnsi="Times New Roman" w:cs="Times New Roman"/>
          <w:sz w:val="24"/>
          <w:szCs w:val="24"/>
          <w:lang w:eastAsia="en-GB"/>
        </w:rPr>
        <w:t xml:space="preserve">, S. G., &amp; </w:t>
      </w:r>
      <w:proofErr w:type="spellStart"/>
      <w:r w:rsidRPr="005E6709">
        <w:rPr>
          <w:rFonts w:ascii="Times New Roman" w:eastAsia="Times New Roman" w:hAnsi="Times New Roman" w:cs="Times New Roman"/>
          <w:sz w:val="24"/>
          <w:szCs w:val="24"/>
          <w:lang w:eastAsia="en-GB"/>
        </w:rPr>
        <w:t>Bastawde</w:t>
      </w:r>
      <w:proofErr w:type="spellEnd"/>
      <w:r w:rsidRPr="005E6709">
        <w:rPr>
          <w:rFonts w:ascii="Times New Roman" w:eastAsia="Times New Roman" w:hAnsi="Times New Roman" w:cs="Times New Roman"/>
          <w:sz w:val="24"/>
          <w:szCs w:val="24"/>
          <w:lang w:eastAsia="en-GB"/>
        </w:rPr>
        <w:t xml:space="preserve">, K. B. (1991). Optimization of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xml:space="preserve"> production by </w:t>
      </w:r>
      <w:proofErr w:type="spellStart"/>
      <w:r w:rsidRPr="005E6709">
        <w:rPr>
          <w:rFonts w:ascii="Times New Roman" w:eastAsia="Times New Roman" w:hAnsi="Times New Roman" w:cs="Times New Roman"/>
          <w:i/>
          <w:iCs/>
          <w:sz w:val="24"/>
          <w:szCs w:val="24"/>
          <w:lang w:eastAsia="en-GB"/>
        </w:rPr>
        <w:t>Aspergillus</w:t>
      </w:r>
      <w:proofErr w:type="spellEnd"/>
      <w:r w:rsidRPr="005E6709">
        <w:rPr>
          <w:rFonts w:ascii="Times New Roman" w:eastAsia="Times New Roman" w:hAnsi="Times New Roman" w:cs="Times New Roman"/>
          <w:i/>
          <w:iCs/>
          <w:sz w:val="24"/>
          <w:szCs w:val="24"/>
          <w:lang w:eastAsia="en-GB"/>
        </w:rPr>
        <w:t xml:space="preserve"> </w:t>
      </w:r>
      <w:proofErr w:type="spellStart"/>
      <w:r w:rsidRPr="005E6709">
        <w:rPr>
          <w:rFonts w:ascii="Times New Roman" w:eastAsia="Times New Roman" w:hAnsi="Times New Roman" w:cs="Times New Roman"/>
          <w:i/>
          <w:iCs/>
          <w:sz w:val="24"/>
          <w:szCs w:val="24"/>
          <w:lang w:eastAsia="en-GB"/>
        </w:rPr>
        <w:t>niger</w:t>
      </w:r>
      <w:proofErr w:type="spellEnd"/>
      <w:r w:rsidRPr="005E6709">
        <w:rPr>
          <w:rFonts w:ascii="Times New Roman" w:eastAsia="Times New Roman" w:hAnsi="Times New Roman" w:cs="Times New Roman"/>
          <w:sz w:val="24"/>
          <w:szCs w:val="24"/>
          <w:lang w:eastAsia="en-GB"/>
        </w:rPr>
        <w:t xml:space="preserve">. </w:t>
      </w:r>
      <w:r w:rsidRPr="005E6709">
        <w:rPr>
          <w:rFonts w:ascii="Times New Roman" w:eastAsia="Times New Roman" w:hAnsi="Times New Roman" w:cs="Times New Roman"/>
          <w:i/>
          <w:iCs/>
          <w:sz w:val="24"/>
          <w:szCs w:val="24"/>
          <w:lang w:eastAsia="en-GB"/>
        </w:rPr>
        <w:t>Applied Biochemistry and Biotechnology, 30</w:t>
      </w:r>
      <w:r w:rsidRPr="005E6709">
        <w:rPr>
          <w:rFonts w:ascii="Times New Roman" w:eastAsia="Times New Roman" w:hAnsi="Times New Roman" w:cs="Times New Roman"/>
          <w:sz w:val="24"/>
          <w:szCs w:val="24"/>
          <w:lang w:eastAsia="en-GB"/>
        </w:rPr>
        <w:t>(1), 99–109. https://doi.org/10.1007/BF02922026</w:t>
      </w:r>
    </w:p>
    <w:p w:rsidR="00A65FEB" w:rsidRDefault="00A65FEB" w:rsidP="00F961FC">
      <w:pPr>
        <w:spacing w:before="240" w:after="0" w:line="240" w:lineRule="auto"/>
        <w:rPr>
          <w:rFonts w:ascii="Times New Roman" w:eastAsia="Times New Roman" w:hAnsi="Times New Roman" w:cs="Times New Roman"/>
          <w:sz w:val="24"/>
          <w:szCs w:val="24"/>
          <w:lang w:eastAsia="en-GB"/>
        </w:rPr>
      </w:pPr>
      <w:r w:rsidRPr="005E6709">
        <w:rPr>
          <w:rFonts w:ascii="Times New Roman" w:eastAsia="Times New Roman" w:hAnsi="Times New Roman" w:cs="Times New Roman"/>
          <w:sz w:val="24"/>
          <w:szCs w:val="24"/>
          <w:lang w:eastAsia="en-GB"/>
        </w:rPr>
        <w:t xml:space="preserve">Sadhu, S., &amp; </w:t>
      </w:r>
      <w:proofErr w:type="spellStart"/>
      <w:r w:rsidRPr="005E6709">
        <w:rPr>
          <w:rFonts w:ascii="Times New Roman" w:eastAsia="Times New Roman" w:hAnsi="Times New Roman" w:cs="Times New Roman"/>
          <w:sz w:val="24"/>
          <w:szCs w:val="24"/>
          <w:lang w:eastAsia="en-GB"/>
        </w:rPr>
        <w:t>Maiti</w:t>
      </w:r>
      <w:proofErr w:type="spellEnd"/>
      <w:r w:rsidRPr="005E6709">
        <w:rPr>
          <w:rFonts w:ascii="Times New Roman" w:eastAsia="Times New Roman" w:hAnsi="Times New Roman" w:cs="Times New Roman"/>
          <w:sz w:val="24"/>
          <w:szCs w:val="24"/>
          <w:lang w:eastAsia="en-GB"/>
        </w:rPr>
        <w:t xml:space="preserve">, T. K. (2013).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xml:space="preserve"> production by bacteria: A review. </w:t>
      </w:r>
      <w:r w:rsidRPr="005E6709">
        <w:rPr>
          <w:rFonts w:ascii="Times New Roman" w:eastAsia="Times New Roman" w:hAnsi="Times New Roman" w:cs="Times New Roman"/>
          <w:i/>
          <w:iCs/>
          <w:sz w:val="24"/>
          <w:szCs w:val="24"/>
          <w:lang w:eastAsia="en-GB"/>
        </w:rPr>
        <w:t>Microbiology Research Journal International, 3</w:t>
      </w:r>
      <w:r w:rsidRPr="005E6709">
        <w:rPr>
          <w:rFonts w:ascii="Times New Roman" w:eastAsia="Times New Roman" w:hAnsi="Times New Roman" w:cs="Times New Roman"/>
          <w:sz w:val="24"/>
          <w:szCs w:val="24"/>
          <w:lang w:eastAsia="en-GB"/>
        </w:rPr>
        <w:t xml:space="preserve">(3), 235–258. </w:t>
      </w:r>
      <w:hyperlink r:id="rId15" w:history="1">
        <w:r w:rsidR="00F961FC" w:rsidRPr="002D0E1D">
          <w:rPr>
            <w:rStyle w:val="Hyperlink"/>
            <w:rFonts w:ascii="Times New Roman" w:eastAsia="Times New Roman" w:hAnsi="Times New Roman"/>
            <w:sz w:val="24"/>
            <w:szCs w:val="24"/>
            <w:lang w:eastAsia="en-GB"/>
          </w:rPr>
          <w:t>https://doi.org/10.9734/BMRJ/2013/2367</w:t>
        </w:r>
      </w:hyperlink>
    </w:p>
    <w:p w:rsidR="00F961FC" w:rsidRDefault="00F961FC" w:rsidP="00F961FC">
      <w:pPr>
        <w:spacing w:before="240" w:after="0" w:line="240" w:lineRule="auto"/>
        <w:ind w:right="144"/>
        <w:jc w:val="both"/>
        <w:rPr>
          <w:rFonts w:ascii="Times New Roman" w:hAnsi="Times New Roman" w:cs="Times New Roman"/>
          <w:sz w:val="24"/>
          <w:szCs w:val="24"/>
        </w:rPr>
      </w:pPr>
      <w:proofErr w:type="spellStart"/>
      <w:r>
        <w:rPr>
          <w:rFonts w:ascii="Times New Roman" w:hAnsi="Times New Roman" w:cs="Times New Roman"/>
          <w:sz w:val="24"/>
          <w:szCs w:val="24"/>
        </w:rPr>
        <w:t>Sulyman</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Igunnu</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Malomo</w:t>
      </w:r>
      <w:proofErr w:type="spellEnd"/>
      <w:r>
        <w:rPr>
          <w:rFonts w:ascii="Times New Roman" w:hAnsi="Times New Roman" w:cs="Times New Roman"/>
          <w:sz w:val="24"/>
          <w:szCs w:val="24"/>
        </w:rPr>
        <w:t xml:space="preserve">, S. O. (2020). Isolation, purification and characterization of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produced by </w:t>
      </w:r>
      <w:proofErr w:type="spellStart"/>
      <w:r>
        <w:rPr>
          <w:rFonts w:ascii="Times New Roman" w:hAnsi="Times New Roman" w:cs="Times New Roman"/>
          <w:sz w:val="24"/>
          <w:szCs w:val="24"/>
        </w:rPr>
        <w:t>Aspergillus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cultured on </w:t>
      </w:r>
      <w:proofErr w:type="spellStart"/>
      <w:r>
        <w:rPr>
          <w:rFonts w:ascii="Times New Roman" w:hAnsi="Times New Roman" w:cs="Times New Roman"/>
          <w:sz w:val="24"/>
          <w:szCs w:val="24"/>
        </w:rPr>
        <w:t>Arachis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hypogaea</w:t>
      </w:r>
      <w:proofErr w:type="spellEnd"/>
      <w:r>
        <w:rPr>
          <w:rFonts w:ascii="Times New Roman" w:hAnsi="Times New Roman" w:cs="Times New Roman"/>
          <w:sz w:val="24"/>
          <w:szCs w:val="24"/>
        </w:rPr>
        <w:t xml:space="preserve"> shells.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Heliyon</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6(12): 56-68. </w:t>
      </w:r>
    </w:p>
    <w:p w:rsidR="00F961FC" w:rsidRPr="00F961FC" w:rsidRDefault="00F961FC" w:rsidP="00F961FC">
      <w:pPr>
        <w:spacing w:before="240" w:after="0" w:line="240" w:lineRule="auto"/>
        <w:rPr>
          <w:rFonts w:ascii="Times New Roman" w:eastAsia="Times New Roman" w:hAnsi="Times New Roman" w:cs="Times New Roman"/>
          <w:sz w:val="24"/>
          <w:szCs w:val="24"/>
          <w:lang w:eastAsia="en-GB"/>
        </w:rPr>
      </w:pPr>
      <w:proofErr w:type="spellStart"/>
      <w:r>
        <w:rPr>
          <w:rFonts w:ascii="Times New Roman" w:hAnsi="Times New Roman" w:cs="Times New Roman"/>
          <w:sz w:val="24"/>
          <w:szCs w:val="24"/>
        </w:rPr>
        <w:lastRenderedPageBreak/>
        <w:t>Ullah</w:t>
      </w:r>
      <w:proofErr w:type="spellEnd"/>
      <w:r>
        <w:rPr>
          <w:rFonts w:ascii="Times New Roman" w:hAnsi="Times New Roman" w:cs="Times New Roman"/>
          <w:sz w:val="24"/>
          <w:szCs w:val="24"/>
        </w:rPr>
        <w:t xml:space="preserve">, S. F., Souza, A. A., de Freitas, S. M., and Noronha, E. F. (2022). </w:t>
      </w:r>
      <w:proofErr w:type="spellStart"/>
      <w:r>
        <w:rPr>
          <w:rFonts w:ascii="Times New Roman" w:hAnsi="Times New Roman" w:cs="Times New Roman"/>
          <w:sz w:val="24"/>
          <w:szCs w:val="24"/>
        </w:rPr>
        <w:t>Characterisation</w:t>
      </w:r>
      <w:proofErr w:type="spellEnd"/>
      <w:r>
        <w:rPr>
          <w:rFonts w:ascii="Times New Roman" w:hAnsi="Times New Roman" w:cs="Times New Roman"/>
          <w:sz w:val="24"/>
          <w:szCs w:val="24"/>
        </w:rPr>
        <w:t xml:space="preserve"> of biomass-degrading </w:t>
      </w:r>
      <w:proofErr w:type="spellStart"/>
      <w:r>
        <w:rPr>
          <w:rFonts w:ascii="Times New Roman" w:hAnsi="Times New Roman" w:cs="Times New Roman"/>
          <w:sz w:val="24"/>
          <w:szCs w:val="24"/>
        </w:rPr>
        <w:t>xylanolytic</w:t>
      </w:r>
      <w:proofErr w:type="spellEnd"/>
      <w:r>
        <w:rPr>
          <w:rFonts w:ascii="Times New Roman" w:hAnsi="Times New Roman" w:cs="Times New Roman"/>
          <w:sz w:val="24"/>
          <w:szCs w:val="24"/>
        </w:rPr>
        <w:t xml:space="preserve"> enzymes of </w:t>
      </w:r>
      <w:proofErr w:type="spellStart"/>
      <w:r>
        <w:rPr>
          <w:rFonts w:ascii="Times New Roman" w:hAnsi="Times New Roman" w:cs="Times New Roman"/>
          <w:sz w:val="24"/>
          <w:szCs w:val="24"/>
        </w:rPr>
        <w:t>Penicillium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chrysogenum</w:t>
      </w:r>
      <w:proofErr w:type="spellEnd"/>
      <w:r>
        <w:rPr>
          <w:rFonts w:ascii="Times New Roman" w:hAnsi="Times New Roman" w:cs="Times New Roman"/>
          <w:sz w:val="24"/>
          <w:szCs w:val="24"/>
        </w:rPr>
        <w:t xml:space="preserve"> produced using sugarcane bagasse.</w:t>
      </w:r>
      <w:r>
        <w:rPr>
          <w:rFonts w:ascii="Times New Roman" w:hAnsi="Times New Roman" w:cs="Times New Roman"/>
          <w:i/>
          <w:sz w:val="24"/>
          <w:szCs w:val="24"/>
        </w:rPr>
        <w:t xml:space="preserve"> Process Biochemistry, </w:t>
      </w:r>
      <w:r>
        <w:rPr>
          <w:rFonts w:ascii="Times New Roman" w:hAnsi="Times New Roman" w:cs="Times New Roman"/>
          <w:sz w:val="24"/>
          <w:szCs w:val="24"/>
        </w:rPr>
        <w:t>112: 62–70.</w:t>
      </w:r>
    </w:p>
    <w:p w:rsidR="00A65FEB" w:rsidRPr="002D5EE2" w:rsidRDefault="00A65FEB" w:rsidP="00F961FC">
      <w:pPr>
        <w:pStyle w:val="NoSpacing"/>
        <w:spacing w:before="240"/>
        <w:jc w:val="both"/>
        <w:rPr>
          <w:rFonts w:ascii="Times New Roman" w:hAnsi="Times New Roman" w:cs="Times New Roman"/>
          <w:b/>
          <w:bCs/>
          <w:sz w:val="24"/>
          <w:szCs w:val="24"/>
          <w:lang w:val="en-GB" w:eastAsia="en-GB"/>
        </w:rPr>
      </w:pPr>
      <w:r w:rsidRPr="005E6709">
        <w:rPr>
          <w:rFonts w:ascii="Times New Roman" w:eastAsia="Times New Roman" w:hAnsi="Times New Roman" w:cs="Times New Roman"/>
          <w:sz w:val="24"/>
          <w:szCs w:val="24"/>
          <w:lang w:eastAsia="en-GB"/>
        </w:rPr>
        <w:t xml:space="preserve">Zhang, Z., Xing, J., Li, X., Lu, X., Liu, G., Qu, Y., &amp; Zhao, J. (2024). Research progress on </w:t>
      </w:r>
      <w:proofErr w:type="spellStart"/>
      <w:r w:rsidRPr="005E6709">
        <w:rPr>
          <w:rFonts w:ascii="Times New Roman" w:eastAsia="Times New Roman" w:hAnsi="Times New Roman" w:cs="Times New Roman"/>
          <w:sz w:val="24"/>
          <w:szCs w:val="24"/>
          <w:lang w:eastAsia="en-GB"/>
        </w:rPr>
        <w:t>cellulase</w:t>
      </w:r>
      <w:proofErr w:type="spellEnd"/>
      <w:r w:rsidRPr="005E6709">
        <w:rPr>
          <w:rFonts w:ascii="Times New Roman" w:eastAsia="Times New Roman" w:hAnsi="Times New Roman" w:cs="Times New Roman"/>
          <w:sz w:val="24"/>
          <w:szCs w:val="24"/>
          <w:lang w:eastAsia="en-GB"/>
        </w:rPr>
        <w:t xml:space="preserve"> production from filamentous fungi. </w:t>
      </w:r>
      <w:r w:rsidRPr="005E6709">
        <w:rPr>
          <w:rFonts w:ascii="Times New Roman" w:eastAsia="Times New Roman" w:hAnsi="Times New Roman" w:cs="Times New Roman"/>
          <w:i/>
          <w:iCs/>
          <w:sz w:val="24"/>
          <w:szCs w:val="24"/>
          <w:lang w:eastAsia="en-GB"/>
        </w:rPr>
        <w:t>International Journal of Biological Macromolecules</w:t>
      </w:r>
      <w:r w:rsidRPr="005E6709">
        <w:rPr>
          <w:rFonts w:ascii="Times New Roman" w:eastAsia="Times New Roman" w:hAnsi="Times New Roman" w:cs="Times New Roman"/>
          <w:sz w:val="24"/>
          <w:szCs w:val="24"/>
          <w:lang w:eastAsia="en-GB"/>
        </w:rPr>
        <w:t>. https://doi.org/10.1016/j.ijbiomac.2024.134539</w:t>
      </w:r>
    </w:p>
    <w:sectPr w:rsidR="00A65FEB" w:rsidRPr="002D5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85F7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D93488"/>
    <w:multiLevelType w:val="multilevel"/>
    <w:tmpl w:val="F8BA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AE6168"/>
    <w:multiLevelType w:val="multilevel"/>
    <w:tmpl w:val="2F10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A6"/>
    <w:rsid w:val="0009371B"/>
    <w:rsid w:val="001215E0"/>
    <w:rsid w:val="00174D5C"/>
    <w:rsid w:val="00216997"/>
    <w:rsid w:val="00281377"/>
    <w:rsid w:val="002D5EE2"/>
    <w:rsid w:val="003E4CDF"/>
    <w:rsid w:val="00402F2F"/>
    <w:rsid w:val="00415B3A"/>
    <w:rsid w:val="0045712C"/>
    <w:rsid w:val="00622C2E"/>
    <w:rsid w:val="00694C74"/>
    <w:rsid w:val="006B3C11"/>
    <w:rsid w:val="00793B77"/>
    <w:rsid w:val="007A3BFF"/>
    <w:rsid w:val="007E6DDC"/>
    <w:rsid w:val="00866E9F"/>
    <w:rsid w:val="008D7547"/>
    <w:rsid w:val="008F79B8"/>
    <w:rsid w:val="009234BF"/>
    <w:rsid w:val="00A308A6"/>
    <w:rsid w:val="00A65FEB"/>
    <w:rsid w:val="00AB07FD"/>
    <w:rsid w:val="00AE3199"/>
    <w:rsid w:val="00B15237"/>
    <w:rsid w:val="00C618BB"/>
    <w:rsid w:val="00C83347"/>
    <w:rsid w:val="00C85B4F"/>
    <w:rsid w:val="00E60BF8"/>
    <w:rsid w:val="00E71928"/>
    <w:rsid w:val="00F36213"/>
    <w:rsid w:val="00F50D53"/>
    <w:rsid w:val="00F96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08A6"/>
    <w:pPr>
      <w:spacing w:after="200" w:line="276" w:lineRule="auto"/>
    </w:pPr>
    <w:rPr>
      <w:rFonts w:ascii="Calibri" w:eastAsia="SimSun" w:hAnsi="Calibri"/>
      <w:lang w:val="en-US" w:eastAsia="zh-CN"/>
    </w:rPr>
  </w:style>
  <w:style w:type="paragraph" w:styleId="Heading1">
    <w:name w:val="heading 1"/>
    <w:basedOn w:val="Normal"/>
    <w:link w:val="Heading1Char"/>
    <w:uiPriority w:val="9"/>
    <w:qFormat/>
    <w:rsid w:val="00622C2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622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quot;List Paragraph&quot;"/>
    <w:rsid w:val="00E60BF8"/>
    <w:pPr>
      <w:spacing w:after="200" w:line="276" w:lineRule="auto"/>
      <w:ind w:left="720"/>
    </w:pPr>
    <w:rPr>
      <w:rFonts w:ascii="Calibri" w:eastAsia="SimSun" w:hAnsi="Calibri"/>
      <w:lang w:val="en-US" w:eastAsia="zh-CN"/>
    </w:rPr>
  </w:style>
  <w:style w:type="character" w:customStyle="1" w:styleId="Heading1Char">
    <w:name w:val="Heading 1 Char"/>
    <w:basedOn w:val="DefaultParagraphFont"/>
    <w:link w:val="Heading1"/>
    <w:uiPriority w:val="9"/>
    <w:rsid w:val="00622C2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22C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622C2E"/>
    <w:rPr>
      <w:i/>
      <w:iCs/>
    </w:rPr>
  </w:style>
  <w:style w:type="character" w:styleId="Strong">
    <w:name w:val="Strong"/>
    <w:basedOn w:val="DefaultParagraphFont"/>
    <w:uiPriority w:val="22"/>
    <w:qFormat/>
    <w:rsid w:val="00622C2E"/>
    <w:rPr>
      <w:b/>
      <w:bCs/>
    </w:rPr>
  </w:style>
  <w:style w:type="character" w:customStyle="1" w:styleId="Heading2Char">
    <w:name w:val="Heading 2 Char"/>
    <w:basedOn w:val="DefaultParagraphFont"/>
    <w:link w:val="Heading2"/>
    <w:uiPriority w:val="9"/>
    <w:semiHidden/>
    <w:rsid w:val="00622C2E"/>
    <w:rPr>
      <w:rFonts w:asciiTheme="majorHAnsi" w:eastAsiaTheme="majorEastAsia" w:hAnsiTheme="majorHAnsi" w:cstheme="majorBidi"/>
      <w:color w:val="2E74B5" w:themeColor="accent1" w:themeShade="BF"/>
      <w:sz w:val="26"/>
      <w:szCs w:val="26"/>
      <w:lang w:val="en-US" w:eastAsia="zh-CN"/>
    </w:rPr>
  </w:style>
  <w:style w:type="paragraph" w:styleId="NoSpacing">
    <w:name w:val="No Spacing"/>
    <w:uiPriority w:val="1"/>
    <w:qFormat/>
    <w:rsid w:val="00C85B4F"/>
    <w:pPr>
      <w:spacing w:after="0" w:line="240" w:lineRule="auto"/>
    </w:pPr>
    <w:rPr>
      <w:rFonts w:ascii="Calibri" w:eastAsia="SimSun" w:hAnsi="Calibri"/>
      <w:lang w:val="en-US" w:eastAsia="zh-CN"/>
    </w:rPr>
  </w:style>
  <w:style w:type="character" w:styleId="Hyperlink">
    <w:name w:val="Hyperlink"/>
    <w:rsid w:val="00C83347"/>
    <w:rPr>
      <w:rFonts w:ascii="Calibri" w:eastAsia="SimSun" w:hAnsi="Calibri" w:cs="Times New Roman"/>
      <w:color w:val="0563C1"/>
      <w:u w:val="single"/>
    </w:rPr>
  </w:style>
  <w:style w:type="paragraph" w:styleId="Header">
    <w:name w:val="header"/>
    <w:basedOn w:val="Normal"/>
    <w:link w:val="HeaderChar"/>
    <w:uiPriority w:val="99"/>
    <w:unhideWhenUsed/>
    <w:rsid w:val="00C83347"/>
    <w:pPr>
      <w:tabs>
        <w:tab w:val="center" w:pos="4680"/>
        <w:tab w:val="right" w:pos="9360"/>
      </w:tabs>
      <w:spacing w:after="0" w:line="240" w:lineRule="auto"/>
      <w:ind w:left="-5" w:hanging="10"/>
    </w:pPr>
    <w:rPr>
      <w:rFonts w:eastAsia="Calibri" w:cs="Calibri"/>
      <w:color w:val="444444"/>
      <w:sz w:val="24"/>
      <w:lang w:eastAsia="en-US"/>
    </w:rPr>
  </w:style>
  <w:style w:type="character" w:customStyle="1" w:styleId="HeaderChar">
    <w:name w:val="Header Char"/>
    <w:basedOn w:val="DefaultParagraphFont"/>
    <w:link w:val="Header"/>
    <w:uiPriority w:val="99"/>
    <w:rsid w:val="00C83347"/>
    <w:rPr>
      <w:rFonts w:ascii="Calibri" w:eastAsia="Calibri" w:hAnsi="Calibri" w:cs="Calibri"/>
      <w:color w:val="444444"/>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08A6"/>
    <w:pPr>
      <w:spacing w:after="200" w:line="276" w:lineRule="auto"/>
    </w:pPr>
    <w:rPr>
      <w:rFonts w:ascii="Calibri" w:eastAsia="SimSun" w:hAnsi="Calibri"/>
      <w:lang w:val="en-US" w:eastAsia="zh-CN"/>
    </w:rPr>
  </w:style>
  <w:style w:type="paragraph" w:styleId="Heading1">
    <w:name w:val="heading 1"/>
    <w:basedOn w:val="Normal"/>
    <w:link w:val="Heading1Char"/>
    <w:uiPriority w:val="9"/>
    <w:qFormat/>
    <w:rsid w:val="00622C2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622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quot;List Paragraph&quot;"/>
    <w:rsid w:val="00E60BF8"/>
    <w:pPr>
      <w:spacing w:after="200" w:line="276" w:lineRule="auto"/>
      <w:ind w:left="720"/>
    </w:pPr>
    <w:rPr>
      <w:rFonts w:ascii="Calibri" w:eastAsia="SimSun" w:hAnsi="Calibri"/>
      <w:lang w:val="en-US" w:eastAsia="zh-CN"/>
    </w:rPr>
  </w:style>
  <w:style w:type="character" w:customStyle="1" w:styleId="Heading1Char">
    <w:name w:val="Heading 1 Char"/>
    <w:basedOn w:val="DefaultParagraphFont"/>
    <w:link w:val="Heading1"/>
    <w:uiPriority w:val="9"/>
    <w:rsid w:val="00622C2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22C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622C2E"/>
    <w:rPr>
      <w:i/>
      <w:iCs/>
    </w:rPr>
  </w:style>
  <w:style w:type="character" w:styleId="Strong">
    <w:name w:val="Strong"/>
    <w:basedOn w:val="DefaultParagraphFont"/>
    <w:uiPriority w:val="22"/>
    <w:qFormat/>
    <w:rsid w:val="00622C2E"/>
    <w:rPr>
      <w:b/>
      <w:bCs/>
    </w:rPr>
  </w:style>
  <w:style w:type="character" w:customStyle="1" w:styleId="Heading2Char">
    <w:name w:val="Heading 2 Char"/>
    <w:basedOn w:val="DefaultParagraphFont"/>
    <w:link w:val="Heading2"/>
    <w:uiPriority w:val="9"/>
    <w:semiHidden/>
    <w:rsid w:val="00622C2E"/>
    <w:rPr>
      <w:rFonts w:asciiTheme="majorHAnsi" w:eastAsiaTheme="majorEastAsia" w:hAnsiTheme="majorHAnsi" w:cstheme="majorBidi"/>
      <w:color w:val="2E74B5" w:themeColor="accent1" w:themeShade="BF"/>
      <w:sz w:val="26"/>
      <w:szCs w:val="26"/>
      <w:lang w:val="en-US" w:eastAsia="zh-CN"/>
    </w:rPr>
  </w:style>
  <w:style w:type="paragraph" w:styleId="NoSpacing">
    <w:name w:val="No Spacing"/>
    <w:uiPriority w:val="1"/>
    <w:qFormat/>
    <w:rsid w:val="00C85B4F"/>
    <w:pPr>
      <w:spacing w:after="0" w:line="240" w:lineRule="auto"/>
    </w:pPr>
    <w:rPr>
      <w:rFonts w:ascii="Calibri" w:eastAsia="SimSun" w:hAnsi="Calibri"/>
      <w:lang w:val="en-US" w:eastAsia="zh-CN"/>
    </w:rPr>
  </w:style>
  <w:style w:type="character" w:styleId="Hyperlink">
    <w:name w:val="Hyperlink"/>
    <w:rsid w:val="00C83347"/>
    <w:rPr>
      <w:rFonts w:ascii="Calibri" w:eastAsia="SimSun" w:hAnsi="Calibri" w:cs="Times New Roman"/>
      <w:color w:val="0563C1"/>
      <w:u w:val="single"/>
    </w:rPr>
  </w:style>
  <w:style w:type="paragraph" w:styleId="Header">
    <w:name w:val="header"/>
    <w:basedOn w:val="Normal"/>
    <w:link w:val="HeaderChar"/>
    <w:uiPriority w:val="99"/>
    <w:unhideWhenUsed/>
    <w:rsid w:val="00C83347"/>
    <w:pPr>
      <w:tabs>
        <w:tab w:val="center" w:pos="4680"/>
        <w:tab w:val="right" w:pos="9360"/>
      </w:tabs>
      <w:spacing w:after="0" w:line="240" w:lineRule="auto"/>
      <w:ind w:left="-5" w:hanging="10"/>
    </w:pPr>
    <w:rPr>
      <w:rFonts w:eastAsia="Calibri" w:cs="Calibri"/>
      <w:color w:val="444444"/>
      <w:sz w:val="24"/>
      <w:lang w:eastAsia="en-US"/>
    </w:rPr>
  </w:style>
  <w:style w:type="character" w:customStyle="1" w:styleId="HeaderChar">
    <w:name w:val="Header Char"/>
    <w:basedOn w:val="DefaultParagraphFont"/>
    <w:link w:val="Header"/>
    <w:uiPriority w:val="99"/>
    <w:rsid w:val="00C83347"/>
    <w:rPr>
      <w:rFonts w:ascii="Calibri" w:eastAsia="Calibri" w:hAnsi="Calibri" w:cs="Calibri"/>
      <w:color w:val="444444"/>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60547">
      <w:bodyDiv w:val="1"/>
      <w:marLeft w:val="0"/>
      <w:marRight w:val="0"/>
      <w:marTop w:val="0"/>
      <w:marBottom w:val="0"/>
      <w:divBdr>
        <w:top w:val="none" w:sz="0" w:space="0" w:color="auto"/>
        <w:left w:val="none" w:sz="0" w:space="0" w:color="auto"/>
        <w:bottom w:val="none" w:sz="0" w:space="0" w:color="auto"/>
        <w:right w:val="none" w:sz="0" w:space="0" w:color="auto"/>
      </w:divBdr>
      <w:divsChild>
        <w:div w:id="1875801160">
          <w:marLeft w:val="0"/>
          <w:marRight w:val="0"/>
          <w:marTop w:val="0"/>
          <w:marBottom w:val="0"/>
          <w:divBdr>
            <w:top w:val="none" w:sz="0" w:space="0" w:color="auto"/>
            <w:left w:val="none" w:sz="0" w:space="0" w:color="auto"/>
            <w:bottom w:val="none" w:sz="0" w:space="0" w:color="auto"/>
            <w:right w:val="none" w:sz="0" w:space="0" w:color="auto"/>
          </w:divBdr>
          <w:divsChild>
            <w:div w:id="736900770">
              <w:marLeft w:val="0"/>
              <w:marRight w:val="0"/>
              <w:marTop w:val="0"/>
              <w:marBottom w:val="0"/>
              <w:divBdr>
                <w:top w:val="none" w:sz="0" w:space="0" w:color="auto"/>
                <w:left w:val="none" w:sz="0" w:space="0" w:color="auto"/>
                <w:bottom w:val="none" w:sz="0" w:space="0" w:color="auto"/>
                <w:right w:val="none" w:sz="0" w:space="0" w:color="auto"/>
              </w:divBdr>
              <w:divsChild>
                <w:div w:id="903880951">
                  <w:marLeft w:val="0"/>
                  <w:marRight w:val="0"/>
                  <w:marTop w:val="0"/>
                  <w:marBottom w:val="0"/>
                  <w:divBdr>
                    <w:top w:val="none" w:sz="0" w:space="0" w:color="auto"/>
                    <w:left w:val="none" w:sz="0" w:space="0" w:color="auto"/>
                    <w:bottom w:val="none" w:sz="0" w:space="0" w:color="auto"/>
                    <w:right w:val="none" w:sz="0" w:space="0" w:color="auto"/>
                  </w:divBdr>
                  <w:divsChild>
                    <w:div w:id="796218298">
                      <w:marLeft w:val="0"/>
                      <w:marRight w:val="0"/>
                      <w:marTop w:val="0"/>
                      <w:marBottom w:val="0"/>
                      <w:divBdr>
                        <w:top w:val="none" w:sz="0" w:space="0" w:color="auto"/>
                        <w:left w:val="none" w:sz="0" w:space="0" w:color="auto"/>
                        <w:bottom w:val="none" w:sz="0" w:space="0" w:color="auto"/>
                        <w:right w:val="none" w:sz="0" w:space="0" w:color="auto"/>
                      </w:divBdr>
                      <w:divsChild>
                        <w:div w:id="919755140">
                          <w:marLeft w:val="0"/>
                          <w:marRight w:val="0"/>
                          <w:marTop w:val="0"/>
                          <w:marBottom w:val="0"/>
                          <w:divBdr>
                            <w:top w:val="none" w:sz="0" w:space="0" w:color="auto"/>
                            <w:left w:val="none" w:sz="0" w:space="0" w:color="auto"/>
                            <w:bottom w:val="none" w:sz="0" w:space="0" w:color="auto"/>
                            <w:right w:val="none" w:sz="0" w:space="0" w:color="auto"/>
                          </w:divBdr>
                          <w:divsChild>
                            <w:div w:id="2391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775877">
          <w:marLeft w:val="0"/>
          <w:marRight w:val="0"/>
          <w:marTop w:val="0"/>
          <w:marBottom w:val="0"/>
          <w:divBdr>
            <w:top w:val="none" w:sz="0" w:space="0" w:color="auto"/>
            <w:left w:val="none" w:sz="0" w:space="0" w:color="auto"/>
            <w:bottom w:val="none" w:sz="0" w:space="0" w:color="auto"/>
            <w:right w:val="none" w:sz="0" w:space="0" w:color="auto"/>
          </w:divBdr>
          <w:divsChild>
            <w:div w:id="1963880921">
              <w:marLeft w:val="0"/>
              <w:marRight w:val="0"/>
              <w:marTop w:val="0"/>
              <w:marBottom w:val="0"/>
              <w:divBdr>
                <w:top w:val="none" w:sz="0" w:space="0" w:color="auto"/>
                <w:left w:val="none" w:sz="0" w:space="0" w:color="auto"/>
                <w:bottom w:val="none" w:sz="0" w:space="0" w:color="auto"/>
                <w:right w:val="none" w:sz="0" w:space="0" w:color="auto"/>
              </w:divBdr>
              <w:divsChild>
                <w:div w:id="422068091">
                  <w:marLeft w:val="0"/>
                  <w:marRight w:val="0"/>
                  <w:marTop w:val="0"/>
                  <w:marBottom w:val="0"/>
                  <w:divBdr>
                    <w:top w:val="none" w:sz="0" w:space="0" w:color="auto"/>
                    <w:left w:val="none" w:sz="0" w:space="0" w:color="auto"/>
                    <w:bottom w:val="none" w:sz="0" w:space="0" w:color="auto"/>
                    <w:right w:val="none" w:sz="0" w:space="0" w:color="auto"/>
                  </w:divBdr>
                  <w:divsChild>
                    <w:div w:id="632712077">
                      <w:marLeft w:val="0"/>
                      <w:marRight w:val="0"/>
                      <w:marTop w:val="0"/>
                      <w:marBottom w:val="0"/>
                      <w:divBdr>
                        <w:top w:val="none" w:sz="0" w:space="0" w:color="auto"/>
                        <w:left w:val="none" w:sz="0" w:space="0" w:color="auto"/>
                        <w:bottom w:val="none" w:sz="0" w:space="0" w:color="auto"/>
                        <w:right w:val="none" w:sz="0" w:space="0" w:color="auto"/>
                      </w:divBdr>
                      <w:divsChild>
                        <w:div w:id="1300500799">
                          <w:marLeft w:val="0"/>
                          <w:marRight w:val="0"/>
                          <w:marTop w:val="0"/>
                          <w:marBottom w:val="0"/>
                          <w:divBdr>
                            <w:top w:val="none" w:sz="0" w:space="0" w:color="auto"/>
                            <w:left w:val="none" w:sz="0" w:space="0" w:color="auto"/>
                            <w:bottom w:val="none" w:sz="0" w:space="0" w:color="auto"/>
                            <w:right w:val="none" w:sz="0" w:space="0" w:color="auto"/>
                          </w:divBdr>
                          <w:divsChild>
                            <w:div w:id="1300645004">
                              <w:marLeft w:val="0"/>
                              <w:marRight w:val="0"/>
                              <w:marTop w:val="0"/>
                              <w:marBottom w:val="0"/>
                              <w:divBdr>
                                <w:top w:val="none" w:sz="0" w:space="0" w:color="auto"/>
                                <w:left w:val="none" w:sz="0" w:space="0" w:color="auto"/>
                                <w:bottom w:val="none" w:sz="0" w:space="0" w:color="auto"/>
                                <w:right w:val="none" w:sz="0" w:space="0" w:color="auto"/>
                              </w:divBdr>
                              <w:divsChild>
                                <w:div w:id="5838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07497">
          <w:marLeft w:val="0"/>
          <w:marRight w:val="0"/>
          <w:marTop w:val="0"/>
          <w:marBottom w:val="0"/>
          <w:divBdr>
            <w:top w:val="none" w:sz="0" w:space="0" w:color="auto"/>
            <w:left w:val="none" w:sz="0" w:space="0" w:color="auto"/>
            <w:bottom w:val="none" w:sz="0" w:space="0" w:color="auto"/>
            <w:right w:val="none" w:sz="0" w:space="0" w:color="auto"/>
          </w:divBdr>
          <w:divsChild>
            <w:div w:id="195585418">
              <w:marLeft w:val="0"/>
              <w:marRight w:val="0"/>
              <w:marTop w:val="0"/>
              <w:marBottom w:val="0"/>
              <w:divBdr>
                <w:top w:val="none" w:sz="0" w:space="0" w:color="auto"/>
                <w:left w:val="none" w:sz="0" w:space="0" w:color="auto"/>
                <w:bottom w:val="none" w:sz="0" w:space="0" w:color="auto"/>
                <w:right w:val="none" w:sz="0" w:space="0" w:color="auto"/>
              </w:divBdr>
              <w:divsChild>
                <w:div w:id="1926497180">
                  <w:marLeft w:val="0"/>
                  <w:marRight w:val="0"/>
                  <w:marTop w:val="0"/>
                  <w:marBottom w:val="0"/>
                  <w:divBdr>
                    <w:top w:val="none" w:sz="0" w:space="0" w:color="auto"/>
                    <w:left w:val="none" w:sz="0" w:space="0" w:color="auto"/>
                    <w:bottom w:val="none" w:sz="0" w:space="0" w:color="auto"/>
                    <w:right w:val="none" w:sz="0" w:space="0" w:color="auto"/>
                  </w:divBdr>
                  <w:divsChild>
                    <w:div w:id="1144811744">
                      <w:marLeft w:val="0"/>
                      <w:marRight w:val="0"/>
                      <w:marTop w:val="0"/>
                      <w:marBottom w:val="0"/>
                      <w:divBdr>
                        <w:top w:val="none" w:sz="0" w:space="0" w:color="auto"/>
                        <w:left w:val="none" w:sz="0" w:space="0" w:color="auto"/>
                        <w:bottom w:val="none" w:sz="0" w:space="0" w:color="auto"/>
                        <w:right w:val="none" w:sz="0" w:space="0" w:color="auto"/>
                      </w:divBdr>
                      <w:divsChild>
                        <w:div w:id="387345494">
                          <w:marLeft w:val="0"/>
                          <w:marRight w:val="0"/>
                          <w:marTop w:val="0"/>
                          <w:marBottom w:val="0"/>
                          <w:divBdr>
                            <w:top w:val="none" w:sz="0" w:space="0" w:color="auto"/>
                            <w:left w:val="none" w:sz="0" w:space="0" w:color="auto"/>
                            <w:bottom w:val="none" w:sz="0" w:space="0" w:color="auto"/>
                            <w:right w:val="none" w:sz="0" w:space="0" w:color="auto"/>
                          </w:divBdr>
                          <w:divsChild>
                            <w:div w:id="19713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ijfoodmicro.2022.109814"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hyperlink" Target="https://doi.org/10.9734/BMRJ/2013/2367" TargetMode="Externa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hyperlink" Target="https://doi.org/10.47430/ujmr.1611.02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Bluetooth\TEEJ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GLUCOSE STANDARD</a:t>
            </a:r>
          </a:p>
        </c:rich>
      </c:tx>
      <c:overlay val="0"/>
      <c:spPr>
        <a:noFill/>
        <a:ln>
          <a:noFill/>
        </a:ln>
        <a:effectLst/>
      </c:spPr>
    </c:title>
    <c:autoTitleDeleted val="0"/>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Sheet10!$B$22</c:f>
              <c:strCache>
                <c:ptCount val="1"/>
                <c:pt idx="0">
                  <c:v>1st Reagent</c:v>
                </c:pt>
              </c:strCache>
            </c:strRef>
          </c:tx>
          <c:spPr>
            <a:solidFill>
              <a:schemeClr val="accent1"/>
            </a:solidFill>
            <a:ln>
              <a:noFill/>
            </a:ln>
            <a:effectLst/>
            <a:sp3d/>
          </c:spPr>
          <c:cat>
            <c:strRef>
              <c:f>Sheet10!$C$21:$M$21</c:f>
              <c:strCache>
                <c:ptCount val="11"/>
                <c:pt idx="0">
                  <c:v>0</c:v>
                </c:pt>
                <c:pt idx="1">
                  <c:v>10mg|ml</c:v>
                </c:pt>
                <c:pt idx="2">
                  <c:v>20mg|ml</c:v>
                </c:pt>
                <c:pt idx="3">
                  <c:v>30mg|ml</c:v>
                </c:pt>
                <c:pt idx="4">
                  <c:v>40mg|ml</c:v>
                </c:pt>
                <c:pt idx="5">
                  <c:v>50mg|ml</c:v>
                </c:pt>
                <c:pt idx="6">
                  <c:v>60mg|ml</c:v>
                </c:pt>
                <c:pt idx="7">
                  <c:v>70mg|ml</c:v>
                </c:pt>
                <c:pt idx="8">
                  <c:v>80mg|ml</c:v>
                </c:pt>
                <c:pt idx="9">
                  <c:v>90mg|ml</c:v>
                </c:pt>
                <c:pt idx="10">
                  <c:v>100mg|ml</c:v>
                </c:pt>
              </c:strCache>
            </c:strRef>
          </c:cat>
          <c:val>
            <c:numRef>
              <c:f>Sheet10!$C$22:$M$22</c:f>
              <c:numCache>
                <c:formatCode>General</c:formatCode>
                <c:ptCount val="11"/>
                <c:pt idx="0">
                  <c:v>1.3009999999999999</c:v>
                </c:pt>
                <c:pt idx="1">
                  <c:v>1.621</c:v>
                </c:pt>
                <c:pt idx="2">
                  <c:v>1.615</c:v>
                </c:pt>
                <c:pt idx="3">
                  <c:v>1.6080000000000001</c:v>
                </c:pt>
                <c:pt idx="4">
                  <c:v>1.6120000000000001</c:v>
                </c:pt>
                <c:pt idx="5">
                  <c:v>1.615</c:v>
                </c:pt>
                <c:pt idx="6">
                  <c:v>1.7</c:v>
                </c:pt>
                <c:pt idx="7">
                  <c:v>1.6319999999999999</c:v>
                </c:pt>
                <c:pt idx="8">
                  <c:v>1.62</c:v>
                </c:pt>
                <c:pt idx="9">
                  <c:v>1.613</c:v>
                </c:pt>
                <c:pt idx="10">
                  <c:v>1.9019999999999999</c:v>
                </c:pt>
              </c:numCache>
            </c:numRef>
          </c:val>
          <c:smooth val="0"/>
          <c:extLst xmlns:c16r2="http://schemas.microsoft.com/office/drawing/2015/06/chart">
            <c:ext xmlns:c16="http://schemas.microsoft.com/office/drawing/2014/chart" uri="{C3380CC4-5D6E-409C-BE32-E72D297353CC}">
              <c16:uniqueId val="{00000000-D499-4C91-A010-325627BE6D4D}"/>
            </c:ext>
          </c:extLst>
        </c:ser>
        <c:ser>
          <c:idx val="1"/>
          <c:order val="1"/>
          <c:tx>
            <c:strRef>
              <c:f>Sheet10!$B$23</c:f>
              <c:strCache>
                <c:ptCount val="1"/>
                <c:pt idx="0">
                  <c:v>2nd Reagent</c:v>
                </c:pt>
              </c:strCache>
            </c:strRef>
          </c:tx>
          <c:spPr>
            <a:solidFill>
              <a:schemeClr val="accent2"/>
            </a:solidFill>
            <a:ln>
              <a:noFill/>
            </a:ln>
            <a:effectLst/>
            <a:sp3d/>
          </c:spPr>
          <c:cat>
            <c:strRef>
              <c:f>Sheet10!$C$21:$M$21</c:f>
              <c:strCache>
                <c:ptCount val="11"/>
                <c:pt idx="0">
                  <c:v>0</c:v>
                </c:pt>
                <c:pt idx="1">
                  <c:v>10mg|ml</c:v>
                </c:pt>
                <c:pt idx="2">
                  <c:v>20mg|ml</c:v>
                </c:pt>
                <c:pt idx="3">
                  <c:v>30mg|ml</c:v>
                </c:pt>
                <c:pt idx="4">
                  <c:v>40mg|ml</c:v>
                </c:pt>
                <c:pt idx="5">
                  <c:v>50mg|ml</c:v>
                </c:pt>
                <c:pt idx="6">
                  <c:v>60mg|ml</c:v>
                </c:pt>
                <c:pt idx="7">
                  <c:v>70mg|ml</c:v>
                </c:pt>
                <c:pt idx="8">
                  <c:v>80mg|ml</c:v>
                </c:pt>
                <c:pt idx="9">
                  <c:v>90mg|ml</c:v>
                </c:pt>
                <c:pt idx="10">
                  <c:v>100mg|ml</c:v>
                </c:pt>
              </c:strCache>
            </c:strRef>
          </c:cat>
          <c:val>
            <c:numRef>
              <c:f>Sheet10!$C$23:$M$23</c:f>
              <c:numCache>
                <c:formatCode>General</c:formatCode>
                <c:ptCount val="11"/>
                <c:pt idx="0">
                  <c:v>1.302</c:v>
                </c:pt>
                <c:pt idx="1">
                  <c:v>1.62</c:v>
                </c:pt>
                <c:pt idx="2">
                  <c:v>1.6140000000000001</c:v>
                </c:pt>
                <c:pt idx="3">
                  <c:v>1.609</c:v>
                </c:pt>
                <c:pt idx="4">
                  <c:v>1.611</c:v>
                </c:pt>
                <c:pt idx="5">
                  <c:v>1.6140000000000001</c:v>
                </c:pt>
                <c:pt idx="6">
                  <c:v>1.7010000000000001</c:v>
                </c:pt>
                <c:pt idx="7">
                  <c:v>1.6319999999999999</c:v>
                </c:pt>
                <c:pt idx="8">
                  <c:v>1.619</c:v>
                </c:pt>
                <c:pt idx="9">
                  <c:v>1.63</c:v>
                </c:pt>
                <c:pt idx="10">
                  <c:v>1.9019999999999999</c:v>
                </c:pt>
              </c:numCache>
            </c:numRef>
          </c:val>
          <c:smooth val="0"/>
          <c:extLst xmlns:c16r2="http://schemas.microsoft.com/office/drawing/2015/06/chart">
            <c:ext xmlns:c16="http://schemas.microsoft.com/office/drawing/2014/chart" uri="{C3380CC4-5D6E-409C-BE32-E72D297353CC}">
              <c16:uniqueId val="{00000001-D499-4C91-A010-325627BE6D4D}"/>
            </c:ext>
          </c:extLst>
        </c:ser>
        <c:dLbls>
          <c:showLegendKey val="0"/>
          <c:showVal val="0"/>
          <c:showCatName val="0"/>
          <c:showSerName val="0"/>
          <c:showPercent val="0"/>
          <c:showBubbleSize val="0"/>
        </c:dLbls>
        <c:axId val="171159552"/>
        <c:axId val="147684672"/>
        <c:axId val="173891584"/>
      </c:line3DChart>
      <c:catAx>
        <c:axId val="17115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84672"/>
        <c:crosses val="autoZero"/>
        <c:auto val="1"/>
        <c:lblAlgn val="ctr"/>
        <c:lblOffset val="100"/>
        <c:noMultiLvlLbl val="0"/>
      </c:catAx>
      <c:valAx>
        <c:axId val="147684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Glucose value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59552"/>
        <c:crosses val="autoZero"/>
        <c:crossBetween val="between"/>
      </c:valAx>
      <c:serAx>
        <c:axId val="173891584"/>
        <c:scaling>
          <c:orientation val="minMax"/>
        </c:scaling>
        <c:delete val="1"/>
        <c:axPos val="b"/>
        <c:majorTickMark val="out"/>
        <c:minorTickMark val="none"/>
        <c:tickLblPos val="nextTo"/>
        <c:crossAx val="147684672"/>
        <c:crosses val="autoZero"/>
      </c:ser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pH on Cellulose Activity</a:t>
            </a:r>
          </a:p>
        </c:rich>
      </c:tx>
      <c:overlay val="0"/>
      <c:spPr>
        <a:noFill/>
        <a:ln>
          <a:noFill/>
        </a:ln>
        <a:effectLst/>
      </c:spPr>
    </c:title>
    <c:autoTitleDeleted val="0"/>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Sheet8!$I$2</c:f>
              <c:strCache>
                <c:ptCount val="1"/>
                <c:pt idx="0">
                  <c:v>Result</c:v>
                </c:pt>
              </c:strCache>
            </c:strRef>
          </c:tx>
          <c:spPr>
            <a:solidFill>
              <a:schemeClr val="accent1"/>
            </a:solidFill>
            <a:ln>
              <a:noFill/>
            </a:ln>
            <a:effectLst/>
            <a:sp3d/>
          </c:spPr>
          <c:cat>
            <c:strRef>
              <c:f>Sheet8!$H$3:$H$8</c:f>
              <c:strCache>
                <c:ptCount val="6"/>
                <c:pt idx="0">
                  <c:v>P pH3</c:v>
                </c:pt>
                <c:pt idx="1">
                  <c:v>P pH4</c:v>
                </c:pt>
                <c:pt idx="2">
                  <c:v>P pH5</c:v>
                </c:pt>
                <c:pt idx="3">
                  <c:v>P pH6</c:v>
                </c:pt>
                <c:pt idx="4">
                  <c:v>P pH7</c:v>
                </c:pt>
                <c:pt idx="5">
                  <c:v>P pH8</c:v>
                </c:pt>
              </c:strCache>
            </c:strRef>
          </c:cat>
          <c:val>
            <c:numRef>
              <c:f>Sheet8!$I$3:$I$8</c:f>
              <c:numCache>
                <c:formatCode>General</c:formatCode>
                <c:ptCount val="6"/>
                <c:pt idx="0">
                  <c:v>0.22900000000000001</c:v>
                </c:pt>
                <c:pt idx="1">
                  <c:v>0.65700000000000003</c:v>
                </c:pt>
                <c:pt idx="2">
                  <c:v>0.27100000000000002</c:v>
                </c:pt>
                <c:pt idx="3">
                  <c:v>0.498</c:v>
                </c:pt>
                <c:pt idx="4">
                  <c:v>0.30499999999999999</c:v>
                </c:pt>
                <c:pt idx="5">
                  <c:v>0.27700000000000002</c:v>
                </c:pt>
              </c:numCache>
            </c:numRef>
          </c:val>
          <c:smooth val="0"/>
          <c:extLst xmlns:c16r2="http://schemas.microsoft.com/office/drawing/2015/06/chart">
            <c:ext xmlns:c16="http://schemas.microsoft.com/office/drawing/2014/chart" uri="{C3380CC4-5D6E-409C-BE32-E72D297353CC}">
              <c16:uniqueId val="{00000000-1501-42F3-9198-B27E1A2677F0}"/>
            </c:ext>
          </c:extLst>
        </c:ser>
        <c:dLbls>
          <c:showLegendKey val="0"/>
          <c:showVal val="0"/>
          <c:showCatName val="0"/>
          <c:showSerName val="0"/>
          <c:showPercent val="0"/>
          <c:showBubbleSize val="0"/>
        </c:dLbls>
        <c:axId val="171163136"/>
        <c:axId val="148438336"/>
        <c:axId val="147618304"/>
      </c:line3DChart>
      <c:catAx>
        <c:axId val="171163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Sample/pH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438336"/>
        <c:crosses val="autoZero"/>
        <c:auto val="1"/>
        <c:lblAlgn val="ctr"/>
        <c:lblOffset val="100"/>
        <c:noMultiLvlLbl val="0"/>
      </c:catAx>
      <c:valAx>
        <c:axId val="1484383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Cellulous activity</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163136"/>
        <c:crosses val="autoZero"/>
        <c:crossBetween val="between"/>
      </c:valAx>
      <c:serAx>
        <c:axId val="147618304"/>
        <c:scaling>
          <c:orientation val="minMax"/>
        </c:scaling>
        <c:delete val="1"/>
        <c:axPos val="b"/>
        <c:majorTickMark val="out"/>
        <c:minorTickMark val="none"/>
        <c:tickLblPos val="nextTo"/>
        <c:crossAx val="148438336"/>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Sheet9!$M$10</c:f>
              <c:strCache>
                <c:ptCount val="1"/>
                <c:pt idx="0">
                  <c:v>Cellulose</c:v>
                </c:pt>
              </c:strCache>
            </c:strRef>
          </c:tx>
          <c:spPr>
            <a:solidFill>
              <a:schemeClr val="accent1"/>
            </a:solidFill>
            <a:ln>
              <a:noFill/>
            </a:ln>
            <a:effectLst/>
            <a:sp3d/>
          </c:spPr>
          <c:cat>
            <c:numRef>
              <c:f>Sheet9!$L$11:$L$18</c:f>
              <c:numCache>
                <c:formatCode>General</c:formatCode>
                <c:ptCount val="8"/>
                <c:pt idx="0">
                  <c:v>30</c:v>
                </c:pt>
                <c:pt idx="1">
                  <c:v>40</c:v>
                </c:pt>
                <c:pt idx="2">
                  <c:v>50</c:v>
                </c:pt>
                <c:pt idx="3">
                  <c:v>60</c:v>
                </c:pt>
                <c:pt idx="4">
                  <c:v>70</c:v>
                </c:pt>
                <c:pt idx="5">
                  <c:v>80</c:v>
                </c:pt>
                <c:pt idx="6">
                  <c:v>90</c:v>
                </c:pt>
                <c:pt idx="7">
                  <c:v>100</c:v>
                </c:pt>
              </c:numCache>
            </c:numRef>
          </c:cat>
          <c:val>
            <c:numRef>
              <c:f>Sheet9!$M$11:$M$18</c:f>
              <c:numCache>
                <c:formatCode>0.000</c:formatCode>
                <c:ptCount val="8"/>
                <c:pt idx="0">
                  <c:v>3.6999999999999998E-2</c:v>
                </c:pt>
                <c:pt idx="1">
                  <c:v>3.5499999999999997E-2</c:v>
                </c:pt>
                <c:pt idx="2">
                  <c:v>5.9000000000000004E-2</c:v>
                </c:pt>
                <c:pt idx="3">
                  <c:v>0.19450000000000001</c:v>
                </c:pt>
                <c:pt idx="4">
                  <c:v>0.10700000000000001</c:v>
                </c:pt>
                <c:pt idx="5">
                  <c:v>0.21850000000000003</c:v>
                </c:pt>
                <c:pt idx="6">
                  <c:v>0.32050000000000001</c:v>
                </c:pt>
                <c:pt idx="7">
                  <c:v>0.1585</c:v>
                </c:pt>
              </c:numCache>
            </c:numRef>
          </c:val>
          <c:smooth val="0"/>
          <c:extLst xmlns:c16r2="http://schemas.microsoft.com/office/drawing/2015/06/chart">
            <c:ext xmlns:c16="http://schemas.microsoft.com/office/drawing/2014/chart" uri="{C3380CC4-5D6E-409C-BE32-E72D297353CC}">
              <c16:uniqueId val="{00000000-C613-42C6-897D-F0036A46C2E2}"/>
            </c:ext>
          </c:extLst>
        </c:ser>
        <c:dLbls>
          <c:showLegendKey val="0"/>
          <c:showVal val="0"/>
          <c:showCatName val="0"/>
          <c:showSerName val="0"/>
          <c:showPercent val="0"/>
          <c:showBubbleSize val="0"/>
        </c:dLbls>
        <c:axId val="175189504"/>
        <c:axId val="179429952"/>
        <c:axId val="173892224"/>
      </c:line3DChart>
      <c:catAx>
        <c:axId val="175189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29952"/>
        <c:crosses val="autoZero"/>
        <c:auto val="1"/>
        <c:lblAlgn val="ctr"/>
        <c:lblOffset val="100"/>
        <c:noMultiLvlLbl val="0"/>
      </c:catAx>
      <c:valAx>
        <c:axId val="179429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of Cellulose</a:t>
                </a:r>
              </a:p>
            </c:rich>
          </c:tx>
          <c:overlay val="0"/>
          <c:spPr>
            <a:noFill/>
            <a:ln>
              <a:noFill/>
            </a:ln>
            <a:effectLst/>
          </c:sp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189504"/>
        <c:crosses val="autoZero"/>
        <c:crossBetween val="between"/>
      </c:valAx>
      <c:serAx>
        <c:axId val="173892224"/>
        <c:scaling>
          <c:orientation val="minMax"/>
        </c:scaling>
        <c:delete val="1"/>
        <c:axPos val="b"/>
        <c:majorTickMark val="out"/>
        <c:minorTickMark val="none"/>
        <c:tickLblPos val="nextTo"/>
        <c:crossAx val="179429952"/>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Effects of carbon on cellulose</a:t>
            </a:r>
          </a:p>
        </c:rich>
      </c:tx>
      <c:overlay val="0"/>
      <c:spPr>
        <a:noFill/>
        <a:ln>
          <a:noFill/>
        </a:ln>
        <a:effectLst/>
      </c:spPr>
    </c:title>
    <c:autoTitleDeleted val="0"/>
    <c:plotArea>
      <c:layout/>
      <c:barChart>
        <c:barDir val="col"/>
        <c:grouping val="clustered"/>
        <c:varyColors val="0"/>
        <c:ser>
          <c:idx val="0"/>
          <c:order val="0"/>
          <c:tx>
            <c:strRef>
              <c:f>Sheet9!$A$3</c:f>
              <c:strCache>
                <c:ptCount val="1"/>
                <c:pt idx="0">
                  <c:v>Corn cob</c:v>
                </c:pt>
              </c:strCache>
            </c:strRef>
          </c:tx>
          <c:spPr>
            <a:solidFill>
              <a:schemeClr val="accent1"/>
            </a:solidFill>
            <a:ln>
              <a:noFill/>
            </a:ln>
            <a:effectLst/>
          </c:spPr>
          <c:invertIfNegative val="0"/>
          <c:cat>
            <c:strRef>
              <c:f>Sheet9!$B$2:$H$2</c:f>
              <c:strCache>
                <c:ptCount val="7"/>
                <c:pt idx="0">
                  <c:v>Blank</c:v>
                </c:pt>
                <c:pt idx="1">
                  <c:v>1hr</c:v>
                </c:pt>
                <c:pt idx="2">
                  <c:v>2hr</c:v>
                </c:pt>
                <c:pt idx="3">
                  <c:v>3hr</c:v>
                </c:pt>
                <c:pt idx="4">
                  <c:v>4hr</c:v>
                </c:pt>
                <c:pt idx="5">
                  <c:v>5hr</c:v>
                </c:pt>
                <c:pt idx="6">
                  <c:v>6hr</c:v>
                </c:pt>
              </c:strCache>
            </c:strRef>
          </c:cat>
          <c:val>
            <c:numRef>
              <c:f>Sheet9!$B$3:$H$3</c:f>
              <c:numCache>
                <c:formatCode>0.000</c:formatCode>
                <c:ptCount val="7"/>
                <c:pt idx="0" formatCode="General">
                  <c:v>0</c:v>
                </c:pt>
                <c:pt idx="1">
                  <c:v>0.40100000000000002</c:v>
                </c:pt>
                <c:pt idx="2">
                  <c:v>0.51200000000000001</c:v>
                </c:pt>
                <c:pt idx="3">
                  <c:v>0.623</c:v>
                </c:pt>
                <c:pt idx="4">
                  <c:v>0.73399999999999999</c:v>
                </c:pt>
                <c:pt idx="5">
                  <c:v>0.81499999999999995</c:v>
                </c:pt>
                <c:pt idx="6">
                  <c:v>0.89300000000000002</c:v>
                </c:pt>
              </c:numCache>
            </c:numRef>
          </c:val>
          <c:extLst xmlns:c16r2="http://schemas.microsoft.com/office/drawing/2015/06/chart">
            <c:ext xmlns:c16="http://schemas.microsoft.com/office/drawing/2014/chart" uri="{C3380CC4-5D6E-409C-BE32-E72D297353CC}">
              <c16:uniqueId val="{00000000-78DF-4FE4-B28A-D2FA8BFE4679}"/>
            </c:ext>
          </c:extLst>
        </c:ser>
        <c:ser>
          <c:idx val="1"/>
          <c:order val="1"/>
          <c:tx>
            <c:strRef>
              <c:f>Sheet9!$A$4</c:f>
              <c:strCache>
                <c:ptCount val="1"/>
                <c:pt idx="0">
                  <c:v>Sawdust</c:v>
                </c:pt>
              </c:strCache>
            </c:strRef>
          </c:tx>
          <c:spPr>
            <a:solidFill>
              <a:schemeClr val="accent2"/>
            </a:solidFill>
            <a:ln>
              <a:noFill/>
            </a:ln>
            <a:effectLst/>
          </c:spPr>
          <c:invertIfNegative val="0"/>
          <c:cat>
            <c:strRef>
              <c:f>Sheet9!$B$2:$H$2</c:f>
              <c:strCache>
                <c:ptCount val="7"/>
                <c:pt idx="0">
                  <c:v>Blank</c:v>
                </c:pt>
                <c:pt idx="1">
                  <c:v>1hr</c:v>
                </c:pt>
                <c:pt idx="2">
                  <c:v>2hr</c:v>
                </c:pt>
                <c:pt idx="3">
                  <c:v>3hr</c:v>
                </c:pt>
                <c:pt idx="4">
                  <c:v>4hr</c:v>
                </c:pt>
                <c:pt idx="5">
                  <c:v>5hr</c:v>
                </c:pt>
                <c:pt idx="6">
                  <c:v>6hr</c:v>
                </c:pt>
              </c:strCache>
            </c:strRef>
          </c:cat>
          <c:val>
            <c:numRef>
              <c:f>Sheet9!$B$4:$H$4</c:f>
              <c:numCache>
                <c:formatCode>0.000</c:formatCode>
                <c:ptCount val="7"/>
                <c:pt idx="0" formatCode="General">
                  <c:v>0</c:v>
                </c:pt>
                <c:pt idx="1">
                  <c:v>0.40600000000000003</c:v>
                </c:pt>
                <c:pt idx="2">
                  <c:v>0.498</c:v>
                </c:pt>
                <c:pt idx="3">
                  <c:v>0.59599999999999997</c:v>
                </c:pt>
                <c:pt idx="4">
                  <c:v>0.69199999999999995</c:v>
                </c:pt>
                <c:pt idx="5">
                  <c:v>0.77500000000000002</c:v>
                </c:pt>
                <c:pt idx="6">
                  <c:v>0.85799999999999998</c:v>
                </c:pt>
              </c:numCache>
            </c:numRef>
          </c:val>
          <c:extLst xmlns:c16r2="http://schemas.microsoft.com/office/drawing/2015/06/chart">
            <c:ext xmlns:c16="http://schemas.microsoft.com/office/drawing/2014/chart" uri="{C3380CC4-5D6E-409C-BE32-E72D297353CC}">
              <c16:uniqueId val="{00000001-78DF-4FE4-B28A-D2FA8BFE4679}"/>
            </c:ext>
          </c:extLst>
        </c:ser>
        <c:ser>
          <c:idx val="2"/>
          <c:order val="2"/>
          <c:tx>
            <c:strRef>
              <c:f>Sheet9!$A$5</c:f>
              <c:strCache>
                <c:ptCount val="1"/>
                <c:pt idx="0">
                  <c:v>Pepper</c:v>
                </c:pt>
              </c:strCache>
            </c:strRef>
          </c:tx>
          <c:spPr>
            <a:solidFill>
              <a:schemeClr val="accent3"/>
            </a:solidFill>
            <a:ln>
              <a:noFill/>
            </a:ln>
            <a:effectLst/>
          </c:spPr>
          <c:invertIfNegative val="0"/>
          <c:cat>
            <c:strRef>
              <c:f>Sheet9!$B$2:$H$2</c:f>
              <c:strCache>
                <c:ptCount val="7"/>
                <c:pt idx="0">
                  <c:v>Blank</c:v>
                </c:pt>
                <c:pt idx="1">
                  <c:v>1hr</c:v>
                </c:pt>
                <c:pt idx="2">
                  <c:v>2hr</c:v>
                </c:pt>
                <c:pt idx="3">
                  <c:v>3hr</c:v>
                </c:pt>
                <c:pt idx="4">
                  <c:v>4hr</c:v>
                </c:pt>
                <c:pt idx="5">
                  <c:v>5hr</c:v>
                </c:pt>
                <c:pt idx="6">
                  <c:v>6hr</c:v>
                </c:pt>
              </c:strCache>
            </c:strRef>
          </c:cat>
          <c:val>
            <c:numRef>
              <c:f>Sheet9!$B$5:$H$5</c:f>
              <c:numCache>
                <c:formatCode>0.000</c:formatCode>
                <c:ptCount val="7"/>
                <c:pt idx="0" formatCode="General">
                  <c:v>0</c:v>
                </c:pt>
                <c:pt idx="1">
                  <c:v>0.39900000000000002</c:v>
                </c:pt>
                <c:pt idx="2">
                  <c:v>0.47499999999999998</c:v>
                </c:pt>
                <c:pt idx="3">
                  <c:v>0.54900000000000004</c:v>
                </c:pt>
                <c:pt idx="4">
                  <c:v>0.623</c:v>
                </c:pt>
                <c:pt idx="5">
                  <c:v>0.70099999999999996</c:v>
                </c:pt>
                <c:pt idx="6">
                  <c:v>0.77900000000000003</c:v>
                </c:pt>
              </c:numCache>
            </c:numRef>
          </c:val>
          <c:extLst xmlns:c16r2="http://schemas.microsoft.com/office/drawing/2015/06/chart">
            <c:ext xmlns:c16="http://schemas.microsoft.com/office/drawing/2014/chart" uri="{C3380CC4-5D6E-409C-BE32-E72D297353CC}">
              <c16:uniqueId val="{00000002-78DF-4FE4-B28A-D2FA8BFE4679}"/>
            </c:ext>
          </c:extLst>
        </c:ser>
        <c:ser>
          <c:idx val="3"/>
          <c:order val="3"/>
          <c:tx>
            <c:strRef>
              <c:f>Sheet9!$A$6</c:f>
              <c:strCache>
                <c:ptCount val="1"/>
                <c:pt idx="0">
                  <c:v>Corn husk</c:v>
                </c:pt>
              </c:strCache>
            </c:strRef>
          </c:tx>
          <c:spPr>
            <a:solidFill>
              <a:schemeClr val="accent4"/>
            </a:solidFill>
            <a:ln>
              <a:noFill/>
            </a:ln>
            <a:effectLst/>
          </c:spPr>
          <c:invertIfNegative val="0"/>
          <c:cat>
            <c:strRef>
              <c:f>Sheet9!$B$2:$H$2</c:f>
              <c:strCache>
                <c:ptCount val="7"/>
                <c:pt idx="0">
                  <c:v>Blank</c:v>
                </c:pt>
                <c:pt idx="1">
                  <c:v>1hr</c:v>
                </c:pt>
                <c:pt idx="2">
                  <c:v>2hr</c:v>
                </c:pt>
                <c:pt idx="3">
                  <c:v>3hr</c:v>
                </c:pt>
                <c:pt idx="4">
                  <c:v>4hr</c:v>
                </c:pt>
                <c:pt idx="5">
                  <c:v>5hr</c:v>
                </c:pt>
                <c:pt idx="6">
                  <c:v>6hr</c:v>
                </c:pt>
              </c:strCache>
            </c:strRef>
          </c:cat>
          <c:val>
            <c:numRef>
              <c:f>Sheet9!$B$6:$H$6</c:f>
              <c:numCache>
                <c:formatCode>0.000</c:formatCode>
                <c:ptCount val="7"/>
                <c:pt idx="0" formatCode="General">
                  <c:v>0</c:v>
                </c:pt>
                <c:pt idx="1">
                  <c:v>0.4</c:v>
                </c:pt>
                <c:pt idx="2">
                  <c:v>0.52800000000000002</c:v>
                </c:pt>
                <c:pt idx="3">
                  <c:v>0.65500000000000003</c:v>
                </c:pt>
                <c:pt idx="4">
                  <c:v>0.78200000000000003</c:v>
                </c:pt>
                <c:pt idx="5">
                  <c:v>0.86299999999999999</c:v>
                </c:pt>
                <c:pt idx="6">
                  <c:v>0.92200000000000004</c:v>
                </c:pt>
              </c:numCache>
            </c:numRef>
          </c:val>
          <c:extLst xmlns:c16r2="http://schemas.microsoft.com/office/drawing/2015/06/chart">
            <c:ext xmlns:c16="http://schemas.microsoft.com/office/drawing/2014/chart" uri="{C3380CC4-5D6E-409C-BE32-E72D297353CC}">
              <c16:uniqueId val="{00000003-78DF-4FE4-B28A-D2FA8BFE4679}"/>
            </c:ext>
          </c:extLst>
        </c:ser>
        <c:ser>
          <c:idx val="4"/>
          <c:order val="4"/>
          <c:tx>
            <c:strRef>
              <c:f>Sheet9!$A$7</c:f>
              <c:strCache>
                <c:ptCount val="1"/>
                <c:pt idx="0">
                  <c:v>Banana peels</c:v>
                </c:pt>
              </c:strCache>
            </c:strRef>
          </c:tx>
          <c:spPr>
            <a:solidFill>
              <a:schemeClr val="accent5"/>
            </a:solidFill>
            <a:ln>
              <a:noFill/>
            </a:ln>
            <a:effectLst/>
          </c:spPr>
          <c:invertIfNegative val="0"/>
          <c:cat>
            <c:strRef>
              <c:f>Sheet9!$B$2:$H$2</c:f>
              <c:strCache>
                <c:ptCount val="7"/>
                <c:pt idx="0">
                  <c:v>Blank</c:v>
                </c:pt>
                <c:pt idx="1">
                  <c:v>1hr</c:v>
                </c:pt>
                <c:pt idx="2">
                  <c:v>2hr</c:v>
                </c:pt>
                <c:pt idx="3">
                  <c:v>3hr</c:v>
                </c:pt>
                <c:pt idx="4">
                  <c:v>4hr</c:v>
                </c:pt>
                <c:pt idx="5">
                  <c:v>5hr</c:v>
                </c:pt>
                <c:pt idx="6">
                  <c:v>6hr</c:v>
                </c:pt>
              </c:strCache>
            </c:strRef>
          </c:cat>
          <c:val>
            <c:numRef>
              <c:f>Sheet9!$B$7:$H$7</c:f>
              <c:numCache>
                <c:formatCode>0.000</c:formatCode>
                <c:ptCount val="7"/>
                <c:pt idx="0" formatCode="General">
                  <c:v>0</c:v>
                </c:pt>
                <c:pt idx="1">
                  <c:v>0.38900000000000001</c:v>
                </c:pt>
                <c:pt idx="2">
                  <c:v>0.50700000000000001</c:v>
                </c:pt>
                <c:pt idx="3">
                  <c:v>0.61299999999999999</c:v>
                </c:pt>
                <c:pt idx="4">
                  <c:v>0.71899999999999997</c:v>
                </c:pt>
                <c:pt idx="5">
                  <c:v>0.80500000000000005</c:v>
                </c:pt>
                <c:pt idx="6">
                  <c:v>0.88100000000000001</c:v>
                </c:pt>
              </c:numCache>
            </c:numRef>
          </c:val>
          <c:extLst xmlns:c16r2="http://schemas.microsoft.com/office/drawing/2015/06/chart">
            <c:ext xmlns:c16="http://schemas.microsoft.com/office/drawing/2014/chart" uri="{C3380CC4-5D6E-409C-BE32-E72D297353CC}">
              <c16:uniqueId val="{00000004-78DF-4FE4-B28A-D2FA8BFE4679}"/>
            </c:ext>
          </c:extLst>
        </c:ser>
        <c:dLbls>
          <c:showLegendKey val="0"/>
          <c:showVal val="0"/>
          <c:showCatName val="0"/>
          <c:showSerName val="0"/>
          <c:showPercent val="0"/>
          <c:showBubbleSize val="0"/>
        </c:dLbls>
        <c:gapWidth val="219"/>
        <c:overlap val="-27"/>
        <c:axId val="175186944"/>
        <c:axId val="179431680"/>
      </c:barChart>
      <c:catAx>
        <c:axId val="17518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31680"/>
        <c:crosses val="autoZero"/>
        <c:auto val="1"/>
        <c:lblAlgn val="ctr"/>
        <c:lblOffset val="100"/>
        <c:noMultiLvlLbl val="0"/>
      </c:catAx>
      <c:valAx>
        <c:axId val="179431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18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Metals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Sheet10!$R$6</c:f>
              <c:strCache>
                <c:ptCount val="1"/>
                <c:pt idx="0">
                  <c:v>Blank</c:v>
                </c:pt>
              </c:strCache>
            </c:strRef>
          </c:tx>
          <c:spPr>
            <a:solidFill>
              <a:schemeClr val="accent1"/>
            </a:solidFill>
            <a:ln>
              <a:noFill/>
            </a:ln>
            <a:effectLst/>
            <a:sp3d/>
          </c:spPr>
          <c:invertIfNegative val="0"/>
          <c:cat>
            <c:strRef>
              <c:f>Sheet10!$Q$7:$Q$11</c:f>
              <c:strCache>
                <c:ptCount val="5"/>
                <c:pt idx="0">
                  <c:v>HCl</c:v>
                </c:pt>
                <c:pt idx="1">
                  <c:v>BaCl</c:v>
                </c:pt>
                <c:pt idx="2">
                  <c:v>CaCl</c:v>
                </c:pt>
                <c:pt idx="3">
                  <c:v>NaCl</c:v>
                </c:pt>
                <c:pt idx="4">
                  <c:v>CoCl</c:v>
                </c:pt>
              </c:strCache>
            </c:strRef>
          </c:cat>
          <c:val>
            <c:numRef>
              <c:f>Sheet10!$R$7:$R$11</c:f>
              <c:numCache>
                <c:formatCode>0.000</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0-0537-43ED-9DFF-04722CDE38AF}"/>
            </c:ext>
          </c:extLst>
        </c:ser>
        <c:ser>
          <c:idx val="1"/>
          <c:order val="1"/>
          <c:tx>
            <c:strRef>
              <c:f>Sheet10!$S$6</c:f>
              <c:strCache>
                <c:ptCount val="1"/>
                <c:pt idx="0">
                  <c:v>T1</c:v>
                </c:pt>
              </c:strCache>
            </c:strRef>
          </c:tx>
          <c:spPr>
            <a:solidFill>
              <a:schemeClr val="accent2"/>
            </a:solidFill>
            <a:ln>
              <a:noFill/>
            </a:ln>
            <a:effectLst/>
            <a:sp3d/>
          </c:spPr>
          <c:invertIfNegative val="0"/>
          <c:cat>
            <c:strRef>
              <c:f>Sheet10!$Q$7:$Q$11</c:f>
              <c:strCache>
                <c:ptCount val="5"/>
                <c:pt idx="0">
                  <c:v>HCl</c:v>
                </c:pt>
                <c:pt idx="1">
                  <c:v>BaCl</c:v>
                </c:pt>
                <c:pt idx="2">
                  <c:v>CaCl</c:v>
                </c:pt>
                <c:pt idx="3">
                  <c:v>NaCl</c:v>
                </c:pt>
                <c:pt idx="4">
                  <c:v>CoCl</c:v>
                </c:pt>
              </c:strCache>
            </c:strRef>
          </c:cat>
          <c:val>
            <c:numRef>
              <c:f>Sheet10!$S$7:$S$11</c:f>
              <c:numCache>
                <c:formatCode>0.000</c:formatCode>
                <c:ptCount val="5"/>
                <c:pt idx="0">
                  <c:v>0.83333333333333337</c:v>
                </c:pt>
                <c:pt idx="1">
                  <c:v>0.81333333333333335</c:v>
                </c:pt>
                <c:pt idx="2">
                  <c:v>0.79666666666666652</c:v>
                </c:pt>
                <c:pt idx="3">
                  <c:v>0.77333333333333332</c:v>
                </c:pt>
                <c:pt idx="4">
                  <c:v>0.55066666666666675</c:v>
                </c:pt>
              </c:numCache>
            </c:numRef>
          </c:val>
          <c:extLst xmlns:c16r2="http://schemas.microsoft.com/office/drawing/2015/06/chart">
            <c:ext xmlns:c16="http://schemas.microsoft.com/office/drawing/2014/chart" uri="{C3380CC4-5D6E-409C-BE32-E72D297353CC}">
              <c16:uniqueId val="{00000001-0537-43ED-9DFF-04722CDE38AF}"/>
            </c:ext>
          </c:extLst>
        </c:ser>
        <c:ser>
          <c:idx val="2"/>
          <c:order val="2"/>
          <c:tx>
            <c:strRef>
              <c:f>Sheet10!$T$6</c:f>
              <c:strCache>
                <c:ptCount val="1"/>
                <c:pt idx="0">
                  <c:v>T2</c:v>
                </c:pt>
              </c:strCache>
            </c:strRef>
          </c:tx>
          <c:spPr>
            <a:solidFill>
              <a:schemeClr val="accent3"/>
            </a:solidFill>
            <a:ln>
              <a:noFill/>
            </a:ln>
            <a:effectLst/>
            <a:sp3d/>
          </c:spPr>
          <c:invertIfNegative val="0"/>
          <c:cat>
            <c:strRef>
              <c:f>Sheet10!$Q$7:$Q$11</c:f>
              <c:strCache>
                <c:ptCount val="5"/>
                <c:pt idx="0">
                  <c:v>HCl</c:v>
                </c:pt>
                <c:pt idx="1">
                  <c:v>BaCl</c:v>
                </c:pt>
                <c:pt idx="2">
                  <c:v>CaCl</c:v>
                </c:pt>
                <c:pt idx="3">
                  <c:v>NaCl</c:v>
                </c:pt>
                <c:pt idx="4">
                  <c:v>CoCl</c:v>
                </c:pt>
              </c:strCache>
            </c:strRef>
          </c:cat>
          <c:val>
            <c:numRef>
              <c:f>Sheet10!$T$7:$T$11</c:f>
              <c:numCache>
                <c:formatCode>0.000</c:formatCode>
                <c:ptCount val="5"/>
                <c:pt idx="0">
                  <c:v>0.97000000000000008</c:v>
                </c:pt>
                <c:pt idx="1">
                  <c:v>0.94999999999999984</c:v>
                </c:pt>
                <c:pt idx="2">
                  <c:v>0.93333333333333324</c:v>
                </c:pt>
                <c:pt idx="3">
                  <c:v>0.89666666666666661</c:v>
                </c:pt>
                <c:pt idx="4">
                  <c:v>0.71333333333333337</c:v>
                </c:pt>
              </c:numCache>
            </c:numRef>
          </c:val>
          <c:extLst xmlns:c16r2="http://schemas.microsoft.com/office/drawing/2015/06/chart">
            <c:ext xmlns:c16="http://schemas.microsoft.com/office/drawing/2014/chart" uri="{C3380CC4-5D6E-409C-BE32-E72D297353CC}">
              <c16:uniqueId val="{00000002-0537-43ED-9DFF-04722CDE38AF}"/>
            </c:ext>
          </c:extLst>
        </c:ser>
        <c:ser>
          <c:idx val="3"/>
          <c:order val="3"/>
          <c:tx>
            <c:strRef>
              <c:f>Sheet10!$U$6</c:f>
              <c:strCache>
                <c:ptCount val="1"/>
                <c:pt idx="0">
                  <c:v>Control</c:v>
                </c:pt>
              </c:strCache>
            </c:strRef>
          </c:tx>
          <c:spPr>
            <a:solidFill>
              <a:schemeClr val="accent4"/>
            </a:solidFill>
            <a:ln>
              <a:noFill/>
            </a:ln>
            <a:effectLst/>
            <a:sp3d/>
          </c:spPr>
          <c:invertIfNegative val="0"/>
          <c:cat>
            <c:strRef>
              <c:f>Sheet10!$Q$7:$Q$11</c:f>
              <c:strCache>
                <c:ptCount val="5"/>
                <c:pt idx="0">
                  <c:v>HCl</c:v>
                </c:pt>
                <c:pt idx="1">
                  <c:v>BaCl</c:v>
                </c:pt>
                <c:pt idx="2">
                  <c:v>CaCl</c:v>
                </c:pt>
                <c:pt idx="3">
                  <c:v>NaCl</c:v>
                </c:pt>
                <c:pt idx="4">
                  <c:v>CoCl</c:v>
                </c:pt>
              </c:strCache>
            </c:strRef>
          </c:cat>
          <c:val>
            <c:numRef>
              <c:f>Sheet10!$U$7:$U$11</c:f>
              <c:numCache>
                <c:formatCode>0.000</c:formatCode>
                <c:ptCount val="5"/>
                <c:pt idx="0">
                  <c:v>0.63</c:v>
                </c:pt>
                <c:pt idx="1">
                  <c:v>0.54499999999999993</c:v>
                </c:pt>
                <c:pt idx="2">
                  <c:v>0.54</c:v>
                </c:pt>
                <c:pt idx="3">
                  <c:v>0.53500000000000003</c:v>
                </c:pt>
                <c:pt idx="4">
                  <c:v>0.56333333333333335</c:v>
                </c:pt>
              </c:numCache>
            </c:numRef>
          </c:val>
          <c:extLst xmlns:c16r2="http://schemas.microsoft.com/office/drawing/2015/06/chart">
            <c:ext xmlns:c16="http://schemas.microsoft.com/office/drawing/2014/chart" uri="{C3380CC4-5D6E-409C-BE32-E72D297353CC}">
              <c16:uniqueId val="{00000003-0537-43ED-9DFF-04722CDE38AF}"/>
            </c:ext>
          </c:extLst>
        </c:ser>
        <c:dLbls>
          <c:showLegendKey val="0"/>
          <c:showVal val="0"/>
          <c:showCatName val="0"/>
          <c:showSerName val="0"/>
          <c:showPercent val="0"/>
          <c:showBubbleSize val="0"/>
        </c:dLbls>
        <c:gapWidth val="150"/>
        <c:shape val="box"/>
        <c:axId val="172456960"/>
        <c:axId val="179433408"/>
        <c:axId val="0"/>
      </c:bar3DChart>
      <c:catAx>
        <c:axId val="172456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33408"/>
        <c:crosses val="autoZero"/>
        <c:auto val="1"/>
        <c:lblAlgn val="ctr"/>
        <c:lblOffset val="100"/>
        <c:noMultiLvlLbl val="0"/>
      </c:catAx>
      <c:valAx>
        <c:axId val="179433408"/>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5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Kinetic Parameters</a:t>
            </a:r>
          </a:p>
        </c:rich>
      </c:tx>
      <c:overlay val="0"/>
      <c:spPr>
        <a:noFill/>
        <a:ln>
          <a:noFill/>
        </a:ln>
        <a:effectLst/>
      </c:spPr>
    </c:title>
    <c:autoTitleDeleted val="0"/>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spPr>
            <a:solidFill>
              <a:schemeClr val="accent1"/>
            </a:solidFill>
            <a:ln>
              <a:noFill/>
            </a:ln>
            <a:effectLst/>
            <a:sp3d/>
          </c:spPr>
          <c:cat>
            <c:strRef>
              <c:f>Sheet10!$A$2:$K$2</c:f>
              <c:strCache>
                <c:ptCount val="11"/>
                <c:pt idx="0">
                  <c:v>K0</c:v>
                </c:pt>
                <c:pt idx="1">
                  <c:v>K0.1</c:v>
                </c:pt>
                <c:pt idx="2">
                  <c:v>K0.2</c:v>
                </c:pt>
                <c:pt idx="3">
                  <c:v>K0.3</c:v>
                </c:pt>
                <c:pt idx="4">
                  <c:v>K0.4</c:v>
                </c:pt>
                <c:pt idx="5">
                  <c:v>K0.5</c:v>
                </c:pt>
                <c:pt idx="6">
                  <c:v>K0.6</c:v>
                </c:pt>
                <c:pt idx="7">
                  <c:v>K0.7</c:v>
                </c:pt>
                <c:pt idx="8">
                  <c:v>K0.8</c:v>
                </c:pt>
                <c:pt idx="9">
                  <c:v>K0.9</c:v>
                </c:pt>
                <c:pt idx="10">
                  <c:v>K1.0</c:v>
                </c:pt>
              </c:strCache>
            </c:strRef>
          </c:cat>
          <c:val>
            <c:numRef>
              <c:f>Sheet10!$A$3:$K$3</c:f>
              <c:numCache>
                <c:formatCode>General</c:formatCode>
                <c:ptCount val="11"/>
                <c:pt idx="0">
                  <c:v>0.6</c:v>
                </c:pt>
                <c:pt idx="1">
                  <c:v>0.58799999999999997</c:v>
                </c:pt>
                <c:pt idx="2">
                  <c:v>0.57599999999999996</c:v>
                </c:pt>
                <c:pt idx="3">
                  <c:v>0.56499999999999995</c:v>
                </c:pt>
                <c:pt idx="4">
                  <c:v>0.55400000000000005</c:v>
                </c:pt>
                <c:pt idx="5">
                  <c:v>0.54400000000000004</c:v>
                </c:pt>
                <c:pt idx="6">
                  <c:v>0.53400000000000003</c:v>
                </c:pt>
                <c:pt idx="7">
                  <c:v>0.52500000000000002</c:v>
                </c:pt>
                <c:pt idx="8">
                  <c:v>0.51600000000000001</c:v>
                </c:pt>
                <c:pt idx="9">
                  <c:v>0.50800000000000001</c:v>
                </c:pt>
                <c:pt idx="10">
                  <c:v>0.60499999999999998</c:v>
                </c:pt>
              </c:numCache>
            </c:numRef>
          </c:val>
          <c:smooth val="0"/>
          <c:extLst xmlns:c16r2="http://schemas.microsoft.com/office/drawing/2015/06/chart">
            <c:ext xmlns:c16="http://schemas.microsoft.com/office/drawing/2014/chart" uri="{C3380CC4-5D6E-409C-BE32-E72D297353CC}">
              <c16:uniqueId val="{00000000-7BEC-4778-820F-FBAD61F679CF}"/>
            </c:ext>
          </c:extLst>
        </c:ser>
        <c:dLbls>
          <c:showLegendKey val="0"/>
          <c:showVal val="0"/>
          <c:showCatName val="0"/>
          <c:showSerName val="0"/>
          <c:showPercent val="0"/>
          <c:showBubbleSize val="0"/>
        </c:dLbls>
        <c:axId val="176895488"/>
        <c:axId val="179435136"/>
        <c:axId val="173878400"/>
      </c:line3DChart>
      <c:catAx>
        <c:axId val="17689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35136"/>
        <c:crosses val="autoZero"/>
        <c:auto val="1"/>
        <c:lblAlgn val="ctr"/>
        <c:lblOffset val="100"/>
        <c:noMultiLvlLbl val="0"/>
      </c:catAx>
      <c:valAx>
        <c:axId val="179435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95488"/>
        <c:crosses val="autoZero"/>
        <c:crossBetween val="between"/>
      </c:valAx>
      <c:serAx>
        <c:axId val="173878400"/>
        <c:scaling>
          <c:orientation val="minMax"/>
        </c:scaling>
        <c:delete val="1"/>
        <c:axPos val="b"/>
        <c:majorTickMark val="out"/>
        <c:minorTickMark val="none"/>
        <c:tickLblPos val="nextTo"/>
        <c:crossAx val="179435136"/>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DBBC-52F7-4069-80BE-97416736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15</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30</cp:revision>
  <dcterms:created xsi:type="dcterms:W3CDTF">2026-02-25T18:36:00Z</dcterms:created>
  <dcterms:modified xsi:type="dcterms:W3CDTF">2026-03-05T11:27:00Z</dcterms:modified>
</cp:coreProperties>
</file>