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8E" w:rsidRDefault="008F055D">
      <w:pPr>
        <w:pStyle w:val="NormalWeb"/>
        <w:spacing w:before="0" w:beforeAutospacing="0" w:after="240" w:afterAutospacing="0"/>
        <w:jc w:val="center"/>
        <w:rPr>
          <w:b/>
          <w:bCs/>
          <w:sz w:val="36"/>
          <w:szCs w:val="36"/>
        </w:rPr>
      </w:pPr>
      <w:r>
        <w:rPr>
          <w:b/>
          <w:bCs/>
          <w:sz w:val="36"/>
          <w:szCs w:val="36"/>
          <w:lang w:val="en-GB"/>
        </w:rPr>
        <w:t>Malaria Transmission Hotspots in Off-Campus University Lodges: The Role of Micro-Environmental Conditions in Southeastern Nigeria</w:t>
      </w:r>
      <w:r>
        <w:rPr>
          <w:b/>
          <w:bCs/>
          <w:sz w:val="36"/>
          <w:szCs w:val="36"/>
        </w:rPr>
        <w:t>.</w:t>
      </w:r>
    </w:p>
    <w:p w:rsidR="00070F8E" w:rsidRDefault="00070F8E">
      <w:pPr>
        <w:spacing w:after="100" w:afterAutospacing="1" w:line="240" w:lineRule="auto"/>
        <w:rPr>
          <w:rFonts w:ascii="Times New Roman" w:eastAsia="Times New Roman" w:hAnsi="Times New Roman"/>
          <w:sz w:val="24"/>
          <w:szCs w:val="24"/>
        </w:rPr>
      </w:pPr>
      <w:bookmarkStart w:id="0" w:name="_GoBack"/>
      <w:bookmarkEnd w:id="0"/>
    </w:p>
    <w:p w:rsidR="00070F8E" w:rsidRDefault="00070F8E">
      <w:pPr>
        <w:spacing w:line="240" w:lineRule="auto"/>
        <w:jc w:val="both"/>
        <w:rPr>
          <w:rFonts w:ascii="Times New Roman" w:hAnsi="Times New Roman"/>
          <w:b/>
          <w:bCs/>
          <w:sz w:val="24"/>
          <w:szCs w:val="24"/>
        </w:rPr>
      </w:pPr>
    </w:p>
    <w:p w:rsidR="00070F8E" w:rsidRDefault="008F055D">
      <w:pPr>
        <w:spacing w:before="0" w:beforeAutospacing="0" w:after="0" w:line="240" w:lineRule="auto"/>
        <w:jc w:val="both"/>
        <w:rPr>
          <w:rFonts w:ascii="Times New Roman" w:hAnsi="Times New Roman"/>
          <w:b/>
          <w:bCs/>
          <w:sz w:val="24"/>
          <w:szCs w:val="24"/>
        </w:rPr>
      </w:pPr>
      <w:r>
        <w:rPr>
          <w:rFonts w:ascii="Times New Roman" w:hAnsi="Times New Roman"/>
          <w:b/>
          <w:bCs/>
          <w:sz w:val="24"/>
          <w:szCs w:val="24"/>
        </w:rPr>
        <w:t>ABSTRACT</w:t>
      </w:r>
    </w:p>
    <w:p w:rsidR="00070F8E" w:rsidRDefault="008F055D">
      <w:pPr>
        <w:spacing w:before="0" w:beforeAutospacing="0"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lang w:eastAsia="zh-CN" w:bidi="ar"/>
        </w:rPr>
        <w:t xml:space="preserve">Background: </w:t>
      </w:r>
      <w:r>
        <w:rPr>
          <w:rFonts w:ascii="Times New Roman" w:eastAsia="Times New Roman" w:hAnsi="Times New Roman"/>
          <w:color w:val="000000" w:themeColor="text1"/>
          <w:sz w:val="24"/>
          <w:szCs w:val="24"/>
          <w:lang w:eastAsia="zh-CN" w:bidi="ar"/>
        </w:rPr>
        <w:t xml:space="preserve">Malaria remains a major public health challenge in sub-Saharan Africa, with environmental conditions strongly influencing mosquito breeding and disease transmission. University communities represent </w:t>
      </w:r>
      <w:r>
        <w:rPr>
          <w:rFonts w:ascii="Times New Roman" w:eastAsia="Times New Roman" w:hAnsi="Times New Roman"/>
          <w:color w:val="000000" w:themeColor="text1"/>
          <w:sz w:val="24"/>
          <w:szCs w:val="24"/>
          <w:lang w:eastAsia="zh-CN" w:bidi="ar"/>
        </w:rPr>
        <w:t>understudied high-risk settings due to dense populations and often suboptimal residential environments.</w:t>
      </w:r>
    </w:p>
    <w:p w:rsidR="00070F8E" w:rsidRDefault="008F055D">
      <w:pPr>
        <w:spacing w:before="0" w:beforeAutospacing="0"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lang w:eastAsia="zh-CN" w:bidi="ar"/>
        </w:rPr>
        <w:t xml:space="preserve">Objective: </w:t>
      </w:r>
      <w:r>
        <w:rPr>
          <w:rFonts w:ascii="Times New Roman" w:eastAsia="Times New Roman" w:hAnsi="Times New Roman"/>
          <w:color w:val="000000" w:themeColor="text1"/>
          <w:sz w:val="24"/>
          <w:szCs w:val="24"/>
          <w:lang w:eastAsia="zh-CN" w:bidi="ar"/>
        </w:rPr>
        <w:t>This study assessed environmental factors contributing to malaria transmission among university students residing in Okofia Community, Anambr</w:t>
      </w:r>
      <w:r>
        <w:rPr>
          <w:rFonts w:ascii="Times New Roman" w:eastAsia="Times New Roman" w:hAnsi="Times New Roman"/>
          <w:color w:val="000000" w:themeColor="text1"/>
          <w:sz w:val="24"/>
          <w:szCs w:val="24"/>
          <w:lang w:eastAsia="zh-CN" w:bidi="ar"/>
        </w:rPr>
        <w:t>a State, Nigeria.</w:t>
      </w:r>
    </w:p>
    <w:p w:rsidR="00070F8E" w:rsidRDefault="008F055D">
      <w:pPr>
        <w:spacing w:before="0" w:beforeAutospacing="0"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lang w:eastAsia="zh-CN" w:bidi="ar"/>
        </w:rPr>
        <w:t xml:space="preserve">Methods: </w:t>
      </w:r>
      <w:r>
        <w:rPr>
          <w:rFonts w:ascii="Times New Roman" w:eastAsia="Times New Roman" w:hAnsi="Times New Roman"/>
          <w:color w:val="000000" w:themeColor="text1"/>
          <w:sz w:val="24"/>
          <w:szCs w:val="24"/>
          <w:lang w:eastAsia="zh-CN" w:bidi="ar"/>
        </w:rPr>
        <w:t xml:space="preserve">A cross-sectional descriptive and observational study was conducted among 200 students residing in 20 randomly selected private lodges. Environmental parameters, including ambient temperature, relative humidity, and the presence </w:t>
      </w:r>
      <w:r>
        <w:rPr>
          <w:rFonts w:ascii="Times New Roman" w:eastAsia="Times New Roman" w:hAnsi="Times New Roman"/>
          <w:color w:val="000000" w:themeColor="text1"/>
          <w:sz w:val="24"/>
          <w:szCs w:val="24"/>
          <w:lang w:eastAsia="zh-CN" w:bidi="ar"/>
        </w:rPr>
        <w:t>of stagnant water (including clogged drainage and uncovered water receptacles around student accommodations), were assessed through direct observation and measurement over seven consecutive days. Malaria occurrence data were obtained from structured questi</w:t>
      </w:r>
      <w:r>
        <w:rPr>
          <w:rFonts w:ascii="Times New Roman" w:eastAsia="Times New Roman" w:hAnsi="Times New Roman"/>
          <w:color w:val="000000" w:themeColor="text1"/>
          <w:sz w:val="24"/>
          <w:szCs w:val="24"/>
          <w:lang w:eastAsia="zh-CN" w:bidi="ar"/>
        </w:rPr>
        <w:t xml:space="preserve">onnaires and university clinic records covering a two-month period. Descriptive statistics </w:t>
      </w:r>
      <w:r>
        <w:rPr>
          <w:rFonts w:ascii="Times New Roman" w:eastAsia="Times New Roman" w:hAnsi="Times New Roman"/>
          <w:sz w:val="24"/>
          <w:szCs w:val="24"/>
          <w:lang w:eastAsia="zh-CN" w:bidi="ar"/>
        </w:rPr>
        <w:t>were used to summarize socio-demographic variables, environmental parameters, and malaria occurrence.</w:t>
      </w:r>
    </w:p>
    <w:p w:rsidR="00070F8E" w:rsidRDefault="008F055D">
      <w:pPr>
        <w:spacing w:before="0" w:beforeAutospacing="0"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lang w:eastAsia="zh-CN" w:bidi="ar"/>
        </w:rPr>
        <w:t xml:space="preserve">Results: </w:t>
      </w:r>
      <w:r>
        <w:rPr>
          <w:rFonts w:ascii="Times New Roman" w:eastAsia="Times New Roman" w:hAnsi="Times New Roman"/>
          <w:color w:val="000000" w:themeColor="text1"/>
          <w:sz w:val="24"/>
          <w:szCs w:val="24"/>
          <w:lang w:eastAsia="zh-CN" w:bidi="ar"/>
        </w:rPr>
        <w:t>The mean ambient temperature across lodges was 28.1 °C</w:t>
      </w:r>
      <w:r>
        <w:rPr>
          <w:rFonts w:ascii="Times New Roman" w:eastAsia="Times New Roman" w:hAnsi="Times New Roman"/>
          <w:color w:val="000000" w:themeColor="text1"/>
          <w:sz w:val="24"/>
          <w:szCs w:val="24"/>
          <w:lang w:eastAsia="zh-CN" w:bidi="ar"/>
        </w:rPr>
        <w:t xml:space="preserve">, while mean relative humidity was 84.3%, both within optimal ranges for </w:t>
      </w:r>
      <w:r>
        <w:rPr>
          <w:rFonts w:ascii="Times New Roman" w:eastAsia="Times New Roman" w:hAnsi="Times New Roman"/>
          <w:i/>
          <w:iCs/>
          <w:color w:val="000000" w:themeColor="text1"/>
          <w:sz w:val="24"/>
          <w:szCs w:val="24"/>
          <w:lang w:eastAsia="zh-CN" w:bidi="ar"/>
        </w:rPr>
        <w:t>Anopheles</w:t>
      </w:r>
      <w:r>
        <w:rPr>
          <w:rFonts w:ascii="Times New Roman" w:eastAsia="Times New Roman" w:hAnsi="Times New Roman"/>
          <w:color w:val="000000" w:themeColor="text1"/>
          <w:sz w:val="24"/>
          <w:szCs w:val="24"/>
          <w:lang w:eastAsia="zh-CN" w:bidi="ar"/>
        </w:rPr>
        <w:t xml:space="preserve"> mosquito survival and </w:t>
      </w:r>
      <w:r>
        <w:rPr>
          <w:rFonts w:ascii="Times New Roman" w:eastAsia="Times New Roman" w:hAnsi="Times New Roman"/>
          <w:i/>
          <w:iCs/>
          <w:color w:val="000000" w:themeColor="text1"/>
          <w:sz w:val="24"/>
          <w:szCs w:val="24"/>
          <w:lang w:eastAsia="zh-CN" w:bidi="ar"/>
        </w:rPr>
        <w:t>Plasmodium</w:t>
      </w:r>
      <w:r>
        <w:rPr>
          <w:rFonts w:ascii="Times New Roman" w:eastAsia="Times New Roman" w:hAnsi="Times New Roman"/>
          <w:color w:val="000000" w:themeColor="text1"/>
          <w:sz w:val="24"/>
          <w:szCs w:val="24"/>
          <w:lang w:eastAsia="zh-CN" w:bidi="ar"/>
        </w:rPr>
        <w:t xml:space="preserve"> parasite development. Stagnant water, including surface water, clogged drainage, and uncovered water receptacles around students’ dwellings,</w:t>
      </w:r>
      <w:r>
        <w:rPr>
          <w:rFonts w:ascii="Times New Roman" w:eastAsia="Times New Roman" w:hAnsi="Times New Roman"/>
          <w:color w:val="000000" w:themeColor="text1"/>
          <w:sz w:val="24"/>
          <w:szCs w:val="24"/>
          <w:lang w:eastAsia="zh-CN" w:bidi="ar"/>
        </w:rPr>
        <w:t xml:space="preserve"> was widely present. A total of 229 malaria cases were recorded within two months. </w:t>
      </w:r>
    </w:p>
    <w:p w:rsidR="00070F8E" w:rsidRDefault="008F055D">
      <w:pPr>
        <w:spacing w:before="0" w:beforeAutospacing="0" w:after="0" w:line="240" w:lineRule="auto"/>
        <w:jc w:val="both"/>
        <w:rPr>
          <w:rFonts w:ascii="Times New Roman" w:eastAsia="Times New Roman" w:hAnsi="Times New Roman"/>
          <w:color w:val="000000" w:themeColor="text1"/>
          <w:sz w:val="24"/>
          <w:szCs w:val="24"/>
          <w:lang w:eastAsia="zh-CN" w:bidi="ar"/>
        </w:rPr>
      </w:pPr>
      <w:r>
        <w:rPr>
          <w:rFonts w:ascii="Times New Roman" w:eastAsia="Times New Roman" w:hAnsi="Times New Roman"/>
          <w:b/>
          <w:bCs/>
          <w:color w:val="000000" w:themeColor="text1"/>
          <w:sz w:val="24"/>
          <w:szCs w:val="24"/>
          <w:lang w:eastAsia="zh-CN" w:bidi="ar"/>
        </w:rPr>
        <w:t xml:space="preserve">Conclusion: </w:t>
      </w:r>
      <w:r>
        <w:rPr>
          <w:rFonts w:ascii="Times New Roman" w:eastAsia="Times New Roman" w:hAnsi="Times New Roman"/>
          <w:color w:val="000000" w:themeColor="text1"/>
          <w:sz w:val="24"/>
          <w:szCs w:val="24"/>
          <w:lang w:eastAsia="zh-CN" w:bidi="ar"/>
        </w:rPr>
        <w:t>Malaria transmission among university students in Okofia Community is associated with favorable environmental conditions and poor environmental sanitation manag</w:t>
      </w:r>
      <w:r>
        <w:rPr>
          <w:rFonts w:ascii="Times New Roman" w:eastAsia="Times New Roman" w:hAnsi="Times New Roman"/>
          <w:color w:val="000000" w:themeColor="text1"/>
          <w:sz w:val="24"/>
          <w:szCs w:val="24"/>
          <w:lang w:eastAsia="zh-CN" w:bidi="ar"/>
        </w:rPr>
        <w:t>ement. Factors such as stagnant surface water, clogged drainage, and uncovered water receptacles allow for prolific mosquito breeding. Integrating environmental sanitation and larval source management into malaria control strategies is essential for reduci</w:t>
      </w:r>
      <w:r>
        <w:rPr>
          <w:rFonts w:ascii="Times New Roman" w:eastAsia="Times New Roman" w:hAnsi="Times New Roman"/>
          <w:color w:val="000000" w:themeColor="text1"/>
          <w:sz w:val="24"/>
          <w:szCs w:val="24"/>
          <w:lang w:eastAsia="zh-CN" w:bidi="ar"/>
        </w:rPr>
        <w:t>ng malaria burden in university residential settings.</w:t>
      </w:r>
    </w:p>
    <w:p w:rsidR="00070F8E" w:rsidRDefault="00070F8E">
      <w:pPr>
        <w:spacing w:before="0" w:beforeAutospacing="0" w:after="0" w:line="240" w:lineRule="auto"/>
        <w:jc w:val="both"/>
        <w:rPr>
          <w:rFonts w:ascii="Times New Roman" w:eastAsia="Times New Roman" w:hAnsi="Times New Roman"/>
          <w:color w:val="000000" w:themeColor="text1"/>
          <w:sz w:val="24"/>
          <w:szCs w:val="24"/>
          <w:lang w:eastAsia="zh-CN" w:bidi="ar"/>
        </w:rPr>
      </w:pPr>
    </w:p>
    <w:p w:rsidR="00070F8E" w:rsidRDefault="008F055D">
      <w:pPr>
        <w:spacing w:before="0" w:beforeAutospacing="0"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lang w:eastAsia="zh-CN" w:bidi="ar"/>
        </w:rPr>
        <w:t>Keywords:</w:t>
      </w:r>
      <w:r>
        <w:rPr>
          <w:rFonts w:ascii="Times New Roman" w:eastAsia="Times New Roman" w:hAnsi="Times New Roman"/>
          <w:color w:val="000000" w:themeColor="text1"/>
          <w:sz w:val="24"/>
          <w:szCs w:val="24"/>
          <w:lang w:eastAsia="zh-CN" w:bidi="ar"/>
        </w:rPr>
        <w:t xml:space="preserve"> Malaria transmission; environmental factors; </w:t>
      </w:r>
      <w:r>
        <w:rPr>
          <w:rFonts w:ascii="Times New Roman" w:eastAsia="Times New Roman" w:hAnsi="Times New Roman"/>
          <w:i/>
          <w:iCs/>
          <w:color w:val="000000" w:themeColor="text1"/>
          <w:sz w:val="24"/>
          <w:szCs w:val="24"/>
          <w:lang w:eastAsia="zh-CN" w:bidi="ar"/>
        </w:rPr>
        <w:t>Anopheles</w:t>
      </w:r>
      <w:r>
        <w:rPr>
          <w:rFonts w:ascii="Times New Roman" w:eastAsia="Times New Roman" w:hAnsi="Times New Roman"/>
          <w:color w:val="000000" w:themeColor="text1"/>
          <w:sz w:val="24"/>
          <w:szCs w:val="24"/>
          <w:lang w:eastAsia="zh-CN" w:bidi="ar"/>
        </w:rPr>
        <w:t xml:space="preserve"> mosquitoes; university students</w:t>
      </w:r>
    </w:p>
    <w:p w:rsidR="00070F8E" w:rsidRDefault="00070F8E">
      <w:pPr>
        <w:rPr>
          <w:rFonts w:ascii="Times New Roman" w:hAnsi="Times New Roman"/>
          <w:b/>
          <w:sz w:val="24"/>
          <w:szCs w:val="24"/>
        </w:rPr>
      </w:pPr>
    </w:p>
    <w:p w:rsidR="00070F8E" w:rsidRDefault="008F055D">
      <w:pPr>
        <w:spacing w:before="0" w:beforeAutospacing="0" w:after="0"/>
        <w:rPr>
          <w:rFonts w:ascii="Times New Roman" w:hAnsi="Times New Roman"/>
          <w:b/>
          <w:sz w:val="24"/>
          <w:szCs w:val="24"/>
        </w:rPr>
      </w:pPr>
      <w:r>
        <w:rPr>
          <w:rFonts w:ascii="Times New Roman" w:hAnsi="Times New Roman"/>
          <w:b/>
          <w:sz w:val="28"/>
          <w:szCs w:val="28"/>
        </w:rPr>
        <w:t>INTRODUCTION</w:t>
      </w:r>
    </w:p>
    <w:p w:rsidR="00070F8E" w:rsidRDefault="008F055D">
      <w:pPr>
        <w:pStyle w:val="NormalWeb"/>
        <w:spacing w:before="0" w:beforeAutospacing="0" w:after="120" w:afterAutospacing="0"/>
        <w:jc w:val="both"/>
        <w:rPr>
          <w:color w:val="000000" w:themeColor="text1"/>
        </w:rPr>
      </w:pPr>
      <w:r>
        <w:rPr>
          <w:color w:val="000000" w:themeColor="text1"/>
        </w:rPr>
        <w:t xml:space="preserve">Malaria is a life-threatening parasitic disease caused by protozoa of the genus </w:t>
      </w:r>
      <w:r>
        <w:rPr>
          <w:rStyle w:val="Emphasis"/>
          <w:color w:val="000000" w:themeColor="text1"/>
        </w:rPr>
        <w:t>Plasmodium</w:t>
      </w:r>
      <w:r>
        <w:rPr>
          <w:color w:val="000000" w:themeColor="text1"/>
        </w:rPr>
        <w:t xml:space="preserve"> and transmitted to humans through the bites of infected female </w:t>
      </w:r>
      <w:r>
        <w:rPr>
          <w:rStyle w:val="Emphasis"/>
          <w:color w:val="000000" w:themeColor="text1"/>
        </w:rPr>
        <w:t>Anopheles</w:t>
      </w:r>
      <w:r>
        <w:rPr>
          <w:color w:val="000000" w:themeColor="text1"/>
        </w:rPr>
        <w:t xml:space="preserve"> mosquitoes. Despite sustained global control efforts over the past decades, malaria remains a major public health challenge, particularly in sub-Saharan Africa, which accounts for mo</w:t>
      </w:r>
      <w:r>
        <w:rPr>
          <w:color w:val="000000" w:themeColor="text1"/>
        </w:rPr>
        <w:t xml:space="preserve">re than 90% of global malaria cases and deaths (Oladikpo et al., 2022; </w:t>
      </w:r>
      <w:r>
        <w:rPr>
          <w:rFonts w:eastAsia="SimSun"/>
          <w:color w:val="000000" w:themeColor="text1"/>
        </w:rPr>
        <w:t xml:space="preserve">Ekhator et al., 2025; </w:t>
      </w:r>
      <w:r>
        <w:rPr>
          <w:color w:val="000000" w:themeColor="text1"/>
        </w:rPr>
        <w:t>WHO, 2020). In 2022 alone, the global malaria burden was estimated at over 249 million cases, with Nigeria contributing a substantial proportion of this burden due</w:t>
      </w:r>
      <w:r>
        <w:rPr>
          <w:color w:val="000000" w:themeColor="text1"/>
        </w:rPr>
        <w:t xml:space="preserve"> to persistent transmission and structural vulnerabilities within the health and environmental systems (Onah et al., 2024; WHO, 2023).</w:t>
      </w:r>
    </w:p>
    <w:p w:rsidR="00070F8E" w:rsidRDefault="008F055D">
      <w:pPr>
        <w:pStyle w:val="NormalWeb"/>
        <w:spacing w:before="0" w:beforeAutospacing="0" w:after="120" w:afterAutospacing="0"/>
        <w:jc w:val="both"/>
        <w:rPr>
          <w:color w:val="000000" w:themeColor="text1"/>
        </w:rPr>
      </w:pPr>
      <w:r>
        <w:rPr>
          <w:color w:val="000000" w:themeColor="text1"/>
        </w:rPr>
        <w:t>The persistence of malaria transmission is strongly influenced by environmental and climatic conditions that regulate mos</w:t>
      </w:r>
      <w:r>
        <w:rPr>
          <w:color w:val="000000" w:themeColor="text1"/>
        </w:rPr>
        <w:t xml:space="preserve">quito breeding, survival, and parasite development. Temperature is a critical determinant of malaria transmission, as it affects mosquito development rates, feeding behavior, and the duration of the sporogonic cycle </w:t>
      </w:r>
      <w:r>
        <w:rPr>
          <w:rFonts w:eastAsia="Calibri"/>
          <w:color w:val="000000" w:themeColor="text1"/>
          <w:lang w:bidi="ar"/>
        </w:rPr>
        <w:t>(the developmental phase of parasites wi</w:t>
      </w:r>
      <w:r>
        <w:rPr>
          <w:rFonts w:eastAsia="Calibri"/>
          <w:color w:val="000000" w:themeColor="text1"/>
          <w:lang w:bidi="ar"/>
        </w:rPr>
        <w:t>thin the vector)</w:t>
      </w:r>
      <w:r>
        <w:rPr>
          <w:color w:val="000000" w:themeColor="text1"/>
        </w:rPr>
        <w:t xml:space="preserve"> of </w:t>
      </w:r>
      <w:r>
        <w:rPr>
          <w:rStyle w:val="Emphasis"/>
          <w:color w:val="000000" w:themeColor="text1"/>
        </w:rPr>
        <w:t>Plasmodium</w:t>
      </w:r>
      <w:r>
        <w:rPr>
          <w:color w:val="000000" w:themeColor="text1"/>
        </w:rPr>
        <w:t>. Experimental and modeling studies have consistently shown that malaria transmission is optimized within temperature ranges of approximately 25–30 °C, where both mosquito survival and parasite development are maximized (Paaij</w:t>
      </w:r>
      <w:r>
        <w:rPr>
          <w:color w:val="000000" w:themeColor="text1"/>
        </w:rPr>
        <w:t xml:space="preserve">mans et al., 2019; Mordecai et al., </w:t>
      </w:r>
      <w:r>
        <w:rPr>
          <w:color w:val="000000" w:themeColor="text1"/>
        </w:rPr>
        <w:lastRenderedPageBreak/>
        <w:t>2020). Temperatures below or above this range can slow parasite development or reduce mosquito longevity, thereby limiting transmission potential.</w:t>
      </w:r>
    </w:p>
    <w:p w:rsidR="00070F8E" w:rsidRDefault="008F055D">
      <w:pPr>
        <w:pStyle w:val="NormalWeb"/>
        <w:spacing w:before="0" w:beforeAutospacing="0" w:after="120" w:afterAutospacing="0"/>
        <w:jc w:val="both"/>
        <w:rPr>
          <w:color w:val="000000" w:themeColor="text1"/>
        </w:rPr>
      </w:pPr>
      <w:r>
        <w:rPr>
          <w:color w:val="000000" w:themeColor="text1"/>
        </w:rPr>
        <w:t>Relative humidity is another key environmental factor influencing malaria</w:t>
      </w:r>
      <w:r>
        <w:rPr>
          <w:color w:val="000000" w:themeColor="text1"/>
        </w:rPr>
        <w:t xml:space="preserve"> transmission. High humidity enhances mosquito survival by reducing desiccation, thereby prolonging the lifespan of adult mosquitoes and increasing the likelihood that they survive long enough to transmit </w:t>
      </w:r>
      <w:r>
        <w:rPr>
          <w:rStyle w:val="Emphasis"/>
          <w:color w:val="000000" w:themeColor="text1"/>
        </w:rPr>
        <w:t>Plasmodium</w:t>
      </w:r>
      <w:r>
        <w:rPr>
          <w:color w:val="000000" w:themeColor="text1"/>
        </w:rPr>
        <w:t xml:space="preserve"> parasites. Sustained humidity levels abo</w:t>
      </w:r>
      <w:r>
        <w:rPr>
          <w:color w:val="000000" w:themeColor="text1"/>
        </w:rPr>
        <w:t xml:space="preserve">ve 60% have been associated with increased vector survival and higher malaria transmission intensity, particularly in tropical and subtropical regions (Smith et al., 2019; Paaijmans et al., 2021). Variations in humidity, often driven by rainfall patterns, </w:t>
      </w:r>
      <w:r>
        <w:rPr>
          <w:color w:val="000000" w:themeColor="text1"/>
        </w:rPr>
        <w:t>can therefore significantly alter malaria risk at local and community levels.</w:t>
      </w:r>
    </w:p>
    <w:p w:rsidR="00070F8E" w:rsidRDefault="008F055D">
      <w:pPr>
        <w:pStyle w:val="NormalWeb"/>
        <w:spacing w:before="0" w:beforeAutospacing="0" w:after="120" w:afterAutospacing="0"/>
        <w:jc w:val="both"/>
        <w:rPr>
          <w:color w:val="000000" w:themeColor="text1"/>
        </w:rPr>
      </w:pPr>
      <w:r>
        <w:rPr>
          <w:color w:val="000000" w:themeColor="text1"/>
        </w:rPr>
        <w:t xml:space="preserve">Rainfall and the availability of water-holding structures play a central role in creating and maintaining mosquito breeding habitats. Natural and artificial water bodies, including puddles, drainage channels, and domestic water storage containers, provide </w:t>
      </w:r>
      <w:r>
        <w:rPr>
          <w:color w:val="000000" w:themeColor="text1"/>
        </w:rPr>
        <w:t xml:space="preserve">suitable environments for mosquito oviposition </w:t>
      </w:r>
      <w:r>
        <w:rPr>
          <w:rFonts w:eastAsia="sans-serif"/>
          <w:color w:val="000000" w:themeColor="text1"/>
        </w:rPr>
        <w:t>(egg-laying)</w:t>
      </w:r>
      <w:r>
        <w:rPr>
          <w:color w:val="000000" w:themeColor="text1"/>
        </w:rPr>
        <w:t xml:space="preserve"> and larval development. In urban and peri-urban settings, poorly managed water receptacles such as buckets, barrels, and jerrycans have been increasingly recognized as important contributors to ma</w:t>
      </w:r>
      <w:r>
        <w:rPr>
          <w:color w:val="000000" w:themeColor="text1"/>
        </w:rPr>
        <w:t xml:space="preserve">laria transmission, especially where water supply is unreliable and households depend on water storage (Becker et al., 2019; Mordecai et al., 2019). These artificial breeding sites often occur in close proximity to human dwellings, increasing human-vector </w:t>
      </w:r>
      <w:r>
        <w:rPr>
          <w:color w:val="000000" w:themeColor="text1"/>
        </w:rPr>
        <w:t>contact.</w:t>
      </w:r>
    </w:p>
    <w:p w:rsidR="00070F8E" w:rsidRDefault="008F055D">
      <w:pPr>
        <w:pStyle w:val="NormalWeb"/>
        <w:spacing w:before="0" w:beforeAutospacing="0" w:after="120" w:afterAutospacing="0"/>
        <w:jc w:val="both"/>
        <w:rPr>
          <w:color w:val="000000" w:themeColor="text1"/>
        </w:rPr>
      </w:pPr>
      <w:r>
        <w:rPr>
          <w:color w:val="000000" w:themeColor="text1"/>
        </w:rPr>
        <w:t>Changes in land use and urbanization further modify malaria transmission dynamics by altering vector habitats and human exposure patterns. Rapid urban expansion, inadequate drainage infrastructure, and poor environmental sanitation can create micr</w:t>
      </w:r>
      <w:r>
        <w:rPr>
          <w:color w:val="000000" w:themeColor="text1"/>
        </w:rPr>
        <w:t>o-environments that favor mosquito breeding, even within densely populated residential areas (Tusting et al., 2017). While urbanization has historically been associated with reduced malaria transmission in some settings, unplanned urban growth in many low-</w:t>
      </w:r>
      <w:r>
        <w:rPr>
          <w:color w:val="000000" w:themeColor="text1"/>
        </w:rPr>
        <w:t xml:space="preserve"> and middle-income countries has led to heterogeneous malaria risk within cities and peri-urban communities.</w:t>
      </w:r>
    </w:p>
    <w:p w:rsidR="00070F8E" w:rsidRDefault="008F055D">
      <w:pPr>
        <w:spacing w:before="0" w:beforeAutospacing="0" w:after="120" w:line="240" w:lineRule="auto"/>
        <w:jc w:val="both"/>
        <w:rPr>
          <w:rFonts w:ascii="Times New Roman" w:hAnsi="Times New Roman"/>
          <w:color w:val="000000" w:themeColor="text1"/>
        </w:rPr>
      </w:pPr>
      <w:r>
        <w:rPr>
          <w:rFonts w:ascii="Times New Roman" w:eastAsia="Calibri" w:hAnsi="Times New Roman"/>
          <w:color w:val="000000" w:themeColor="text1"/>
          <w:sz w:val="24"/>
          <w:lang w:eastAsia="zh-CN" w:bidi="ar"/>
        </w:rPr>
        <w:t>University communities represent a distinct yet insufficiently explored ecological and epidemiological context for malaria transmission, particularly in off-campus student residential areas where high population density, overcrowded housing, poor drainage,</w:t>
      </w:r>
      <w:r>
        <w:rPr>
          <w:rFonts w:ascii="Times New Roman" w:eastAsia="Calibri" w:hAnsi="Times New Roman"/>
          <w:color w:val="000000" w:themeColor="text1"/>
          <w:sz w:val="24"/>
          <w:lang w:eastAsia="zh-CN" w:bidi="ar"/>
        </w:rPr>
        <w:t xml:space="preserve"> inadequate waste disposal, and widespread use of water storage containers are common. These environmental and poor sanitary conditions create favorable microhabitats for </w:t>
      </w:r>
      <w:r>
        <w:rPr>
          <w:rStyle w:val="Emphasis"/>
          <w:rFonts w:ascii="Times New Roman" w:eastAsia="Calibri" w:hAnsi="Times New Roman"/>
          <w:color w:val="000000" w:themeColor="text1"/>
          <w:sz w:val="24"/>
          <w:lang w:eastAsia="zh-CN" w:bidi="ar"/>
        </w:rPr>
        <w:t>Anopheles</w:t>
      </w:r>
      <w:r>
        <w:rPr>
          <w:rFonts w:ascii="Times New Roman" w:eastAsia="Calibri" w:hAnsi="Times New Roman"/>
          <w:color w:val="000000" w:themeColor="text1"/>
          <w:sz w:val="24"/>
          <w:lang w:eastAsia="zh-CN" w:bidi="ar"/>
        </w:rPr>
        <w:t xml:space="preserve"> mosquito breeding and contribute to the formation of localized malaria tran</w:t>
      </w:r>
      <w:r>
        <w:rPr>
          <w:rFonts w:ascii="Times New Roman" w:eastAsia="Calibri" w:hAnsi="Times New Roman"/>
          <w:color w:val="000000" w:themeColor="text1"/>
          <w:sz w:val="24"/>
          <w:lang w:eastAsia="zh-CN" w:bidi="ar"/>
        </w:rPr>
        <w:t>smission hotspots within densely populated settings (Robert et al., 2003; Tusting et al., 2013). Despite this risk profile, malaria research in Nigeria has predominantly focused on rural households, children under five years of age, pregnant women, and the</w:t>
      </w:r>
      <w:r>
        <w:rPr>
          <w:rFonts w:ascii="Times New Roman" w:eastAsia="Calibri" w:hAnsi="Times New Roman"/>
          <w:color w:val="000000" w:themeColor="text1"/>
          <w:sz w:val="24"/>
          <w:lang w:eastAsia="zh-CN" w:bidi="ar"/>
        </w:rPr>
        <w:t xml:space="preserve"> broader urban population. Limited empirical attention has been given to environmental risk factors operating within university residential environments, thereby underscoring a critical gap in current malaria epidemiological research (NPC &amp; ICF, 2019).</w:t>
      </w:r>
    </w:p>
    <w:p w:rsidR="00070F8E" w:rsidRDefault="008F055D">
      <w:pPr>
        <w:spacing w:before="0" w:beforeAutospacing="0" w:after="120" w:line="240" w:lineRule="auto"/>
        <w:jc w:val="both"/>
        <w:rPr>
          <w:rFonts w:ascii="Times New Roman" w:hAnsi="Times New Roman"/>
          <w:color w:val="000000" w:themeColor="text1"/>
          <w:sz w:val="24"/>
          <w:szCs w:val="24"/>
        </w:rPr>
      </w:pPr>
      <w:r>
        <w:rPr>
          <w:rFonts w:ascii="Times New Roman" w:eastAsia="Calibri" w:hAnsi="Times New Roman"/>
          <w:color w:val="000000" w:themeColor="text1"/>
          <w:sz w:val="24"/>
          <w:szCs w:val="24"/>
          <w:lang w:eastAsia="zh-CN" w:bidi="ar"/>
        </w:rPr>
        <w:t>Und</w:t>
      </w:r>
      <w:r>
        <w:rPr>
          <w:rFonts w:ascii="Times New Roman" w:eastAsia="Calibri" w:hAnsi="Times New Roman"/>
          <w:color w:val="000000" w:themeColor="text1"/>
          <w:sz w:val="24"/>
          <w:szCs w:val="24"/>
          <w:lang w:eastAsia="zh-CN" w:bidi="ar"/>
        </w:rPr>
        <w:t xml:space="preserve">erstanding malaria transmission in university settings is particularly important, as recurrent malaria episodes among students can impair cognitive function, reduce class attendance, and negatively affect academic performance and productivity (Fernando et </w:t>
      </w:r>
      <w:r>
        <w:rPr>
          <w:rFonts w:ascii="Times New Roman" w:eastAsia="Calibri" w:hAnsi="Times New Roman"/>
          <w:color w:val="000000" w:themeColor="text1"/>
          <w:sz w:val="24"/>
          <w:szCs w:val="24"/>
          <w:lang w:eastAsia="zh-CN" w:bidi="ar"/>
        </w:rPr>
        <w:t xml:space="preserve">al., 2003). Beyond individual academic outcomes, frequent malaria morbidity among students may also undermine overall well-being and increase demand on institutional health services. Studies show that </w:t>
      </w:r>
      <w:r>
        <w:rPr>
          <w:rFonts w:ascii="Times New Roman" w:eastAsia="Calibri" w:hAnsi="Times New Roman"/>
          <w:color w:val="000000" w:themeColor="text1"/>
          <w:sz w:val="24"/>
          <w:szCs w:val="24"/>
          <w:lang w:val="en-GB" w:eastAsia="zh-CN" w:bidi="ar"/>
        </w:rPr>
        <w:t>reductions in malaria transmission are linked to improv</w:t>
      </w:r>
      <w:r>
        <w:rPr>
          <w:rFonts w:ascii="Times New Roman" w:eastAsia="Calibri" w:hAnsi="Times New Roman"/>
          <w:color w:val="000000" w:themeColor="text1"/>
          <w:sz w:val="24"/>
          <w:szCs w:val="24"/>
          <w:lang w:val="en-GB" w:eastAsia="zh-CN" w:bidi="ar"/>
        </w:rPr>
        <w:t>ed educational outcomes, including reduced absenteeism, in endemic settings</w:t>
      </w:r>
      <w:r>
        <w:rPr>
          <w:rFonts w:ascii="Times New Roman" w:eastAsia="Calibri" w:hAnsi="Times New Roman"/>
          <w:color w:val="000000" w:themeColor="text1"/>
          <w:sz w:val="24"/>
          <w:szCs w:val="24"/>
          <w:lang w:eastAsia="zh-CN" w:bidi="ar"/>
        </w:rPr>
        <w:t xml:space="preserve"> (Machila et al., 2022).</w:t>
      </w:r>
    </w:p>
    <w:p w:rsidR="00070F8E" w:rsidRDefault="008F055D">
      <w:pPr>
        <w:pStyle w:val="NormalWeb"/>
        <w:spacing w:before="0" w:beforeAutospacing="0" w:after="0" w:afterAutospacing="0"/>
        <w:jc w:val="both"/>
      </w:pPr>
      <w:r>
        <w:rPr>
          <w:color w:val="000000" w:themeColor="text1"/>
        </w:rPr>
        <w:t>This study therefore seeks to address this gap by assessing key environmental factors, specifically ambient temperature and relative humidity, and examining</w:t>
      </w:r>
      <w:r>
        <w:rPr>
          <w:color w:val="000000" w:themeColor="text1"/>
        </w:rPr>
        <w:t xml:space="preserve"> their link to malaria occurrence among university students residing in Okofia Community, Anambra State, Nigeria. By integrating measured environmental parameters with clinic-confirmed malaria data, this study provides context-specific evidence to inform t</w:t>
      </w:r>
      <w:r>
        <w:rPr>
          <w:color w:val="000000" w:themeColor="text1"/>
        </w:rPr>
        <w:t>argeted malaria control and env</w:t>
      </w:r>
      <w:r>
        <w:t>ironmental management strategies in university residential settings.</w:t>
      </w:r>
    </w:p>
    <w:p w:rsidR="00070F8E" w:rsidRDefault="00070F8E">
      <w:pPr>
        <w:spacing w:before="0" w:beforeAutospacing="0"/>
        <w:rPr>
          <w:b/>
        </w:rPr>
      </w:pPr>
    </w:p>
    <w:p w:rsidR="00070F8E" w:rsidRDefault="008F055D">
      <w:pPr>
        <w:rPr>
          <w:rFonts w:ascii="Times New Roman" w:hAnsi="Times New Roman"/>
          <w:b/>
          <w:sz w:val="24"/>
          <w:szCs w:val="24"/>
        </w:rPr>
      </w:pPr>
      <w:r>
        <w:rPr>
          <w:rFonts w:ascii="Times New Roman" w:hAnsi="Times New Roman"/>
          <w:b/>
          <w:sz w:val="28"/>
          <w:szCs w:val="28"/>
        </w:rPr>
        <w:t>MATERIALS AND METHODS</w:t>
      </w:r>
    </w:p>
    <w:p w:rsidR="00070F8E" w:rsidRDefault="008F055D">
      <w:pPr>
        <w:spacing w:before="0" w:beforeAutospacing="0" w:after="120" w:line="240" w:lineRule="auto"/>
        <w:jc w:val="both"/>
        <w:outlineLvl w:val="2"/>
        <w:rPr>
          <w:rFonts w:ascii="Times New Roman" w:eastAsia="Times New Roman" w:hAnsi="Times New Roman"/>
          <w:sz w:val="24"/>
          <w:szCs w:val="24"/>
        </w:rPr>
      </w:pPr>
      <w:r>
        <w:rPr>
          <w:rFonts w:ascii="Times New Roman" w:eastAsia="Times New Roman" w:hAnsi="Times New Roman"/>
          <w:b/>
          <w:bCs/>
          <w:sz w:val="24"/>
          <w:szCs w:val="24"/>
          <w:lang w:eastAsia="zh-CN" w:bidi="ar"/>
        </w:rPr>
        <w:lastRenderedPageBreak/>
        <w:t xml:space="preserve">Study design and study area:  </w:t>
      </w:r>
      <w:r>
        <w:rPr>
          <w:rFonts w:ascii="Times New Roman" w:eastAsia="Times New Roman" w:hAnsi="Times New Roman"/>
          <w:sz w:val="24"/>
          <w:szCs w:val="24"/>
          <w:lang w:eastAsia="zh-CN" w:bidi="ar"/>
        </w:rPr>
        <w:t>A cross-sectional descriptive and observational study design was employed.</w:t>
      </w:r>
      <w:r>
        <w:rPr>
          <w:rFonts w:ascii="Times New Roman" w:eastAsia="Times New Roman" w:hAnsi="Times New Roman"/>
          <w:sz w:val="24"/>
          <w:szCs w:val="24"/>
        </w:rPr>
        <w:t xml:space="preserve"> </w:t>
      </w:r>
      <w:r>
        <w:rPr>
          <w:rFonts w:ascii="Times New Roman" w:eastAsia="Times New Roman" w:hAnsi="Times New Roman"/>
          <w:sz w:val="24"/>
          <w:szCs w:val="24"/>
          <w:lang w:eastAsia="zh-CN" w:bidi="ar"/>
        </w:rPr>
        <w:t xml:space="preserve">The study was conducted in </w:t>
      </w:r>
      <w:r>
        <w:rPr>
          <w:rFonts w:ascii="Times New Roman" w:eastAsia="Times New Roman" w:hAnsi="Times New Roman"/>
          <w:sz w:val="24"/>
          <w:szCs w:val="24"/>
          <w:lang w:eastAsia="zh-CN" w:bidi="ar"/>
        </w:rPr>
        <w:t>Okofia Community, Otolo-Nnewi, Nnewi North Local Government Area of Anambra State, Nigeria. The community hosts the College of Health Sciences and Technology, Nnamdi Azikiwe University, and accommodates a high concentration of off-campus student lodges/hos</w:t>
      </w:r>
      <w:r>
        <w:rPr>
          <w:rFonts w:ascii="Times New Roman" w:eastAsia="Times New Roman" w:hAnsi="Times New Roman"/>
          <w:sz w:val="24"/>
          <w:szCs w:val="24"/>
          <w:lang w:eastAsia="zh-CN" w:bidi="ar"/>
        </w:rPr>
        <w:t>tels.</w:t>
      </w:r>
    </w:p>
    <w:p w:rsidR="00070F8E" w:rsidRDefault="008F055D">
      <w:pPr>
        <w:spacing w:before="0" w:beforeAutospacing="0" w:after="120" w:line="240" w:lineRule="auto"/>
        <w:jc w:val="both"/>
        <w:outlineLvl w:val="2"/>
        <w:rPr>
          <w:rFonts w:ascii="Times New Roman" w:eastAsia="Times New Roman" w:hAnsi="Times New Roman"/>
          <w:sz w:val="24"/>
          <w:szCs w:val="24"/>
        </w:rPr>
      </w:pPr>
      <w:r>
        <w:rPr>
          <w:rFonts w:ascii="Times New Roman" w:eastAsia="Times New Roman" w:hAnsi="Times New Roman"/>
          <w:b/>
          <w:bCs/>
          <w:sz w:val="24"/>
          <w:szCs w:val="24"/>
          <w:lang w:eastAsia="zh-CN" w:bidi="ar"/>
        </w:rPr>
        <w:t xml:space="preserve">Study population, sample size and sampling technique:  </w:t>
      </w:r>
      <w:r>
        <w:rPr>
          <w:rFonts w:ascii="Times New Roman" w:eastAsia="Times New Roman" w:hAnsi="Times New Roman"/>
          <w:sz w:val="24"/>
          <w:szCs w:val="24"/>
          <w:lang w:eastAsia="zh-CN" w:bidi="ar"/>
        </w:rPr>
        <w:t>The study population comprised university students residing in private lodges within Okofia Community. Twenty (20) lodges were selected using simple random sampling. From each lodge, ten (10) stu</w:t>
      </w:r>
      <w:r>
        <w:rPr>
          <w:rFonts w:ascii="Times New Roman" w:eastAsia="Times New Roman" w:hAnsi="Times New Roman"/>
          <w:sz w:val="24"/>
          <w:szCs w:val="24"/>
          <w:lang w:eastAsia="zh-CN" w:bidi="ar"/>
        </w:rPr>
        <w:t>dents were selected using systematic sampling (odd-numbered rooms), yielding a total sample size of 200 respondents.</w:t>
      </w:r>
    </w:p>
    <w:p w:rsidR="00070F8E" w:rsidRDefault="008F055D">
      <w:pPr>
        <w:spacing w:before="0" w:beforeAutospacing="0" w:after="120" w:line="24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lang w:eastAsia="zh-CN" w:bidi="ar"/>
        </w:rPr>
        <w:t>Data collection</w:t>
      </w:r>
      <w:r>
        <w:rPr>
          <w:rFonts w:ascii="Times New Roman" w:eastAsia="Times New Roman" w:hAnsi="Times New Roman"/>
          <w:b/>
          <w:bCs/>
          <w:sz w:val="24"/>
          <w:szCs w:val="24"/>
        </w:rPr>
        <w:t xml:space="preserve">: </w:t>
      </w:r>
      <w:r>
        <w:rPr>
          <w:rFonts w:ascii="Times New Roman" w:eastAsia="Times New Roman" w:hAnsi="Times New Roman"/>
          <w:sz w:val="24"/>
          <w:szCs w:val="24"/>
          <w:lang w:eastAsia="zh-CN" w:bidi="ar"/>
        </w:rPr>
        <w:t>Data were collected using s</w:t>
      </w:r>
      <w:r>
        <w:rPr>
          <w:rFonts w:ascii="Times New Roman" w:eastAsia="Times New Roman" w:hAnsi="Times New Roman"/>
          <w:sz w:val="24"/>
          <w:szCs w:val="24"/>
        </w:rPr>
        <w:t>tructured questionnaires (socio-demographic characteristics and malaria history), university cl</w:t>
      </w:r>
      <w:r>
        <w:rPr>
          <w:rFonts w:ascii="Times New Roman" w:eastAsia="Times New Roman" w:hAnsi="Times New Roman"/>
          <w:sz w:val="24"/>
          <w:szCs w:val="24"/>
        </w:rPr>
        <w:t xml:space="preserve">inic records documenting malaria diagnoses over a two-month period, and direct environmental observation using a standardized checklist. Environmental measurements, including ambient temperature (°C) using calibrated thermometers and relative humidity (%) </w:t>
      </w:r>
      <w:r>
        <w:rPr>
          <w:rFonts w:ascii="Times New Roman" w:eastAsia="Times New Roman" w:hAnsi="Times New Roman"/>
          <w:sz w:val="24"/>
          <w:szCs w:val="24"/>
        </w:rPr>
        <w:t xml:space="preserve">using hygrometers, were </w:t>
      </w:r>
      <w:r>
        <w:rPr>
          <w:rFonts w:ascii="Times New Roman" w:eastAsia="Times New Roman" w:hAnsi="Times New Roman"/>
          <w:sz w:val="24"/>
          <w:szCs w:val="24"/>
          <w:lang w:eastAsia="zh-CN" w:bidi="ar"/>
        </w:rPr>
        <w:t xml:space="preserve">recorded daily for seven consecutive days in each lodge. Additionally, </w:t>
      </w:r>
      <w:r>
        <w:rPr>
          <w:rFonts w:ascii="Times New Roman" w:eastAsia="Times New Roman" w:hAnsi="Times New Roman"/>
          <w:color w:val="000000" w:themeColor="text1"/>
          <w:sz w:val="24"/>
          <w:szCs w:val="24"/>
          <w:lang w:eastAsia="zh-CN" w:bidi="ar"/>
        </w:rPr>
        <w:t>the presence of stagnant water (including clogged drainage and uncovered water receptacles around student accommodations), were assessed through direct observati</w:t>
      </w:r>
      <w:r>
        <w:rPr>
          <w:rFonts w:ascii="Times New Roman" w:eastAsia="Times New Roman" w:hAnsi="Times New Roman"/>
          <w:color w:val="000000" w:themeColor="text1"/>
          <w:sz w:val="24"/>
          <w:szCs w:val="24"/>
          <w:lang w:eastAsia="zh-CN" w:bidi="ar"/>
        </w:rPr>
        <w:t>on</w:t>
      </w:r>
    </w:p>
    <w:p w:rsidR="00070F8E" w:rsidRDefault="008F055D">
      <w:pPr>
        <w:spacing w:before="0" w:beforeAutospacing="0" w:after="120" w:line="240" w:lineRule="auto"/>
        <w:jc w:val="both"/>
        <w:outlineLvl w:val="2"/>
        <w:rPr>
          <w:rFonts w:ascii="Times New Roman" w:eastAsia="Times New Roman" w:hAnsi="Times New Roman"/>
          <w:sz w:val="24"/>
          <w:szCs w:val="24"/>
        </w:rPr>
      </w:pPr>
      <w:r>
        <w:rPr>
          <w:rFonts w:ascii="Times New Roman" w:eastAsia="Times New Roman" w:hAnsi="Times New Roman"/>
          <w:b/>
          <w:bCs/>
          <w:sz w:val="24"/>
          <w:szCs w:val="24"/>
          <w:lang w:eastAsia="zh-CN" w:bidi="ar"/>
        </w:rPr>
        <w:t xml:space="preserve">Statistical analysis: </w:t>
      </w:r>
      <w:r>
        <w:rPr>
          <w:rFonts w:ascii="Times New Roman" w:eastAsia="Times New Roman" w:hAnsi="Times New Roman"/>
          <w:sz w:val="24"/>
          <w:szCs w:val="24"/>
          <w:lang w:eastAsia="zh-CN" w:bidi="ar"/>
        </w:rPr>
        <w:t>Data were analyzed using IBM SPSS Statistics (version 21). Descriptive statistics were used to summarize socio-demographic variables, environmental parameters, and malaria occurrence.</w:t>
      </w:r>
    </w:p>
    <w:p w:rsidR="00070F8E" w:rsidRDefault="008F055D">
      <w:pPr>
        <w:spacing w:before="0" w:beforeAutospacing="0" w:after="0" w:line="240" w:lineRule="auto"/>
        <w:jc w:val="both"/>
        <w:outlineLvl w:val="2"/>
        <w:rPr>
          <w:rFonts w:ascii="Times New Roman" w:eastAsia="Times New Roman" w:hAnsi="Times New Roman"/>
          <w:sz w:val="24"/>
          <w:szCs w:val="24"/>
        </w:rPr>
      </w:pPr>
      <w:r>
        <w:rPr>
          <w:rFonts w:ascii="Times New Roman" w:eastAsia="Times New Roman" w:hAnsi="Times New Roman"/>
          <w:b/>
          <w:bCs/>
          <w:sz w:val="24"/>
          <w:szCs w:val="24"/>
          <w:lang w:eastAsia="zh-CN" w:bidi="ar"/>
        </w:rPr>
        <w:t xml:space="preserve">Ethical Considerations: </w:t>
      </w:r>
      <w:r>
        <w:rPr>
          <w:rFonts w:ascii="Times New Roman" w:eastAsia="Times New Roman" w:hAnsi="Times New Roman"/>
          <w:sz w:val="24"/>
          <w:szCs w:val="24"/>
          <w:lang w:eastAsia="zh-CN" w:bidi="ar"/>
        </w:rPr>
        <w:t xml:space="preserve">Ethical approval was </w:t>
      </w:r>
      <w:r>
        <w:rPr>
          <w:rFonts w:ascii="Times New Roman" w:eastAsia="Times New Roman" w:hAnsi="Times New Roman"/>
          <w:sz w:val="24"/>
          <w:szCs w:val="24"/>
          <w:lang w:eastAsia="zh-CN" w:bidi="ar"/>
        </w:rPr>
        <w:t>obtained from the Ethical Review Board of Nnamdi Azikiwe University’s Faculty of Health Sciences and Technology. Informed consent was obtained from all participants.</w:t>
      </w:r>
    </w:p>
    <w:p w:rsidR="00070F8E" w:rsidRDefault="00070F8E">
      <w:pPr>
        <w:spacing w:before="0" w:beforeAutospacing="0" w:after="0" w:line="240" w:lineRule="auto"/>
        <w:rPr>
          <w:rFonts w:ascii="Times New Roman" w:hAnsi="Times New Roman"/>
          <w:b/>
          <w:sz w:val="24"/>
          <w:szCs w:val="24"/>
        </w:rPr>
      </w:pPr>
    </w:p>
    <w:p w:rsidR="00070F8E" w:rsidRDefault="008F055D">
      <w:pPr>
        <w:spacing w:line="240" w:lineRule="auto"/>
        <w:rPr>
          <w:rFonts w:ascii="Times New Roman" w:hAnsi="Times New Roman"/>
          <w:b/>
          <w:sz w:val="24"/>
          <w:szCs w:val="24"/>
        </w:rPr>
      </w:pPr>
      <w:r>
        <w:rPr>
          <w:rFonts w:ascii="Times New Roman" w:hAnsi="Times New Roman"/>
          <w:b/>
          <w:sz w:val="28"/>
          <w:szCs w:val="28"/>
        </w:rPr>
        <w:t>RESULTS</w:t>
      </w:r>
    </w:p>
    <w:p w:rsidR="00070F8E" w:rsidRDefault="008F055D">
      <w:pPr>
        <w:spacing w:after="0" w:line="240" w:lineRule="auto"/>
        <w:rPr>
          <w:rFonts w:ascii="Times New Roman" w:eastAsia="Times New Roman" w:hAnsi="Times New Roman"/>
          <w:b/>
          <w:bCs/>
          <w:sz w:val="24"/>
          <w:szCs w:val="24"/>
          <w:lang w:bidi="ar"/>
        </w:rPr>
      </w:pPr>
      <w:r>
        <w:rPr>
          <w:rFonts w:ascii="Times New Roman" w:eastAsia="Times New Roman" w:hAnsi="Times New Roman"/>
          <w:b/>
          <w:bCs/>
          <w:sz w:val="24"/>
          <w:szCs w:val="24"/>
          <w:lang w:bidi="ar"/>
        </w:rPr>
        <w:t>Socio-Demographic Characteristics of Respondents</w:t>
      </w:r>
    </w:p>
    <w:p w:rsidR="00070F8E" w:rsidRDefault="008F055D">
      <w:pPr>
        <w:spacing w:before="0" w:beforeAutospacing="0" w:line="240" w:lineRule="auto"/>
        <w:jc w:val="both"/>
        <w:rPr>
          <w:rFonts w:ascii="Times New Roman" w:hAnsi="Times New Roman"/>
          <w:bCs/>
          <w:sz w:val="24"/>
          <w:szCs w:val="24"/>
        </w:rPr>
      </w:pPr>
      <w:r>
        <w:rPr>
          <w:rFonts w:ascii="Times New Roman" w:hAnsi="Times New Roman"/>
          <w:bCs/>
          <w:sz w:val="24"/>
          <w:szCs w:val="24"/>
        </w:rPr>
        <w:t>Table 1 presents the socio-demog</w:t>
      </w:r>
      <w:r>
        <w:rPr>
          <w:rFonts w:ascii="Times New Roman" w:hAnsi="Times New Roman"/>
          <w:bCs/>
          <w:sz w:val="24"/>
          <w:szCs w:val="24"/>
        </w:rPr>
        <w:t>raphic characteristics of respondents. Most students were aged 21–23 years (40.5%), and females constituted 57% of the sample. All respondents resided in private off-campus lodges.</w:t>
      </w:r>
    </w:p>
    <w:p w:rsidR="00070F8E" w:rsidRDefault="008F055D">
      <w:pPr>
        <w:spacing w:after="0" w:line="240" w:lineRule="auto"/>
        <w:outlineLvl w:val="2"/>
        <w:rPr>
          <w:rFonts w:ascii="Times New Roman" w:eastAsia="Times New Roman" w:hAnsi="Times New Roman"/>
          <w:b/>
          <w:bCs/>
          <w:sz w:val="24"/>
          <w:szCs w:val="24"/>
          <w:lang w:eastAsia="zh-CN" w:bidi="ar"/>
        </w:rPr>
      </w:pPr>
      <w:r>
        <w:rPr>
          <w:rFonts w:ascii="Times New Roman" w:eastAsia="Times New Roman" w:hAnsi="Times New Roman"/>
          <w:b/>
          <w:bCs/>
          <w:sz w:val="24"/>
          <w:szCs w:val="24"/>
          <w:lang w:eastAsia="zh-CN" w:bidi="ar"/>
        </w:rPr>
        <w:t>Table 1: Socio-demographic characteristics of respondents (n=200)</w:t>
      </w:r>
    </w:p>
    <w:tbl>
      <w:tblPr>
        <w:tblStyle w:val="TableGrid"/>
        <w:tblW w:w="0" w:type="auto"/>
        <w:tblInd w:w="108" w:type="dxa"/>
        <w:tblLook w:val="04A0" w:firstRow="1" w:lastRow="0" w:firstColumn="1" w:lastColumn="0" w:noHBand="0" w:noVBand="1"/>
      </w:tblPr>
      <w:tblGrid>
        <w:gridCol w:w="2268"/>
        <w:gridCol w:w="1701"/>
        <w:gridCol w:w="1305"/>
        <w:gridCol w:w="1741"/>
      </w:tblGrid>
      <w:tr w:rsidR="00070F8E">
        <w:trPr>
          <w:cantSplit/>
          <w:trHeight w:val="280"/>
        </w:trPr>
        <w:tc>
          <w:tcPr>
            <w:tcW w:w="2268" w:type="dxa"/>
          </w:tcPr>
          <w:p w:rsidR="00070F8E" w:rsidRDefault="008F055D">
            <w:pPr>
              <w:spacing w:before="0" w:beforeAutospacing="0"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eastAsia="zh-CN" w:bidi="ar"/>
              </w:rPr>
              <w:t>Variable</w:t>
            </w:r>
          </w:p>
        </w:tc>
        <w:tc>
          <w:tcPr>
            <w:tcW w:w="1701" w:type="dxa"/>
          </w:tcPr>
          <w:p w:rsidR="00070F8E" w:rsidRDefault="008F055D">
            <w:pPr>
              <w:spacing w:before="0" w:beforeAutospacing="0"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eastAsia="zh-CN" w:bidi="ar"/>
              </w:rPr>
              <w:t>Category</w:t>
            </w:r>
          </w:p>
        </w:tc>
        <w:tc>
          <w:tcPr>
            <w:tcW w:w="1146" w:type="dxa"/>
          </w:tcPr>
          <w:p w:rsidR="00070F8E" w:rsidRDefault="008F055D">
            <w:pPr>
              <w:spacing w:before="0" w:beforeAutospacing="0"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eastAsia="zh-CN" w:bidi="ar"/>
              </w:rPr>
              <w:t>Frequency</w:t>
            </w:r>
          </w:p>
        </w:tc>
        <w:tc>
          <w:tcPr>
            <w:tcW w:w="1741" w:type="dxa"/>
          </w:tcPr>
          <w:p w:rsidR="00070F8E" w:rsidRDefault="008F055D">
            <w:pPr>
              <w:spacing w:before="0" w:beforeAutospacing="0"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eastAsia="zh-CN" w:bidi="ar"/>
              </w:rPr>
              <w:t>Percentage (%)</w:t>
            </w:r>
          </w:p>
        </w:tc>
      </w:tr>
      <w:tr w:rsidR="00070F8E">
        <w:trPr>
          <w:cantSplit/>
          <w:trHeight w:val="304"/>
        </w:trPr>
        <w:tc>
          <w:tcPr>
            <w:tcW w:w="2268" w:type="dxa"/>
            <w:vMerge w:val="restart"/>
          </w:tcPr>
          <w:p w:rsidR="00070F8E" w:rsidRDefault="008F055D">
            <w:pPr>
              <w:spacing w:before="0" w:beforeAutospacing="0" w:after="0" w:line="240" w:lineRule="auto"/>
              <w:jc w:val="center"/>
              <w:rPr>
                <w:rFonts w:ascii="Times New Roman" w:eastAsia="Times New Roman" w:hAnsi="Times New Roman"/>
                <w:i/>
                <w:iCs/>
                <w:sz w:val="24"/>
                <w:szCs w:val="24"/>
              </w:rPr>
            </w:pPr>
            <w:r>
              <w:rPr>
                <w:rFonts w:ascii="Times New Roman" w:eastAsia="Times New Roman" w:hAnsi="Times New Roman"/>
                <w:i/>
                <w:iCs/>
                <w:sz w:val="24"/>
                <w:szCs w:val="24"/>
                <w:lang w:eastAsia="zh-CN" w:bidi="ar"/>
              </w:rPr>
              <w:t>Age (years)</w:t>
            </w:r>
          </w:p>
        </w:tc>
        <w:tc>
          <w:tcPr>
            <w:tcW w:w="170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18–20</w:t>
            </w:r>
          </w:p>
        </w:tc>
        <w:tc>
          <w:tcPr>
            <w:tcW w:w="1146"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34</w:t>
            </w:r>
          </w:p>
        </w:tc>
        <w:tc>
          <w:tcPr>
            <w:tcW w:w="174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17.0</w:t>
            </w:r>
          </w:p>
        </w:tc>
      </w:tr>
      <w:tr w:rsidR="00070F8E">
        <w:trPr>
          <w:cantSplit/>
          <w:trHeight w:val="187"/>
        </w:trPr>
        <w:tc>
          <w:tcPr>
            <w:tcW w:w="2268" w:type="dxa"/>
            <w:vMerge/>
          </w:tcPr>
          <w:p w:rsidR="00070F8E" w:rsidRDefault="00070F8E">
            <w:pPr>
              <w:spacing w:before="0" w:beforeAutospacing="0" w:after="0" w:line="240" w:lineRule="auto"/>
              <w:jc w:val="center"/>
              <w:rPr>
                <w:i/>
                <w:iCs/>
                <w:sz w:val="24"/>
                <w:szCs w:val="24"/>
              </w:rPr>
            </w:pPr>
          </w:p>
        </w:tc>
        <w:tc>
          <w:tcPr>
            <w:tcW w:w="170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21–23</w:t>
            </w:r>
          </w:p>
        </w:tc>
        <w:tc>
          <w:tcPr>
            <w:tcW w:w="1146"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81</w:t>
            </w:r>
          </w:p>
        </w:tc>
        <w:tc>
          <w:tcPr>
            <w:tcW w:w="174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40.5</w:t>
            </w:r>
          </w:p>
        </w:tc>
      </w:tr>
      <w:tr w:rsidR="00070F8E">
        <w:trPr>
          <w:cantSplit/>
          <w:trHeight w:val="187"/>
        </w:trPr>
        <w:tc>
          <w:tcPr>
            <w:tcW w:w="2268" w:type="dxa"/>
            <w:vMerge/>
          </w:tcPr>
          <w:p w:rsidR="00070F8E" w:rsidRDefault="00070F8E">
            <w:pPr>
              <w:spacing w:before="0" w:beforeAutospacing="0" w:after="0" w:line="240" w:lineRule="auto"/>
              <w:jc w:val="center"/>
              <w:rPr>
                <w:i/>
                <w:iCs/>
                <w:sz w:val="24"/>
                <w:szCs w:val="24"/>
              </w:rPr>
            </w:pPr>
          </w:p>
        </w:tc>
        <w:tc>
          <w:tcPr>
            <w:tcW w:w="170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24–26</w:t>
            </w:r>
          </w:p>
        </w:tc>
        <w:tc>
          <w:tcPr>
            <w:tcW w:w="1146"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53</w:t>
            </w:r>
          </w:p>
        </w:tc>
        <w:tc>
          <w:tcPr>
            <w:tcW w:w="174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26.5</w:t>
            </w:r>
          </w:p>
        </w:tc>
      </w:tr>
      <w:tr w:rsidR="00070F8E">
        <w:trPr>
          <w:cantSplit/>
          <w:trHeight w:val="187"/>
        </w:trPr>
        <w:tc>
          <w:tcPr>
            <w:tcW w:w="2268" w:type="dxa"/>
            <w:vMerge/>
          </w:tcPr>
          <w:p w:rsidR="00070F8E" w:rsidRDefault="00070F8E">
            <w:pPr>
              <w:spacing w:before="0" w:beforeAutospacing="0" w:after="0" w:line="240" w:lineRule="auto"/>
              <w:jc w:val="center"/>
              <w:rPr>
                <w:i/>
                <w:iCs/>
                <w:sz w:val="24"/>
                <w:szCs w:val="24"/>
              </w:rPr>
            </w:pPr>
          </w:p>
        </w:tc>
        <w:tc>
          <w:tcPr>
            <w:tcW w:w="170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≥27</w:t>
            </w:r>
          </w:p>
        </w:tc>
        <w:tc>
          <w:tcPr>
            <w:tcW w:w="1146"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32</w:t>
            </w:r>
          </w:p>
        </w:tc>
        <w:tc>
          <w:tcPr>
            <w:tcW w:w="174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16.0</w:t>
            </w:r>
          </w:p>
        </w:tc>
      </w:tr>
      <w:tr w:rsidR="00070F8E">
        <w:trPr>
          <w:cantSplit/>
          <w:trHeight w:val="280"/>
        </w:trPr>
        <w:tc>
          <w:tcPr>
            <w:tcW w:w="2268" w:type="dxa"/>
            <w:vMerge w:val="restart"/>
          </w:tcPr>
          <w:p w:rsidR="00070F8E" w:rsidRDefault="008F055D">
            <w:pPr>
              <w:spacing w:before="0" w:beforeAutospacing="0" w:after="0" w:line="240" w:lineRule="auto"/>
              <w:jc w:val="center"/>
              <w:rPr>
                <w:rFonts w:ascii="Times New Roman" w:eastAsia="Times New Roman" w:hAnsi="Times New Roman"/>
                <w:i/>
                <w:iCs/>
                <w:sz w:val="24"/>
                <w:szCs w:val="24"/>
              </w:rPr>
            </w:pPr>
            <w:r>
              <w:rPr>
                <w:rFonts w:ascii="Times New Roman" w:eastAsia="Times New Roman" w:hAnsi="Times New Roman"/>
                <w:i/>
                <w:iCs/>
                <w:sz w:val="24"/>
                <w:szCs w:val="24"/>
                <w:lang w:eastAsia="zh-CN" w:bidi="ar"/>
              </w:rPr>
              <w:t>Gender</w:t>
            </w:r>
          </w:p>
        </w:tc>
        <w:tc>
          <w:tcPr>
            <w:tcW w:w="170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Male</w:t>
            </w:r>
          </w:p>
        </w:tc>
        <w:tc>
          <w:tcPr>
            <w:tcW w:w="1146"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86</w:t>
            </w:r>
          </w:p>
        </w:tc>
        <w:tc>
          <w:tcPr>
            <w:tcW w:w="174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43.0</w:t>
            </w:r>
          </w:p>
        </w:tc>
      </w:tr>
      <w:tr w:rsidR="00070F8E">
        <w:trPr>
          <w:cantSplit/>
          <w:trHeight w:val="187"/>
        </w:trPr>
        <w:tc>
          <w:tcPr>
            <w:tcW w:w="2268" w:type="dxa"/>
            <w:vMerge/>
          </w:tcPr>
          <w:p w:rsidR="00070F8E" w:rsidRDefault="00070F8E">
            <w:pPr>
              <w:spacing w:before="0" w:beforeAutospacing="0" w:after="0" w:line="240" w:lineRule="auto"/>
              <w:jc w:val="center"/>
              <w:rPr>
                <w:i/>
                <w:iCs/>
                <w:sz w:val="24"/>
                <w:szCs w:val="24"/>
              </w:rPr>
            </w:pPr>
          </w:p>
        </w:tc>
        <w:tc>
          <w:tcPr>
            <w:tcW w:w="170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Female</w:t>
            </w:r>
          </w:p>
        </w:tc>
        <w:tc>
          <w:tcPr>
            <w:tcW w:w="1146"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114</w:t>
            </w:r>
          </w:p>
        </w:tc>
        <w:tc>
          <w:tcPr>
            <w:tcW w:w="174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57.0</w:t>
            </w:r>
          </w:p>
        </w:tc>
      </w:tr>
      <w:tr w:rsidR="00070F8E">
        <w:trPr>
          <w:cantSplit/>
          <w:trHeight w:val="304"/>
        </w:trPr>
        <w:tc>
          <w:tcPr>
            <w:tcW w:w="2268" w:type="dxa"/>
            <w:vMerge w:val="restart"/>
          </w:tcPr>
          <w:p w:rsidR="00070F8E" w:rsidRDefault="008F055D">
            <w:pPr>
              <w:spacing w:before="0" w:beforeAutospacing="0" w:after="0" w:line="240" w:lineRule="auto"/>
              <w:jc w:val="center"/>
              <w:rPr>
                <w:rFonts w:ascii="Times New Roman" w:eastAsia="Times New Roman" w:hAnsi="Times New Roman"/>
                <w:i/>
                <w:iCs/>
                <w:sz w:val="24"/>
                <w:szCs w:val="24"/>
              </w:rPr>
            </w:pPr>
            <w:r>
              <w:rPr>
                <w:rFonts w:ascii="Times New Roman" w:eastAsia="Times New Roman" w:hAnsi="Times New Roman"/>
                <w:i/>
                <w:iCs/>
                <w:sz w:val="24"/>
                <w:szCs w:val="24"/>
                <w:lang w:eastAsia="zh-CN" w:bidi="ar"/>
              </w:rPr>
              <w:t>Accommodation type</w:t>
            </w:r>
          </w:p>
        </w:tc>
        <w:tc>
          <w:tcPr>
            <w:tcW w:w="170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On-campus</w:t>
            </w:r>
          </w:p>
        </w:tc>
        <w:tc>
          <w:tcPr>
            <w:tcW w:w="1146"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0</w:t>
            </w:r>
          </w:p>
        </w:tc>
        <w:tc>
          <w:tcPr>
            <w:tcW w:w="174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0</w:t>
            </w:r>
          </w:p>
        </w:tc>
      </w:tr>
      <w:tr w:rsidR="00070F8E">
        <w:trPr>
          <w:cantSplit/>
          <w:trHeight w:val="187"/>
        </w:trPr>
        <w:tc>
          <w:tcPr>
            <w:tcW w:w="2268" w:type="dxa"/>
            <w:vMerge/>
          </w:tcPr>
          <w:p w:rsidR="00070F8E" w:rsidRDefault="00070F8E">
            <w:pPr>
              <w:spacing w:before="0" w:beforeAutospacing="0" w:after="0" w:line="240" w:lineRule="auto"/>
              <w:jc w:val="center"/>
              <w:rPr>
                <w:sz w:val="24"/>
                <w:szCs w:val="24"/>
              </w:rPr>
            </w:pPr>
          </w:p>
        </w:tc>
        <w:tc>
          <w:tcPr>
            <w:tcW w:w="170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Off-campus (private lodge)</w:t>
            </w:r>
          </w:p>
        </w:tc>
        <w:tc>
          <w:tcPr>
            <w:tcW w:w="1146"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200</w:t>
            </w:r>
          </w:p>
        </w:tc>
        <w:tc>
          <w:tcPr>
            <w:tcW w:w="1741" w:type="dxa"/>
          </w:tcPr>
          <w:p w:rsidR="00070F8E" w:rsidRDefault="008F055D">
            <w:pPr>
              <w:spacing w:before="0" w:beforeAutospacing="0"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zh-CN" w:bidi="ar"/>
              </w:rPr>
              <w:t>100</w:t>
            </w:r>
          </w:p>
        </w:tc>
      </w:tr>
    </w:tbl>
    <w:p w:rsidR="00070F8E" w:rsidRDefault="008F055D">
      <w:pPr>
        <w:spacing w:after="0" w:line="240" w:lineRule="auto"/>
        <w:outlineLvl w:val="2"/>
        <w:rPr>
          <w:rFonts w:ascii="Times New Roman" w:eastAsia="Times New Roman" w:hAnsi="Times New Roman"/>
          <w:b/>
          <w:bCs/>
          <w:sz w:val="27"/>
          <w:szCs w:val="27"/>
          <w:lang w:bidi="ar"/>
        </w:rPr>
      </w:pPr>
      <w:r>
        <w:rPr>
          <w:rFonts w:ascii="Times New Roman" w:eastAsia="Times New Roman" w:hAnsi="Times New Roman"/>
          <w:b/>
          <w:bCs/>
          <w:sz w:val="27"/>
          <w:szCs w:val="27"/>
          <w:lang w:bidi="ar"/>
        </w:rPr>
        <w:t>Malaria Occurrence Based on University</w:t>
      </w:r>
      <w:r>
        <w:rPr>
          <w:rFonts w:ascii="Times New Roman" w:eastAsia="Times New Roman" w:hAnsi="Times New Roman"/>
          <w:b/>
          <w:bCs/>
          <w:sz w:val="27"/>
          <w:szCs w:val="27"/>
          <w:lang w:bidi="ar"/>
        </w:rPr>
        <w:t xml:space="preserve"> Clinical Records</w:t>
      </w:r>
    </w:p>
    <w:p w:rsidR="00070F8E" w:rsidRDefault="008F055D">
      <w:pPr>
        <w:spacing w:before="0" w:beforeAutospacing="0" w:after="100" w:afterAutospacing="1" w:line="240" w:lineRule="auto"/>
        <w:jc w:val="both"/>
        <w:outlineLvl w:val="2"/>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Table 2 shows data collected from the university clinic records. A total of 229 malaria cases were recorded over the two-month period. Female students accounted for 55.02% of cases, while males accounted for 44.98%.</w:t>
      </w:r>
    </w:p>
    <w:p w:rsidR="00070F8E" w:rsidRDefault="008F055D">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lang w:eastAsia="zh-CN" w:bidi="ar"/>
        </w:rPr>
        <w:t>Table 2. Malaria cases</w:t>
      </w:r>
      <w:r>
        <w:rPr>
          <w:rFonts w:ascii="Times New Roman" w:eastAsia="Times New Roman" w:hAnsi="Times New Roman"/>
          <w:b/>
          <w:bCs/>
          <w:sz w:val="24"/>
          <w:szCs w:val="24"/>
          <w:lang w:eastAsia="zh-CN" w:bidi="ar"/>
        </w:rPr>
        <w:t xml:space="preserve"> recorded at the university clinic over two months (n=229)</w:t>
      </w:r>
    </w:p>
    <w:tbl>
      <w:tblPr>
        <w:tblStyle w:val="TableGrid"/>
        <w:tblW w:w="0" w:type="auto"/>
        <w:tblInd w:w="108" w:type="dxa"/>
        <w:tblLook w:val="04A0" w:firstRow="1" w:lastRow="0" w:firstColumn="1" w:lastColumn="0" w:noHBand="0" w:noVBand="1"/>
      </w:tblPr>
      <w:tblGrid>
        <w:gridCol w:w="1363"/>
        <w:gridCol w:w="3424"/>
        <w:gridCol w:w="1455"/>
        <w:gridCol w:w="2065"/>
      </w:tblGrid>
      <w:tr w:rsidR="00070F8E">
        <w:trPr>
          <w:trHeight w:val="281"/>
        </w:trPr>
        <w:tc>
          <w:tcPr>
            <w:tcW w:w="1208"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b/>
                <w:bCs/>
                <w:sz w:val="24"/>
                <w:szCs w:val="24"/>
                <w:lang w:eastAsia="zh-CN" w:bidi="ar"/>
              </w:rPr>
              <w:t>Variable</w:t>
            </w: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b/>
                <w:bCs/>
                <w:sz w:val="24"/>
                <w:szCs w:val="24"/>
                <w:lang w:eastAsia="zh-CN" w:bidi="ar"/>
              </w:rPr>
              <w:t>Category</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b/>
                <w:bCs/>
                <w:sz w:val="24"/>
                <w:szCs w:val="24"/>
                <w:lang w:eastAsia="zh-CN" w:bidi="ar"/>
              </w:rPr>
              <w:t>Frequency</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b/>
                <w:bCs/>
                <w:sz w:val="24"/>
                <w:szCs w:val="24"/>
                <w:lang w:eastAsia="zh-CN" w:bidi="ar"/>
              </w:rPr>
              <w:t>Percentage (%)</w:t>
            </w:r>
          </w:p>
        </w:tc>
      </w:tr>
      <w:tr w:rsidR="00070F8E">
        <w:trPr>
          <w:trHeight w:val="304"/>
        </w:trPr>
        <w:tc>
          <w:tcPr>
            <w:tcW w:w="1208" w:type="dxa"/>
            <w:vMerge w:val="restart"/>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i/>
                <w:iCs/>
                <w:sz w:val="24"/>
                <w:szCs w:val="24"/>
                <w:lang w:eastAsia="zh-CN" w:bidi="ar"/>
              </w:rPr>
              <w:t>Gender</w:t>
            </w: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Male</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103</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44.98</w:t>
            </w:r>
          </w:p>
        </w:tc>
      </w:tr>
      <w:tr w:rsidR="00070F8E">
        <w:trPr>
          <w:trHeight w:val="187"/>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Female</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126</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55.02</w:t>
            </w:r>
          </w:p>
        </w:tc>
      </w:tr>
      <w:tr w:rsidR="00070F8E">
        <w:trPr>
          <w:trHeight w:val="187"/>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b/>
                <w:bCs/>
                <w:sz w:val="24"/>
                <w:szCs w:val="24"/>
                <w:lang w:eastAsia="zh-CN" w:bidi="ar"/>
              </w:rPr>
            </w:pPr>
            <w:r>
              <w:rPr>
                <w:rFonts w:ascii="Times New Roman" w:eastAsia="Times New Roman" w:hAnsi="Times New Roman"/>
                <w:b/>
                <w:bCs/>
                <w:sz w:val="24"/>
                <w:szCs w:val="24"/>
                <w:lang w:eastAsia="zh-CN" w:bidi="ar"/>
              </w:rPr>
              <w:t>Total</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229</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100</w:t>
            </w:r>
          </w:p>
        </w:tc>
      </w:tr>
      <w:tr w:rsidR="00070F8E">
        <w:trPr>
          <w:trHeight w:val="304"/>
        </w:trPr>
        <w:tc>
          <w:tcPr>
            <w:tcW w:w="1208" w:type="dxa"/>
            <w:vMerge w:val="restart"/>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i/>
                <w:iCs/>
                <w:sz w:val="24"/>
                <w:szCs w:val="24"/>
                <w:lang w:eastAsia="zh-CN" w:bidi="ar"/>
              </w:rPr>
              <w:t>Department</w:t>
            </w: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Medical Rehabilitation</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36</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15.72</w:t>
            </w:r>
          </w:p>
        </w:tc>
      </w:tr>
      <w:tr w:rsidR="00070F8E">
        <w:trPr>
          <w:trHeight w:val="187"/>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Medicine</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33</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14.41</w:t>
            </w:r>
          </w:p>
        </w:tc>
      </w:tr>
      <w:tr w:rsidR="00070F8E">
        <w:trPr>
          <w:trHeight w:val="187"/>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Medical Laboratory Science</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33</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14.41</w:t>
            </w:r>
          </w:p>
        </w:tc>
      </w:tr>
      <w:tr w:rsidR="00070F8E">
        <w:trPr>
          <w:trHeight w:val="187"/>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Nursing Science</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30</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13.10</w:t>
            </w:r>
          </w:p>
        </w:tc>
      </w:tr>
      <w:tr w:rsidR="00070F8E">
        <w:trPr>
          <w:trHeight w:val="187"/>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Radiography &amp; Radiological Sciences</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29</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12.67</w:t>
            </w:r>
          </w:p>
        </w:tc>
      </w:tr>
      <w:tr w:rsidR="00070F8E">
        <w:trPr>
          <w:trHeight w:val="187"/>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Environmental Health Science</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17</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7.42</w:t>
            </w:r>
          </w:p>
        </w:tc>
      </w:tr>
      <w:tr w:rsidR="00070F8E">
        <w:trPr>
          <w:trHeight w:val="106"/>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Nutrition &amp; Dietetics</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9</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3.93</w:t>
            </w:r>
          </w:p>
        </w:tc>
      </w:tr>
      <w:tr w:rsidR="00070F8E">
        <w:trPr>
          <w:trHeight w:val="106"/>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*Not indicated</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42</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18.34</w:t>
            </w:r>
          </w:p>
        </w:tc>
      </w:tr>
      <w:tr w:rsidR="00070F8E">
        <w:trPr>
          <w:trHeight w:val="187"/>
        </w:trPr>
        <w:tc>
          <w:tcPr>
            <w:tcW w:w="1208" w:type="dxa"/>
            <w:vMerge/>
            <w:vAlign w:val="center"/>
          </w:tcPr>
          <w:p w:rsidR="00070F8E" w:rsidRDefault="00070F8E">
            <w:pPr>
              <w:spacing w:before="0" w:beforeAutospacing="0" w:after="0" w:line="240" w:lineRule="auto"/>
              <w:jc w:val="center"/>
              <w:rPr>
                <w:rFonts w:ascii="Times New Roman" w:eastAsia="Times New Roman" w:hAnsi="Times New Roman"/>
                <w:sz w:val="24"/>
                <w:szCs w:val="24"/>
                <w:lang w:eastAsia="zh-CN" w:bidi="ar"/>
              </w:rPr>
            </w:pPr>
          </w:p>
        </w:tc>
        <w:tc>
          <w:tcPr>
            <w:tcW w:w="3424" w:type="dxa"/>
            <w:vAlign w:val="center"/>
          </w:tcPr>
          <w:p w:rsidR="00070F8E" w:rsidRDefault="008F055D">
            <w:pPr>
              <w:spacing w:before="0" w:beforeAutospacing="0" w:after="0" w:line="240" w:lineRule="auto"/>
              <w:jc w:val="center"/>
              <w:rPr>
                <w:rFonts w:ascii="Times New Roman" w:eastAsia="Times New Roman" w:hAnsi="Times New Roman"/>
                <w:b/>
                <w:bCs/>
                <w:sz w:val="24"/>
                <w:szCs w:val="24"/>
                <w:lang w:eastAsia="zh-CN" w:bidi="ar"/>
              </w:rPr>
            </w:pPr>
            <w:r>
              <w:rPr>
                <w:rFonts w:ascii="Times New Roman" w:eastAsia="Times New Roman" w:hAnsi="Times New Roman"/>
                <w:b/>
                <w:bCs/>
                <w:sz w:val="24"/>
                <w:szCs w:val="24"/>
                <w:lang w:eastAsia="zh-CN" w:bidi="ar"/>
              </w:rPr>
              <w:t>Total</w:t>
            </w:r>
          </w:p>
        </w:tc>
        <w:tc>
          <w:tcPr>
            <w:tcW w:w="145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229</w:t>
            </w:r>
          </w:p>
        </w:tc>
        <w:tc>
          <w:tcPr>
            <w:tcW w:w="2065" w:type="dxa"/>
            <w:vAlign w:val="center"/>
          </w:tcPr>
          <w:p w:rsidR="00070F8E" w:rsidRDefault="008F055D">
            <w:pPr>
              <w:spacing w:before="0" w:beforeAutospacing="0" w:after="0" w:line="240" w:lineRule="auto"/>
              <w:jc w:val="center"/>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100</w:t>
            </w:r>
          </w:p>
        </w:tc>
      </w:tr>
    </w:tbl>
    <w:p w:rsidR="00070F8E" w:rsidRDefault="008F055D">
      <w:pPr>
        <w:spacing w:before="0" w:beforeAutospacing="0" w:after="0" w:line="240" w:lineRule="auto"/>
        <w:ind w:right="1858"/>
        <w:rPr>
          <w:rFonts w:ascii="Times New Roman" w:eastAsia="Times New Roman" w:hAnsi="Times New Roman"/>
          <w:sz w:val="20"/>
          <w:szCs w:val="20"/>
          <w:lang w:eastAsia="zh-CN" w:bidi="ar"/>
        </w:rPr>
      </w:pPr>
      <w:r>
        <w:rPr>
          <w:rFonts w:ascii="Times New Roman" w:eastAsia="Times New Roman" w:hAnsi="Times New Roman"/>
          <w:sz w:val="20"/>
          <w:szCs w:val="20"/>
          <w:lang w:eastAsia="zh-CN" w:bidi="ar"/>
        </w:rPr>
        <w:t>*Not indicated: The clinic records did not specify a university</w:t>
      </w:r>
      <w:r>
        <w:rPr>
          <w:rFonts w:ascii="Times New Roman" w:eastAsia="Times New Roman" w:hAnsi="Times New Roman"/>
          <w:sz w:val="20"/>
          <w:szCs w:val="20"/>
          <w:lang w:eastAsia="zh-CN" w:bidi="ar"/>
        </w:rPr>
        <w:t xml:space="preserve"> department for these patients.</w:t>
      </w:r>
    </w:p>
    <w:p w:rsidR="00070F8E" w:rsidRDefault="00070F8E">
      <w:pPr>
        <w:spacing w:before="0" w:beforeAutospacing="0" w:after="0" w:line="240" w:lineRule="auto"/>
        <w:rPr>
          <w:rFonts w:ascii="Times New Roman" w:eastAsia="Times New Roman" w:hAnsi="Times New Roman"/>
          <w:sz w:val="20"/>
          <w:szCs w:val="20"/>
          <w:lang w:eastAsia="zh-CN" w:bidi="ar"/>
        </w:rPr>
      </w:pPr>
    </w:p>
    <w:p w:rsidR="00070F8E" w:rsidRDefault="00070F8E">
      <w:pPr>
        <w:spacing w:before="0" w:beforeAutospacing="0" w:after="0" w:line="240" w:lineRule="auto"/>
        <w:rPr>
          <w:rFonts w:ascii="Times New Roman" w:eastAsia="Times New Roman" w:hAnsi="Times New Roman"/>
          <w:sz w:val="20"/>
          <w:szCs w:val="20"/>
          <w:lang w:eastAsia="zh-CN" w:bidi="ar"/>
        </w:rPr>
      </w:pPr>
    </w:p>
    <w:p w:rsidR="00070F8E" w:rsidRDefault="00070F8E">
      <w:pPr>
        <w:spacing w:before="0" w:beforeAutospacing="0" w:after="0" w:line="240" w:lineRule="auto"/>
        <w:rPr>
          <w:rFonts w:ascii="Times New Roman" w:eastAsia="Times New Roman" w:hAnsi="Times New Roman"/>
          <w:b/>
          <w:bCs/>
          <w:sz w:val="27"/>
          <w:szCs w:val="27"/>
          <w:lang w:bidi="ar"/>
        </w:rPr>
      </w:pPr>
    </w:p>
    <w:p w:rsidR="00070F8E" w:rsidRDefault="008F055D">
      <w:pPr>
        <w:spacing w:before="0" w:beforeAutospacing="0" w:after="0" w:line="240" w:lineRule="auto"/>
        <w:rPr>
          <w:rFonts w:ascii="Times New Roman" w:eastAsia="Times New Roman" w:hAnsi="Times New Roman"/>
          <w:b/>
          <w:bCs/>
          <w:sz w:val="27"/>
          <w:szCs w:val="27"/>
          <w:lang w:bidi="ar"/>
        </w:rPr>
      </w:pPr>
      <w:r>
        <w:rPr>
          <w:rFonts w:ascii="Times New Roman" w:eastAsia="Times New Roman" w:hAnsi="Times New Roman"/>
          <w:b/>
          <w:bCs/>
          <w:sz w:val="27"/>
          <w:szCs w:val="27"/>
          <w:lang w:bidi="ar"/>
        </w:rPr>
        <w:t>Environmental Conditions in Student Lodges</w:t>
      </w:r>
    </w:p>
    <w:p w:rsidR="00070F8E" w:rsidRDefault="008F055D">
      <w:pPr>
        <w:spacing w:before="0" w:beforeAutospacing="0" w:after="100" w:afterAutospacing="1" w:line="240" w:lineRule="auto"/>
        <w:rPr>
          <w:rFonts w:ascii="Times New Roman" w:eastAsia="Times New Roman" w:hAnsi="Times New Roman"/>
          <w:sz w:val="24"/>
          <w:szCs w:val="24"/>
          <w:lang w:eastAsia="zh-CN" w:bidi="ar"/>
        </w:rPr>
      </w:pPr>
      <w:r>
        <w:rPr>
          <w:rFonts w:ascii="Times New Roman" w:eastAsia="Times New Roman" w:hAnsi="Times New Roman"/>
          <w:sz w:val="24"/>
          <w:szCs w:val="24"/>
          <w:lang w:eastAsia="zh-CN" w:bidi="ar"/>
        </w:rPr>
        <w:t xml:space="preserve">The mean ambient temperature across lodges was 28.1 °C (range: 26.2–29.5 °C), while the mean relative humidity was 84.3% (range: 69.3–92.1%).  Additionally, </w:t>
      </w:r>
      <w:r>
        <w:rPr>
          <w:rFonts w:ascii="Times New Roman" w:eastAsia="Times New Roman" w:hAnsi="Times New Roman"/>
          <w:color w:val="000000" w:themeColor="text1"/>
          <w:sz w:val="24"/>
          <w:szCs w:val="24"/>
          <w:lang w:eastAsia="zh-CN" w:bidi="ar"/>
        </w:rPr>
        <w:t>stagnant water, inclu</w:t>
      </w:r>
      <w:r>
        <w:rPr>
          <w:rFonts w:ascii="Times New Roman" w:eastAsia="Times New Roman" w:hAnsi="Times New Roman"/>
          <w:color w:val="000000" w:themeColor="text1"/>
          <w:sz w:val="24"/>
          <w:szCs w:val="24"/>
          <w:lang w:eastAsia="zh-CN" w:bidi="ar"/>
        </w:rPr>
        <w:t xml:space="preserve">ding surface water, clogged drainage, and uncovered water receptacles, was widely present around the students’ dwellings. </w:t>
      </w:r>
    </w:p>
    <w:tbl>
      <w:tblPr>
        <w:tblStyle w:val="TableGrid"/>
        <w:tblW w:w="8472" w:type="dxa"/>
        <w:tblLook w:val="04A0" w:firstRow="1" w:lastRow="0" w:firstColumn="1" w:lastColumn="0" w:noHBand="0" w:noVBand="1"/>
      </w:tblPr>
      <w:tblGrid>
        <w:gridCol w:w="534"/>
        <w:gridCol w:w="3074"/>
        <w:gridCol w:w="2596"/>
        <w:gridCol w:w="2268"/>
      </w:tblGrid>
      <w:tr w:rsidR="00070F8E">
        <w:tc>
          <w:tcPr>
            <w:tcW w:w="3608" w:type="dxa"/>
            <w:gridSpan w:val="2"/>
          </w:tcPr>
          <w:p w:rsidR="00070F8E" w:rsidRDefault="008F055D">
            <w:pPr>
              <w:pStyle w:val="NormalWeb"/>
              <w:spacing w:before="0" w:beforeAutospacing="0" w:after="0" w:afterAutospacing="0"/>
              <w:jc w:val="center"/>
              <w:rPr>
                <w:b/>
                <w:bCs/>
                <w:sz w:val="28"/>
                <w:szCs w:val="28"/>
              </w:rPr>
            </w:pPr>
            <w:r>
              <w:rPr>
                <w:b/>
                <w:bCs/>
                <w:sz w:val="21"/>
                <w:szCs w:val="21"/>
                <w:lang w:eastAsia="zh-CN" w:bidi="ar"/>
              </w:rPr>
              <w:t>Students’ Lodge/Hostel</w:t>
            </w:r>
          </w:p>
        </w:tc>
        <w:tc>
          <w:tcPr>
            <w:tcW w:w="2596" w:type="dxa"/>
            <w:vAlign w:val="bottom"/>
          </w:tcPr>
          <w:p w:rsidR="00070F8E" w:rsidRDefault="008F055D">
            <w:pPr>
              <w:pStyle w:val="NormalWeb"/>
              <w:spacing w:before="0" w:beforeAutospacing="0" w:after="0" w:afterAutospacing="0"/>
              <w:jc w:val="center"/>
              <w:rPr>
                <w:b/>
                <w:bCs/>
                <w:sz w:val="28"/>
                <w:szCs w:val="28"/>
              </w:rPr>
            </w:pPr>
            <w:r>
              <w:rPr>
                <w:b/>
                <w:bCs/>
                <w:sz w:val="21"/>
                <w:szCs w:val="21"/>
                <w:lang w:eastAsia="zh-CN" w:bidi="ar"/>
              </w:rPr>
              <w:t>Average Temperature (°C)</w:t>
            </w:r>
          </w:p>
        </w:tc>
        <w:tc>
          <w:tcPr>
            <w:tcW w:w="2268" w:type="dxa"/>
            <w:vAlign w:val="bottom"/>
          </w:tcPr>
          <w:p w:rsidR="00070F8E" w:rsidRDefault="008F055D">
            <w:pPr>
              <w:pStyle w:val="NormalWeb"/>
              <w:spacing w:before="0" w:beforeAutospacing="0" w:after="0" w:afterAutospacing="0"/>
              <w:jc w:val="center"/>
              <w:rPr>
                <w:b/>
                <w:bCs/>
                <w:sz w:val="28"/>
                <w:szCs w:val="28"/>
              </w:rPr>
            </w:pPr>
            <w:r>
              <w:rPr>
                <w:b/>
                <w:bCs/>
                <w:sz w:val="21"/>
                <w:szCs w:val="21"/>
                <w:lang w:eastAsia="zh-CN" w:bidi="ar"/>
              </w:rPr>
              <w:t>Average Humidity (%)</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Unchangeable God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28.2</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89.4</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2</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New York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27.3</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81.3</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3</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New Haven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26.2</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85.7</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4</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Nkonyelu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27.1</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79.4</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5</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Madonna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29.5</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83.7</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6</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Exotic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28.0</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92.1</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7</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St Raphael Hostel</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28.5</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90.3</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8</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Apple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26.9</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69.3</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9</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Our Lady of Perpetual Help Hostel</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27.5</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80.2</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10</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SunCity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28.8</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84.5</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11</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Omata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29.2</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87.1</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12</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Royal cottage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27.9</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82.3</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13</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Emmanuel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28.4</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91.5</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14</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Fidelity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27.7</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78.9</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15</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Gelaviv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29.1</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86.2</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16</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Snow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28.6</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90.9</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17</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Mega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27.4</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80.5</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18</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Graceland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29.3</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88.5</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19</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St Joseph Hostel</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28.1</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81.9</w:t>
            </w:r>
          </w:p>
        </w:tc>
      </w:tr>
      <w:tr w:rsidR="00070F8E">
        <w:tc>
          <w:tcPr>
            <w:tcW w:w="534" w:type="dxa"/>
          </w:tcPr>
          <w:p w:rsidR="00070F8E" w:rsidRDefault="008F055D">
            <w:pPr>
              <w:pStyle w:val="NormalWeb"/>
              <w:spacing w:before="0" w:beforeAutospacing="0" w:after="0" w:afterAutospacing="0"/>
              <w:jc w:val="both"/>
              <w:rPr>
                <w:sz w:val="21"/>
                <w:szCs w:val="21"/>
                <w:lang w:eastAsia="zh-CN" w:bidi="ar"/>
              </w:rPr>
            </w:pPr>
            <w:r>
              <w:rPr>
                <w:sz w:val="21"/>
                <w:szCs w:val="21"/>
                <w:lang w:eastAsia="zh-CN" w:bidi="ar"/>
              </w:rPr>
              <w:t>20</w:t>
            </w:r>
          </w:p>
        </w:tc>
        <w:tc>
          <w:tcPr>
            <w:tcW w:w="3074"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 xml:space="preserve">God of </w:t>
            </w:r>
            <w:r>
              <w:rPr>
                <w:sz w:val="21"/>
                <w:szCs w:val="21"/>
                <w:lang w:eastAsia="zh-CN" w:bidi="ar"/>
              </w:rPr>
              <w:t>Abraham Lodge</w:t>
            </w:r>
          </w:p>
        </w:tc>
        <w:tc>
          <w:tcPr>
            <w:tcW w:w="2596"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27.8</w:t>
            </w:r>
          </w:p>
        </w:tc>
        <w:tc>
          <w:tcPr>
            <w:tcW w:w="2268" w:type="dxa"/>
            <w:vAlign w:val="bottom"/>
          </w:tcPr>
          <w:p w:rsidR="00070F8E" w:rsidRDefault="008F055D">
            <w:pPr>
              <w:pStyle w:val="NormalWeb"/>
              <w:spacing w:before="0" w:beforeAutospacing="0" w:after="0" w:afterAutospacing="0"/>
              <w:jc w:val="center"/>
              <w:rPr>
                <w:b/>
                <w:bCs/>
                <w:sz w:val="28"/>
                <w:szCs w:val="28"/>
              </w:rPr>
            </w:pPr>
            <w:r>
              <w:rPr>
                <w:sz w:val="21"/>
                <w:szCs w:val="21"/>
                <w:lang w:eastAsia="zh-CN" w:bidi="ar"/>
              </w:rPr>
              <w:t>83.2</w:t>
            </w:r>
          </w:p>
        </w:tc>
      </w:tr>
      <w:tr w:rsidR="00070F8E">
        <w:tc>
          <w:tcPr>
            <w:tcW w:w="3608" w:type="dxa"/>
            <w:gridSpan w:val="2"/>
          </w:tcPr>
          <w:p w:rsidR="00070F8E" w:rsidRDefault="008F055D">
            <w:pPr>
              <w:pStyle w:val="NormalWeb"/>
              <w:spacing w:before="0" w:beforeAutospacing="0" w:after="0" w:afterAutospacing="0"/>
              <w:jc w:val="center"/>
              <w:rPr>
                <w:sz w:val="21"/>
                <w:szCs w:val="21"/>
                <w:lang w:eastAsia="zh-CN" w:bidi="ar"/>
              </w:rPr>
            </w:pPr>
            <w:r>
              <w:rPr>
                <w:b/>
                <w:bCs/>
                <w:sz w:val="21"/>
                <w:szCs w:val="21"/>
                <w:lang w:eastAsia="zh-CN" w:bidi="ar"/>
              </w:rPr>
              <w:t>Mean</w:t>
            </w:r>
          </w:p>
        </w:tc>
        <w:tc>
          <w:tcPr>
            <w:tcW w:w="2596" w:type="dxa"/>
            <w:vAlign w:val="bottom"/>
          </w:tcPr>
          <w:p w:rsidR="00070F8E" w:rsidRDefault="008F055D">
            <w:pPr>
              <w:pStyle w:val="NormalWeb"/>
              <w:spacing w:before="0" w:beforeAutospacing="0" w:after="0" w:afterAutospacing="0"/>
              <w:jc w:val="center"/>
              <w:rPr>
                <w:sz w:val="21"/>
                <w:szCs w:val="21"/>
                <w:lang w:eastAsia="zh-CN" w:bidi="ar"/>
              </w:rPr>
            </w:pPr>
            <w:r>
              <w:rPr>
                <w:b/>
                <w:bCs/>
                <w:sz w:val="21"/>
                <w:szCs w:val="21"/>
                <w:lang w:eastAsia="zh-CN" w:bidi="ar"/>
              </w:rPr>
              <w:t>28.1</w:t>
            </w:r>
          </w:p>
        </w:tc>
        <w:tc>
          <w:tcPr>
            <w:tcW w:w="2268" w:type="dxa"/>
            <w:vAlign w:val="bottom"/>
          </w:tcPr>
          <w:p w:rsidR="00070F8E" w:rsidRDefault="008F055D">
            <w:pPr>
              <w:pStyle w:val="NormalWeb"/>
              <w:spacing w:before="0" w:beforeAutospacing="0" w:after="0" w:afterAutospacing="0"/>
              <w:jc w:val="center"/>
              <w:rPr>
                <w:sz w:val="21"/>
                <w:szCs w:val="21"/>
                <w:lang w:eastAsia="zh-CN" w:bidi="ar"/>
              </w:rPr>
            </w:pPr>
            <w:r>
              <w:rPr>
                <w:b/>
                <w:bCs/>
                <w:sz w:val="21"/>
                <w:szCs w:val="21"/>
                <w:lang w:eastAsia="zh-CN" w:bidi="ar"/>
              </w:rPr>
              <w:t>84.3</w:t>
            </w:r>
          </w:p>
        </w:tc>
      </w:tr>
    </w:tbl>
    <w:p w:rsidR="00070F8E" w:rsidRDefault="008F055D">
      <w:pPr>
        <w:pStyle w:val="NormalWeb"/>
        <w:spacing w:before="0" w:beforeAutospacing="0" w:after="0" w:afterAutospacing="0"/>
        <w:jc w:val="both"/>
        <w:rPr>
          <w:b/>
          <w:bCs/>
        </w:rPr>
      </w:pPr>
      <w:r>
        <w:rPr>
          <w:b/>
          <w:bCs/>
          <w:sz w:val="28"/>
          <w:szCs w:val="28"/>
        </w:rPr>
        <w:t>DISCUSSION</w:t>
      </w:r>
    </w:p>
    <w:p w:rsidR="00070F8E" w:rsidRDefault="008F055D">
      <w:pPr>
        <w:pStyle w:val="NormalWeb"/>
        <w:spacing w:before="0" w:beforeAutospacing="0" w:after="120" w:afterAutospacing="0"/>
        <w:jc w:val="both"/>
        <w:rPr>
          <w:color w:val="000000" w:themeColor="text1"/>
        </w:rPr>
      </w:pPr>
      <w:r>
        <w:rPr>
          <w:rFonts w:eastAsia="sans-serif"/>
          <w:color w:val="000000" w:themeColor="text1"/>
        </w:rPr>
        <w:t>This study provides empirical evidence that environmental conditions within university residential environments are significantly associated with malaria transmission dynamics</w:t>
      </w:r>
      <w:r>
        <w:rPr>
          <w:color w:val="000000" w:themeColor="text1"/>
        </w:rPr>
        <w:t xml:space="preserve">. The observed mean ambient temperature (28.1 °C) and relative humidity (84.3%) fall squarely within the ecological thresholds known to optimize </w:t>
      </w:r>
      <w:r>
        <w:rPr>
          <w:rStyle w:val="Emphasis"/>
          <w:color w:val="000000" w:themeColor="text1"/>
        </w:rPr>
        <w:t>Anopheles</w:t>
      </w:r>
      <w:r>
        <w:rPr>
          <w:color w:val="000000" w:themeColor="text1"/>
        </w:rPr>
        <w:t xml:space="preserve"> mosquito survival, feeding activity, and </w:t>
      </w:r>
      <w:r>
        <w:rPr>
          <w:rStyle w:val="Emphasis"/>
          <w:color w:val="000000" w:themeColor="text1"/>
        </w:rPr>
        <w:t>Plasmodium</w:t>
      </w:r>
      <w:r>
        <w:rPr>
          <w:color w:val="000000" w:themeColor="text1"/>
        </w:rPr>
        <w:t xml:space="preserve"> parasite development. These findings are consistent with experimental and modeling studies demonstrating that malaria transmission efficiency peaks between 25–30 °C, </w:t>
      </w:r>
      <w:r>
        <w:rPr>
          <w:color w:val="000000" w:themeColor="text1"/>
        </w:rPr>
        <w:lastRenderedPageBreak/>
        <w:t>where mosquito longevity and the sporogonic cycle are optimally synchronized (Eke et al.,</w:t>
      </w:r>
      <w:r>
        <w:rPr>
          <w:color w:val="000000" w:themeColor="text1"/>
        </w:rPr>
        <w:t xml:space="preserve"> 2025; Ekpa et al., 2023; Paaijmans et al., 2019; Mordecai et al., 2020).</w:t>
      </w:r>
    </w:p>
    <w:p w:rsidR="00070F8E" w:rsidRDefault="008F055D">
      <w:pPr>
        <w:pStyle w:val="NormalWeb"/>
        <w:spacing w:before="0" w:beforeAutospacing="0" w:after="120" w:afterAutospacing="0"/>
        <w:jc w:val="both"/>
        <w:rPr>
          <w:color w:val="000000" w:themeColor="text1"/>
          <w:highlight w:val="red"/>
        </w:rPr>
      </w:pPr>
      <w:r>
        <w:rPr>
          <w:color w:val="000000" w:themeColor="text1"/>
        </w:rPr>
        <w:t xml:space="preserve">Higher temperatures accelerate larval development, increase adult mosquito biting frequency, and shorten the extrinsic incubation period of </w:t>
      </w:r>
      <w:r>
        <w:rPr>
          <w:rStyle w:val="Emphasis"/>
          <w:color w:val="000000" w:themeColor="text1"/>
        </w:rPr>
        <w:t>Plasmodium</w:t>
      </w:r>
      <w:r>
        <w:rPr>
          <w:color w:val="000000" w:themeColor="text1"/>
        </w:rPr>
        <w:t>, thereby increasing the likelih</w:t>
      </w:r>
      <w:r>
        <w:rPr>
          <w:color w:val="000000" w:themeColor="text1"/>
        </w:rPr>
        <w:t>ood of successful transmission (Ryan et al., 2015; Mordecai et al., 2019). Additionally, high humidity reduces mosquito desiccation, prolongs adult lifespan, and enhances nocturnal activity, increasing the probability that mosquitoes survive long enough to</w:t>
      </w:r>
      <w:r>
        <w:rPr>
          <w:color w:val="000000" w:themeColor="text1"/>
        </w:rPr>
        <w:t xml:space="preserve"> transmit infection (Paaijmans et al., 2021; Smith et al., 2019). </w:t>
      </w:r>
      <w:r>
        <w:rPr>
          <w:rFonts w:eastAsia="Calibri"/>
          <w:color w:val="000000" w:themeColor="text1"/>
          <w:lang w:eastAsia="zh-CN" w:bidi="ar"/>
        </w:rPr>
        <w:t>In southeastern Nigeria, where humidity levels remain persistently high for much of the year, humidity may therefore be associated with continuous malaria transmission rather than seasonal o</w:t>
      </w:r>
      <w:r>
        <w:rPr>
          <w:rFonts w:eastAsia="Calibri"/>
          <w:color w:val="000000" w:themeColor="text1"/>
          <w:lang w:eastAsia="zh-CN" w:bidi="ar"/>
        </w:rPr>
        <w:t xml:space="preserve">utbreaks (Ezihe et al., 2017). </w:t>
      </w:r>
      <w:r>
        <w:rPr>
          <w:color w:val="000000" w:themeColor="text1"/>
        </w:rPr>
        <w:t>The ambient temperature and high relative humidity recorded in this study highlight the critical role of tropical temperature and atmospheric moisture in sustaining malaria transmission within the study area, which is a typic</w:t>
      </w:r>
      <w:r>
        <w:rPr>
          <w:color w:val="000000" w:themeColor="text1"/>
        </w:rPr>
        <w:t>al humid tropical environment.</w:t>
      </w:r>
    </w:p>
    <w:p w:rsidR="00070F8E" w:rsidRDefault="008F055D">
      <w:pPr>
        <w:spacing w:before="0" w:beforeAutospacing="0" w:after="120" w:line="240" w:lineRule="auto"/>
        <w:jc w:val="both"/>
        <w:rPr>
          <w:rFonts w:ascii="Times New Roman" w:hAnsi="Times New Roman"/>
          <w:color w:val="000000" w:themeColor="text1"/>
          <w:sz w:val="24"/>
          <w:szCs w:val="24"/>
        </w:rPr>
      </w:pPr>
      <w:r>
        <w:rPr>
          <w:rFonts w:ascii="Times New Roman" w:eastAsia="Calibri" w:hAnsi="Times New Roman"/>
          <w:color w:val="000000" w:themeColor="text1"/>
          <w:sz w:val="24"/>
          <w:szCs w:val="21"/>
          <w:lang w:eastAsia="zh-CN" w:bidi="ar"/>
        </w:rPr>
        <w:t xml:space="preserve">Beyond climatic variables, the study highlights the association between environmental sanitation, water management, and malaria risk within university communities. </w:t>
      </w:r>
      <w:r>
        <w:rPr>
          <w:rFonts w:ascii="Times New Roman" w:hAnsi="Times New Roman"/>
          <w:color w:val="000000" w:themeColor="text1"/>
          <w:sz w:val="24"/>
          <w:szCs w:val="24"/>
        </w:rPr>
        <w:t xml:space="preserve"> The widespread presence of </w:t>
      </w:r>
      <w:r>
        <w:rPr>
          <w:rFonts w:ascii="Times New Roman" w:eastAsia="Times New Roman" w:hAnsi="Times New Roman"/>
          <w:color w:val="000000" w:themeColor="text1"/>
          <w:sz w:val="24"/>
          <w:szCs w:val="24"/>
          <w:lang w:eastAsia="zh-CN" w:bidi="ar"/>
        </w:rPr>
        <w:t xml:space="preserve">stagnant surface water, clogged drainage and uncovered water receptacles around student residences provides ideal breeding habitats for </w:t>
      </w:r>
      <w:r>
        <w:rPr>
          <w:rFonts w:ascii="Times New Roman" w:eastAsia="Times New Roman" w:hAnsi="Times New Roman"/>
          <w:i/>
          <w:iCs/>
          <w:color w:val="000000" w:themeColor="text1"/>
          <w:sz w:val="24"/>
          <w:szCs w:val="24"/>
          <w:lang w:eastAsia="zh-CN" w:bidi="ar"/>
        </w:rPr>
        <w:t xml:space="preserve">Anopheles </w:t>
      </w:r>
      <w:r>
        <w:rPr>
          <w:rFonts w:ascii="Times New Roman" w:eastAsia="Times New Roman" w:hAnsi="Times New Roman"/>
          <w:color w:val="000000" w:themeColor="text1"/>
          <w:sz w:val="24"/>
          <w:szCs w:val="24"/>
          <w:lang w:eastAsia="zh-CN" w:bidi="ar"/>
        </w:rPr>
        <w:t>mosquitoes</w:t>
      </w:r>
      <w:r>
        <w:rPr>
          <w:rFonts w:ascii="Times New Roman" w:hAnsi="Times New Roman"/>
          <w:color w:val="000000" w:themeColor="text1"/>
          <w:sz w:val="24"/>
          <w:szCs w:val="24"/>
        </w:rPr>
        <w:t>. Similar studies in urban and peri-urban African settings have demonstrated that artificial water c</w:t>
      </w:r>
      <w:r>
        <w:rPr>
          <w:rFonts w:ascii="Times New Roman" w:hAnsi="Times New Roman"/>
          <w:color w:val="000000" w:themeColor="text1"/>
          <w:sz w:val="24"/>
          <w:szCs w:val="24"/>
        </w:rPr>
        <w:t>ontainers can significantly contribute to vector proliferation, particularly in areas with unreliable water supply and inadequate drainage infrastructure (Becker et al., 2019; Tusting et al., 2017). The proximity of these breeding sites to student living s</w:t>
      </w:r>
      <w:r>
        <w:rPr>
          <w:rFonts w:ascii="Times New Roman" w:hAnsi="Times New Roman"/>
          <w:color w:val="000000" w:themeColor="text1"/>
          <w:sz w:val="24"/>
          <w:szCs w:val="24"/>
        </w:rPr>
        <w:t>paces increases human–vector contact and sustains localized transmission hotspots.</w:t>
      </w:r>
    </w:p>
    <w:p w:rsidR="00070F8E" w:rsidRDefault="008F055D">
      <w:pPr>
        <w:spacing w:before="0" w:beforeAutospacing="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significance of </w:t>
      </w:r>
      <w:r>
        <w:rPr>
          <w:rFonts w:ascii="Times New Roman" w:eastAsia="Times New Roman" w:hAnsi="Times New Roman"/>
          <w:color w:val="000000" w:themeColor="text1"/>
          <w:sz w:val="24"/>
          <w:szCs w:val="24"/>
          <w:lang w:eastAsia="zh-CN" w:bidi="ar"/>
        </w:rPr>
        <w:t xml:space="preserve">stagnant surface water, clogged drainage and uncovered water receptacles </w:t>
      </w:r>
      <w:r>
        <w:rPr>
          <w:rFonts w:ascii="Times New Roman" w:hAnsi="Times New Roman"/>
          <w:color w:val="000000" w:themeColor="text1"/>
          <w:sz w:val="24"/>
          <w:szCs w:val="24"/>
        </w:rPr>
        <w:t>in this study reinforces the importance of larval source management as a complem</w:t>
      </w:r>
      <w:r>
        <w:rPr>
          <w:rFonts w:ascii="Times New Roman" w:hAnsi="Times New Roman"/>
          <w:color w:val="000000" w:themeColor="text1"/>
          <w:sz w:val="24"/>
          <w:szCs w:val="24"/>
        </w:rPr>
        <w:t>entary malaria control strategy. While malaria interventions in Nigeria have largely focused on insecticide-treated nets and case management, environmental control measures (such as covering water containers, improving drainage, and regular environmental s</w:t>
      </w:r>
      <w:r>
        <w:rPr>
          <w:rFonts w:ascii="Times New Roman" w:hAnsi="Times New Roman"/>
          <w:color w:val="000000" w:themeColor="text1"/>
          <w:sz w:val="24"/>
          <w:szCs w:val="24"/>
        </w:rPr>
        <w:t xml:space="preserve">anitation) remain underutilized, particularly in institutional residential settings. </w:t>
      </w:r>
      <w:r>
        <w:rPr>
          <w:rFonts w:ascii="Times New Roman" w:eastAsia="Calibri" w:hAnsi="Times New Roman"/>
          <w:color w:val="000000" w:themeColor="text1"/>
          <w:sz w:val="24"/>
          <w:szCs w:val="24"/>
          <w:lang w:eastAsia="zh-CN" w:bidi="ar"/>
        </w:rPr>
        <w:t>The findings suggest that targeted environmental interventions within university communities may be associated with reduced malaria risk and could be implemented with rela</w:t>
      </w:r>
      <w:r>
        <w:rPr>
          <w:rFonts w:ascii="Times New Roman" w:eastAsia="Calibri" w:hAnsi="Times New Roman"/>
          <w:color w:val="000000" w:themeColor="text1"/>
          <w:sz w:val="24"/>
          <w:szCs w:val="24"/>
          <w:lang w:eastAsia="zh-CN" w:bidi="ar"/>
        </w:rPr>
        <w:t>tively low cost and high sustainability.</w:t>
      </w:r>
    </w:p>
    <w:p w:rsidR="00070F8E" w:rsidRDefault="008F055D">
      <w:pPr>
        <w:pStyle w:val="NormalWeb"/>
        <w:spacing w:before="0" w:beforeAutospacing="0" w:after="120" w:afterAutospacing="0"/>
        <w:jc w:val="both"/>
        <w:rPr>
          <w:color w:val="000000" w:themeColor="text1"/>
        </w:rPr>
      </w:pPr>
      <w:r>
        <w:rPr>
          <w:color w:val="000000" w:themeColor="text1"/>
        </w:rPr>
        <w:t>A key strength and novelty of this study lie in its focus on a university student population, an understudied group in malaria epidemiology. Most malaria research in Nigeria has concentrated on rural households, chi</w:t>
      </w:r>
      <w:r>
        <w:rPr>
          <w:color w:val="000000" w:themeColor="text1"/>
        </w:rPr>
        <w:t>ldren under five, pregnant women, or the general urban population, often overlooking institutional residential environments (</w:t>
      </w:r>
      <w:r>
        <w:rPr>
          <w:rFonts w:eastAsia="SimSun"/>
          <w:color w:val="000000" w:themeColor="text1"/>
        </w:rPr>
        <w:t>Isiko 2024; Ibinaiye et al., 2023; Oladimeji et al., 2019)</w:t>
      </w:r>
      <w:r>
        <w:rPr>
          <w:color w:val="000000" w:themeColor="text1"/>
        </w:rPr>
        <w:t xml:space="preserve">. University communities represent unique ecological systems characterized by high population density, shared facilities, transient populations, and distinct behavioral patterns that may influence exposure risk (Bolanos et al., 2025). </w:t>
      </w:r>
      <w:r>
        <w:rPr>
          <w:rFonts w:eastAsia="Calibri"/>
          <w:color w:val="000000" w:themeColor="text1"/>
          <w:szCs w:val="21"/>
          <w:lang w:bidi="ar"/>
        </w:rPr>
        <w:t>By demonstrating mala</w:t>
      </w:r>
      <w:r>
        <w:rPr>
          <w:rFonts w:eastAsia="Calibri"/>
          <w:color w:val="000000" w:themeColor="text1"/>
          <w:szCs w:val="21"/>
          <w:lang w:bidi="ar"/>
        </w:rPr>
        <w:t>ria occurrence among students, including recent diagnoses, this study highlights that malaria transmission within university environments may be ongoing</w:t>
      </w:r>
      <w:r>
        <w:rPr>
          <w:color w:val="000000" w:themeColor="text1"/>
        </w:rPr>
        <w:t>.</w:t>
      </w:r>
    </w:p>
    <w:p w:rsidR="00070F8E" w:rsidRDefault="008F055D">
      <w:pPr>
        <w:pStyle w:val="NormalWeb"/>
        <w:spacing w:before="0" w:beforeAutospacing="0" w:after="120" w:afterAutospacing="0"/>
        <w:jc w:val="both"/>
      </w:pPr>
      <w:r>
        <w:rPr>
          <w:color w:val="000000" w:themeColor="text1"/>
        </w:rPr>
        <w:t>Furthermore, the integration of measured environmental parameters with clinic-confirmed malaria data p</w:t>
      </w:r>
      <w:r>
        <w:rPr>
          <w:color w:val="000000" w:themeColor="text1"/>
        </w:rPr>
        <w:t>rovides context-specific evidence that strengthens the validity of the observed associations. The relationship between environmental variables, sanitation, and malaria cases further supports the biological plausibility of the findings and</w:t>
      </w:r>
      <w:r>
        <w:t xml:space="preserve"> aligns with estab</w:t>
      </w:r>
      <w:r>
        <w:t>lished malaria transmission frameworks.</w:t>
      </w:r>
    </w:p>
    <w:p w:rsidR="00070F8E" w:rsidRDefault="008F055D">
      <w:pPr>
        <w:pStyle w:val="NormalWeb"/>
        <w:spacing w:before="0" w:beforeAutospacing="0" w:after="120" w:afterAutospacing="0"/>
        <w:jc w:val="both"/>
        <w:rPr>
          <w:color w:val="000000" w:themeColor="text1"/>
        </w:rPr>
      </w:pPr>
      <w:r>
        <w:rPr>
          <w:color w:val="000000" w:themeColor="text1"/>
        </w:rPr>
        <w:t>The study identifies micro-environmental factors that facilitate mosquito breeding and the endemicity of the malaria parasite. These include ambient temperature and high humidity</w:t>
      </w:r>
      <w:r>
        <w:rPr>
          <w:rFonts w:ascii="Arial" w:hAnsi="Arial" w:cs="Arial"/>
          <w:lang w:eastAsia="en-GB"/>
        </w:rPr>
        <w:t xml:space="preserve">, </w:t>
      </w:r>
      <w:r>
        <w:rPr>
          <w:color w:val="000000" w:themeColor="text1"/>
        </w:rPr>
        <w:t>alongside conditions linked to human</w:t>
      </w:r>
      <w:r>
        <w:rPr>
          <w:color w:val="000000" w:themeColor="text1"/>
        </w:rPr>
        <w:t xml:space="preserve"> activity such as open or clogged drainage. Furthermore, the problems posed by stagnant surface water and clogged drainage are exacerbated by the use of open receptacles for water storage, a necessity driven by the university residential community's unreli</w:t>
      </w:r>
      <w:r>
        <w:rPr>
          <w:color w:val="000000" w:themeColor="text1"/>
        </w:rPr>
        <w:t xml:space="preserve">able water infrastructure. </w:t>
      </w:r>
    </w:p>
    <w:p w:rsidR="00070F8E" w:rsidRDefault="008F055D">
      <w:pPr>
        <w:pStyle w:val="NormalWeb"/>
        <w:spacing w:after="0" w:afterAutospacing="0"/>
        <w:jc w:val="both"/>
      </w:pPr>
      <w:r>
        <w:rPr>
          <w:rFonts w:eastAsia="Calibri"/>
          <w:szCs w:val="21"/>
          <w:lang w:bidi="ar"/>
        </w:rPr>
        <w:t xml:space="preserve">Overall, this study extends the current understanding of malaria ecology by demonstrating that micro-environmental conditions within university residential settings are associated with malaria transmission in </w:t>
      </w:r>
      <w:r>
        <w:rPr>
          <w:rFonts w:eastAsia="Calibri"/>
          <w:szCs w:val="21"/>
          <w:lang w:bidi="ar"/>
        </w:rPr>
        <w:lastRenderedPageBreak/>
        <w:t>endemic regions</w:t>
      </w:r>
      <w:r>
        <w:t>. Th</w:t>
      </w:r>
      <w:r>
        <w:t>e findings underscore the need to incorporate environmental management strategies into malaria control programs targeting institutional communities and provide a foundation for future longitudinal and intervention-based studies aimed at reducing malaria bu</w:t>
      </w:r>
      <w:r>
        <w:t>rden among university populations.</w:t>
      </w:r>
    </w:p>
    <w:p w:rsidR="00070F8E" w:rsidRDefault="00070F8E">
      <w:pPr>
        <w:pStyle w:val="NormalWeb"/>
        <w:spacing w:before="0" w:beforeAutospacing="0" w:after="0" w:afterAutospacing="0"/>
        <w:jc w:val="both"/>
      </w:pPr>
    </w:p>
    <w:p w:rsidR="00070F8E" w:rsidRDefault="008F055D">
      <w:pPr>
        <w:pStyle w:val="Heading2"/>
        <w:spacing w:before="0" w:beforeAutospacing="0" w:after="0" w:afterAutospacing="0"/>
        <w:jc w:val="both"/>
        <w:rPr>
          <w:sz w:val="24"/>
          <w:szCs w:val="24"/>
        </w:rPr>
      </w:pPr>
      <w:r>
        <w:rPr>
          <w:sz w:val="24"/>
          <w:szCs w:val="24"/>
        </w:rPr>
        <w:t>Study Limitations</w:t>
      </w:r>
    </w:p>
    <w:p w:rsidR="00070F8E" w:rsidRDefault="008F055D">
      <w:pPr>
        <w:pStyle w:val="NormalWeb"/>
        <w:spacing w:before="0" w:beforeAutospacing="0" w:after="0" w:afterAutospacing="0"/>
        <w:jc w:val="both"/>
      </w:pPr>
      <w:r>
        <w:t>This study has some limitations. First, the cross-sectional design precludes causal inference. Second, although complemented by university clinic records, malaria history was partly self-reported and re</w:t>
      </w:r>
      <w:r>
        <w:t>mains subject to potential recall bias. Furthermore, environmental measurements were limited to a seven-day period and may not capture seasonal climatic variability. Entomological indicators, such as mosquito density and larval indices, were also not asses</w:t>
      </w:r>
      <w:r>
        <w:t>sed. Finally, the focus on a single university community may limit the generalizability of these findings to other settings.</w:t>
      </w:r>
    </w:p>
    <w:p w:rsidR="00070F8E" w:rsidRDefault="00070F8E">
      <w:pPr>
        <w:pStyle w:val="NormalWeb"/>
        <w:spacing w:before="0" w:beforeAutospacing="0" w:after="0" w:afterAutospacing="0"/>
        <w:jc w:val="both"/>
      </w:pPr>
    </w:p>
    <w:p w:rsidR="00070F8E" w:rsidRDefault="008F055D">
      <w:pPr>
        <w:spacing w:before="0" w:beforeAutospacing="0" w:after="0"/>
        <w:jc w:val="both"/>
        <w:rPr>
          <w:b/>
          <w:sz w:val="28"/>
          <w:szCs w:val="28"/>
        </w:rPr>
      </w:pPr>
      <w:r>
        <w:rPr>
          <w:rFonts w:ascii="Times New Roman" w:hAnsi="Times New Roman"/>
          <w:b/>
          <w:sz w:val="28"/>
          <w:szCs w:val="28"/>
        </w:rPr>
        <w:t>CONCLUSION</w:t>
      </w:r>
    </w:p>
    <w:p w:rsidR="00070F8E" w:rsidRDefault="008F055D">
      <w:pPr>
        <w:spacing w:before="0" w:beforeAutospacing="0" w:after="120" w:line="240" w:lineRule="auto"/>
        <w:jc w:val="both"/>
        <w:rPr>
          <w:color w:val="000000" w:themeColor="text1"/>
          <w:sz w:val="24"/>
          <w:szCs w:val="24"/>
        </w:rPr>
      </w:pPr>
      <w:r>
        <w:rPr>
          <w:rFonts w:ascii="Times New Roman" w:eastAsia="Calibri" w:hAnsi="Times New Roman"/>
          <w:sz w:val="24"/>
          <w:szCs w:val="21"/>
          <w:lang w:eastAsia="zh-CN" w:bidi="ar"/>
        </w:rPr>
        <w:t xml:space="preserve">This study provides compelling evidence that malaria transmission within university residential </w:t>
      </w:r>
      <w:r>
        <w:rPr>
          <w:rFonts w:ascii="Times New Roman" w:eastAsia="Calibri" w:hAnsi="Times New Roman"/>
          <w:color w:val="000000" w:themeColor="text1"/>
          <w:sz w:val="24"/>
          <w:szCs w:val="21"/>
          <w:lang w:eastAsia="zh-CN" w:bidi="ar"/>
        </w:rPr>
        <w:t xml:space="preserve">environments is significantly associated with local environmental conditions. </w:t>
      </w:r>
      <w:r>
        <w:rPr>
          <w:rFonts w:ascii="Times New Roman" w:hAnsi="Times New Roman"/>
          <w:color w:val="000000" w:themeColor="text1"/>
          <w:sz w:val="24"/>
          <w:szCs w:val="24"/>
        </w:rPr>
        <w:t xml:space="preserve"> Elevated ambient temperature and high relative humidity—conditions that enhance </w:t>
      </w:r>
      <w:r>
        <w:rPr>
          <w:rStyle w:val="Emphasis"/>
          <w:rFonts w:ascii="Times New Roman" w:hAnsi="Times New Roman"/>
          <w:color w:val="000000" w:themeColor="text1"/>
          <w:sz w:val="24"/>
          <w:szCs w:val="24"/>
        </w:rPr>
        <w:t>Anopheles</w:t>
      </w:r>
      <w:r>
        <w:rPr>
          <w:rFonts w:ascii="Times New Roman" w:hAnsi="Times New Roman"/>
          <w:color w:val="000000" w:themeColor="text1"/>
          <w:sz w:val="24"/>
          <w:szCs w:val="24"/>
        </w:rPr>
        <w:t xml:space="preserve"> mosquito survival and </w:t>
      </w:r>
      <w:r>
        <w:rPr>
          <w:rStyle w:val="Emphasis"/>
          <w:rFonts w:ascii="Times New Roman" w:hAnsi="Times New Roman"/>
          <w:color w:val="000000" w:themeColor="text1"/>
          <w:sz w:val="24"/>
          <w:szCs w:val="24"/>
        </w:rPr>
        <w:t>Plasmodium</w:t>
      </w:r>
      <w:r>
        <w:rPr>
          <w:rFonts w:ascii="Times New Roman" w:hAnsi="Times New Roman"/>
          <w:color w:val="000000" w:themeColor="text1"/>
          <w:sz w:val="24"/>
          <w:szCs w:val="24"/>
        </w:rPr>
        <w:t xml:space="preserve"> development—were associated with malaria occurrence am</w:t>
      </w:r>
      <w:r>
        <w:rPr>
          <w:rFonts w:ascii="Times New Roman" w:hAnsi="Times New Roman"/>
          <w:color w:val="000000" w:themeColor="text1"/>
          <w:sz w:val="24"/>
          <w:szCs w:val="24"/>
        </w:rPr>
        <w:t xml:space="preserve">ong university students in Okofia Community. </w:t>
      </w:r>
      <w:r>
        <w:rPr>
          <w:rFonts w:ascii="Times New Roman" w:eastAsia="Calibri" w:hAnsi="Times New Roman"/>
          <w:color w:val="000000" w:themeColor="text1"/>
          <w:sz w:val="24"/>
          <w:szCs w:val="21"/>
          <w:lang w:bidi="ar"/>
        </w:rPr>
        <w:t xml:space="preserve">In addition, the widespread presence of </w:t>
      </w:r>
      <w:r>
        <w:rPr>
          <w:rFonts w:ascii="Times New Roman" w:eastAsia="Times New Roman" w:hAnsi="Times New Roman"/>
          <w:color w:val="000000" w:themeColor="text1"/>
          <w:sz w:val="24"/>
          <w:szCs w:val="24"/>
          <w:lang w:eastAsia="zh-CN" w:bidi="ar"/>
        </w:rPr>
        <w:t xml:space="preserve">stagnant surface water, clogged drainage and uncovered water receptacles </w:t>
      </w:r>
      <w:r>
        <w:rPr>
          <w:rFonts w:ascii="Times New Roman" w:eastAsia="Calibri" w:hAnsi="Times New Roman"/>
          <w:color w:val="000000" w:themeColor="text1"/>
          <w:sz w:val="24"/>
          <w:szCs w:val="21"/>
          <w:lang w:bidi="ar"/>
        </w:rPr>
        <w:t xml:space="preserve">around student residences was identified as an important environmental factor associated with </w:t>
      </w:r>
      <w:r>
        <w:rPr>
          <w:rFonts w:ascii="Times New Roman" w:eastAsia="Calibri" w:hAnsi="Times New Roman"/>
          <w:color w:val="000000" w:themeColor="text1"/>
          <w:sz w:val="24"/>
          <w:szCs w:val="21"/>
          <w:lang w:bidi="ar"/>
        </w:rPr>
        <w:t>mosquito breeding and malaria transmission.</w:t>
      </w:r>
    </w:p>
    <w:p w:rsidR="00070F8E" w:rsidRDefault="008F055D">
      <w:pPr>
        <w:spacing w:before="0" w:beforeAutospacing="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By focusing on a university student population, this study addresses an important gap in malaria epidemiology and </w:t>
      </w:r>
      <w:r>
        <w:rPr>
          <w:rFonts w:ascii="Times New Roman" w:eastAsia="Calibri" w:hAnsi="Times New Roman"/>
          <w:color w:val="000000" w:themeColor="text1"/>
          <w:sz w:val="24"/>
          <w:szCs w:val="21"/>
          <w:lang w:eastAsia="zh-CN" w:bidi="ar"/>
        </w:rPr>
        <w:t>demonstrates that institutional residential settings can serve as malaria transmission micro-envir</w:t>
      </w:r>
      <w:r>
        <w:rPr>
          <w:rFonts w:ascii="Times New Roman" w:eastAsia="Calibri" w:hAnsi="Times New Roman"/>
          <w:color w:val="000000" w:themeColor="text1"/>
          <w:sz w:val="24"/>
          <w:szCs w:val="21"/>
          <w:lang w:eastAsia="zh-CN" w:bidi="ar"/>
        </w:rPr>
        <w:t xml:space="preserve">onments in endemic regions. </w:t>
      </w:r>
      <w:r>
        <w:rPr>
          <w:rFonts w:ascii="Times New Roman" w:hAnsi="Times New Roman"/>
          <w:color w:val="000000" w:themeColor="text1"/>
          <w:sz w:val="24"/>
          <w:szCs w:val="24"/>
        </w:rPr>
        <w:t>The integration of measured environmental parameters with clinic-confirmed malaria data strengthens the biological plausibility and public health relevance of the findings.</w:t>
      </w:r>
    </w:p>
    <w:p w:rsidR="00070F8E" w:rsidRDefault="008F055D">
      <w:pPr>
        <w:pStyle w:val="NormalWeb"/>
        <w:spacing w:before="0" w:beforeAutospacing="0" w:after="0" w:afterAutospacing="0"/>
        <w:jc w:val="both"/>
      </w:pPr>
      <w:r>
        <w:rPr>
          <w:color w:val="000000" w:themeColor="text1"/>
        </w:rPr>
        <w:t>These results underscore the need to complement convent</w:t>
      </w:r>
      <w:r>
        <w:rPr>
          <w:color w:val="000000" w:themeColor="text1"/>
        </w:rPr>
        <w:t>ional malaria control strategies, such as case management and insecticide-treated net use, with targeted environmental sanitation and larval source management interventions within university communities. Improving water storage practices, drainage systems,</w:t>
      </w:r>
      <w:r>
        <w:rPr>
          <w:color w:val="000000" w:themeColor="text1"/>
        </w:rPr>
        <w:t xml:space="preserve"> and environmental hygiene in off-campus student residences could substantially reduce malaria risk and improve student health and academic productivity. Overall, this study provides evidence-based insights to inform context-specific malaria control polici</w:t>
      </w:r>
      <w:r>
        <w:rPr>
          <w:color w:val="000000" w:themeColor="text1"/>
        </w:rPr>
        <w:t>es and highlights the importance of incorporating environmenta</w:t>
      </w:r>
      <w:r>
        <w:t>l management into malaria prevention strategies in institutional settings.</w:t>
      </w:r>
    </w:p>
    <w:p w:rsidR="00070F8E" w:rsidRDefault="00070F8E">
      <w:pPr>
        <w:pStyle w:val="NormalWeb"/>
        <w:spacing w:before="0" w:beforeAutospacing="0" w:after="0" w:afterAutospacing="0"/>
        <w:jc w:val="both"/>
      </w:pPr>
    </w:p>
    <w:p w:rsidR="00070F8E" w:rsidRDefault="008F055D">
      <w:pPr>
        <w:pStyle w:val="Heading3"/>
        <w:spacing w:beforeAutospacing="0" w:afterAutospacing="0"/>
        <w:rPr>
          <w:rFonts w:ascii="Times New Roman" w:hAnsi="Times New Roman" w:hint="default"/>
          <w:sz w:val="28"/>
          <w:szCs w:val="28"/>
        </w:rPr>
      </w:pPr>
      <w:r>
        <w:rPr>
          <w:rStyle w:val="Strong"/>
          <w:rFonts w:ascii="Times New Roman" w:hAnsi="Times New Roman" w:hint="default"/>
          <w:b/>
          <w:bCs/>
          <w:sz w:val="28"/>
          <w:szCs w:val="28"/>
        </w:rPr>
        <w:t>REFERENCES</w:t>
      </w:r>
    </w:p>
    <w:p w:rsidR="00070F8E" w:rsidRDefault="008F055D">
      <w:pPr>
        <w:pStyle w:val="NormalWeb"/>
        <w:spacing w:before="0" w:beforeAutospacing="0" w:after="120" w:afterAutospacing="0"/>
      </w:pPr>
      <w:r>
        <w:t xml:space="preserve">Becker, N., Petric, D., Zgomba, M., Boase, C., Madon, M., Dahl, C., &amp; Kaiser, A. (2019). </w:t>
      </w:r>
      <w:r>
        <w:rPr>
          <w:rStyle w:val="Emphasis"/>
          <w:i w:val="0"/>
          <w:iCs w:val="0"/>
        </w:rPr>
        <w:t xml:space="preserve">Mosquitoes and </w:t>
      </w:r>
      <w:r>
        <w:rPr>
          <w:rStyle w:val="Emphasis"/>
          <w:i w:val="0"/>
          <w:iCs w:val="0"/>
        </w:rPr>
        <w:t>their control</w:t>
      </w:r>
      <w:r>
        <w:t xml:space="preserve"> (2nd ed.). Springer. </w:t>
      </w:r>
      <w:hyperlink r:id="rId7" w:tgtFrame="_new" w:history="1">
        <w:r>
          <w:rPr>
            <w:rStyle w:val="Hyperlink"/>
          </w:rPr>
          <w:t>https://doi.org/10.1007/978-3-662-58217-3</w:t>
        </w:r>
      </w:hyperlink>
    </w:p>
    <w:p w:rsidR="00070F8E" w:rsidRDefault="008F055D">
      <w:pPr>
        <w:pStyle w:val="NormalWeb"/>
        <w:spacing w:before="0" w:beforeAutospacing="0" w:after="120" w:afterAutospacing="0"/>
      </w:pPr>
      <w:r>
        <w:t>Bolanos, J., Dornburg, A., Harris, A., Kunkleman, S., Ferdous, J., Taylor, W., Schlueter, J., &amp; Gibas, C. (2025</w:t>
      </w:r>
      <w:r>
        <w:t xml:space="preserve">). On campus dormitories as viral transmission sinks: Phylodynamic insights into student housing networks during the COVID-19 pandemic. </w:t>
      </w:r>
      <w:r>
        <w:rPr>
          <w:rStyle w:val="Emphasis"/>
        </w:rPr>
        <w:t>PLoS Pathogens, 21</w:t>
      </w:r>
      <w:r>
        <w:t xml:space="preserve">(11), e1013666. </w:t>
      </w:r>
      <w:hyperlink r:id="rId8" w:tgtFrame="_new" w:history="1">
        <w:r>
          <w:rPr>
            <w:rStyle w:val="Hyperlink"/>
          </w:rPr>
          <w:t>https://doi.org/10</w:t>
        </w:r>
        <w:r>
          <w:rPr>
            <w:rStyle w:val="Hyperlink"/>
          </w:rPr>
          <w:t>.1371/journal.ppat.1013666</w:t>
        </w:r>
      </w:hyperlink>
    </w:p>
    <w:p w:rsidR="00070F8E" w:rsidRDefault="008F055D">
      <w:pPr>
        <w:pStyle w:val="NormalWeb"/>
        <w:spacing w:before="0" w:beforeAutospacing="0" w:after="120" w:afterAutospacing="0"/>
      </w:pPr>
      <w:r>
        <w:t xml:space="preserve">Eke, S., Obande, G., &amp; Hassan, S. C. (2025). Studies on malaria vectors and climatic factors: The cause of malaria transmission in selected communities of Benue State, North Central Nigeria. </w:t>
      </w:r>
      <w:r>
        <w:rPr>
          <w:rStyle w:val="Emphasis"/>
        </w:rPr>
        <w:t>Sahel Journal of Life Sciences.</w:t>
      </w:r>
      <w:r>
        <w:t xml:space="preserve"> </w:t>
      </w:r>
      <w:hyperlink r:id="rId9" w:tgtFrame="_new" w:history="1">
        <w:r>
          <w:rPr>
            <w:rStyle w:val="Hyperlink"/>
          </w:rPr>
          <w:t>https://doi.org/10.33003/sajols-2025-0302-45</w:t>
        </w:r>
      </w:hyperlink>
    </w:p>
    <w:p w:rsidR="00070F8E" w:rsidRDefault="008F055D">
      <w:pPr>
        <w:pStyle w:val="NormalWeb"/>
        <w:spacing w:before="0" w:beforeAutospacing="0" w:after="120" w:afterAutospacing="0"/>
      </w:pPr>
      <w:r>
        <w:t>Ekpa, D. E., Salubi, E. A., Olusola, J. A., &amp; Akintade, D. (2023). Spatio-temporal analysis of environmental and climatic factors impacts on</w:t>
      </w:r>
      <w:r>
        <w:t xml:space="preserve"> malaria morbidity in Ondo State, Nigeria. </w:t>
      </w:r>
      <w:r>
        <w:rPr>
          <w:rStyle w:val="Emphasis"/>
        </w:rPr>
        <w:t>Heliyon, 9</w:t>
      </w:r>
      <w:r>
        <w:t xml:space="preserve">(3), e14005. </w:t>
      </w:r>
      <w:hyperlink r:id="rId10" w:tgtFrame="_new" w:history="1">
        <w:r>
          <w:rPr>
            <w:rStyle w:val="Hyperlink"/>
          </w:rPr>
          <w:t>https://doi.org/10.1016/j.heliyon.2023.e14005</w:t>
        </w:r>
      </w:hyperlink>
    </w:p>
    <w:p w:rsidR="00070F8E" w:rsidRDefault="008F055D">
      <w:pPr>
        <w:pStyle w:val="NormalWeb"/>
        <w:spacing w:before="0" w:beforeAutospacing="0" w:after="120" w:afterAutospacing="0"/>
      </w:pPr>
      <w:r>
        <w:t>Ekhator, E., Essien, V. G., Afolabi, O. E., Adewonbi, T., &amp; Okundaye, M.</w:t>
      </w:r>
      <w:r>
        <w:t xml:space="preserve"> I. (2025). Public awareness and acceptance of malaria vaccine in Sub-Saharan Africa: A systematic review. </w:t>
      </w:r>
      <w:r>
        <w:rPr>
          <w:rStyle w:val="Emphasis"/>
        </w:rPr>
        <w:t>BMC Public Health, 25</w:t>
      </w:r>
      <w:r>
        <w:t xml:space="preserve">, Article 3890. </w:t>
      </w:r>
      <w:hyperlink r:id="rId11" w:tgtFrame="_new" w:history="1">
        <w:r>
          <w:rPr>
            <w:rStyle w:val="Hyperlink"/>
          </w:rPr>
          <w:t>https://doi.org/10.1186/s12889-025-25196-5</w:t>
        </w:r>
      </w:hyperlink>
    </w:p>
    <w:p w:rsidR="00070F8E" w:rsidRDefault="008F055D">
      <w:pPr>
        <w:pStyle w:val="NormalWeb"/>
        <w:spacing w:before="0" w:beforeAutospacing="0" w:after="120" w:afterAutospacing="0"/>
      </w:pPr>
      <w:r>
        <w:lastRenderedPageBreak/>
        <w:t xml:space="preserve">Ezihe, E.K., Chikezie, F.M., Egbuche, C.M., Nwankwo, E.N., Onyido, A.E., Aribodor, D., &amp; Samdi, M.L. (2017). Seasonal distribution and micro-climatic factors influencing the abundance of the malaria vectors in south-east Nigeria. </w:t>
      </w:r>
      <w:r>
        <w:rPr>
          <w:i/>
          <w:iCs/>
        </w:rPr>
        <w:t>Journal of Mosquito Resear</w:t>
      </w:r>
      <w:r>
        <w:rPr>
          <w:i/>
          <w:iCs/>
        </w:rPr>
        <w:t>ch,</w:t>
      </w:r>
      <w:r>
        <w:t xml:space="preserve"> 7(3): 15-26. </w:t>
      </w:r>
      <w:hyperlink r:id="rId12" w:history="1">
        <w:r>
          <w:rPr>
            <w:rStyle w:val="Hyperlink"/>
          </w:rPr>
          <w:t>http://dx.doi.org/10.5376/jmr.2017.07.0003</w:t>
        </w:r>
      </w:hyperlink>
      <w:r>
        <w:t xml:space="preserve"> </w:t>
      </w:r>
    </w:p>
    <w:p w:rsidR="00070F8E" w:rsidRDefault="008F055D">
      <w:pPr>
        <w:pStyle w:val="NormalWeb"/>
        <w:spacing w:before="0" w:beforeAutospacing="0" w:after="120" w:afterAutospacing="0"/>
      </w:pPr>
      <w:r>
        <w:t>Fernando, D., de Silva, D., &amp; Wickremasinghe, R. (2003). Short-term impact of an acute attack of malaria on the cognitive performance of</w:t>
      </w:r>
      <w:r>
        <w:t xml:space="preserve"> schoolchildren living in a malaria-endemic area of Sri Lanka. </w:t>
      </w:r>
      <w:r>
        <w:rPr>
          <w:rStyle w:val="Emphasis"/>
        </w:rPr>
        <w:t xml:space="preserve">Transactions of the Royal Society of Tropical Medicine and Hygiene, </w:t>
      </w:r>
      <w:r>
        <w:rPr>
          <w:rStyle w:val="Emphasis"/>
          <w:i w:val="0"/>
          <w:iCs w:val="0"/>
        </w:rPr>
        <w:t>97</w:t>
      </w:r>
      <w:r>
        <w:t xml:space="preserve">(6), 633–639. </w:t>
      </w:r>
      <w:hyperlink r:id="rId13" w:tgtFrame="_new" w:history="1">
        <w:r>
          <w:rPr>
            <w:rStyle w:val="Hyperlink"/>
          </w:rPr>
          <w:t>https://doi.org/10.1016/S0035-9203(03)80</w:t>
        </w:r>
        <w:r>
          <w:rPr>
            <w:rStyle w:val="Hyperlink"/>
          </w:rPr>
          <w:t>093-7</w:t>
        </w:r>
      </w:hyperlink>
    </w:p>
    <w:p w:rsidR="00070F8E" w:rsidRDefault="008F055D">
      <w:pPr>
        <w:pStyle w:val="NormalWeb"/>
        <w:spacing w:before="0" w:beforeAutospacing="0" w:after="120" w:afterAutospacing="0"/>
      </w:pPr>
      <w:r>
        <w:t xml:space="preserve">Ibinaiye, T., et al. (2023). Urban–rural differences in seasonal malaria chemoprevention coverage and characteristics of target populations in nine states of Nigeria: A comparative cross-sectional study. </w:t>
      </w:r>
      <w:r>
        <w:rPr>
          <w:rStyle w:val="Emphasis"/>
        </w:rPr>
        <w:t xml:space="preserve">Malaria Journal, </w:t>
      </w:r>
      <w:r>
        <w:rPr>
          <w:rStyle w:val="Emphasis"/>
          <w:i w:val="0"/>
          <w:iCs w:val="0"/>
        </w:rPr>
        <w:t>22</w:t>
      </w:r>
      <w:r>
        <w:rPr>
          <w:i/>
          <w:iCs/>
        </w:rPr>
        <w:t>,</w:t>
      </w:r>
      <w:r>
        <w:t xml:space="preserve"> Article 463. </w:t>
      </w:r>
      <w:hyperlink r:id="rId14" w:tgtFrame="_new" w:history="1">
        <w:r>
          <w:rPr>
            <w:rStyle w:val="Hyperlink"/>
          </w:rPr>
          <w:t>https://doi.org/10.1186/s12936-023-04825-7</w:t>
        </w:r>
      </w:hyperlink>
    </w:p>
    <w:p w:rsidR="00070F8E" w:rsidRDefault="008F055D">
      <w:pPr>
        <w:pStyle w:val="NormalWeb"/>
        <w:spacing w:before="0" w:beforeAutospacing="0" w:after="120" w:afterAutospacing="0"/>
      </w:pPr>
      <w:r>
        <w:t xml:space="preserve">Isiko, I. (2024). Determinants of malaria spread among under-five children in Nigeria: Results from a 2021 Nigerian Malaria Indicator Survey. </w:t>
      </w:r>
      <w:r>
        <w:rPr>
          <w:rStyle w:val="Emphasis"/>
        </w:rPr>
        <w:t>BMC Pediatr</w:t>
      </w:r>
      <w:r>
        <w:rPr>
          <w:rStyle w:val="Emphasis"/>
        </w:rPr>
        <w:t>ics, 24</w:t>
      </w:r>
      <w:r>
        <w:t xml:space="preserve">, 646. </w:t>
      </w:r>
      <w:hyperlink r:id="rId15" w:tgtFrame="_new" w:history="1">
        <w:r>
          <w:rPr>
            <w:rStyle w:val="Hyperlink"/>
          </w:rPr>
          <w:t>https://doi.org/10.1186/s12887-024-05135-w</w:t>
        </w:r>
      </w:hyperlink>
    </w:p>
    <w:p w:rsidR="00070F8E" w:rsidRDefault="008F055D">
      <w:pPr>
        <w:pStyle w:val="NormalWeb"/>
        <w:spacing w:before="0" w:beforeAutospacing="0" w:after="120" w:afterAutospacing="0"/>
      </w:pPr>
      <w:r>
        <w:t xml:space="preserve">Machila, N., et al. (2022). The impact of a malaria elimination initiative on school outcomes: Evidence from Southern Mozambique. </w:t>
      </w:r>
      <w:r>
        <w:rPr>
          <w:rStyle w:val="Emphasis"/>
        </w:rPr>
        <w:t>Economics &amp; Human Biology, 44</w:t>
      </w:r>
      <w:r>
        <w:t xml:space="preserve">, 101100. </w:t>
      </w:r>
      <w:hyperlink r:id="rId16" w:tgtFrame="_new" w:history="1">
        <w:r>
          <w:rPr>
            <w:rStyle w:val="Hyperlink"/>
          </w:rPr>
          <w:t>https://doi.org/10.1016/j.ehb.2021.101100</w:t>
        </w:r>
      </w:hyperlink>
    </w:p>
    <w:p w:rsidR="00070F8E" w:rsidRDefault="008F055D">
      <w:pPr>
        <w:pStyle w:val="NormalWeb"/>
        <w:spacing w:before="0" w:beforeAutospacing="0" w:after="120" w:afterAutospacing="0"/>
      </w:pPr>
      <w:r>
        <w:t xml:space="preserve">Mordecai, E. A., Cohen, J. M., Evans, M. V., Gudapati, P., Johnson, L. R., Lippi, C. A., Miazgowicz, K., Murdock, C. C., Rohr, J. R., Ryan, S. J., Savage, V., Shocket, M. S., Stewart Ibarra, A. M., Thomas, M. B., &amp; Weikel, D. P. (2019). Thermal biology of </w:t>
      </w:r>
      <w:r>
        <w:t xml:space="preserve">mosquito-borne disease. </w:t>
      </w:r>
      <w:r>
        <w:rPr>
          <w:rStyle w:val="Emphasis"/>
        </w:rPr>
        <w:t>Ecology Letters, 22</w:t>
      </w:r>
      <w:r>
        <w:t xml:space="preserve">(10), 1690–1708. </w:t>
      </w:r>
      <w:hyperlink r:id="rId17" w:tgtFrame="_new" w:history="1">
        <w:r>
          <w:rPr>
            <w:rStyle w:val="Hyperlink"/>
          </w:rPr>
          <w:t>https://doi.org/10.1111/ele.13335</w:t>
        </w:r>
      </w:hyperlink>
    </w:p>
    <w:p w:rsidR="00070F8E" w:rsidRDefault="008F055D">
      <w:pPr>
        <w:pStyle w:val="NormalWeb"/>
        <w:spacing w:before="0" w:beforeAutospacing="0" w:after="120" w:afterAutospacing="0"/>
      </w:pPr>
      <w:r>
        <w:t>Mordecai, E. A., Ryan, S. J., Caldwell, J. M., Shah, M. M., &amp; LaBeaud, A. D. (2020). Climate change co</w:t>
      </w:r>
      <w:r>
        <w:t xml:space="preserve">uld shift disease burden from malaria to arboviruses in Africa. </w:t>
      </w:r>
      <w:r>
        <w:rPr>
          <w:rStyle w:val="Emphasis"/>
        </w:rPr>
        <w:t>The Lancet Planetary Health, 4</w:t>
      </w:r>
      <w:r>
        <w:t xml:space="preserve">(9), e416–e423. </w:t>
      </w:r>
      <w:hyperlink r:id="rId18" w:tgtFrame="_new" w:history="1">
        <w:r>
          <w:rPr>
            <w:rStyle w:val="Hyperlink"/>
          </w:rPr>
          <w:t>https://doi.org/10.1016/S2542-5196(20)30178-9</w:t>
        </w:r>
      </w:hyperlink>
    </w:p>
    <w:p w:rsidR="00070F8E" w:rsidRDefault="008F055D">
      <w:pPr>
        <w:pStyle w:val="NormalWeb"/>
        <w:spacing w:before="0" w:beforeAutospacing="0" w:after="120" w:afterAutospacing="0"/>
      </w:pPr>
      <w:r>
        <w:t xml:space="preserve">NPC &amp; ICF (2019). </w:t>
      </w:r>
      <w:r>
        <w:rPr>
          <w:rStyle w:val="Emphasis"/>
          <w:i w:val="0"/>
          <w:iCs w:val="0"/>
        </w:rPr>
        <w:t>Nigeria de</w:t>
      </w:r>
      <w:r>
        <w:rPr>
          <w:rStyle w:val="Emphasis"/>
          <w:i w:val="0"/>
          <w:iCs w:val="0"/>
        </w:rPr>
        <w:t>mographic and health survey 2018</w:t>
      </w:r>
      <w:r>
        <w:rPr>
          <w:rStyle w:val="Emphasis"/>
        </w:rPr>
        <w:t>.</w:t>
      </w:r>
      <w:r>
        <w:t xml:space="preserve"> National Population Commission (NPC) [Nigeria] and ICF. </w:t>
      </w:r>
      <w:hyperlink r:id="rId19" w:history="1">
        <w:r>
          <w:rPr>
            <w:rStyle w:val="Hyperlink"/>
          </w:rPr>
          <w:t>https://www.dhsprogram.com/pubs/pdf/FR359/FR359.pdf</w:t>
        </w:r>
      </w:hyperlink>
      <w:r>
        <w:t xml:space="preserve"> </w:t>
      </w:r>
    </w:p>
    <w:p w:rsidR="00070F8E" w:rsidRDefault="008F055D">
      <w:pPr>
        <w:pStyle w:val="NormalWeb"/>
        <w:spacing w:before="0" w:beforeAutospacing="0" w:after="120" w:afterAutospacing="0"/>
      </w:pPr>
      <w:r>
        <w:t xml:space="preserve">Oladimeji, K. E., Akinyemi, O. O., &amp; Cadmus, </w:t>
      </w:r>
      <w:r>
        <w:t xml:space="preserve">E. O. (2015). Knowledge of malaria prevention among pregnant women and female caregivers of under-five children in rural southwest Nigeria. </w:t>
      </w:r>
      <w:r>
        <w:rPr>
          <w:rStyle w:val="Emphasis"/>
        </w:rPr>
        <w:t xml:space="preserve">PeerJ, </w:t>
      </w:r>
      <w:r>
        <w:rPr>
          <w:rStyle w:val="Emphasis"/>
          <w:i w:val="0"/>
          <w:iCs w:val="0"/>
        </w:rPr>
        <w:t>3</w:t>
      </w:r>
      <w:r>
        <w:rPr>
          <w:i/>
          <w:iCs/>
        </w:rPr>
        <w:t>,</w:t>
      </w:r>
      <w:r>
        <w:t xml:space="preserve"> e792. </w:t>
      </w:r>
      <w:hyperlink r:id="rId20" w:tgtFrame="_new" w:history="1">
        <w:r>
          <w:rPr>
            <w:rStyle w:val="Hyperlink"/>
          </w:rPr>
          <w:t>https://doi.org/10.7717/peerj.792</w:t>
        </w:r>
      </w:hyperlink>
    </w:p>
    <w:p w:rsidR="00070F8E" w:rsidRDefault="008F055D">
      <w:pPr>
        <w:pStyle w:val="NormalWeb"/>
        <w:spacing w:before="0" w:beforeAutospacing="0" w:after="120" w:afterAutospacing="0"/>
      </w:pPr>
      <w:r>
        <w:t>Oladip</w:t>
      </w:r>
      <w:r>
        <w:t xml:space="preserve">o, H. J., Tajudeen, Y. A., Oladunjoye, I. O., Yusuff, S. I., Yusuf, R. O., Oluwaseyi, E. M., … El-Sherbini, M. S. (2022). Increasing challenges of malaria control in sub-Saharan Africa: Priorities for public health research and policymakers. </w:t>
      </w:r>
      <w:r>
        <w:rPr>
          <w:rStyle w:val="Emphasis"/>
        </w:rPr>
        <w:t>Annals of Medi</w:t>
      </w:r>
      <w:r>
        <w:rPr>
          <w:rStyle w:val="Emphasis"/>
        </w:rPr>
        <w:t>cine and Surgery</w:t>
      </w:r>
      <w:r>
        <w:rPr>
          <w:rStyle w:val="Emphasis"/>
          <w:i w:val="0"/>
          <w:iCs w:val="0"/>
        </w:rPr>
        <w:t>, 81</w:t>
      </w:r>
      <w:r>
        <w:t xml:space="preserve">, 104366. </w:t>
      </w:r>
      <w:hyperlink r:id="rId21" w:tgtFrame="_new" w:history="1">
        <w:r>
          <w:rPr>
            <w:rStyle w:val="Hyperlink"/>
          </w:rPr>
          <w:t>https://doi.org/10.1016/j.amsu.2022.104366</w:t>
        </w:r>
      </w:hyperlink>
    </w:p>
    <w:p w:rsidR="00070F8E" w:rsidRDefault="008F055D">
      <w:pPr>
        <w:pStyle w:val="NormalWeb"/>
        <w:spacing w:before="0" w:beforeAutospacing="0" w:after="120" w:afterAutospacing="0"/>
      </w:pPr>
      <w:r>
        <w:t>Paaijmans, K. P., Blanford, S., Chan, B. H. K., &amp; Thomas, M. B. (2019). Warmer temperatures reduce the vectorial c</w:t>
      </w:r>
      <w:r>
        <w:t xml:space="preserve">apacity of malaria mosquitoes. </w:t>
      </w:r>
      <w:r>
        <w:rPr>
          <w:rStyle w:val="Emphasis"/>
        </w:rPr>
        <w:t xml:space="preserve">Biology Letters, </w:t>
      </w:r>
      <w:r>
        <w:rPr>
          <w:rStyle w:val="Emphasis"/>
          <w:i w:val="0"/>
          <w:iCs w:val="0"/>
        </w:rPr>
        <w:t>8</w:t>
      </w:r>
      <w:r>
        <w:t xml:space="preserve">(3), 465–468. </w:t>
      </w:r>
      <w:hyperlink r:id="rId22" w:tgtFrame="_new" w:history="1">
        <w:r>
          <w:rPr>
            <w:rStyle w:val="Hyperlink"/>
          </w:rPr>
          <w:t>https://doi.org/10.1098/rsbl.2011.1075</w:t>
        </w:r>
      </w:hyperlink>
    </w:p>
    <w:p w:rsidR="00070F8E" w:rsidRDefault="008F055D">
      <w:pPr>
        <w:pStyle w:val="NormalWeb"/>
        <w:spacing w:before="0" w:beforeAutospacing="0" w:after="120" w:afterAutospacing="0"/>
      </w:pPr>
      <w:r>
        <w:t>Paaijmans, K. P., Read, A. F., &amp; Thomas, M. B. (2021). Understanding the link between mal</w:t>
      </w:r>
      <w:r>
        <w:t xml:space="preserve">aria risk and climate. </w:t>
      </w:r>
      <w:r>
        <w:rPr>
          <w:rStyle w:val="Emphasis"/>
        </w:rPr>
        <w:t xml:space="preserve">Proceedings of the National Academy of Sciences, </w:t>
      </w:r>
      <w:r>
        <w:rPr>
          <w:rStyle w:val="Emphasis"/>
          <w:i w:val="0"/>
          <w:iCs w:val="0"/>
        </w:rPr>
        <w:t>118</w:t>
      </w:r>
      <w:r>
        <w:t xml:space="preserve">(24), e2017959118. </w:t>
      </w:r>
      <w:hyperlink r:id="rId23" w:tgtFrame="_new" w:history="1">
        <w:r>
          <w:rPr>
            <w:rStyle w:val="Hyperlink"/>
          </w:rPr>
          <w:t>https://doi.org/10.1073/pnas.2017959118</w:t>
        </w:r>
      </w:hyperlink>
    </w:p>
    <w:p w:rsidR="00070F8E" w:rsidRDefault="008F055D">
      <w:pPr>
        <w:pStyle w:val="NormalWeb"/>
        <w:spacing w:before="0" w:beforeAutospacing="0" w:after="120" w:afterAutospacing="0"/>
      </w:pPr>
      <w:r>
        <w:t>Robert, V., Macintyre, K., Keating, J., Trape, J.F., Duc</w:t>
      </w:r>
      <w:r>
        <w:t xml:space="preserve">hemin, J.B., Warren, M., &amp; Beier, J.C. (2003). Malaria transmission in urban sub-Saharan Africa. </w:t>
      </w:r>
      <w:r>
        <w:rPr>
          <w:i/>
          <w:iCs/>
        </w:rPr>
        <w:t>Am J Trop Med Hyg.</w:t>
      </w:r>
      <w:r>
        <w:t xml:space="preserve"> 68(2):169-76. </w:t>
      </w:r>
      <w:hyperlink r:id="rId24" w:history="1">
        <w:r>
          <w:rPr>
            <w:rStyle w:val="Hyperlink"/>
          </w:rPr>
          <w:t>https://doi.org/10.4269/ajtmh.2003.68.169</w:t>
        </w:r>
      </w:hyperlink>
      <w:r>
        <w:t xml:space="preserve"> </w:t>
      </w:r>
    </w:p>
    <w:p w:rsidR="00070F8E" w:rsidRDefault="008F055D">
      <w:pPr>
        <w:pStyle w:val="NormalWeb"/>
        <w:spacing w:before="0" w:beforeAutospacing="0" w:after="120" w:afterAutospacing="0"/>
      </w:pPr>
      <w:r>
        <w:t>Ryan, S. J., Ben-Horin, T</w:t>
      </w:r>
      <w:r>
        <w:t xml:space="preserve">., Johnson, L. R., &amp; Mordecai, E. A. (2015). Malaria control and senescence: The importance of mosquito lifespan. </w:t>
      </w:r>
      <w:r>
        <w:rPr>
          <w:rStyle w:val="Emphasis"/>
        </w:rPr>
        <w:t xml:space="preserve">PLoS ONE, </w:t>
      </w:r>
      <w:r>
        <w:rPr>
          <w:rStyle w:val="Emphasis"/>
          <w:i w:val="0"/>
          <w:iCs w:val="0"/>
        </w:rPr>
        <w:t>10</w:t>
      </w:r>
      <w:r>
        <w:t xml:space="preserve">(4), e0124117. </w:t>
      </w:r>
      <w:hyperlink r:id="rId25" w:tgtFrame="_new" w:history="1">
        <w:r>
          <w:rPr>
            <w:rStyle w:val="Hyperlink"/>
          </w:rPr>
          <w:t>https://doi.org/10.1371/journal.pone.0124117</w:t>
        </w:r>
      </w:hyperlink>
    </w:p>
    <w:p w:rsidR="00070F8E" w:rsidRDefault="008F055D">
      <w:pPr>
        <w:pStyle w:val="NormalWeb"/>
        <w:spacing w:before="0" w:beforeAutospacing="0" w:after="120" w:afterAutospacing="0"/>
      </w:pPr>
      <w:r>
        <w:t xml:space="preserve">Smith, D. L., Battle, K. E., Hay, S. I., Barker, C. M., Scott, T. W., &amp; McKenzie, F. E. (2019). Ross, Macdonald, and a theory for the dynamics and control of mosquito-transmitted pathogens. </w:t>
      </w:r>
      <w:r>
        <w:rPr>
          <w:rStyle w:val="Emphasis"/>
        </w:rPr>
        <w:t xml:space="preserve">PLoS Pathogens, </w:t>
      </w:r>
      <w:r>
        <w:rPr>
          <w:rStyle w:val="Emphasis"/>
          <w:i w:val="0"/>
          <w:iCs w:val="0"/>
        </w:rPr>
        <w:t>8</w:t>
      </w:r>
      <w:r>
        <w:t xml:space="preserve">(4), e1002588. </w:t>
      </w:r>
      <w:hyperlink r:id="rId26" w:tgtFrame="_new" w:history="1">
        <w:r>
          <w:rPr>
            <w:rStyle w:val="Hyperlink"/>
          </w:rPr>
          <w:t>https://doi.org/10.1371/journal.ppat.1002588</w:t>
        </w:r>
      </w:hyperlink>
    </w:p>
    <w:p w:rsidR="00070F8E" w:rsidRDefault="008F055D">
      <w:pPr>
        <w:pStyle w:val="NormalWeb"/>
        <w:spacing w:before="0" w:beforeAutospacing="0" w:after="120" w:afterAutospacing="0"/>
      </w:pPr>
      <w:r>
        <w:lastRenderedPageBreak/>
        <w:t>Tusting, L. S., Bottomley, C., Gibson, H., Kleinschmidt, I., Tatem, A. J., Lindsay, S. W., &amp; Gething, P. W. (2017). Housing improvements and malaria risk in sub-Saharan Afri</w:t>
      </w:r>
      <w:r>
        <w:t xml:space="preserve">ca: A multi-country analysis of survey data. </w:t>
      </w:r>
      <w:r>
        <w:rPr>
          <w:rStyle w:val="Emphasis"/>
        </w:rPr>
        <w:t>PLoS Medicine</w:t>
      </w:r>
      <w:r>
        <w:rPr>
          <w:rStyle w:val="Emphasis"/>
          <w:i w:val="0"/>
          <w:iCs w:val="0"/>
        </w:rPr>
        <w:t>, 14</w:t>
      </w:r>
      <w:r>
        <w:t xml:space="preserve">(2), e1002234. </w:t>
      </w:r>
      <w:hyperlink r:id="rId27" w:tgtFrame="_new" w:history="1">
        <w:r>
          <w:rPr>
            <w:rStyle w:val="Hyperlink"/>
          </w:rPr>
          <w:t>https://doi.org/10.1371/journal.pmed.1002234</w:t>
        </w:r>
      </w:hyperlink>
    </w:p>
    <w:p w:rsidR="00070F8E" w:rsidRDefault="008F055D">
      <w:pPr>
        <w:pStyle w:val="NormalWeb"/>
        <w:spacing w:before="0" w:beforeAutospacing="0" w:after="120" w:afterAutospacing="0"/>
      </w:pPr>
      <w:r>
        <w:t>Tusting, L. S., Willey, B., Lucas, H., Thompson, J., Kafy, H. T</w:t>
      </w:r>
      <w:r>
        <w:t xml:space="preserve">., Smith, R., &amp; Lindsay, S. W. (2013). Socioeconomic development as an intervention against malaria: A systematic review and meta-analysis. </w:t>
      </w:r>
      <w:r>
        <w:rPr>
          <w:rStyle w:val="Emphasis"/>
        </w:rPr>
        <w:t>The Lancet, 382</w:t>
      </w:r>
      <w:r>
        <w:t xml:space="preserve">(9896), 963–972. </w:t>
      </w:r>
      <w:hyperlink r:id="rId28" w:tgtFrame="_new" w:history="1">
        <w:r>
          <w:rPr>
            <w:rStyle w:val="Hyperlink"/>
          </w:rPr>
          <w:t>https://doi.org</w:t>
        </w:r>
        <w:r>
          <w:rPr>
            <w:rStyle w:val="Hyperlink"/>
          </w:rPr>
          <w:t>/10.1016/S0140-6736(13)60851-X</w:t>
        </w:r>
      </w:hyperlink>
    </w:p>
    <w:p w:rsidR="00070F8E" w:rsidRDefault="008F055D">
      <w:pPr>
        <w:pStyle w:val="NormalWeb"/>
        <w:spacing w:before="0" w:beforeAutospacing="0" w:after="120" w:afterAutospacing="0"/>
      </w:pPr>
      <w:r>
        <w:t xml:space="preserve">WHO (2020). </w:t>
      </w:r>
      <w:r>
        <w:rPr>
          <w:rStyle w:val="Emphasis"/>
          <w:i w:val="0"/>
          <w:iCs w:val="0"/>
        </w:rPr>
        <w:t>World malaria report 2020: 20 years of global progress and challenges</w:t>
      </w:r>
      <w:r>
        <w:t xml:space="preserve">. World Health Organization. </w:t>
      </w:r>
      <w:hyperlink r:id="rId29" w:tgtFrame="_new" w:history="1">
        <w:r>
          <w:rPr>
            <w:rStyle w:val="Hyperlink"/>
          </w:rPr>
          <w:t>https://iris.who.int/handle/10665/337660</w:t>
        </w:r>
      </w:hyperlink>
    </w:p>
    <w:p w:rsidR="00070F8E" w:rsidRDefault="008F055D">
      <w:pPr>
        <w:pStyle w:val="NormalWeb"/>
        <w:spacing w:before="0" w:beforeAutospacing="0" w:after="120"/>
      </w:pPr>
      <w:r>
        <w:t xml:space="preserve">WHO (2023). </w:t>
      </w:r>
      <w:r>
        <w:rPr>
          <w:rStyle w:val="Emphasis"/>
          <w:i w:val="0"/>
          <w:iCs w:val="0"/>
        </w:rPr>
        <w:t>World malaria report 2023</w:t>
      </w:r>
      <w:r>
        <w:rPr>
          <w:i/>
          <w:iCs/>
        </w:rPr>
        <w:t>.</w:t>
      </w:r>
      <w:r>
        <w:t xml:space="preserve"> World Health Organization, Global report; 30 November 2023. </w:t>
      </w:r>
      <w:hyperlink r:id="rId30" w:tgtFrame="_new" w:history="1">
        <w:r>
          <w:rPr>
            <w:rStyle w:val="Hyperlink"/>
          </w:rPr>
          <w:t>https://www.who.int/publications/i/item/9789240086173</w:t>
        </w:r>
      </w:hyperlink>
    </w:p>
    <w:sectPr w:rsidR="00070F8E">
      <w:footerReference w:type="even" r:id="rId31"/>
      <w:footerReference w:type="default" r:id="rId32"/>
      <w:pgSz w:w="12240" w:h="15840"/>
      <w:pgMar w:top="1094" w:right="605" w:bottom="605" w:left="605"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5D" w:rsidRDefault="008F055D">
      <w:pPr>
        <w:spacing w:line="240" w:lineRule="auto"/>
      </w:pPr>
      <w:r>
        <w:separator/>
      </w:r>
    </w:p>
  </w:endnote>
  <w:endnote w:type="continuationSeparator" w:id="0">
    <w:p w:rsidR="008F055D" w:rsidRDefault="008F0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36080189"/>
    </w:sdtPr>
    <w:sdtEndPr>
      <w:rPr>
        <w:rStyle w:val="PageNumber"/>
      </w:rPr>
    </w:sdtEndPr>
    <w:sdtContent>
      <w:p w:rsidR="00070F8E" w:rsidRDefault="008F055D">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70F8E" w:rsidRDefault="00070F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51361669"/>
    </w:sdtPr>
    <w:sdtEndPr>
      <w:rPr>
        <w:rStyle w:val="PageNumber"/>
      </w:rPr>
    </w:sdtEndPr>
    <w:sdtContent>
      <w:p w:rsidR="00070F8E" w:rsidRDefault="008F055D">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E329E">
          <w:rPr>
            <w:rStyle w:val="PageNumber"/>
            <w:noProof/>
          </w:rPr>
          <w:t>1</w:t>
        </w:r>
        <w:r>
          <w:rPr>
            <w:rStyle w:val="PageNumber"/>
          </w:rPr>
          <w:fldChar w:fldCharType="end"/>
        </w:r>
      </w:p>
    </w:sdtContent>
  </w:sdt>
  <w:p w:rsidR="00070F8E" w:rsidRDefault="00070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5D" w:rsidRDefault="008F055D">
      <w:pPr>
        <w:spacing w:before="0" w:after="0"/>
      </w:pPr>
      <w:r>
        <w:separator/>
      </w:r>
    </w:p>
  </w:footnote>
  <w:footnote w:type="continuationSeparator" w:id="0">
    <w:p w:rsidR="008F055D" w:rsidRDefault="008F055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noPunctuationKerning/>
  <w:characterSpacingControl w:val="doNotCompress"/>
  <w:footnotePr>
    <w:footnote w:id="-1"/>
    <w:footnote w:id="0"/>
  </w:footnotePr>
  <w:endnotePr>
    <w:endnote w:id="-1"/>
    <w:endnote w:id="0"/>
  </w:endnotePr>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6E"/>
    <w:rsid w:val="0003496C"/>
    <w:rsid w:val="00042859"/>
    <w:rsid w:val="00043674"/>
    <w:rsid w:val="00070F8E"/>
    <w:rsid w:val="000B2BD7"/>
    <w:rsid w:val="001747EC"/>
    <w:rsid w:val="00183A74"/>
    <w:rsid w:val="001B3813"/>
    <w:rsid w:val="001E7EF0"/>
    <w:rsid w:val="002C5E87"/>
    <w:rsid w:val="00300A25"/>
    <w:rsid w:val="0030291F"/>
    <w:rsid w:val="0032583E"/>
    <w:rsid w:val="00333EE7"/>
    <w:rsid w:val="00400768"/>
    <w:rsid w:val="00454AE3"/>
    <w:rsid w:val="00495371"/>
    <w:rsid w:val="00521A84"/>
    <w:rsid w:val="00543D49"/>
    <w:rsid w:val="00583020"/>
    <w:rsid w:val="00584D13"/>
    <w:rsid w:val="00596C81"/>
    <w:rsid w:val="00604757"/>
    <w:rsid w:val="00612142"/>
    <w:rsid w:val="006139BF"/>
    <w:rsid w:val="00615D91"/>
    <w:rsid w:val="00617398"/>
    <w:rsid w:val="00637F21"/>
    <w:rsid w:val="00647793"/>
    <w:rsid w:val="006640D5"/>
    <w:rsid w:val="006A4CD0"/>
    <w:rsid w:val="00720F8C"/>
    <w:rsid w:val="00722B68"/>
    <w:rsid w:val="007916B9"/>
    <w:rsid w:val="007A16AD"/>
    <w:rsid w:val="0083710C"/>
    <w:rsid w:val="0083747D"/>
    <w:rsid w:val="00856041"/>
    <w:rsid w:val="00874932"/>
    <w:rsid w:val="008F055D"/>
    <w:rsid w:val="0096050F"/>
    <w:rsid w:val="00966723"/>
    <w:rsid w:val="0098099A"/>
    <w:rsid w:val="00985D36"/>
    <w:rsid w:val="009976D5"/>
    <w:rsid w:val="009B46A1"/>
    <w:rsid w:val="009E2DA7"/>
    <w:rsid w:val="00A363D3"/>
    <w:rsid w:val="00A847A9"/>
    <w:rsid w:val="00AA264A"/>
    <w:rsid w:val="00AE009F"/>
    <w:rsid w:val="00B14A1F"/>
    <w:rsid w:val="00B219C5"/>
    <w:rsid w:val="00B2684D"/>
    <w:rsid w:val="00B466B4"/>
    <w:rsid w:val="00B5606F"/>
    <w:rsid w:val="00B65FC8"/>
    <w:rsid w:val="00BA7CFC"/>
    <w:rsid w:val="00BD4DAF"/>
    <w:rsid w:val="00BF324A"/>
    <w:rsid w:val="00C417D8"/>
    <w:rsid w:val="00C47C37"/>
    <w:rsid w:val="00CD5164"/>
    <w:rsid w:val="00CD7AE7"/>
    <w:rsid w:val="00D3536E"/>
    <w:rsid w:val="00D46BA0"/>
    <w:rsid w:val="00D65F53"/>
    <w:rsid w:val="00DD5861"/>
    <w:rsid w:val="00DE329E"/>
    <w:rsid w:val="00E01477"/>
    <w:rsid w:val="00E22F88"/>
    <w:rsid w:val="00E451F4"/>
    <w:rsid w:val="00E56B47"/>
    <w:rsid w:val="00E80EF4"/>
    <w:rsid w:val="00EC40A8"/>
    <w:rsid w:val="00ED5093"/>
    <w:rsid w:val="00EF753D"/>
    <w:rsid w:val="00F0629F"/>
    <w:rsid w:val="00F0644A"/>
    <w:rsid w:val="00F36D72"/>
    <w:rsid w:val="00F75444"/>
    <w:rsid w:val="00F87955"/>
    <w:rsid w:val="00F90943"/>
    <w:rsid w:val="00FA37ED"/>
    <w:rsid w:val="00FC17B6"/>
    <w:rsid w:val="00FD3F7C"/>
    <w:rsid w:val="00FF0162"/>
    <w:rsid w:val="109C001D"/>
    <w:rsid w:val="1B3E1E3F"/>
    <w:rsid w:val="1DBD2338"/>
    <w:rsid w:val="247A5475"/>
    <w:rsid w:val="2AA702D1"/>
    <w:rsid w:val="2F2F1D32"/>
    <w:rsid w:val="37E44C5D"/>
    <w:rsid w:val="5939606A"/>
    <w:rsid w:val="66BB049A"/>
    <w:rsid w:val="6F76281F"/>
    <w:rsid w:val="7A087426"/>
    <w:rsid w:val="7B65291D"/>
    <w:rsid w:val="7E90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ascii="Calibri" w:hAnsi="Calibr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pPr>
      <w:spacing w:before="100" w:beforeAutospacing="1" w:after="100" w:afterAutospacing="1"/>
      <w:outlineLvl w:val="1"/>
    </w:pPr>
    <w:rPr>
      <w:rFonts w:eastAsia="Times New Roman"/>
      <w:b/>
      <w:bCs/>
      <w:sz w:val="36"/>
      <w:szCs w:val="36"/>
      <w:lang w:val="en-US"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pPr>
      <w:tabs>
        <w:tab w:val="center" w:pos="4513"/>
        <w:tab w:val="right" w:pos="9026"/>
      </w:tabs>
      <w:spacing w:before="0" w:after="0" w:line="240" w:lineRule="auto"/>
    </w:pPr>
  </w:style>
  <w:style w:type="character" w:styleId="Hyperlink">
    <w:name w:val="Hyperlink"/>
    <w:uiPriority w:val="99"/>
    <w:unhideWhenUsed/>
    <w:qFormat/>
    <w:rPr>
      <w:color w:val="0563C1"/>
      <w:u w:val="single"/>
    </w:rPr>
  </w:style>
  <w:style w:type="paragraph" w:styleId="NormalWeb">
    <w:name w:val="Normal (Web)"/>
    <w:basedOn w:val="Normal"/>
    <w:uiPriority w:val="99"/>
    <w:qFormat/>
    <w:pPr>
      <w:spacing w:after="100" w:afterAutospacing="1" w:line="240" w:lineRule="auto"/>
    </w:pPr>
    <w:rPr>
      <w:rFonts w:ascii="Times New Roman" w:eastAsia="Times New Roman" w:hAnsi="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99"/>
    <w:qFormat/>
    <w:rPr>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qFormat/>
    <w:rPr>
      <w:rFonts w:ascii="Times New Roman" w:eastAsia="Times New Roman" w:hAnsi="Times New Roman" w:cs="Times New Roman" w:hint="default"/>
      <w:b/>
      <w:bCs/>
      <w:sz w:val="36"/>
      <w:szCs w:val="36"/>
    </w:rPr>
  </w:style>
  <w:style w:type="paragraph" w:customStyle="1" w:styleId="Bodytext21">
    <w:name w:val="&quot;&quot;&quot;&quot;&quot;&quot;&quot;&quot;Body text (2)1&quot;&quot;&quot;&quot;&quot;&quot;&quot;&quot;"/>
    <w:basedOn w:val="Normal"/>
    <w:qFormat/>
    <w:pPr>
      <w:widowControl w:val="0"/>
      <w:shd w:val="clear" w:color="FFFFFF" w:fill="FFFFFF"/>
      <w:spacing w:after="600" w:line="634" w:lineRule="atLeast"/>
      <w:jc w:val="both"/>
    </w:pPr>
    <w:rPr>
      <w:rFonts w:ascii="Times New Roman" w:eastAsia="Arial Unicode MS" w:hAnsi="Times New Roman" w:cs="Calibri"/>
      <w:sz w:val="28"/>
      <w:szCs w:val="28"/>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qFormat/>
    <w:rPr>
      <w:rFonts w:ascii="Calibri" w:hAnsi="Calibr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ascii="Calibri" w:hAnsi="Calibr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pPr>
      <w:spacing w:before="100" w:beforeAutospacing="1" w:after="100" w:afterAutospacing="1"/>
      <w:outlineLvl w:val="1"/>
    </w:pPr>
    <w:rPr>
      <w:rFonts w:eastAsia="Times New Roman"/>
      <w:b/>
      <w:bCs/>
      <w:sz w:val="36"/>
      <w:szCs w:val="36"/>
      <w:lang w:val="en-US"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pPr>
      <w:tabs>
        <w:tab w:val="center" w:pos="4513"/>
        <w:tab w:val="right" w:pos="9026"/>
      </w:tabs>
      <w:spacing w:before="0" w:after="0" w:line="240" w:lineRule="auto"/>
    </w:pPr>
  </w:style>
  <w:style w:type="character" w:styleId="Hyperlink">
    <w:name w:val="Hyperlink"/>
    <w:uiPriority w:val="99"/>
    <w:unhideWhenUsed/>
    <w:qFormat/>
    <w:rPr>
      <w:color w:val="0563C1"/>
      <w:u w:val="single"/>
    </w:rPr>
  </w:style>
  <w:style w:type="paragraph" w:styleId="NormalWeb">
    <w:name w:val="Normal (Web)"/>
    <w:basedOn w:val="Normal"/>
    <w:uiPriority w:val="99"/>
    <w:qFormat/>
    <w:pPr>
      <w:spacing w:after="100" w:afterAutospacing="1" w:line="240" w:lineRule="auto"/>
    </w:pPr>
    <w:rPr>
      <w:rFonts w:ascii="Times New Roman" w:eastAsia="Times New Roman" w:hAnsi="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99"/>
    <w:qFormat/>
    <w:rPr>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qFormat/>
    <w:rPr>
      <w:rFonts w:ascii="Times New Roman" w:eastAsia="Times New Roman" w:hAnsi="Times New Roman" w:cs="Times New Roman" w:hint="default"/>
      <w:b/>
      <w:bCs/>
      <w:sz w:val="36"/>
      <w:szCs w:val="36"/>
    </w:rPr>
  </w:style>
  <w:style w:type="paragraph" w:customStyle="1" w:styleId="Bodytext21">
    <w:name w:val="&quot;&quot;&quot;&quot;&quot;&quot;&quot;&quot;Body text (2)1&quot;&quot;&quot;&quot;&quot;&quot;&quot;&quot;"/>
    <w:basedOn w:val="Normal"/>
    <w:qFormat/>
    <w:pPr>
      <w:widowControl w:val="0"/>
      <w:shd w:val="clear" w:color="FFFFFF" w:fill="FFFFFF"/>
      <w:spacing w:after="600" w:line="634" w:lineRule="atLeast"/>
      <w:jc w:val="both"/>
    </w:pPr>
    <w:rPr>
      <w:rFonts w:ascii="Times New Roman" w:eastAsia="Arial Unicode MS" w:hAnsi="Times New Roman" w:cs="Calibri"/>
      <w:sz w:val="28"/>
      <w:szCs w:val="28"/>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qFormat/>
    <w:rPr>
      <w:rFonts w:ascii="Calibri" w:hAnsi="Calibr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016/S0035-9203(03)80093-7" TargetMode="External"/><Relationship Id="rId18" Type="http://schemas.openxmlformats.org/officeDocument/2006/relationships/hyperlink" Target="https://doi.org/10.1016/S2542-5196(20)30178-9" TargetMode="External"/><Relationship Id="rId26" Type="http://schemas.openxmlformats.org/officeDocument/2006/relationships/hyperlink" Target="https://doi.org/10.1371/journal.ppat.1002588" TargetMode="External"/><Relationship Id="rId3" Type="http://schemas.openxmlformats.org/officeDocument/2006/relationships/settings" Target="settings.xml"/><Relationship Id="rId21" Type="http://schemas.openxmlformats.org/officeDocument/2006/relationships/hyperlink" Target="https://doi.org/10.1016/j.amsu.2022.104366" TargetMode="External"/><Relationship Id="rId34" Type="http://schemas.openxmlformats.org/officeDocument/2006/relationships/theme" Target="theme/theme1.xml"/><Relationship Id="rId7" Type="http://schemas.openxmlformats.org/officeDocument/2006/relationships/hyperlink" Target="https://doi.org/10.1007/978-3-662-58217-3" TargetMode="External"/><Relationship Id="rId12" Type="http://schemas.openxmlformats.org/officeDocument/2006/relationships/hyperlink" Target="http://dx.doi.org/10.5376/jmr.2017.07.0003" TargetMode="External"/><Relationship Id="rId17" Type="http://schemas.openxmlformats.org/officeDocument/2006/relationships/hyperlink" Target="https://doi.org/10.1111/ele.13335" TargetMode="External"/><Relationship Id="rId25" Type="http://schemas.openxmlformats.org/officeDocument/2006/relationships/hyperlink" Target="https://doi.org/10.1371/journal.pone.0124117"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i.org/10.1016/j.ehb.2021.101100" TargetMode="External"/><Relationship Id="rId20" Type="http://schemas.openxmlformats.org/officeDocument/2006/relationships/hyperlink" Target="https://doi.org/10.7717/peerj.792" TargetMode="External"/><Relationship Id="rId29" Type="http://schemas.openxmlformats.org/officeDocument/2006/relationships/hyperlink" Target="https://iris.who.int/handle/10665/33766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186/s12889-025-25196-5" TargetMode="External"/><Relationship Id="rId24" Type="http://schemas.openxmlformats.org/officeDocument/2006/relationships/hyperlink" Target="https://doi.org/10.4269/ajtmh.2003.68.169"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6/s12887-024-05135-w" TargetMode="External"/><Relationship Id="rId23" Type="http://schemas.openxmlformats.org/officeDocument/2006/relationships/hyperlink" Target="https://doi.org/10.1073/pnas.2017959118" TargetMode="External"/><Relationship Id="rId28" Type="http://schemas.openxmlformats.org/officeDocument/2006/relationships/hyperlink" Target="https://doi.org/10.1016/S0140-6736(13)60851-X" TargetMode="External"/><Relationship Id="rId10" Type="http://schemas.openxmlformats.org/officeDocument/2006/relationships/hyperlink" Target="https://doi.org/10.1016/j.heliyon.2023.e14005" TargetMode="External"/><Relationship Id="rId19" Type="http://schemas.openxmlformats.org/officeDocument/2006/relationships/hyperlink" Target="https://www.dhsprogram.com/pubs/pdf/FR359/FR359.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003/sajols-2025-0302-45" TargetMode="External"/><Relationship Id="rId14" Type="http://schemas.openxmlformats.org/officeDocument/2006/relationships/hyperlink" Target="https://doi.org/10.1186/s12936-023-04825-7" TargetMode="External"/><Relationship Id="rId22" Type="http://schemas.openxmlformats.org/officeDocument/2006/relationships/hyperlink" Target="https://doi.org/10.1098/rsbl.2011.1075" TargetMode="External"/><Relationship Id="rId27" Type="http://schemas.openxmlformats.org/officeDocument/2006/relationships/hyperlink" Target="https://doi.org/10.1371/journal.pmed.1002234" TargetMode="External"/><Relationship Id="rId30" Type="http://schemas.openxmlformats.org/officeDocument/2006/relationships/hyperlink" Target="https://www.who.int/publications/i/item/9789240086173" TargetMode="External"/><Relationship Id="rId8" Type="http://schemas.openxmlformats.org/officeDocument/2006/relationships/hyperlink" Target="https://doi.org/10.1371/journal.ppat.101366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8</Pages>
  <Words>4153</Words>
  <Characters>23677</Characters>
  <Application>Microsoft Office Word</Application>
  <DocSecurity>0</DocSecurity>
  <Lines>197</Lines>
  <Paragraphs>55</Paragraphs>
  <ScaleCrop>false</ScaleCrop>
  <Company/>
  <LinksUpToDate>false</LinksUpToDate>
  <CharactersWithSpaces>27775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Chimezie</dc:creator>
  <cp:lastModifiedBy>qwert</cp:lastModifiedBy>
  <cp:revision>66</cp:revision>
  <dcterms:created xsi:type="dcterms:W3CDTF">2026-01-13T20:48:00Z</dcterms:created>
  <dcterms:modified xsi:type="dcterms:W3CDTF">2026-03-05T12:35:00Z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171F3AB63DA8461F90ADE7DDB37BCAFF_13</vt:lpwstr>
  </property>
</Properties>
</file>