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603" w:rsidRPr="00C875AE" w:rsidRDefault="00CE3603" w:rsidP="00CE3603">
      <w:pPr>
        <w:spacing w:after="0" w:line="240" w:lineRule="auto"/>
        <w:jc w:val="center"/>
        <w:rPr>
          <w:rFonts w:ascii="Times New Roman" w:hAnsi="Times New Roman" w:cs="Times New Roman"/>
          <w:b/>
          <w:color w:val="000000" w:themeColor="text1"/>
          <w:sz w:val="32"/>
          <w:szCs w:val="28"/>
        </w:rPr>
      </w:pPr>
      <w:proofErr w:type="spellStart"/>
      <w:r w:rsidRPr="00C875AE">
        <w:rPr>
          <w:rFonts w:ascii="Times New Roman" w:hAnsi="Times New Roman" w:cs="Times New Roman"/>
          <w:b/>
          <w:color w:val="000000" w:themeColor="text1"/>
          <w:sz w:val="32"/>
          <w:szCs w:val="28"/>
        </w:rPr>
        <w:t>Cybersecurity</w:t>
      </w:r>
      <w:proofErr w:type="spellEnd"/>
      <w:r w:rsidRPr="00C875AE">
        <w:rPr>
          <w:rFonts w:ascii="Times New Roman" w:hAnsi="Times New Roman" w:cs="Times New Roman"/>
          <w:b/>
          <w:color w:val="000000" w:themeColor="text1"/>
          <w:sz w:val="32"/>
          <w:szCs w:val="28"/>
        </w:rPr>
        <w:t xml:space="preserve"> Governance and Corporate Legal </w:t>
      </w:r>
    </w:p>
    <w:p w:rsidR="00CE3603" w:rsidRPr="00C875AE" w:rsidRDefault="00CE3603" w:rsidP="00CE3603">
      <w:pPr>
        <w:spacing w:after="0" w:line="240" w:lineRule="auto"/>
        <w:jc w:val="center"/>
        <w:rPr>
          <w:rFonts w:ascii="Times New Roman" w:hAnsi="Times New Roman" w:cs="Times New Roman"/>
          <w:b/>
          <w:color w:val="000000" w:themeColor="text1"/>
          <w:sz w:val="32"/>
          <w:szCs w:val="28"/>
        </w:rPr>
      </w:pPr>
      <w:r w:rsidRPr="00C875AE">
        <w:rPr>
          <w:rFonts w:ascii="Times New Roman" w:hAnsi="Times New Roman" w:cs="Times New Roman"/>
          <w:b/>
          <w:color w:val="000000" w:themeColor="text1"/>
          <w:sz w:val="32"/>
          <w:szCs w:val="28"/>
        </w:rPr>
        <w:t>Responsibility in India</w:t>
      </w:r>
    </w:p>
    <w:p w:rsidR="00F43598" w:rsidRPr="00F43598" w:rsidRDefault="00F43598" w:rsidP="00F43598">
      <w:pPr>
        <w:spacing w:after="0"/>
        <w:jc w:val="right"/>
        <w:rPr>
          <w:rFonts w:ascii="Times New Roman" w:hAnsi="Times New Roman" w:cs="Times New Roman"/>
          <w:b/>
          <w:color w:val="000000" w:themeColor="text1"/>
          <w:sz w:val="24"/>
          <w:szCs w:val="28"/>
        </w:rPr>
      </w:pPr>
    </w:p>
    <w:p w:rsidR="00F43598" w:rsidRPr="00F43598" w:rsidRDefault="00F43598" w:rsidP="00F43598">
      <w:pPr>
        <w:spacing w:after="0"/>
        <w:rPr>
          <w:rFonts w:ascii="Times New Roman" w:hAnsi="Times New Roman" w:cs="Times New Roman"/>
          <w:b/>
          <w:color w:val="000000" w:themeColor="text1"/>
          <w:sz w:val="28"/>
          <w:szCs w:val="28"/>
        </w:rPr>
      </w:pPr>
      <w:bookmarkStart w:id="0" w:name="_GoBack"/>
      <w:bookmarkEnd w:id="0"/>
    </w:p>
    <w:p w:rsidR="00834C9F" w:rsidRPr="001837E3" w:rsidRDefault="00834C9F" w:rsidP="001837E3">
      <w:pPr>
        <w:spacing w:line="360" w:lineRule="auto"/>
        <w:jc w:val="both"/>
        <w:rPr>
          <w:rFonts w:ascii="Times New Roman" w:hAnsi="Times New Roman" w:cs="Times New Roman"/>
          <w:sz w:val="24"/>
        </w:rPr>
      </w:pPr>
      <w:r w:rsidRPr="001837E3">
        <w:rPr>
          <w:rFonts w:ascii="Times New Roman" w:hAnsi="Times New Roman" w:cs="Times New Roman"/>
          <w:b/>
          <w:sz w:val="24"/>
        </w:rPr>
        <w:t>Abstract:</w:t>
      </w:r>
      <w:r w:rsidRPr="001837E3">
        <w:rPr>
          <w:rFonts w:ascii="Times New Roman" w:hAnsi="Times New Roman" w:cs="Times New Roman"/>
          <w:sz w:val="24"/>
        </w:rPr>
        <w:t xml:space="preserve"> The rapid digital transformation of businesses in India has amplified concerns regarding </w:t>
      </w:r>
      <w:proofErr w:type="spellStart"/>
      <w:r w:rsidRPr="001837E3">
        <w:rPr>
          <w:rFonts w:ascii="Times New Roman" w:hAnsi="Times New Roman" w:cs="Times New Roman"/>
          <w:sz w:val="24"/>
        </w:rPr>
        <w:t>cybersecurity</w:t>
      </w:r>
      <w:proofErr w:type="spellEnd"/>
      <w:r w:rsidRPr="001837E3">
        <w:rPr>
          <w:rFonts w:ascii="Times New Roman" w:hAnsi="Times New Roman" w:cs="Times New Roman"/>
          <w:sz w:val="24"/>
        </w:rPr>
        <w:t xml:space="preserve"> and corporate accountability. As corporations increasingly depend on digital infrastructure, cloud technologies, and data-driven operations, the risks of </w:t>
      </w:r>
      <w:proofErr w:type="spellStart"/>
      <w:r w:rsidRPr="001837E3">
        <w:rPr>
          <w:rFonts w:ascii="Times New Roman" w:hAnsi="Times New Roman" w:cs="Times New Roman"/>
          <w:sz w:val="24"/>
        </w:rPr>
        <w:t>cyberattacks</w:t>
      </w:r>
      <w:proofErr w:type="spellEnd"/>
      <w:r w:rsidRPr="001837E3">
        <w:rPr>
          <w:rFonts w:ascii="Times New Roman" w:hAnsi="Times New Roman" w:cs="Times New Roman"/>
          <w:sz w:val="24"/>
        </w:rPr>
        <w:t xml:space="preserve">, data breaches, and unauthorized access have grown exponentially. </w:t>
      </w:r>
      <w:proofErr w:type="spellStart"/>
      <w:r w:rsidRPr="001837E3">
        <w:rPr>
          <w:rFonts w:ascii="Times New Roman" w:hAnsi="Times New Roman" w:cs="Times New Roman"/>
          <w:sz w:val="24"/>
        </w:rPr>
        <w:t>Cybersecurity</w:t>
      </w:r>
      <w:proofErr w:type="spellEnd"/>
      <w:r w:rsidRPr="001837E3">
        <w:rPr>
          <w:rFonts w:ascii="Times New Roman" w:hAnsi="Times New Roman" w:cs="Times New Roman"/>
          <w:sz w:val="24"/>
        </w:rPr>
        <w:t xml:space="preserve"> compliance has thus emerged as a crucial component of corporate governance and risk management. In India, the legal framework governing </w:t>
      </w:r>
      <w:proofErr w:type="spellStart"/>
      <w:r w:rsidRPr="001837E3">
        <w:rPr>
          <w:rFonts w:ascii="Times New Roman" w:hAnsi="Times New Roman" w:cs="Times New Roman"/>
          <w:sz w:val="24"/>
        </w:rPr>
        <w:t>cybersecurity</w:t>
      </w:r>
      <w:proofErr w:type="spellEnd"/>
      <w:r w:rsidRPr="001837E3">
        <w:rPr>
          <w:rFonts w:ascii="Times New Roman" w:hAnsi="Times New Roman" w:cs="Times New Roman"/>
          <w:sz w:val="24"/>
        </w:rPr>
        <w:t xml:space="preserve"> is primarily anchored in the Information Technology Act, 2000 and its subsequent amendments, along with the Information Technology (Reasonable Security Practices and Procedures and Sensitive Personal </w:t>
      </w:r>
      <w:proofErr w:type="gramStart"/>
      <w:r w:rsidRPr="001837E3">
        <w:rPr>
          <w:rFonts w:ascii="Times New Roman" w:hAnsi="Times New Roman" w:cs="Times New Roman"/>
          <w:sz w:val="24"/>
        </w:rPr>
        <w:t>Data or Information) Rules, 2011.</w:t>
      </w:r>
      <w:proofErr w:type="gramEnd"/>
      <w:r w:rsidRPr="001837E3">
        <w:rPr>
          <w:rFonts w:ascii="Times New Roman" w:hAnsi="Times New Roman" w:cs="Times New Roman"/>
          <w:sz w:val="24"/>
        </w:rPr>
        <w:t xml:space="preserve"> These laws impose obligations on corporate entities to ensure data protection, adopt secure systems, and report incidents of data compromise.</w:t>
      </w:r>
      <w:r w:rsidR="00694745" w:rsidRPr="001837E3">
        <w:rPr>
          <w:rFonts w:ascii="Times New Roman" w:hAnsi="Times New Roman" w:cs="Times New Roman"/>
          <w:sz w:val="24"/>
        </w:rPr>
        <w:t xml:space="preserve"> </w:t>
      </w:r>
      <w:r w:rsidRPr="001837E3">
        <w:rPr>
          <w:rFonts w:ascii="Times New Roman" w:hAnsi="Times New Roman" w:cs="Times New Roman"/>
          <w:sz w:val="24"/>
        </w:rPr>
        <w:t xml:space="preserve">However, the evolving cyber threat landscape and the rise of sophisticated attacks, such as </w:t>
      </w:r>
      <w:proofErr w:type="spellStart"/>
      <w:r w:rsidRPr="001837E3">
        <w:rPr>
          <w:rFonts w:ascii="Times New Roman" w:hAnsi="Times New Roman" w:cs="Times New Roman"/>
          <w:sz w:val="24"/>
        </w:rPr>
        <w:t>ransomware</w:t>
      </w:r>
      <w:proofErr w:type="spellEnd"/>
      <w:r w:rsidRPr="001837E3">
        <w:rPr>
          <w:rFonts w:ascii="Times New Roman" w:hAnsi="Times New Roman" w:cs="Times New Roman"/>
          <w:sz w:val="24"/>
        </w:rPr>
        <w:t xml:space="preserve"> and phishing, have revealed significant gaps in compliance enforcement and corporate preparedness. The recently enacted Digital Personal Data Protection Act, 2023 further strengthens corporate duties by emphasizing consent-based data processing, data fiduciary responsibilities, and financial penalties for non-compliance. Corporate liability now extends beyond reputational harm to include administrative and criminal consequences under Indian law.</w:t>
      </w:r>
      <w:r w:rsidR="006C6DD7" w:rsidRPr="001837E3">
        <w:rPr>
          <w:rFonts w:ascii="Times New Roman" w:hAnsi="Times New Roman" w:cs="Times New Roman"/>
          <w:sz w:val="24"/>
        </w:rPr>
        <w:t xml:space="preserve"> </w:t>
      </w:r>
      <w:r w:rsidRPr="001837E3">
        <w:rPr>
          <w:rFonts w:ascii="Times New Roman" w:hAnsi="Times New Roman" w:cs="Times New Roman"/>
          <w:sz w:val="24"/>
        </w:rPr>
        <w:t xml:space="preserve">This paper examines the interplay between </w:t>
      </w:r>
      <w:proofErr w:type="spellStart"/>
      <w:r w:rsidRPr="001837E3">
        <w:rPr>
          <w:rFonts w:ascii="Times New Roman" w:hAnsi="Times New Roman" w:cs="Times New Roman"/>
          <w:sz w:val="24"/>
        </w:rPr>
        <w:t>cybersecurity</w:t>
      </w:r>
      <w:proofErr w:type="spellEnd"/>
      <w:r w:rsidRPr="001837E3">
        <w:rPr>
          <w:rFonts w:ascii="Times New Roman" w:hAnsi="Times New Roman" w:cs="Times New Roman"/>
          <w:sz w:val="24"/>
        </w:rPr>
        <w:t xml:space="preserve"> compliance and corporate liability, analysing how organizations can integrate legal, technical, and ethical safeguards to achieve digital resilience. It a</w:t>
      </w:r>
      <w:r w:rsidR="00DC0BCF" w:rsidRPr="001837E3">
        <w:rPr>
          <w:rFonts w:ascii="Times New Roman" w:hAnsi="Times New Roman" w:cs="Times New Roman"/>
          <w:sz w:val="24"/>
        </w:rPr>
        <w:t xml:space="preserve">rgues that proactive compliance </w:t>
      </w:r>
      <w:r w:rsidRPr="001837E3">
        <w:rPr>
          <w:rFonts w:ascii="Times New Roman" w:hAnsi="Times New Roman" w:cs="Times New Roman"/>
          <w:sz w:val="24"/>
        </w:rPr>
        <w:t>through risk assessment, employee training,</w:t>
      </w:r>
      <w:r w:rsidR="00DC0BCF" w:rsidRPr="001837E3">
        <w:rPr>
          <w:rFonts w:ascii="Times New Roman" w:hAnsi="Times New Roman" w:cs="Times New Roman"/>
          <w:sz w:val="24"/>
        </w:rPr>
        <w:t xml:space="preserve"> and </w:t>
      </w:r>
      <w:proofErr w:type="gramStart"/>
      <w:r w:rsidR="00DC0BCF" w:rsidRPr="001837E3">
        <w:rPr>
          <w:rFonts w:ascii="Times New Roman" w:hAnsi="Times New Roman" w:cs="Times New Roman"/>
          <w:sz w:val="24"/>
        </w:rPr>
        <w:t xml:space="preserve">data governance frameworks </w:t>
      </w:r>
      <w:r w:rsidRPr="001837E3">
        <w:rPr>
          <w:rFonts w:ascii="Times New Roman" w:hAnsi="Times New Roman" w:cs="Times New Roman"/>
          <w:sz w:val="24"/>
        </w:rPr>
        <w:t>is</w:t>
      </w:r>
      <w:proofErr w:type="gramEnd"/>
      <w:r w:rsidRPr="001837E3">
        <w:rPr>
          <w:rFonts w:ascii="Times New Roman" w:hAnsi="Times New Roman" w:cs="Times New Roman"/>
          <w:sz w:val="24"/>
        </w:rPr>
        <w:t xml:space="preserve"> essential for mitigating liability and fostering consumer trust. Strengthening regulatory enforcement, promoting transparency, and encouraging cyber literacy among corporate actors are </w:t>
      </w:r>
      <w:proofErr w:type="gramStart"/>
      <w:r w:rsidRPr="001837E3">
        <w:rPr>
          <w:rFonts w:ascii="Times New Roman" w:hAnsi="Times New Roman" w:cs="Times New Roman"/>
          <w:sz w:val="24"/>
        </w:rPr>
        <w:t>key</w:t>
      </w:r>
      <w:proofErr w:type="gramEnd"/>
      <w:r w:rsidRPr="001837E3">
        <w:rPr>
          <w:rFonts w:ascii="Times New Roman" w:hAnsi="Times New Roman" w:cs="Times New Roman"/>
          <w:sz w:val="24"/>
        </w:rPr>
        <w:t xml:space="preserve"> to ensuring India’s secure digital future.</w:t>
      </w:r>
    </w:p>
    <w:p w:rsidR="001206C7" w:rsidRDefault="00834C9F" w:rsidP="001206C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C6DD7">
        <w:rPr>
          <w:rFonts w:ascii="Times New Roman" w:eastAsia="Times New Roman" w:hAnsi="Times New Roman" w:cs="Times New Roman"/>
          <w:b/>
          <w:bCs/>
          <w:sz w:val="24"/>
          <w:szCs w:val="24"/>
          <w:lang w:eastAsia="en-IN"/>
        </w:rPr>
        <w:t>Keywords:</w:t>
      </w:r>
      <w:r w:rsidRPr="006C6DD7">
        <w:rPr>
          <w:rFonts w:ascii="Times New Roman" w:eastAsia="Times New Roman" w:hAnsi="Times New Roman" w:cs="Times New Roman"/>
          <w:sz w:val="24"/>
          <w:szCs w:val="24"/>
          <w:lang w:eastAsia="en-IN"/>
        </w:rPr>
        <w:t xml:space="preserve"> </w:t>
      </w:r>
      <w:proofErr w:type="spellStart"/>
      <w:r w:rsidRPr="006C6DD7">
        <w:rPr>
          <w:rFonts w:ascii="Times New Roman" w:eastAsia="Times New Roman" w:hAnsi="Times New Roman" w:cs="Times New Roman"/>
          <w:sz w:val="24"/>
          <w:szCs w:val="24"/>
          <w:lang w:eastAsia="en-IN"/>
        </w:rPr>
        <w:t>Cybersecurity</w:t>
      </w:r>
      <w:proofErr w:type="spellEnd"/>
      <w:r w:rsidRPr="006C6DD7">
        <w:rPr>
          <w:rFonts w:ascii="Times New Roman" w:eastAsia="Times New Roman" w:hAnsi="Times New Roman" w:cs="Times New Roman"/>
          <w:sz w:val="24"/>
          <w:szCs w:val="24"/>
          <w:lang w:eastAsia="en-IN"/>
        </w:rPr>
        <w:t xml:space="preserve"> Compliance, Corporate Liability, Data Protection, Information Technology Act, Digital Personal Data Protection Act.</w:t>
      </w:r>
    </w:p>
    <w:p w:rsidR="001206C7" w:rsidRDefault="00343201" w:rsidP="001206C7">
      <w:pPr>
        <w:spacing w:before="100" w:beforeAutospacing="1" w:after="100" w:afterAutospacing="1" w:line="360" w:lineRule="auto"/>
        <w:jc w:val="both"/>
        <w:rPr>
          <w:rFonts w:ascii="Times New Roman" w:hAnsi="Times New Roman" w:cs="Times New Roman"/>
          <w:sz w:val="24"/>
          <w:szCs w:val="24"/>
        </w:rPr>
      </w:pPr>
      <w:r w:rsidRPr="006C6DD7">
        <w:rPr>
          <w:rStyle w:val="Strong"/>
          <w:rFonts w:ascii="Times New Roman" w:hAnsi="Times New Roman" w:cs="Times New Roman"/>
          <w:sz w:val="24"/>
          <w:szCs w:val="24"/>
        </w:rPr>
        <w:t xml:space="preserve">I. </w:t>
      </w:r>
      <w:r w:rsidR="00DC0BCF" w:rsidRPr="006C6DD7">
        <w:rPr>
          <w:rStyle w:val="Strong"/>
          <w:rFonts w:ascii="Times New Roman" w:hAnsi="Times New Roman" w:cs="Times New Roman"/>
          <w:sz w:val="24"/>
          <w:szCs w:val="24"/>
        </w:rPr>
        <w:t>Introduction</w:t>
      </w:r>
      <w:r w:rsidR="008860BD" w:rsidRPr="006C6DD7">
        <w:rPr>
          <w:rStyle w:val="Strong"/>
          <w:rFonts w:ascii="Times New Roman" w:hAnsi="Times New Roman" w:cs="Times New Roman"/>
          <w:sz w:val="24"/>
          <w:szCs w:val="24"/>
        </w:rPr>
        <w:t xml:space="preserve">: </w:t>
      </w:r>
      <w:r w:rsidR="00DC0BCF" w:rsidRPr="006C6DD7">
        <w:rPr>
          <w:rFonts w:ascii="Times New Roman" w:hAnsi="Times New Roman" w:cs="Times New Roman"/>
          <w:sz w:val="24"/>
          <w:szCs w:val="24"/>
        </w:rPr>
        <w:t xml:space="preserve">Cyber security has become an integral component of modern corporate governance, particularly in an era where businesses rely heavily on digital </w:t>
      </w:r>
      <w:r w:rsidR="00DC0BCF" w:rsidRPr="006C6DD7">
        <w:rPr>
          <w:rFonts w:ascii="Times New Roman" w:hAnsi="Times New Roman" w:cs="Times New Roman"/>
          <w:sz w:val="24"/>
          <w:szCs w:val="24"/>
        </w:rPr>
        <w:lastRenderedPageBreak/>
        <w:t>infrastructure. The rapid expansion of online platforms, cloud services, digital payments, and electronic communication has increased corporate vulnerability to cyber threats. As a result, organizations in India are compelled to adopt robust cyber security compliance mechanisms to protect sensitive data, ensure regulatory adherence, and avoid legal liabilities.</w:t>
      </w:r>
      <w:r w:rsidR="00DC0BCF" w:rsidRPr="006C6DD7">
        <w:rPr>
          <w:rStyle w:val="FootnoteReference"/>
          <w:rFonts w:ascii="Times New Roman" w:hAnsi="Times New Roman" w:cs="Times New Roman"/>
          <w:sz w:val="24"/>
          <w:szCs w:val="24"/>
        </w:rPr>
        <w:footnoteReference w:id="1"/>
      </w:r>
      <w:r w:rsidR="00B3510D">
        <w:rPr>
          <w:rFonts w:ascii="Times New Roman" w:hAnsi="Times New Roman" w:cs="Times New Roman"/>
          <w:sz w:val="24"/>
          <w:szCs w:val="24"/>
        </w:rPr>
        <w:t xml:space="preserve"> </w:t>
      </w:r>
    </w:p>
    <w:p w:rsidR="001206C7" w:rsidRDefault="00DC0BCF" w:rsidP="001206C7">
      <w:pPr>
        <w:spacing w:before="100" w:beforeAutospacing="1" w:after="100" w:afterAutospacing="1" w:line="360" w:lineRule="auto"/>
        <w:jc w:val="both"/>
        <w:rPr>
          <w:rFonts w:ascii="Times New Roman" w:hAnsi="Times New Roman" w:cs="Times New Roman"/>
          <w:sz w:val="24"/>
          <w:szCs w:val="24"/>
        </w:rPr>
      </w:pPr>
      <w:r w:rsidRPr="006C6DD7">
        <w:rPr>
          <w:rStyle w:val="Strong"/>
          <w:rFonts w:ascii="Times New Roman" w:hAnsi="Times New Roman" w:cs="Times New Roman"/>
          <w:sz w:val="24"/>
          <w:szCs w:val="24"/>
        </w:rPr>
        <w:t>Meaning of Cyber Security in the Corporate Sector</w:t>
      </w:r>
      <w:r w:rsidR="00B3510D">
        <w:rPr>
          <w:rStyle w:val="Strong"/>
          <w:rFonts w:ascii="Times New Roman" w:hAnsi="Times New Roman" w:cs="Times New Roman"/>
          <w:sz w:val="24"/>
          <w:szCs w:val="24"/>
        </w:rPr>
        <w:t xml:space="preserve">: </w:t>
      </w:r>
      <w:r w:rsidRPr="00B3510D">
        <w:rPr>
          <w:rFonts w:ascii="Times New Roman" w:hAnsi="Times New Roman" w:cs="Times New Roman"/>
          <w:sz w:val="24"/>
          <w:szCs w:val="24"/>
        </w:rPr>
        <w:t xml:space="preserve">In the corporate context, cyber security refers to the collection of technologies, practices, and processes designed to safeguard information systems, networks, and data from unauthorized access, attacks, misuse, or damage.² </w:t>
      </w:r>
      <w:proofErr w:type="gramStart"/>
      <w:r w:rsidRPr="00B3510D">
        <w:rPr>
          <w:rFonts w:ascii="Times New Roman" w:hAnsi="Times New Roman" w:cs="Times New Roman"/>
          <w:sz w:val="24"/>
          <w:szCs w:val="24"/>
        </w:rPr>
        <w:t>It</w:t>
      </w:r>
      <w:proofErr w:type="gramEnd"/>
      <w:r w:rsidRPr="00B3510D">
        <w:rPr>
          <w:rFonts w:ascii="Times New Roman" w:hAnsi="Times New Roman" w:cs="Times New Roman"/>
          <w:sz w:val="24"/>
          <w:szCs w:val="24"/>
        </w:rPr>
        <w:t xml:space="preserve"> encompasses preventive, detective, and responsive strategies that ensure confidentiality, integrity, and availability of corporate data. Cyber security is not limited to IT measures alone; it extends to employee training, policy frameworks, vendor management, and corporate governance structures.</w:t>
      </w:r>
      <w:r w:rsidRPr="00B3510D">
        <w:rPr>
          <w:rStyle w:val="FootnoteReference"/>
          <w:rFonts w:ascii="Times New Roman" w:hAnsi="Times New Roman" w:cs="Times New Roman"/>
          <w:sz w:val="24"/>
          <w:szCs w:val="24"/>
        </w:rPr>
        <w:footnoteReference w:id="2"/>
      </w:r>
      <w:r w:rsidR="00B3510D">
        <w:rPr>
          <w:rFonts w:ascii="Times New Roman" w:hAnsi="Times New Roman" w:cs="Times New Roman"/>
          <w:sz w:val="24"/>
          <w:szCs w:val="24"/>
        </w:rPr>
        <w:t xml:space="preserve">   </w:t>
      </w:r>
    </w:p>
    <w:p w:rsidR="001206C7" w:rsidRDefault="00DC0BCF" w:rsidP="001206C7">
      <w:pPr>
        <w:spacing w:before="100" w:beforeAutospacing="1" w:after="100" w:afterAutospacing="1" w:line="360" w:lineRule="auto"/>
        <w:jc w:val="both"/>
        <w:rPr>
          <w:rFonts w:ascii="Times New Roman" w:hAnsi="Times New Roman" w:cs="Times New Roman"/>
          <w:sz w:val="24"/>
          <w:szCs w:val="24"/>
        </w:rPr>
      </w:pPr>
      <w:r w:rsidRPr="006C6DD7">
        <w:rPr>
          <w:rStyle w:val="Strong"/>
          <w:rFonts w:ascii="Times New Roman" w:hAnsi="Times New Roman" w:cs="Times New Roman"/>
          <w:sz w:val="24"/>
          <w:szCs w:val="24"/>
        </w:rPr>
        <w:t>Growing Cyber Threats in India</w:t>
      </w:r>
      <w:r w:rsidR="00B3510D">
        <w:rPr>
          <w:rStyle w:val="Strong"/>
          <w:rFonts w:ascii="Times New Roman" w:hAnsi="Times New Roman" w:cs="Times New Roman"/>
          <w:sz w:val="24"/>
          <w:szCs w:val="24"/>
        </w:rPr>
        <w:t xml:space="preserve">: </w:t>
      </w:r>
      <w:r w:rsidRPr="00B3510D">
        <w:rPr>
          <w:rFonts w:ascii="Times New Roman" w:hAnsi="Times New Roman" w:cs="Times New Roman"/>
          <w:sz w:val="24"/>
          <w:szCs w:val="24"/>
        </w:rPr>
        <w:t xml:space="preserve">India is among the world’s fastest-growing digital economies, but this rapid growth has been accompanied by a dramatic rise in cyber-attacks. According to the Indian Computer Emergency Response Team (CERT-In), over 1.3 million cyber incidents were reported in 2022 alone, including phishing, identity theft, </w:t>
      </w:r>
      <w:proofErr w:type="spellStart"/>
      <w:r w:rsidRPr="00B3510D">
        <w:rPr>
          <w:rFonts w:ascii="Times New Roman" w:hAnsi="Times New Roman" w:cs="Times New Roman"/>
          <w:sz w:val="24"/>
          <w:szCs w:val="24"/>
        </w:rPr>
        <w:t>ransomware</w:t>
      </w:r>
      <w:proofErr w:type="spellEnd"/>
      <w:r w:rsidRPr="00B3510D">
        <w:rPr>
          <w:rFonts w:ascii="Times New Roman" w:hAnsi="Times New Roman" w:cs="Times New Roman"/>
          <w:sz w:val="24"/>
          <w:szCs w:val="24"/>
        </w:rPr>
        <w:t>, and data breaches.</w:t>
      </w:r>
      <w:r w:rsidRPr="00B3510D">
        <w:rPr>
          <w:rStyle w:val="FootnoteReference"/>
          <w:rFonts w:ascii="Times New Roman" w:hAnsi="Times New Roman" w:cs="Times New Roman"/>
          <w:sz w:val="24"/>
          <w:szCs w:val="24"/>
        </w:rPr>
        <w:footnoteReference w:id="3"/>
      </w:r>
      <w:r w:rsidRPr="00B3510D">
        <w:rPr>
          <w:rFonts w:ascii="Times New Roman" w:hAnsi="Times New Roman" w:cs="Times New Roman"/>
          <w:sz w:val="24"/>
          <w:szCs w:val="24"/>
        </w:rPr>
        <w:t xml:space="preserve"> Businesses especially in banking, </w:t>
      </w:r>
      <w:proofErr w:type="spellStart"/>
      <w:r w:rsidRPr="00B3510D">
        <w:rPr>
          <w:rFonts w:ascii="Times New Roman" w:hAnsi="Times New Roman" w:cs="Times New Roman"/>
          <w:sz w:val="24"/>
          <w:szCs w:val="24"/>
        </w:rPr>
        <w:t>fintech</w:t>
      </w:r>
      <w:proofErr w:type="spellEnd"/>
      <w:r w:rsidRPr="00B3510D">
        <w:rPr>
          <w:rFonts w:ascii="Times New Roman" w:hAnsi="Times New Roman" w:cs="Times New Roman"/>
          <w:sz w:val="24"/>
          <w:szCs w:val="24"/>
        </w:rPr>
        <w:t>, healthcare, retail, and telecom have become prime targets due to the high value of personal and financial data. The expansion of digital payment systems, remote working, cloud adoption, and the gig economy has further widened the attack surface.</w:t>
      </w:r>
      <w:r w:rsidRPr="00B3510D">
        <w:rPr>
          <w:rStyle w:val="FootnoteReference"/>
          <w:rFonts w:ascii="Times New Roman" w:hAnsi="Times New Roman" w:cs="Times New Roman"/>
          <w:sz w:val="24"/>
          <w:szCs w:val="24"/>
        </w:rPr>
        <w:footnoteReference w:id="4"/>
      </w:r>
      <w:r w:rsidR="00B3510D">
        <w:rPr>
          <w:rFonts w:ascii="Times New Roman" w:hAnsi="Times New Roman" w:cs="Times New Roman"/>
          <w:sz w:val="24"/>
          <w:szCs w:val="24"/>
        </w:rPr>
        <w:t xml:space="preserve"> </w:t>
      </w:r>
    </w:p>
    <w:p w:rsidR="001206C7" w:rsidRDefault="00DC0BCF" w:rsidP="001206C7">
      <w:pPr>
        <w:spacing w:before="100" w:beforeAutospacing="1" w:after="100" w:afterAutospacing="1" w:line="360" w:lineRule="auto"/>
        <w:jc w:val="both"/>
        <w:rPr>
          <w:rFonts w:ascii="Times New Roman" w:hAnsi="Times New Roman" w:cs="Times New Roman"/>
          <w:sz w:val="24"/>
          <w:szCs w:val="24"/>
        </w:rPr>
      </w:pPr>
      <w:r w:rsidRPr="006C6DD7">
        <w:rPr>
          <w:rStyle w:val="Strong"/>
          <w:rFonts w:ascii="Times New Roman" w:hAnsi="Times New Roman" w:cs="Times New Roman"/>
          <w:sz w:val="24"/>
          <w:szCs w:val="24"/>
        </w:rPr>
        <w:t>Importance of Compliance for Safeguarding Data, Reputation, and Business Continuity</w:t>
      </w:r>
      <w:r w:rsidR="00B3510D">
        <w:rPr>
          <w:rStyle w:val="Strong"/>
          <w:rFonts w:ascii="Times New Roman" w:hAnsi="Times New Roman" w:cs="Times New Roman"/>
          <w:sz w:val="24"/>
          <w:szCs w:val="24"/>
        </w:rPr>
        <w:t xml:space="preserve">: </w:t>
      </w:r>
      <w:r w:rsidRPr="00B3510D">
        <w:rPr>
          <w:rFonts w:ascii="Times New Roman" w:hAnsi="Times New Roman" w:cs="Times New Roman"/>
          <w:sz w:val="24"/>
          <w:szCs w:val="24"/>
        </w:rPr>
        <w:t xml:space="preserve">Cyber security compliance ensures that companies follow legal, regulatory, and industry-specific standards to mitigate cyber risks. Compliance is essential not only for protecting sensitive personal and financial data but also for </w:t>
      </w:r>
      <w:r w:rsidRPr="00B3510D">
        <w:rPr>
          <w:rFonts w:ascii="Times New Roman" w:hAnsi="Times New Roman" w:cs="Times New Roman"/>
          <w:sz w:val="24"/>
          <w:szCs w:val="24"/>
        </w:rPr>
        <w:lastRenderedPageBreak/>
        <w:t>safeg</w:t>
      </w:r>
      <w:r w:rsidR="00101598" w:rsidRPr="00B3510D">
        <w:rPr>
          <w:rFonts w:ascii="Times New Roman" w:hAnsi="Times New Roman" w:cs="Times New Roman"/>
          <w:sz w:val="24"/>
          <w:szCs w:val="24"/>
        </w:rPr>
        <w:t>uarding a company’s reputation.</w:t>
      </w:r>
      <w:r w:rsidR="00101598" w:rsidRPr="00B3510D">
        <w:rPr>
          <w:rStyle w:val="FootnoteReference"/>
          <w:rFonts w:ascii="Times New Roman" w:hAnsi="Times New Roman" w:cs="Times New Roman"/>
          <w:sz w:val="24"/>
          <w:szCs w:val="24"/>
        </w:rPr>
        <w:footnoteReference w:id="5"/>
      </w:r>
      <w:r w:rsidRPr="00B3510D">
        <w:rPr>
          <w:rFonts w:ascii="Times New Roman" w:hAnsi="Times New Roman" w:cs="Times New Roman"/>
          <w:sz w:val="24"/>
          <w:szCs w:val="24"/>
        </w:rPr>
        <w:t xml:space="preserve"> A single data breach can lead to significant financial losses, customer distrust, operational disrupti</w:t>
      </w:r>
      <w:r w:rsidR="00101598" w:rsidRPr="00B3510D">
        <w:rPr>
          <w:rFonts w:ascii="Times New Roman" w:hAnsi="Times New Roman" w:cs="Times New Roman"/>
          <w:sz w:val="24"/>
          <w:szCs w:val="24"/>
        </w:rPr>
        <w:t xml:space="preserve">ons, and regulatory penalties. </w:t>
      </w:r>
      <w:r w:rsidR="00101598" w:rsidRPr="00B3510D">
        <w:rPr>
          <w:rStyle w:val="FootnoteReference"/>
          <w:rFonts w:ascii="Times New Roman" w:hAnsi="Times New Roman" w:cs="Times New Roman"/>
          <w:sz w:val="24"/>
          <w:szCs w:val="24"/>
        </w:rPr>
        <w:footnoteReference w:id="6"/>
      </w:r>
      <w:r w:rsidR="00420BF0" w:rsidRPr="00B3510D">
        <w:rPr>
          <w:rFonts w:ascii="Times New Roman" w:hAnsi="Times New Roman" w:cs="Times New Roman"/>
          <w:sz w:val="24"/>
          <w:szCs w:val="24"/>
        </w:rPr>
        <w:t xml:space="preserve"> </w:t>
      </w:r>
      <w:r w:rsidRPr="00B3510D">
        <w:rPr>
          <w:rFonts w:ascii="Times New Roman" w:hAnsi="Times New Roman" w:cs="Times New Roman"/>
          <w:sz w:val="24"/>
          <w:szCs w:val="24"/>
        </w:rPr>
        <w:t xml:space="preserve">Moreover, cyber-attacks like </w:t>
      </w:r>
      <w:proofErr w:type="spellStart"/>
      <w:r w:rsidRPr="00B3510D">
        <w:rPr>
          <w:rFonts w:ascii="Times New Roman" w:hAnsi="Times New Roman" w:cs="Times New Roman"/>
          <w:sz w:val="24"/>
          <w:szCs w:val="24"/>
        </w:rPr>
        <w:t>ransomware</w:t>
      </w:r>
      <w:proofErr w:type="spellEnd"/>
      <w:r w:rsidRPr="00B3510D">
        <w:rPr>
          <w:rFonts w:ascii="Times New Roman" w:hAnsi="Times New Roman" w:cs="Times New Roman"/>
          <w:sz w:val="24"/>
          <w:szCs w:val="24"/>
        </w:rPr>
        <w:t xml:space="preserve"> can halt business operations for days, thereby affectin</w:t>
      </w:r>
      <w:r w:rsidR="00420BF0" w:rsidRPr="00B3510D">
        <w:rPr>
          <w:rFonts w:ascii="Times New Roman" w:hAnsi="Times New Roman" w:cs="Times New Roman"/>
          <w:sz w:val="24"/>
          <w:szCs w:val="24"/>
        </w:rPr>
        <w:t xml:space="preserve">g productivity and continuity. </w:t>
      </w:r>
      <w:r w:rsidR="00420BF0" w:rsidRPr="00B3510D">
        <w:rPr>
          <w:rStyle w:val="FootnoteReference"/>
          <w:rFonts w:ascii="Times New Roman" w:hAnsi="Times New Roman" w:cs="Times New Roman"/>
          <w:sz w:val="24"/>
          <w:szCs w:val="24"/>
        </w:rPr>
        <w:footnoteReference w:id="7"/>
      </w:r>
      <w:r w:rsidR="00420BF0" w:rsidRPr="00B3510D">
        <w:rPr>
          <w:rFonts w:ascii="Times New Roman" w:hAnsi="Times New Roman" w:cs="Times New Roman"/>
          <w:sz w:val="24"/>
          <w:szCs w:val="24"/>
        </w:rPr>
        <w:t xml:space="preserve"> </w:t>
      </w:r>
      <w:r w:rsidRPr="00B3510D">
        <w:rPr>
          <w:rFonts w:ascii="Times New Roman" w:hAnsi="Times New Roman" w:cs="Times New Roman"/>
          <w:sz w:val="24"/>
          <w:szCs w:val="24"/>
        </w:rPr>
        <w:t>Strengthening compliance helps companies maintain trust, reduce legal exposure, and ensure operational resilience.</w:t>
      </w:r>
    </w:p>
    <w:p w:rsidR="001206C7" w:rsidRDefault="00DC0BCF" w:rsidP="001206C7">
      <w:pPr>
        <w:spacing w:before="100" w:beforeAutospacing="1" w:after="100" w:afterAutospacing="1" w:line="360" w:lineRule="auto"/>
        <w:jc w:val="both"/>
        <w:rPr>
          <w:rFonts w:ascii="Times New Roman" w:hAnsi="Times New Roman" w:cs="Times New Roman"/>
          <w:sz w:val="24"/>
          <w:szCs w:val="24"/>
        </w:rPr>
      </w:pPr>
      <w:r w:rsidRPr="006C6DD7">
        <w:rPr>
          <w:rStyle w:val="Strong"/>
          <w:rFonts w:ascii="Times New Roman" w:hAnsi="Times New Roman" w:cs="Times New Roman"/>
          <w:sz w:val="24"/>
          <w:szCs w:val="24"/>
        </w:rPr>
        <w:t>Overview of Corporate Liability in Cyber Incidents</w:t>
      </w:r>
      <w:r w:rsidR="00B3510D">
        <w:rPr>
          <w:rStyle w:val="Strong"/>
          <w:rFonts w:ascii="Times New Roman" w:hAnsi="Times New Roman" w:cs="Times New Roman"/>
          <w:sz w:val="24"/>
          <w:szCs w:val="24"/>
        </w:rPr>
        <w:t xml:space="preserve">: </w:t>
      </w:r>
      <w:r w:rsidRPr="00B3510D">
        <w:rPr>
          <w:rFonts w:ascii="Times New Roman" w:hAnsi="Times New Roman" w:cs="Times New Roman"/>
          <w:sz w:val="24"/>
          <w:szCs w:val="24"/>
        </w:rPr>
        <w:t xml:space="preserve">Corporate liability in cyber incidents arises when an organization fails to implement reasonable security practices, resulting in data breaches or cyber-attacks. Under the Information Technology Act, 2000, companies may be held liable for negligence in protecting sensitive personal data, particularly under Sections 43A and 72A, which impose compensation and penalties </w:t>
      </w:r>
      <w:r w:rsidR="00420BF0" w:rsidRPr="00B3510D">
        <w:rPr>
          <w:rFonts w:ascii="Times New Roman" w:hAnsi="Times New Roman" w:cs="Times New Roman"/>
          <w:sz w:val="24"/>
          <w:szCs w:val="24"/>
        </w:rPr>
        <w:t>for breach of confidentiality.</w:t>
      </w:r>
      <w:r w:rsidRPr="00B3510D">
        <w:rPr>
          <w:rFonts w:ascii="Times New Roman" w:hAnsi="Times New Roman" w:cs="Times New Roman"/>
          <w:sz w:val="24"/>
          <w:szCs w:val="24"/>
        </w:rPr>
        <w:t xml:space="preserve"> With the introduction of the Digital Personal Data Protection Act, 2023, corporate liability has expanded further, mandating stricter data governance and imposing substantial financial</w:t>
      </w:r>
      <w:r w:rsidR="00420BF0" w:rsidRPr="00B3510D">
        <w:rPr>
          <w:rFonts w:ascii="Times New Roman" w:hAnsi="Times New Roman" w:cs="Times New Roman"/>
          <w:sz w:val="24"/>
          <w:szCs w:val="24"/>
        </w:rPr>
        <w:t xml:space="preserve"> penalties for non-compliance.</w:t>
      </w:r>
      <w:r w:rsidR="00420BF0" w:rsidRPr="00B3510D">
        <w:rPr>
          <w:rStyle w:val="FootnoteReference"/>
          <w:rFonts w:ascii="Times New Roman" w:hAnsi="Times New Roman" w:cs="Times New Roman"/>
          <w:sz w:val="24"/>
          <w:szCs w:val="24"/>
        </w:rPr>
        <w:footnoteReference w:id="8"/>
      </w:r>
      <w:r w:rsidRPr="00B3510D">
        <w:rPr>
          <w:rFonts w:ascii="Times New Roman" w:hAnsi="Times New Roman" w:cs="Times New Roman"/>
          <w:sz w:val="24"/>
          <w:szCs w:val="24"/>
        </w:rPr>
        <w:t xml:space="preserve"> Additionally, </w:t>
      </w:r>
      <w:proofErr w:type="spellStart"/>
      <w:r w:rsidRPr="00B3510D">
        <w:rPr>
          <w:rFonts w:ascii="Times New Roman" w:hAnsi="Times New Roman" w:cs="Times New Roman"/>
          <w:sz w:val="24"/>
          <w:szCs w:val="24"/>
        </w:rPr>
        <w:t>sectoral</w:t>
      </w:r>
      <w:proofErr w:type="spellEnd"/>
      <w:r w:rsidRPr="00B3510D">
        <w:rPr>
          <w:rFonts w:ascii="Times New Roman" w:hAnsi="Times New Roman" w:cs="Times New Roman"/>
          <w:sz w:val="24"/>
          <w:szCs w:val="24"/>
        </w:rPr>
        <w:t xml:space="preserve"> regulators like RBI, SEBI, and IRDAI impose their own </w:t>
      </w:r>
      <w:proofErr w:type="spellStart"/>
      <w:r w:rsidRPr="00B3510D">
        <w:rPr>
          <w:rFonts w:ascii="Times New Roman" w:hAnsi="Times New Roman" w:cs="Times New Roman"/>
          <w:sz w:val="24"/>
          <w:szCs w:val="24"/>
        </w:rPr>
        <w:t>cybersecurity</w:t>
      </w:r>
      <w:proofErr w:type="spellEnd"/>
      <w:r w:rsidRPr="00B3510D">
        <w:rPr>
          <w:rFonts w:ascii="Times New Roman" w:hAnsi="Times New Roman" w:cs="Times New Roman"/>
          <w:sz w:val="24"/>
          <w:szCs w:val="24"/>
        </w:rPr>
        <w:t xml:space="preserve"> obligations for f</w:t>
      </w:r>
      <w:r w:rsidR="00420BF0" w:rsidRPr="00B3510D">
        <w:rPr>
          <w:rFonts w:ascii="Times New Roman" w:hAnsi="Times New Roman" w:cs="Times New Roman"/>
          <w:sz w:val="24"/>
          <w:szCs w:val="24"/>
        </w:rPr>
        <w:t>inancial and listed entities.</w:t>
      </w:r>
      <w:r w:rsidR="00420BF0" w:rsidRPr="00B3510D">
        <w:rPr>
          <w:rStyle w:val="FootnoteReference"/>
          <w:rFonts w:ascii="Times New Roman" w:hAnsi="Times New Roman" w:cs="Times New Roman"/>
          <w:sz w:val="24"/>
          <w:szCs w:val="24"/>
        </w:rPr>
        <w:footnoteReference w:id="9"/>
      </w:r>
      <w:r w:rsidRPr="00B3510D">
        <w:rPr>
          <w:rFonts w:ascii="Times New Roman" w:hAnsi="Times New Roman" w:cs="Times New Roman"/>
          <w:sz w:val="24"/>
          <w:szCs w:val="24"/>
        </w:rPr>
        <w:t>Thus, corporate liability extends across civil, criminal, regulatory, and contractual dimensions, making cyber security compliance a critical responsibility for Indian businesses.</w:t>
      </w:r>
      <w:r w:rsidR="00420BF0" w:rsidRPr="00B3510D">
        <w:rPr>
          <w:rStyle w:val="FootnoteReference"/>
          <w:rFonts w:ascii="Times New Roman" w:hAnsi="Times New Roman" w:cs="Times New Roman"/>
          <w:sz w:val="24"/>
          <w:szCs w:val="24"/>
        </w:rPr>
        <w:footnoteReference w:id="10"/>
      </w:r>
    </w:p>
    <w:p w:rsidR="00CC7A7B" w:rsidRPr="00B3510D" w:rsidRDefault="00CC7A7B" w:rsidP="001206C7">
      <w:pPr>
        <w:spacing w:before="100" w:beforeAutospacing="1" w:after="100" w:afterAutospacing="1" w:line="360" w:lineRule="auto"/>
        <w:jc w:val="both"/>
        <w:rPr>
          <w:rFonts w:ascii="Times New Roman" w:hAnsi="Times New Roman" w:cs="Times New Roman"/>
          <w:b/>
          <w:sz w:val="24"/>
          <w:szCs w:val="24"/>
        </w:rPr>
      </w:pPr>
      <w:r w:rsidRPr="006C6DD7">
        <w:rPr>
          <w:rStyle w:val="Strong"/>
          <w:rFonts w:ascii="Times New Roman" w:hAnsi="Times New Roman" w:cs="Times New Roman"/>
          <w:sz w:val="24"/>
          <w:szCs w:val="24"/>
        </w:rPr>
        <w:t>II. Legal Framework Governing Cyber Security in India</w:t>
      </w:r>
      <w:r>
        <w:rPr>
          <w:rStyle w:val="Strong"/>
          <w:rFonts w:ascii="Times New Roman" w:hAnsi="Times New Roman" w:cs="Times New Roman"/>
          <w:sz w:val="24"/>
          <w:szCs w:val="24"/>
        </w:rPr>
        <w:t xml:space="preserve">: </w:t>
      </w:r>
      <w:r w:rsidRPr="00B3510D">
        <w:rPr>
          <w:rFonts w:ascii="Times New Roman" w:hAnsi="Times New Roman" w:cs="Times New Roman"/>
          <w:sz w:val="24"/>
          <w:szCs w:val="24"/>
        </w:rPr>
        <w:t>India’s cyber security regime is based on a combination of statutory provisions, subordinate rules, regulatory directions, and sector-specific guidelines. Together, they define obligations for data protection, impose penalties for cyber offences, and establish corporate accountability. The following legal instruments form the core of India’s cyber security compliance framework.</w:t>
      </w:r>
      <w:r w:rsidRPr="00B3510D">
        <w:rPr>
          <w:rStyle w:val="FootnoteReference"/>
          <w:rFonts w:ascii="Times New Roman" w:hAnsi="Times New Roman" w:cs="Times New Roman"/>
          <w:sz w:val="24"/>
          <w:szCs w:val="24"/>
        </w:rPr>
        <w:footnoteReference w:id="11"/>
      </w:r>
    </w:p>
    <w:p w:rsidR="00C66AC4" w:rsidRPr="00B3510D" w:rsidRDefault="00C66AC4" w:rsidP="00B3510D">
      <w:pPr>
        <w:pStyle w:val="Heading2"/>
        <w:spacing w:line="360" w:lineRule="auto"/>
        <w:jc w:val="both"/>
        <w:rPr>
          <w:rFonts w:ascii="Times New Roman" w:hAnsi="Times New Roman" w:cs="Times New Roman"/>
          <w:b w:val="0"/>
          <w:color w:val="auto"/>
          <w:sz w:val="24"/>
          <w:szCs w:val="24"/>
        </w:rPr>
      </w:pPr>
      <w:r w:rsidRPr="006C6DD7">
        <w:rPr>
          <w:rStyle w:val="Strong"/>
          <w:rFonts w:ascii="Times New Roman" w:hAnsi="Times New Roman" w:cs="Times New Roman"/>
          <w:b/>
          <w:bCs/>
          <w:color w:val="auto"/>
          <w:sz w:val="24"/>
          <w:szCs w:val="24"/>
        </w:rPr>
        <w:lastRenderedPageBreak/>
        <w:t>A. Information Technology Act, 2000</w:t>
      </w:r>
      <w:r w:rsidR="00B3510D">
        <w:rPr>
          <w:rStyle w:val="Strong"/>
          <w:rFonts w:ascii="Times New Roman" w:hAnsi="Times New Roman" w:cs="Times New Roman"/>
          <w:b/>
          <w:bCs/>
          <w:color w:val="auto"/>
          <w:sz w:val="24"/>
          <w:szCs w:val="24"/>
        </w:rPr>
        <w:t xml:space="preserve">: </w:t>
      </w:r>
      <w:r w:rsidRPr="00B3510D">
        <w:rPr>
          <w:rFonts w:ascii="Times New Roman" w:hAnsi="Times New Roman" w:cs="Times New Roman"/>
          <w:b w:val="0"/>
          <w:color w:val="auto"/>
          <w:sz w:val="24"/>
          <w:szCs w:val="24"/>
        </w:rPr>
        <w:t xml:space="preserve">The </w:t>
      </w:r>
      <w:r w:rsidRPr="00B3510D">
        <w:rPr>
          <w:rStyle w:val="Emphasis"/>
          <w:rFonts w:ascii="Times New Roman" w:hAnsi="Times New Roman" w:cs="Times New Roman"/>
          <w:b w:val="0"/>
          <w:color w:val="auto"/>
          <w:sz w:val="24"/>
          <w:szCs w:val="24"/>
        </w:rPr>
        <w:t>Information Technology Act, 2000</w:t>
      </w:r>
      <w:r w:rsidRPr="00B3510D">
        <w:rPr>
          <w:rFonts w:ascii="Times New Roman" w:hAnsi="Times New Roman" w:cs="Times New Roman"/>
          <w:b w:val="0"/>
          <w:color w:val="auto"/>
          <w:sz w:val="24"/>
          <w:szCs w:val="24"/>
        </w:rPr>
        <w:t xml:space="preserve"> (IT Act) is the primary law governing electronic transactions, data protection obligations, and cybercrimes in India. It provides legal recognition to electronic records and prescribes civil and criminal liabilities for cyber offences.</w:t>
      </w:r>
      <w:r w:rsidR="00454D60" w:rsidRPr="00B3510D">
        <w:rPr>
          <w:rStyle w:val="FootnoteReference"/>
          <w:rFonts w:ascii="Times New Roman" w:hAnsi="Times New Roman" w:cs="Times New Roman"/>
          <w:b w:val="0"/>
          <w:color w:val="auto"/>
          <w:sz w:val="24"/>
          <w:szCs w:val="24"/>
        </w:rPr>
        <w:footnoteReference w:id="12"/>
      </w:r>
    </w:p>
    <w:p w:rsidR="00C66AC4" w:rsidRPr="006C6DD7" w:rsidRDefault="00C66AC4" w:rsidP="006C6DD7">
      <w:pPr>
        <w:pStyle w:val="Heading3"/>
        <w:spacing w:line="360" w:lineRule="auto"/>
        <w:jc w:val="both"/>
        <w:rPr>
          <w:sz w:val="24"/>
          <w:szCs w:val="24"/>
        </w:rPr>
      </w:pPr>
      <w:r w:rsidRPr="006C6DD7">
        <w:rPr>
          <w:rStyle w:val="Strong"/>
          <w:rFonts w:eastAsiaTheme="majorEastAsia"/>
          <w:b/>
          <w:bCs/>
          <w:sz w:val="24"/>
          <w:szCs w:val="24"/>
        </w:rPr>
        <w:t>Key Provisions Related to Data Protection and Cyber Offences</w:t>
      </w:r>
    </w:p>
    <w:p w:rsidR="00C66AC4" w:rsidRPr="006C6DD7" w:rsidRDefault="00C66AC4" w:rsidP="006C6DD7">
      <w:pPr>
        <w:pStyle w:val="NormalWeb"/>
        <w:numPr>
          <w:ilvl w:val="0"/>
          <w:numId w:val="1"/>
        </w:numPr>
        <w:spacing w:line="360" w:lineRule="auto"/>
        <w:jc w:val="both"/>
      </w:pPr>
      <w:r w:rsidRPr="006C6DD7">
        <w:rPr>
          <w:rStyle w:val="Strong"/>
          <w:rFonts w:eastAsiaTheme="majorEastAsia"/>
        </w:rPr>
        <w:t>Section 43</w:t>
      </w:r>
      <w:r w:rsidR="00454D60" w:rsidRPr="006C6DD7">
        <w:t xml:space="preserve">: </w:t>
      </w:r>
      <w:r w:rsidRPr="006C6DD7">
        <w:t xml:space="preserve">Imposes civil liability for unauthorized access, data theft, </w:t>
      </w:r>
      <w:proofErr w:type="gramStart"/>
      <w:r w:rsidRPr="006C6DD7">
        <w:t>introduction</w:t>
      </w:r>
      <w:proofErr w:type="gramEnd"/>
      <w:r w:rsidRPr="006C6DD7">
        <w:t xml:space="preserve"> of viruses, denial of service, or any form of damage to a computer resource.</w:t>
      </w:r>
      <w:r w:rsidR="00454D60" w:rsidRPr="006C6DD7">
        <w:t xml:space="preserve"> </w:t>
      </w:r>
      <w:r w:rsidRPr="006C6DD7">
        <w:t>Companies may be required to pay compensation for losses caused by such violations.</w:t>
      </w:r>
    </w:p>
    <w:p w:rsidR="00C66AC4" w:rsidRPr="006C6DD7" w:rsidRDefault="00C66AC4" w:rsidP="006C6DD7">
      <w:pPr>
        <w:pStyle w:val="NormalWeb"/>
        <w:numPr>
          <w:ilvl w:val="0"/>
          <w:numId w:val="1"/>
        </w:numPr>
        <w:spacing w:line="360" w:lineRule="auto"/>
        <w:jc w:val="both"/>
      </w:pPr>
      <w:r w:rsidRPr="006C6DD7">
        <w:rPr>
          <w:rStyle w:val="Strong"/>
          <w:rFonts w:eastAsiaTheme="majorEastAsia"/>
        </w:rPr>
        <w:t>Section 43A – Compensation for Failure to Protect Data</w:t>
      </w:r>
      <w:r w:rsidR="00454D60" w:rsidRPr="006C6DD7">
        <w:t xml:space="preserve">: </w:t>
      </w:r>
      <w:r w:rsidRPr="006C6DD7">
        <w:t>Applies to corporate bodies handling “sensitive personal data or information” (SPDI).</w:t>
      </w:r>
      <w:r w:rsidR="00454D60" w:rsidRPr="006C6DD7">
        <w:t xml:space="preserve"> </w:t>
      </w:r>
      <w:r w:rsidRPr="006C6DD7">
        <w:t xml:space="preserve">If a company fails to implement “reasonable security practices,” it is liable to pay </w:t>
      </w:r>
      <w:r w:rsidRPr="006C6DD7">
        <w:rPr>
          <w:rStyle w:val="Strong"/>
          <w:rFonts w:eastAsiaTheme="majorEastAsia"/>
        </w:rPr>
        <w:t>compensation</w:t>
      </w:r>
      <w:r w:rsidRPr="006C6DD7">
        <w:t xml:space="preserve"> for negligence leading to a data breach.</w:t>
      </w:r>
    </w:p>
    <w:p w:rsidR="00C66AC4" w:rsidRPr="006C6DD7" w:rsidRDefault="00C66AC4" w:rsidP="006C6DD7">
      <w:pPr>
        <w:pStyle w:val="NormalWeb"/>
        <w:numPr>
          <w:ilvl w:val="0"/>
          <w:numId w:val="1"/>
        </w:numPr>
        <w:spacing w:line="360" w:lineRule="auto"/>
        <w:jc w:val="both"/>
      </w:pPr>
      <w:r w:rsidRPr="006C6DD7">
        <w:rPr>
          <w:rStyle w:val="Strong"/>
          <w:rFonts w:eastAsiaTheme="majorEastAsia"/>
        </w:rPr>
        <w:t>Section 66 – Computer-Related Offences (Criminal Liability)</w:t>
      </w:r>
      <w:r w:rsidR="00454D60" w:rsidRPr="006C6DD7">
        <w:t xml:space="preserve">: </w:t>
      </w:r>
      <w:r w:rsidRPr="006C6DD7">
        <w:t xml:space="preserve">Converts civil offences under Section 43 into criminal offences when committed </w:t>
      </w:r>
      <w:r w:rsidRPr="006C6DD7">
        <w:rPr>
          <w:rStyle w:val="Strong"/>
          <w:rFonts w:eastAsiaTheme="majorEastAsia"/>
        </w:rPr>
        <w:t>dishonestly or fraudulently</w:t>
      </w:r>
      <w:r w:rsidRPr="006C6DD7">
        <w:t>.</w:t>
      </w:r>
      <w:r w:rsidR="00454D60" w:rsidRPr="006C6DD7">
        <w:t xml:space="preserve"> </w:t>
      </w:r>
      <w:r w:rsidRPr="006C6DD7">
        <w:t>Punishable with imprisonment (up to 3 years) and fines.</w:t>
      </w:r>
    </w:p>
    <w:p w:rsidR="00C66AC4" w:rsidRPr="006C6DD7" w:rsidRDefault="00C66AC4" w:rsidP="006C6DD7">
      <w:pPr>
        <w:pStyle w:val="NormalWeb"/>
        <w:numPr>
          <w:ilvl w:val="0"/>
          <w:numId w:val="1"/>
        </w:numPr>
        <w:spacing w:line="360" w:lineRule="auto"/>
        <w:jc w:val="both"/>
      </w:pPr>
      <w:r w:rsidRPr="006C6DD7">
        <w:rPr>
          <w:rStyle w:val="Strong"/>
          <w:rFonts w:eastAsiaTheme="majorEastAsia"/>
        </w:rPr>
        <w:t>Sections 72 &amp; 72A – Breach of Confidentiality and Privacy</w:t>
      </w:r>
    </w:p>
    <w:p w:rsidR="00C66AC4" w:rsidRPr="006C6DD7" w:rsidRDefault="00C66AC4" w:rsidP="006C6DD7">
      <w:pPr>
        <w:pStyle w:val="NormalWeb"/>
        <w:numPr>
          <w:ilvl w:val="1"/>
          <w:numId w:val="1"/>
        </w:numPr>
        <w:spacing w:line="360" w:lineRule="auto"/>
        <w:jc w:val="both"/>
      </w:pPr>
      <w:r w:rsidRPr="006C6DD7">
        <w:rPr>
          <w:rStyle w:val="Strong"/>
          <w:rFonts w:eastAsiaTheme="majorEastAsia"/>
        </w:rPr>
        <w:t>Section 72</w:t>
      </w:r>
      <w:r w:rsidRPr="006C6DD7">
        <w:t xml:space="preserve"> penalizes unauthorized access or disclosure of information obtained under lawful authority.</w:t>
      </w:r>
    </w:p>
    <w:p w:rsidR="00C66AC4" w:rsidRPr="006C6DD7" w:rsidRDefault="00C66AC4" w:rsidP="006C6DD7">
      <w:pPr>
        <w:pStyle w:val="NormalWeb"/>
        <w:numPr>
          <w:ilvl w:val="1"/>
          <w:numId w:val="1"/>
        </w:numPr>
        <w:spacing w:line="360" w:lineRule="auto"/>
        <w:jc w:val="both"/>
      </w:pPr>
      <w:r w:rsidRPr="006C6DD7">
        <w:rPr>
          <w:rStyle w:val="Strong"/>
          <w:rFonts w:eastAsiaTheme="majorEastAsia"/>
        </w:rPr>
        <w:t>Section 72A</w:t>
      </w:r>
      <w:r w:rsidRPr="006C6DD7">
        <w:t xml:space="preserve"> imposes penalties for disclosure of personal data without consent, when done with </w:t>
      </w:r>
      <w:proofErr w:type="spellStart"/>
      <w:r w:rsidRPr="006C6DD7">
        <w:t>malafide</w:t>
      </w:r>
      <w:proofErr w:type="spellEnd"/>
      <w:r w:rsidRPr="006C6DD7">
        <w:t xml:space="preserve"> intent or to cause wrongful loss.</w:t>
      </w:r>
    </w:p>
    <w:p w:rsidR="00C66AC4" w:rsidRPr="006C6DD7" w:rsidRDefault="00C66AC4" w:rsidP="006C6DD7">
      <w:pPr>
        <w:pStyle w:val="NormalWeb"/>
        <w:spacing w:line="360" w:lineRule="auto"/>
        <w:jc w:val="both"/>
      </w:pPr>
      <w:r w:rsidRPr="006C6DD7">
        <w:t>Together, these provisions make businesses legally responsible for safeguarding personal data and preventing cyber incidents.</w:t>
      </w:r>
    </w:p>
    <w:p w:rsidR="00C66AC4" w:rsidRPr="006C6DD7" w:rsidRDefault="00C66AC4" w:rsidP="006C6DD7">
      <w:pPr>
        <w:pStyle w:val="Heading2"/>
        <w:spacing w:line="360" w:lineRule="auto"/>
        <w:jc w:val="both"/>
        <w:rPr>
          <w:rFonts w:ascii="Times New Roman" w:hAnsi="Times New Roman" w:cs="Times New Roman"/>
          <w:b w:val="0"/>
          <w:color w:val="auto"/>
          <w:sz w:val="24"/>
          <w:szCs w:val="24"/>
        </w:rPr>
      </w:pPr>
      <w:r w:rsidRPr="006C6DD7">
        <w:rPr>
          <w:rStyle w:val="Strong"/>
          <w:rFonts w:ascii="Times New Roman" w:hAnsi="Times New Roman" w:cs="Times New Roman"/>
          <w:b/>
          <w:bCs/>
          <w:color w:val="auto"/>
          <w:sz w:val="24"/>
          <w:szCs w:val="24"/>
        </w:rPr>
        <w:t>B. IT (Reasonable Security Practices and Procedures and Sensitive Personal Data) Rules, 2011</w:t>
      </w:r>
      <w:r w:rsidR="00454D60" w:rsidRPr="006C6DD7">
        <w:rPr>
          <w:rStyle w:val="Strong"/>
          <w:rFonts w:ascii="Times New Roman" w:hAnsi="Times New Roman" w:cs="Times New Roman"/>
          <w:b/>
          <w:bCs/>
          <w:color w:val="auto"/>
          <w:sz w:val="24"/>
          <w:szCs w:val="24"/>
        </w:rPr>
        <w:t xml:space="preserve">: </w:t>
      </w:r>
      <w:r w:rsidRPr="006C6DD7">
        <w:rPr>
          <w:rFonts w:ascii="Times New Roman" w:hAnsi="Times New Roman" w:cs="Times New Roman"/>
          <w:b w:val="0"/>
          <w:color w:val="auto"/>
          <w:sz w:val="24"/>
          <w:szCs w:val="24"/>
        </w:rPr>
        <w:t>Framed under Section 43A of the IT Act, these Rules define obligations for entities that collect, store, and process sensitive personal data.</w:t>
      </w:r>
      <w:r w:rsidR="00454D60" w:rsidRPr="006C6DD7">
        <w:rPr>
          <w:rStyle w:val="FootnoteReference"/>
          <w:rFonts w:ascii="Times New Roman" w:hAnsi="Times New Roman" w:cs="Times New Roman"/>
          <w:b w:val="0"/>
          <w:color w:val="auto"/>
          <w:sz w:val="24"/>
          <w:szCs w:val="24"/>
        </w:rPr>
        <w:footnoteReference w:id="13"/>
      </w:r>
    </w:p>
    <w:p w:rsidR="00B3510D" w:rsidRDefault="00B3510D" w:rsidP="00B3510D">
      <w:pPr>
        <w:pStyle w:val="Heading3"/>
        <w:spacing w:before="0" w:beforeAutospacing="0" w:after="0" w:afterAutospacing="0"/>
        <w:jc w:val="both"/>
        <w:rPr>
          <w:rStyle w:val="Strong"/>
          <w:rFonts w:eastAsiaTheme="majorEastAsia"/>
          <w:b/>
          <w:bCs/>
          <w:sz w:val="24"/>
          <w:szCs w:val="24"/>
        </w:rPr>
      </w:pPr>
    </w:p>
    <w:p w:rsidR="00C66AC4" w:rsidRPr="00694745" w:rsidRDefault="00C66AC4" w:rsidP="00694745">
      <w:pPr>
        <w:spacing w:line="360" w:lineRule="auto"/>
        <w:jc w:val="both"/>
        <w:rPr>
          <w:rFonts w:ascii="Times New Roman" w:hAnsi="Times New Roman" w:cs="Times New Roman"/>
          <w:b/>
          <w:sz w:val="24"/>
        </w:rPr>
      </w:pPr>
      <w:r w:rsidRPr="00694745">
        <w:rPr>
          <w:rFonts w:ascii="Times New Roman" w:hAnsi="Times New Roman" w:cs="Times New Roman"/>
          <w:b/>
          <w:sz w:val="24"/>
        </w:rPr>
        <w:lastRenderedPageBreak/>
        <w:t>Definitions of SPDI</w:t>
      </w:r>
      <w:r w:rsidR="001C738E" w:rsidRPr="00694745">
        <w:rPr>
          <w:rFonts w:ascii="Times New Roman" w:hAnsi="Times New Roman" w:cs="Times New Roman"/>
          <w:b/>
          <w:sz w:val="24"/>
        </w:rPr>
        <w:t xml:space="preserve">: </w:t>
      </w:r>
      <w:r w:rsidRPr="00694745">
        <w:rPr>
          <w:rFonts w:ascii="Times New Roman" w:hAnsi="Times New Roman" w:cs="Times New Roman"/>
          <w:b/>
          <w:sz w:val="24"/>
        </w:rPr>
        <w:t>The Rules classify SPDI (Sensitive Personal Data or Information) to include:</w:t>
      </w:r>
    </w:p>
    <w:p w:rsidR="00C66AC4" w:rsidRPr="006C6DD7" w:rsidRDefault="00C66AC4" w:rsidP="006C6DD7">
      <w:pPr>
        <w:pStyle w:val="NormalWeb"/>
        <w:numPr>
          <w:ilvl w:val="0"/>
          <w:numId w:val="2"/>
        </w:numPr>
        <w:spacing w:before="0" w:beforeAutospacing="0" w:after="0" w:afterAutospacing="0" w:line="360" w:lineRule="auto"/>
        <w:jc w:val="both"/>
      </w:pPr>
      <w:r w:rsidRPr="006C6DD7">
        <w:t>Passwords</w:t>
      </w:r>
    </w:p>
    <w:p w:rsidR="00C66AC4" w:rsidRPr="006C6DD7" w:rsidRDefault="00C66AC4" w:rsidP="006C6DD7">
      <w:pPr>
        <w:pStyle w:val="NormalWeb"/>
        <w:numPr>
          <w:ilvl w:val="0"/>
          <w:numId w:val="2"/>
        </w:numPr>
        <w:spacing w:line="360" w:lineRule="auto"/>
        <w:jc w:val="both"/>
      </w:pPr>
      <w:r w:rsidRPr="006C6DD7">
        <w:t>Financial information</w:t>
      </w:r>
    </w:p>
    <w:p w:rsidR="00C66AC4" w:rsidRPr="006C6DD7" w:rsidRDefault="00C66AC4" w:rsidP="006C6DD7">
      <w:pPr>
        <w:pStyle w:val="NormalWeb"/>
        <w:numPr>
          <w:ilvl w:val="0"/>
          <w:numId w:val="2"/>
        </w:numPr>
        <w:spacing w:line="360" w:lineRule="auto"/>
        <w:jc w:val="both"/>
      </w:pPr>
      <w:r w:rsidRPr="006C6DD7">
        <w:t>Health information</w:t>
      </w:r>
    </w:p>
    <w:p w:rsidR="00C66AC4" w:rsidRPr="006C6DD7" w:rsidRDefault="00C66AC4" w:rsidP="006C6DD7">
      <w:pPr>
        <w:pStyle w:val="NormalWeb"/>
        <w:numPr>
          <w:ilvl w:val="0"/>
          <w:numId w:val="2"/>
        </w:numPr>
        <w:spacing w:line="360" w:lineRule="auto"/>
        <w:jc w:val="both"/>
      </w:pPr>
      <w:r w:rsidRPr="006C6DD7">
        <w:t>Biometric data</w:t>
      </w:r>
    </w:p>
    <w:p w:rsidR="00C66AC4" w:rsidRPr="006C6DD7" w:rsidRDefault="00C66AC4" w:rsidP="006C6DD7">
      <w:pPr>
        <w:pStyle w:val="NormalWeb"/>
        <w:numPr>
          <w:ilvl w:val="0"/>
          <w:numId w:val="2"/>
        </w:numPr>
        <w:spacing w:line="360" w:lineRule="auto"/>
        <w:jc w:val="both"/>
      </w:pPr>
      <w:r w:rsidRPr="006C6DD7">
        <w:t>Sexual orientation</w:t>
      </w:r>
    </w:p>
    <w:p w:rsidR="00C66AC4" w:rsidRPr="006C6DD7" w:rsidRDefault="00C66AC4" w:rsidP="006C6DD7">
      <w:pPr>
        <w:pStyle w:val="NormalWeb"/>
        <w:numPr>
          <w:ilvl w:val="0"/>
          <w:numId w:val="2"/>
        </w:numPr>
        <w:spacing w:line="360" w:lineRule="auto"/>
        <w:jc w:val="both"/>
      </w:pPr>
      <w:r w:rsidRPr="006C6DD7">
        <w:t>Medical records</w:t>
      </w:r>
    </w:p>
    <w:p w:rsidR="00C66AC4" w:rsidRPr="006C6DD7" w:rsidRDefault="00C66AC4" w:rsidP="006C6DD7">
      <w:pPr>
        <w:pStyle w:val="NormalWeb"/>
        <w:numPr>
          <w:ilvl w:val="0"/>
          <w:numId w:val="2"/>
        </w:numPr>
        <w:spacing w:line="360" w:lineRule="auto"/>
        <w:jc w:val="both"/>
      </w:pPr>
      <w:r w:rsidRPr="006C6DD7">
        <w:t>Any detail relating to the above categories</w:t>
      </w:r>
    </w:p>
    <w:p w:rsidR="00C66AC4" w:rsidRPr="006C6DD7" w:rsidRDefault="00C66AC4" w:rsidP="00CC7A7B">
      <w:pPr>
        <w:pStyle w:val="Heading3"/>
        <w:spacing w:before="0" w:beforeAutospacing="0" w:after="0" w:afterAutospacing="0"/>
        <w:jc w:val="both"/>
        <w:rPr>
          <w:sz w:val="24"/>
          <w:szCs w:val="24"/>
        </w:rPr>
      </w:pPr>
      <w:r w:rsidRPr="006C6DD7">
        <w:rPr>
          <w:rStyle w:val="Strong"/>
          <w:rFonts w:eastAsiaTheme="majorEastAsia"/>
          <w:b/>
          <w:bCs/>
          <w:sz w:val="24"/>
          <w:szCs w:val="24"/>
        </w:rPr>
        <w:t>Mandatory Security Standards</w:t>
      </w:r>
      <w:r w:rsidR="00454D60" w:rsidRPr="006C6DD7">
        <w:rPr>
          <w:rStyle w:val="Strong"/>
          <w:rFonts w:eastAsiaTheme="majorEastAsia"/>
          <w:b/>
          <w:bCs/>
          <w:sz w:val="24"/>
          <w:szCs w:val="24"/>
        </w:rPr>
        <w:t xml:space="preserve">: </w:t>
      </w:r>
      <w:r w:rsidRPr="006C6DD7">
        <w:rPr>
          <w:sz w:val="24"/>
          <w:szCs w:val="24"/>
        </w:rPr>
        <w:t>Companies handling SPDI must implement:</w:t>
      </w:r>
    </w:p>
    <w:p w:rsidR="00C66AC4" w:rsidRPr="006C6DD7" w:rsidRDefault="00C66AC4" w:rsidP="006C6DD7">
      <w:pPr>
        <w:pStyle w:val="NormalWeb"/>
        <w:numPr>
          <w:ilvl w:val="0"/>
          <w:numId w:val="3"/>
        </w:numPr>
        <w:spacing w:line="360" w:lineRule="auto"/>
        <w:jc w:val="both"/>
      </w:pPr>
      <w:r w:rsidRPr="006C6DD7">
        <w:rPr>
          <w:rStyle w:val="Strong"/>
          <w:rFonts w:eastAsiaTheme="majorEastAsia"/>
          <w:b w:val="0"/>
        </w:rPr>
        <w:t>Reasonable security practices</w:t>
      </w:r>
      <w:r w:rsidRPr="006C6DD7">
        <w:t xml:space="preserve"> such as ISO/IEC 27001</w:t>
      </w:r>
    </w:p>
    <w:p w:rsidR="00C66AC4" w:rsidRPr="006C6DD7" w:rsidRDefault="00C66AC4" w:rsidP="006C6DD7">
      <w:pPr>
        <w:pStyle w:val="NormalWeb"/>
        <w:numPr>
          <w:ilvl w:val="0"/>
          <w:numId w:val="3"/>
        </w:numPr>
        <w:spacing w:line="360" w:lineRule="auto"/>
        <w:jc w:val="both"/>
      </w:pPr>
      <w:r w:rsidRPr="006C6DD7">
        <w:rPr>
          <w:rStyle w:val="Strong"/>
          <w:rFonts w:eastAsiaTheme="majorEastAsia"/>
          <w:b w:val="0"/>
        </w:rPr>
        <w:t>Data privacy policies</w:t>
      </w:r>
      <w:r w:rsidRPr="006C6DD7">
        <w:t xml:space="preserve"> published on websites</w:t>
      </w:r>
    </w:p>
    <w:p w:rsidR="00C66AC4" w:rsidRPr="006C6DD7" w:rsidRDefault="00C66AC4" w:rsidP="006C6DD7">
      <w:pPr>
        <w:pStyle w:val="NormalWeb"/>
        <w:numPr>
          <w:ilvl w:val="0"/>
          <w:numId w:val="3"/>
        </w:numPr>
        <w:spacing w:line="360" w:lineRule="auto"/>
        <w:jc w:val="both"/>
      </w:pPr>
      <w:r w:rsidRPr="006C6DD7">
        <w:rPr>
          <w:rStyle w:val="Strong"/>
          <w:rFonts w:eastAsiaTheme="majorEastAsia"/>
          <w:b w:val="0"/>
        </w:rPr>
        <w:t>Consent-based data collection and disclosure</w:t>
      </w:r>
    </w:p>
    <w:p w:rsidR="00C66AC4" w:rsidRPr="006C6DD7" w:rsidRDefault="00C66AC4" w:rsidP="006C6DD7">
      <w:pPr>
        <w:pStyle w:val="NormalWeb"/>
        <w:numPr>
          <w:ilvl w:val="0"/>
          <w:numId w:val="3"/>
        </w:numPr>
        <w:spacing w:line="360" w:lineRule="auto"/>
        <w:jc w:val="both"/>
      </w:pPr>
      <w:r w:rsidRPr="006C6DD7">
        <w:t xml:space="preserve">Mandatory procedures for data transfer, retention, and grievance </w:t>
      </w:r>
      <w:proofErr w:type="spellStart"/>
      <w:r w:rsidRPr="006C6DD7">
        <w:t>redressal</w:t>
      </w:r>
      <w:proofErr w:type="spellEnd"/>
    </w:p>
    <w:p w:rsidR="00C66AC4" w:rsidRPr="006C6DD7" w:rsidRDefault="00C66AC4" w:rsidP="00B3510D">
      <w:pPr>
        <w:pStyle w:val="Heading3"/>
        <w:spacing w:before="0" w:beforeAutospacing="0" w:after="0" w:afterAutospacing="0" w:line="360" w:lineRule="auto"/>
        <w:jc w:val="both"/>
        <w:rPr>
          <w:sz w:val="24"/>
          <w:szCs w:val="24"/>
        </w:rPr>
      </w:pPr>
      <w:r w:rsidRPr="006C6DD7">
        <w:rPr>
          <w:rStyle w:val="Strong"/>
          <w:rFonts w:eastAsiaTheme="majorEastAsia"/>
          <w:b/>
          <w:bCs/>
          <w:sz w:val="24"/>
          <w:szCs w:val="24"/>
        </w:rPr>
        <w:t>Corporate Responsibilities</w:t>
      </w:r>
    </w:p>
    <w:p w:rsidR="00C66AC4" w:rsidRPr="006C6DD7" w:rsidRDefault="00C66AC4" w:rsidP="006C6DD7">
      <w:pPr>
        <w:pStyle w:val="ListParagraph"/>
        <w:numPr>
          <w:ilvl w:val="0"/>
          <w:numId w:val="16"/>
        </w:numPr>
        <w:spacing w:line="360" w:lineRule="auto"/>
        <w:jc w:val="both"/>
        <w:rPr>
          <w:rFonts w:ascii="Times New Roman" w:hAnsi="Times New Roman" w:cs="Times New Roman"/>
          <w:sz w:val="24"/>
          <w:szCs w:val="24"/>
        </w:rPr>
      </w:pPr>
      <w:r w:rsidRPr="006C6DD7">
        <w:rPr>
          <w:rFonts w:ascii="Times New Roman" w:hAnsi="Times New Roman" w:cs="Times New Roman"/>
          <w:sz w:val="24"/>
          <w:szCs w:val="24"/>
        </w:rPr>
        <w:t>Appoint a Grievance Officer</w:t>
      </w:r>
    </w:p>
    <w:p w:rsidR="00C66AC4" w:rsidRPr="006C6DD7" w:rsidRDefault="00C66AC4" w:rsidP="006C6DD7">
      <w:pPr>
        <w:pStyle w:val="ListParagraph"/>
        <w:numPr>
          <w:ilvl w:val="0"/>
          <w:numId w:val="16"/>
        </w:numPr>
        <w:spacing w:line="360" w:lineRule="auto"/>
        <w:jc w:val="both"/>
        <w:rPr>
          <w:rFonts w:ascii="Times New Roman" w:hAnsi="Times New Roman" w:cs="Times New Roman"/>
          <w:sz w:val="24"/>
          <w:szCs w:val="24"/>
        </w:rPr>
      </w:pPr>
      <w:r w:rsidRPr="006C6DD7">
        <w:rPr>
          <w:rFonts w:ascii="Times New Roman" w:hAnsi="Times New Roman" w:cs="Times New Roman"/>
          <w:sz w:val="24"/>
          <w:szCs w:val="24"/>
        </w:rPr>
        <w:t>Maintain privacy policies</w:t>
      </w:r>
    </w:p>
    <w:p w:rsidR="00C66AC4" w:rsidRPr="006C6DD7" w:rsidRDefault="00C66AC4" w:rsidP="006C6DD7">
      <w:pPr>
        <w:pStyle w:val="ListParagraph"/>
        <w:numPr>
          <w:ilvl w:val="0"/>
          <w:numId w:val="16"/>
        </w:numPr>
        <w:spacing w:line="360" w:lineRule="auto"/>
        <w:jc w:val="both"/>
        <w:rPr>
          <w:rFonts w:ascii="Times New Roman" w:hAnsi="Times New Roman" w:cs="Times New Roman"/>
          <w:sz w:val="24"/>
          <w:szCs w:val="24"/>
        </w:rPr>
      </w:pPr>
      <w:r w:rsidRPr="006C6DD7">
        <w:rPr>
          <w:rFonts w:ascii="Times New Roman" w:hAnsi="Times New Roman" w:cs="Times New Roman"/>
          <w:sz w:val="24"/>
          <w:szCs w:val="24"/>
        </w:rPr>
        <w:t>Ensure data processing only for lawful purposes</w:t>
      </w:r>
    </w:p>
    <w:p w:rsidR="00C66AC4" w:rsidRPr="006C6DD7" w:rsidRDefault="00C66AC4" w:rsidP="006C6DD7">
      <w:pPr>
        <w:pStyle w:val="ListParagraph"/>
        <w:numPr>
          <w:ilvl w:val="0"/>
          <w:numId w:val="16"/>
        </w:numPr>
        <w:spacing w:line="360" w:lineRule="auto"/>
        <w:jc w:val="both"/>
        <w:rPr>
          <w:rFonts w:ascii="Times New Roman" w:hAnsi="Times New Roman" w:cs="Times New Roman"/>
          <w:sz w:val="24"/>
          <w:szCs w:val="24"/>
        </w:rPr>
      </w:pPr>
      <w:r w:rsidRPr="006C6DD7">
        <w:rPr>
          <w:rFonts w:ascii="Times New Roman" w:hAnsi="Times New Roman" w:cs="Times New Roman"/>
          <w:sz w:val="24"/>
          <w:szCs w:val="24"/>
        </w:rPr>
        <w:t>Adopt contractual safeguards when outsourcing data processing</w:t>
      </w:r>
    </w:p>
    <w:p w:rsidR="00C66AC4" w:rsidRPr="006C6DD7" w:rsidRDefault="00C66AC4" w:rsidP="006C6DD7">
      <w:pPr>
        <w:pStyle w:val="ListParagraph"/>
        <w:numPr>
          <w:ilvl w:val="0"/>
          <w:numId w:val="16"/>
        </w:numPr>
        <w:spacing w:line="360" w:lineRule="auto"/>
        <w:jc w:val="both"/>
        <w:rPr>
          <w:rFonts w:ascii="Times New Roman" w:hAnsi="Times New Roman" w:cs="Times New Roman"/>
          <w:sz w:val="24"/>
          <w:szCs w:val="24"/>
        </w:rPr>
      </w:pPr>
      <w:r w:rsidRPr="006C6DD7">
        <w:rPr>
          <w:rFonts w:ascii="Times New Roman" w:hAnsi="Times New Roman" w:cs="Times New Roman"/>
          <w:sz w:val="24"/>
          <w:szCs w:val="24"/>
        </w:rPr>
        <w:t>Implement technical and organizational measures to prevent unauthorized access or loss</w:t>
      </w:r>
    </w:p>
    <w:p w:rsidR="00C66AC4" w:rsidRPr="006C6DD7" w:rsidRDefault="00C66AC4" w:rsidP="006C6DD7">
      <w:pPr>
        <w:pStyle w:val="NormalWeb"/>
        <w:spacing w:line="360" w:lineRule="auto"/>
        <w:jc w:val="both"/>
      </w:pPr>
      <w:r w:rsidRPr="006C6DD7">
        <w:t>These Rules form the foundation of corporate data governance standards in India.</w:t>
      </w:r>
    </w:p>
    <w:p w:rsidR="00C66AC4" w:rsidRPr="006C6DD7" w:rsidRDefault="00C66AC4" w:rsidP="006C6DD7">
      <w:pPr>
        <w:pStyle w:val="Heading2"/>
        <w:spacing w:line="360" w:lineRule="auto"/>
        <w:jc w:val="both"/>
        <w:rPr>
          <w:rFonts w:ascii="Times New Roman" w:hAnsi="Times New Roman" w:cs="Times New Roman"/>
          <w:b w:val="0"/>
          <w:color w:val="auto"/>
          <w:sz w:val="24"/>
          <w:szCs w:val="24"/>
        </w:rPr>
      </w:pPr>
      <w:r w:rsidRPr="006C6DD7">
        <w:rPr>
          <w:rStyle w:val="Strong"/>
          <w:rFonts w:ascii="Times New Roman" w:hAnsi="Times New Roman" w:cs="Times New Roman"/>
          <w:b/>
          <w:bCs/>
          <w:color w:val="auto"/>
          <w:sz w:val="24"/>
          <w:szCs w:val="24"/>
        </w:rPr>
        <w:t>C. CERT-In Directions (2022 &amp; Updates)</w:t>
      </w:r>
      <w:r w:rsidR="00454D60" w:rsidRPr="006C6DD7">
        <w:rPr>
          <w:rStyle w:val="Strong"/>
          <w:rFonts w:ascii="Times New Roman" w:hAnsi="Times New Roman" w:cs="Times New Roman"/>
          <w:b/>
          <w:bCs/>
          <w:color w:val="auto"/>
          <w:sz w:val="24"/>
          <w:szCs w:val="24"/>
        </w:rPr>
        <w:t xml:space="preserve">: </w:t>
      </w:r>
      <w:r w:rsidRPr="006C6DD7">
        <w:rPr>
          <w:rFonts w:ascii="Times New Roman" w:hAnsi="Times New Roman" w:cs="Times New Roman"/>
          <w:b w:val="0"/>
          <w:color w:val="auto"/>
          <w:sz w:val="24"/>
          <w:szCs w:val="24"/>
        </w:rPr>
        <w:t>The Indian Computer Emergency Response Team (CERT-In) issued landmark directions in April 2022 to strengthen cyber incident reporting and national cyber resilience.</w:t>
      </w:r>
      <w:r w:rsidR="00454D60" w:rsidRPr="006C6DD7">
        <w:rPr>
          <w:rStyle w:val="FootnoteReference"/>
          <w:rFonts w:ascii="Times New Roman" w:hAnsi="Times New Roman" w:cs="Times New Roman"/>
          <w:b w:val="0"/>
          <w:color w:val="auto"/>
          <w:sz w:val="24"/>
          <w:szCs w:val="24"/>
        </w:rPr>
        <w:footnoteReference w:id="14"/>
      </w:r>
    </w:p>
    <w:p w:rsidR="00C66AC4" w:rsidRPr="006C6DD7" w:rsidRDefault="00C66AC4" w:rsidP="006C6DD7">
      <w:pPr>
        <w:pStyle w:val="Heading3"/>
        <w:spacing w:line="360" w:lineRule="auto"/>
        <w:jc w:val="both"/>
        <w:rPr>
          <w:b w:val="0"/>
          <w:sz w:val="24"/>
          <w:szCs w:val="24"/>
        </w:rPr>
      </w:pPr>
      <w:r w:rsidRPr="006C6DD7">
        <w:rPr>
          <w:rStyle w:val="Strong"/>
          <w:rFonts w:eastAsiaTheme="majorEastAsia"/>
          <w:b/>
          <w:bCs/>
          <w:sz w:val="24"/>
          <w:szCs w:val="24"/>
        </w:rPr>
        <w:t>Mandatory Incident Reporting Timelines</w:t>
      </w:r>
      <w:r w:rsidR="00454D60" w:rsidRPr="006C6DD7">
        <w:rPr>
          <w:rStyle w:val="Strong"/>
          <w:rFonts w:eastAsiaTheme="majorEastAsia"/>
          <w:b/>
          <w:bCs/>
          <w:sz w:val="24"/>
          <w:szCs w:val="24"/>
        </w:rPr>
        <w:t xml:space="preserve">: </w:t>
      </w:r>
      <w:r w:rsidRPr="006C6DD7">
        <w:rPr>
          <w:b w:val="0"/>
          <w:sz w:val="24"/>
          <w:szCs w:val="24"/>
        </w:rPr>
        <w:t xml:space="preserve">All cyber incidents (including attacks, breaches, </w:t>
      </w:r>
      <w:proofErr w:type="spellStart"/>
      <w:r w:rsidRPr="006C6DD7">
        <w:rPr>
          <w:b w:val="0"/>
          <w:sz w:val="24"/>
          <w:szCs w:val="24"/>
        </w:rPr>
        <w:t>ransomware</w:t>
      </w:r>
      <w:proofErr w:type="spellEnd"/>
      <w:r w:rsidRPr="006C6DD7">
        <w:rPr>
          <w:b w:val="0"/>
          <w:sz w:val="24"/>
          <w:szCs w:val="24"/>
        </w:rPr>
        <w:t xml:space="preserve">, phishing, data leaks) must be reported </w:t>
      </w:r>
      <w:r w:rsidRPr="006C6DD7">
        <w:rPr>
          <w:rStyle w:val="Strong"/>
          <w:rFonts w:eastAsiaTheme="majorEastAsia"/>
          <w:sz w:val="24"/>
          <w:szCs w:val="24"/>
        </w:rPr>
        <w:t>within 6 hours</w:t>
      </w:r>
      <w:r w:rsidRPr="006C6DD7">
        <w:rPr>
          <w:b w:val="0"/>
          <w:sz w:val="24"/>
          <w:szCs w:val="24"/>
        </w:rPr>
        <w:t xml:space="preserve"> of </w:t>
      </w:r>
      <w:r w:rsidRPr="006C6DD7">
        <w:rPr>
          <w:b w:val="0"/>
          <w:sz w:val="24"/>
          <w:szCs w:val="24"/>
        </w:rPr>
        <w:lastRenderedPageBreak/>
        <w:t>noticing or becoming aware of them.</w:t>
      </w:r>
      <w:r w:rsidR="00454D60" w:rsidRPr="006C6DD7">
        <w:rPr>
          <w:b w:val="0"/>
          <w:sz w:val="24"/>
          <w:szCs w:val="24"/>
        </w:rPr>
        <w:t xml:space="preserve"> </w:t>
      </w:r>
      <w:proofErr w:type="gramStart"/>
      <w:r w:rsidRPr="006C6DD7">
        <w:rPr>
          <w:b w:val="0"/>
          <w:sz w:val="24"/>
          <w:szCs w:val="24"/>
        </w:rPr>
        <w:t xml:space="preserve">Applies to all service providers, data </w:t>
      </w:r>
      <w:proofErr w:type="spellStart"/>
      <w:r w:rsidRPr="006C6DD7">
        <w:rPr>
          <w:b w:val="0"/>
          <w:sz w:val="24"/>
          <w:szCs w:val="24"/>
        </w:rPr>
        <w:t>centers</w:t>
      </w:r>
      <w:proofErr w:type="spellEnd"/>
      <w:r w:rsidRPr="006C6DD7">
        <w:rPr>
          <w:b w:val="0"/>
          <w:sz w:val="24"/>
          <w:szCs w:val="24"/>
        </w:rPr>
        <w:t>, intermediaries, and corporate bodies.</w:t>
      </w:r>
      <w:proofErr w:type="gramEnd"/>
      <w:r w:rsidR="00454D60" w:rsidRPr="006C6DD7">
        <w:rPr>
          <w:rStyle w:val="FootnoteReference"/>
          <w:b w:val="0"/>
          <w:sz w:val="24"/>
          <w:szCs w:val="24"/>
        </w:rPr>
        <w:footnoteReference w:id="15"/>
      </w:r>
    </w:p>
    <w:p w:rsidR="00C66AC4" w:rsidRPr="006C6DD7" w:rsidRDefault="00C66AC4" w:rsidP="00CC7A7B">
      <w:pPr>
        <w:pStyle w:val="Heading3"/>
        <w:spacing w:before="0" w:beforeAutospacing="0" w:after="0" w:afterAutospacing="0"/>
        <w:jc w:val="both"/>
        <w:rPr>
          <w:sz w:val="24"/>
          <w:szCs w:val="24"/>
        </w:rPr>
      </w:pPr>
      <w:r w:rsidRPr="006C6DD7">
        <w:rPr>
          <w:rStyle w:val="Strong"/>
          <w:rFonts w:eastAsiaTheme="majorEastAsia"/>
          <w:b/>
          <w:bCs/>
          <w:sz w:val="24"/>
          <w:szCs w:val="24"/>
        </w:rPr>
        <w:t>Data Retention Duties</w:t>
      </w:r>
    </w:p>
    <w:p w:rsidR="00C66AC4" w:rsidRPr="006C6DD7" w:rsidRDefault="00C66AC4" w:rsidP="006C6DD7">
      <w:pPr>
        <w:pStyle w:val="NormalWeb"/>
        <w:numPr>
          <w:ilvl w:val="0"/>
          <w:numId w:val="6"/>
        </w:numPr>
        <w:spacing w:line="360" w:lineRule="auto"/>
        <w:jc w:val="both"/>
        <w:rPr>
          <w:b/>
        </w:rPr>
      </w:pPr>
      <w:r w:rsidRPr="006C6DD7">
        <w:t xml:space="preserve">Companies must maintain logs of ICT systems for </w:t>
      </w:r>
      <w:r w:rsidRPr="006C6DD7">
        <w:rPr>
          <w:rStyle w:val="Strong"/>
          <w:rFonts w:eastAsiaTheme="majorEastAsia"/>
          <w:b w:val="0"/>
        </w:rPr>
        <w:t>180 days</w:t>
      </w:r>
      <w:r w:rsidRPr="006C6DD7">
        <w:rPr>
          <w:b/>
        </w:rPr>
        <w:t>.</w:t>
      </w:r>
    </w:p>
    <w:p w:rsidR="00C66AC4" w:rsidRPr="006C6DD7" w:rsidRDefault="00C66AC4" w:rsidP="006C6DD7">
      <w:pPr>
        <w:pStyle w:val="NormalWeb"/>
        <w:numPr>
          <w:ilvl w:val="0"/>
          <w:numId w:val="6"/>
        </w:numPr>
        <w:spacing w:line="360" w:lineRule="auto"/>
        <w:jc w:val="both"/>
      </w:pPr>
      <w:r w:rsidRPr="006C6DD7">
        <w:t>Logs must be stored in India for regulatory access.</w:t>
      </w:r>
    </w:p>
    <w:p w:rsidR="00C66AC4" w:rsidRPr="006C6DD7" w:rsidRDefault="00C66AC4" w:rsidP="006C6DD7">
      <w:pPr>
        <w:pStyle w:val="NormalWeb"/>
        <w:numPr>
          <w:ilvl w:val="0"/>
          <w:numId w:val="6"/>
        </w:numPr>
        <w:spacing w:line="360" w:lineRule="auto"/>
        <w:jc w:val="both"/>
      </w:pPr>
      <w:r w:rsidRPr="006C6DD7">
        <w:t xml:space="preserve">VPN providers must retain customer data for </w:t>
      </w:r>
      <w:r w:rsidRPr="006C6DD7">
        <w:rPr>
          <w:rStyle w:val="Strong"/>
          <w:rFonts w:eastAsiaTheme="majorEastAsia"/>
          <w:b w:val="0"/>
        </w:rPr>
        <w:t>5 years</w:t>
      </w:r>
      <w:r w:rsidRPr="006C6DD7">
        <w:t xml:space="preserve"> (subject to updates).</w:t>
      </w:r>
    </w:p>
    <w:p w:rsidR="00C66AC4" w:rsidRPr="006C6DD7" w:rsidRDefault="00C66AC4" w:rsidP="00B3510D">
      <w:pPr>
        <w:pStyle w:val="Heading3"/>
        <w:spacing w:before="0" w:beforeAutospacing="0" w:after="0" w:afterAutospacing="0"/>
        <w:jc w:val="both"/>
        <w:rPr>
          <w:sz w:val="24"/>
          <w:szCs w:val="24"/>
        </w:rPr>
      </w:pPr>
      <w:r w:rsidRPr="006C6DD7">
        <w:rPr>
          <w:rStyle w:val="Strong"/>
          <w:rFonts w:eastAsiaTheme="majorEastAsia"/>
          <w:b/>
          <w:bCs/>
          <w:sz w:val="24"/>
          <w:szCs w:val="24"/>
        </w:rPr>
        <w:t>Reporting Templates and Compliance Mechanism</w:t>
      </w:r>
    </w:p>
    <w:p w:rsidR="00C66AC4" w:rsidRPr="006C6DD7" w:rsidRDefault="00C66AC4" w:rsidP="006C6DD7">
      <w:pPr>
        <w:pStyle w:val="NormalWeb"/>
        <w:numPr>
          <w:ilvl w:val="0"/>
          <w:numId w:val="7"/>
        </w:numPr>
        <w:spacing w:line="360" w:lineRule="auto"/>
        <w:jc w:val="both"/>
      </w:pPr>
      <w:r w:rsidRPr="006C6DD7">
        <w:t xml:space="preserve">CERT-In provides </w:t>
      </w:r>
      <w:r w:rsidRPr="006C6DD7">
        <w:rPr>
          <w:rStyle w:val="Strong"/>
          <w:rFonts w:eastAsiaTheme="majorEastAsia"/>
          <w:b w:val="0"/>
        </w:rPr>
        <w:t>structured incident reporting formats</w:t>
      </w:r>
      <w:r w:rsidRPr="006C6DD7">
        <w:t>.</w:t>
      </w:r>
    </w:p>
    <w:p w:rsidR="00C66AC4" w:rsidRPr="006C6DD7" w:rsidRDefault="00C66AC4" w:rsidP="006C6DD7">
      <w:pPr>
        <w:pStyle w:val="NormalWeb"/>
        <w:numPr>
          <w:ilvl w:val="0"/>
          <w:numId w:val="7"/>
        </w:numPr>
        <w:spacing w:line="360" w:lineRule="auto"/>
        <w:jc w:val="both"/>
      </w:pPr>
      <w:r w:rsidRPr="006C6DD7">
        <w:t>Entities must synchronize their system clocks with National Time protocols.</w:t>
      </w:r>
    </w:p>
    <w:p w:rsidR="00C66AC4" w:rsidRPr="006C6DD7" w:rsidRDefault="00C66AC4" w:rsidP="006C6DD7">
      <w:pPr>
        <w:pStyle w:val="NormalWeb"/>
        <w:numPr>
          <w:ilvl w:val="0"/>
          <w:numId w:val="7"/>
        </w:numPr>
        <w:spacing w:line="360" w:lineRule="auto"/>
        <w:jc w:val="both"/>
      </w:pPr>
      <w:r w:rsidRPr="006C6DD7">
        <w:t>Companies are required to furnish information or evidence during cyber investigations.</w:t>
      </w:r>
    </w:p>
    <w:p w:rsidR="00C66AC4" w:rsidRPr="006C6DD7" w:rsidRDefault="00C66AC4" w:rsidP="006C6DD7">
      <w:pPr>
        <w:pStyle w:val="NormalWeb"/>
        <w:spacing w:line="360" w:lineRule="auto"/>
        <w:jc w:val="both"/>
      </w:pPr>
      <w:r w:rsidRPr="006C6DD7">
        <w:t>These directions significantly strengthen India’s national cyber incident response capabilities.</w:t>
      </w:r>
    </w:p>
    <w:p w:rsidR="00C66AC4" w:rsidRDefault="00C66AC4" w:rsidP="006C6DD7">
      <w:pPr>
        <w:pStyle w:val="Heading2"/>
        <w:spacing w:line="360" w:lineRule="auto"/>
        <w:jc w:val="both"/>
        <w:rPr>
          <w:rFonts w:ascii="Times New Roman" w:hAnsi="Times New Roman" w:cs="Times New Roman"/>
          <w:b w:val="0"/>
          <w:color w:val="auto"/>
          <w:sz w:val="24"/>
          <w:szCs w:val="24"/>
        </w:rPr>
      </w:pPr>
      <w:r w:rsidRPr="006C6DD7">
        <w:rPr>
          <w:rStyle w:val="Strong"/>
          <w:rFonts w:ascii="Times New Roman" w:hAnsi="Times New Roman" w:cs="Times New Roman"/>
          <w:b/>
          <w:bCs/>
          <w:color w:val="auto"/>
          <w:sz w:val="24"/>
          <w:szCs w:val="24"/>
        </w:rPr>
        <w:t>D. Digital Personal Data Protection Act, 2023 (DPDP Act)</w:t>
      </w:r>
      <w:r w:rsidR="00454D60" w:rsidRPr="006C6DD7">
        <w:rPr>
          <w:rStyle w:val="Strong"/>
          <w:rFonts w:ascii="Times New Roman" w:hAnsi="Times New Roman" w:cs="Times New Roman"/>
          <w:b/>
          <w:bCs/>
          <w:color w:val="auto"/>
          <w:sz w:val="24"/>
          <w:szCs w:val="24"/>
        </w:rPr>
        <w:t xml:space="preserve">: </w:t>
      </w:r>
      <w:r w:rsidRPr="006C6DD7">
        <w:rPr>
          <w:rFonts w:ascii="Times New Roman" w:hAnsi="Times New Roman" w:cs="Times New Roman"/>
          <w:b w:val="0"/>
          <w:color w:val="auto"/>
          <w:sz w:val="24"/>
          <w:szCs w:val="24"/>
        </w:rPr>
        <w:t>The DPDP Act represents India’s modern privacy and data protection framework, replacing the earlier SPDI Rules structure. It regulates how personal data is collected, processed, stored, and shared.</w:t>
      </w:r>
      <w:r w:rsidR="00454D60" w:rsidRPr="006C6DD7">
        <w:rPr>
          <w:rStyle w:val="FootnoteReference"/>
          <w:rFonts w:ascii="Times New Roman" w:hAnsi="Times New Roman" w:cs="Times New Roman"/>
          <w:b w:val="0"/>
          <w:color w:val="auto"/>
          <w:sz w:val="24"/>
          <w:szCs w:val="24"/>
        </w:rPr>
        <w:footnoteReference w:id="16"/>
      </w:r>
    </w:p>
    <w:p w:rsidR="001206C7" w:rsidRPr="001206C7" w:rsidRDefault="001206C7" w:rsidP="001206C7"/>
    <w:p w:rsidR="001C738E" w:rsidRPr="006C6DD7" w:rsidRDefault="001C738E" w:rsidP="00B3510D">
      <w:pPr>
        <w:pStyle w:val="Heading3"/>
        <w:spacing w:before="0" w:beforeAutospacing="0" w:after="0" w:afterAutospacing="0"/>
        <w:jc w:val="both"/>
        <w:rPr>
          <w:rStyle w:val="Strong"/>
          <w:rFonts w:eastAsiaTheme="majorEastAsia"/>
          <w:b/>
          <w:bCs/>
          <w:sz w:val="24"/>
          <w:szCs w:val="24"/>
        </w:rPr>
      </w:pPr>
    </w:p>
    <w:p w:rsidR="00C66AC4" w:rsidRPr="006C6DD7" w:rsidRDefault="00C66AC4" w:rsidP="00B3510D">
      <w:pPr>
        <w:pStyle w:val="Heading3"/>
        <w:spacing w:before="0" w:beforeAutospacing="0" w:after="0" w:afterAutospacing="0"/>
        <w:jc w:val="both"/>
        <w:rPr>
          <w:rStyle w:val="Strong"/>
          <w:rFonts w:eastAsiaTheme="majorEastAsia"/>
          <w:b/>
          <w:bCs/>
          <w:sz w:val="24"/>
          <w:szCs w:val="24"/>
        </w:rPr>
      </w:pPr>
      <w:r w:rsidRPr="006C6DD7">
        <w:rPr>
          <w:rStyle w:val="Strong"/>
          <w:rFonts w:eastAsiaTheme="majorEastAsia"/>
          <w:b/>
          <w:bCs/>
          <w:sz w:val="24"/>
          <w:szCs w:val="24"/>
        </w:rPr>
        <w:t>Obligations of Data Fiduciaries</w:t>
      </w:r>
    </w:p>
    <w:p w:rsidR="00A42B3E" w:rsidRPr="006C6DD7" w:rsidRDefault="00A42B3E" w:rsidP="006C6DD7">
      <w:pPr>
        <w:pStyle w:val="Heading3"/>
        <w:spacing w:before="0" w:beforeAutospacing="0" w:after="0" w:afterAutospacing="0" w:line="360" w:lineRule="auto"/>
        <w:jc w:val="both"/>
        <w:rPr>
          <w:sz w:val="24"/>
          <w:szCs w:val="24"/>
        </w:rPr>
      </w:pPr>
    </w:p>
    <w:p w:rsidR="00C66AC4" w:rsidRPr="006C6DD7" w:rsidRDefault="00C66AC4" w:rsidP="006C6DD7">
      <w:pPr>
        <w:pStyle w:val="ListParagraph"/>
        <w:numPr>
          <w:ilvl w:val="0"/>
          <w:numId w:val="17"/>
        </w:numPr>
        <w:spacing w:after="0" w:line="360" w:lineRule="auto"/>
        <w:jc w:val="both"/>
        <w:rPr>
          <w:rFonts w:ascii="Times New Roman" w:hAnsi="Times New Roman" w:cs="Times New Roman"/>
          <w:sz w:val="24"/>
          <w:szCs w:val="24"/>
        </w:rPr>
      </w:pPr>
      <w:r w:rsidRPr="006C6DD7">
        <w:rPr>
          <w:rFonts w:ascii="Times New Roman" w:hAnsi="Times New Roman" w:cs="Times New Roman"/>
          <w:sz w:val="24"/>
          <w:szCs w:val="24"/>
        </w:rPr>
        <w:t>Obtain valid, free, informed, and specific consent</w:t>
      </w:r>
    </w:p>
    <w:p w:rsidR="00454D60" w:rsidRPr="006C6DD7" w:rsidRDefault="00C66AC4" w:rsidP="006C6DD7">
      <w:pPr>
        <w:pStyle w:val="ListParagraph"/>
        <w:numPr>
          <w:ilvl w:val="0"/>
          <w:numId w:val="8"/>
        </w:numPr>
        <w:spacing w:after="0" w:line="360" w:lineRule="auto"/>
        <w:jc w:val="both"/>
        <w:rPr>
          <w:rFonts w:ascii="Times New Roman" w:hAnsi="Times New Roman" w:cs="Times New Roman"/>
          <w:sz w:val="24"/>
          <w:szCs w:val="24"/>
        </w:rPr>
      </w:pPr>
      <w:r w:rsidRPr="006C6DD7">
        <w:rPr>
          <w:rFonts w:ascii="Times New Roman" w:hAnsi="Times New Roman" w:cs="Times New Roman"/>
          <w:sz w:val="24"/>
          <w:szCs w:val="24"/>
        </w:rPr>
        <w:t xml:space="preserve">Ensure data is used only for </w:t>
      </w:r>
      <w:r w:rsidRPr="006C6DD7">
        <w:rPr>
          <w:rFonts w:ascii="Times New Roman" w:eastAsiaTheme="majorEastAsia" w:hAnsi="Times New Roman" w:cs="Times New Roman"/>
          <w:sz w:val="24"/>
          <w:szCs w:val="24"/>
        </w:rPr>
        <w:t>legitimate purposes</w:t>
      </w:r>
    </w:p>
    <w:p w:rsidR="00BE09FB" w:rsidRPr="006C6DD7" w:rsidRDefault="00C66AC4" w:rsidP="006C6DD7">
      <w:pPr>
        <w:pStyle w:val="ListParagraph"/>
        <w:numPr>
          <w:ilvl w:val="0"/>
          <w:numId w:val="8"/>
        </w:numPr>
        <w:spacing w:after="0" w:line="360" w:lineRule="auto"/>
        <w:jc w:val="both"/>
        <w:rPr>
          <w:rFonts w:ascii="Times New Roman" w:hAnsi="Times New Roman" w:cs="Times New Roman"/>
          <w:sz w:val="24"/>
          <w:szCs w:val="24"/>
        </w:rPr>
      </w:pPr>
      <w:r w:rsidRPr="006C6DD7">
        <w:rPr>
          <w:rFonts w:ascii="Times New Roman" w:hAnsi="Times New Roman" w:cs="Times New Roman"/>
          <w:sz w:val="24"/>
          <w:szCs w:val="24"/>
        </w:rPr>
        <w:t>Implement security safeguards</w:t>
      </w:r>
    </w:p>
    <w:p w:rsidR="00BE09FB" w:rsidRPr="006C6DD7" w:rsidRDefault="00C66AC4" w:rsidP="006C6DD7">
      <w:pPr>
        <w:pStyle w:val="ListParagraph"/>
        <w:numPr>
          <w:ilvl w:val="0"/>
          <w:numId w:val="8"/>
        </w:numPr>
        <w:spacing w:after="0" w:line="360" w:lineRule="auto"/>
        <w:jc w:val="both"/>
        <w:rPr>
          <w:rFonts w:ascii="Times New Roman" w:hAnsi="Times New Roman" w:cs="Times New Roman"/>
          <w:sz w:val="24"/>
          <w:szCs w:val="24"/>
        </w:rPr>
      </w:pPr>
      <w:r w:rsidRPr="006C6DD7">
        <w:rPr>
          <w:rFonts w:ascii="Times New Roman" w:hAnsi="Times New Roman" w:cs="Times New Roman"/>
          <w:sz w:val="24"/>
          <w:szCs w:val="24"/>
        </w:rPr>
        <w:t>Notify the Data Protection Board and affected individuals in case of breaches</w:t>
      </w:r>
    </w:p>
    <w:p w:rsidR="00C66AC4" w:rsidRDefault="00C66AC4" w:rsidP="006C6DD7">
      <w:pPr>
        <w:pStyle w:val="ListParagraph"/>
        <w:numPr>
          <w:ilvl w:val="0"/>
          <w:numId w:val="8"/>
        </w:numPr>
        <w:spacing w:after="0" w:line="360" w:lineRule="auto"/>
        <w:jc w:val="both"/>
        <w:rPr>
          <w:rFonts w:ascii="Times New Roman" w:hAnsi="Times New Roman" w:cs="Times New Roman"/>
          <w:sz w:val="24"/>
          <w:szCs w:val="24"/>
        </w:rPr>
      </w:pPr>
      <w:r w:rsidRPr="006C6DD7">
        <w:rPr>
          <w:rFonts w:ascii="Times New Roman" w:hAnsi="Times New Roman" w:cs="Times New Roman"/>
          <w:sz w:val="24"/>
          <w:szCs w:val="24"/>
        </w:rPr>
        <w:t>Maintain accuracy and confidentiality of personal data</w:t>
      </w:r>
      <w:r w:rsidR="00B3510D">
        <w:rPr>
          <w:rFonts w:ascii="Times New Roman" w:hAnsi="Times New Roman" w:cs="Times New Roman"/>
          <w:sz w:val="24"/>
          <w:szCs w:val="24"/>
        </w:rPr>
        <w:t>.</w:t>
      </w:r>
    </w:p>
    <w:p w:rsidR="00B3510D" w:rsidRPr="006C6DD7" w:rsidRDefault="00B3510D" w:rsidP="00B3510D">
      <w:pPr>
        <w:pStyle w:val="ListParagraph"/>
        <w:spacing w:after="0" w:line="240" w:lineRule="auto"/>
        <w:jc w:val="both"/>
        <w:rPr>
          <w:rFonts w:ascii="Times New Roman" w:hAnsi="Times New Roman" w:cs="Times New Roman"/>
          <w:sz w:val="24"/>
          <w:szCs w:val="24"/>
        </w:rPr>
      </w:pPr>
    </w:p>
    <w:p w:rsidR="00C66AC4" w:rsidRPr="006C6DD7" w:rsidRDefault="00C66AC4" w:rsidP="00B3510D">
      <w:pPr>
        <w:pStyle w:val="Heading3"/>
        <w:spacing w:before="0" w:beforeAutospacing="0" w:after="0" w:afterAutospacing="0"/>
        <w:jc w:val="both"/>
        <w:rPr>
          <w:sz w:val="24"/>
          <w:szCs w:val="24"/>
        </w:rPr>
      </w:pPr>
      <w:r w:rsidRPr="006C6DD7">
        <w:rPr>
          <w:rStyle w:val="Strong"/>
          <w:rFonts w:eastAsiaTheme="majorEastAsia"/>
          <w:b/>
          <w:bCs/>
          <w:sz w:val="24"/>
          <w:szCs w:val="24"/>
        </w:rPr>
        <w:t>Consent and Processing Requirements</w:t>
      </w:r>
    </w:p>
    <w:p w:rsidR="00C66AC4" w:rsidRPr="006C6DD7" w:rsidRDefault="00C66AC4" w:rsidP="006C6DD7">
      <w:pPr>
        <w:pStyle w:val="NormalWeb"/>
        <w:numPr>
          <w:ilvl w:val="0"/>
          <w:numId w:val="9"/>
        </w:numPr>
        <w:spacing w:line="360" w:lineRule="auto"/>
        <w:jc w:val="both"/>
      </w:pPr>
      <w:r w:rsidRPr="006C6DD7">
        <w:lastRenderedPageBreak/>
        <w:t xml:space="preserve">Consent must be clear, affirmative, and </w:t>
      </w:r>
      <w:proofErr w:type="spellStart"/>
      <w:r w:rsidRPr="006C6DD7">
        <w:t>withdrawable</w:t>
      </w:r>
      <w:proofErr w:type="spellEnd"/>
      <w:r w:rsidRPr="006C6DD7">
        <w:t>.</w:t>
      </w:r>
    </w:p>
    <w:p w:rsidR="00C66AC4" w:rsidRPr="006C6DD7" w:rsidRDefault="00C66AC4" w:rsidP="006C6DD7">
      <w:pPr>
        <w:pStyle w:val="NormalWeb"/>
        <w:numPr>
          <w:ilvl w:val="0"/>
          <w:numId w:val="9"/>
        </w:numPr>
        <w:spacing w:line="360" w:lineRule="auto"/>
        <w:jc w:val="both"/>
      </w:pPr>
      <w:r w:rsidRPr="006C6DD7">
        <w:t>Processing is allowed only for lawful purposes, such as consent or legitimate uses defined by the Act.</w:t>
      </w:r>
    </w:p>
    <w:p w:rsidR="00C66AC4" w:rsidRPr="006C6DD7" w:rsidRDefault="00C66AC4" w:rsidP="006C6DD7">
      <w:pPr>
        <w:pStyle w:val="NormalWeb"/>
        <w:numPr>
          <w:ilvl w:val="0"/>
          <w:numId w:val="9"/>
        </w:numPr>
        <w:spacing w:line="360" w:lineRule="auto"/>
        <w:jc w:val="both"/>
      </w:pPr>
      <w:r w:rsidRPr="006C6DD7">
        <w:t>Children’s data receives additional protection.</w:t>
      </w:r>
    </w:p>
    <w:p w:rsidR="00C66AC4" w:rsidRPr="006C6DD7" w:rsidRDefault="00C66AC4" w:rsidP="006C6DD7">
      <w:pPr>
        <w:pStyle w:val="Heading3"/>
        <w:spacing w:before="0" w:beforeAutospacing="0" w:after="0" w:afterAutospacing="0"/>
        <w:jc w:val="both"/>
        <w:rPr>
          <w:sz w:val="24"/>
          <w:szCs w:val="24"/>
        </w:rPr>
      </w:pPr>
      <w:r w:rsidRPr="006C6DD7">
        <w:rPr>
          <w:rStyle w:val="Strong"/>
          <w:rFonts w:eastAsiaTheme="majorEastAsia"/>
          <w:b/>
          <w:bCs/>
          <w:sz w:val="24"/>
          <w:szCs w:val="24"/>
        </w:rPr>
        <w:t>Penalties for Data Breaches</w:t>
      </w:r>
      <w:r w:rsidR="00A42B3E" w:rsidRPr="006C6DD7">
        <w:rPr>
          <w:rStyle w:val="Strong"/>
          <w:rFonts w:eastAsiaTheme="majorEastAsia"/>
          <w:b/>
          <w:bCs/>
          <w:sz w:val="24"/>
          <w:szCs w:val="24"/>
        </w:rPr>
        <w:t xml:space="preserve">: </w:t>
      </w:r>
      <w:r w:rsidRPr="006C6DD7">
        <w:rPr>
          <w:sz w:val="24"/>
          <w:szCs w:val="24"/>
        </w:rPr>
        <w:t>Non-compliance may result in:</w:t>
      </w:r>
    </w:p>
    <w:p w:rsidR="00C66AC4" w:rsidRPr="006C6DD7" w:rsidRDefault="00C66AC4" w:rsidP="006C6DD7">
      <w:pPr>
        <w:pStyle w:val="NormalWeb"/>
        <w:numPr>
          <w:ilvl w:val="0"/>
          <w:numId w:val="10"/>
        </w:numPr>
        <w:spacing w:line="360" w:lineRule="auto"/>
        <w:jc w:val="both"/>
      </w:pPr>
      <w:r w:rsidRPr="006C6DD7">
        <w:t xml:space="preserve">Penalties up to </w:t>
      </w:r>
      <w:r w:rsidRPr="006C6DD7">
        <w:rPr>
          <w:rStyle w:val="Strong"/>
          <w:rFonts w:eastAsiaTheme="majorEastAsia"/>
          <w:b w:val="0"/>
        </w:rPr>
        <w:t xml:space="preserve">₹250 </w:t>
      </w:r>
      <w:proofErr w:type="spellStart"/>
      <w:r w:rsidRPr="006C6DD7">
        <w:rPr>
          <w:rStyle w:val="Strong"/>
          <w:rFonts w:eastAsiaTheme="majorEastAsia"/>
          <w:b w:val="0"/>
        </w:rPr>
        <w:t>crore</w:t>
      </w:r>
      <w:proofErr w:type="spellEnd"/>
      <w:r w:rsidRPr="006C6DD7">
        <w:t xml:space="preserve"> for data breaches</w:t>
      </w:r>
    </w:p>
    <w:p w:rsidR="00A84275" w:rsidRDefault="00C66AC4" w:rsidP="00A84275">
      <w:pPr>
        <w:pStyle w:val="NormalWeb"/>
        <w:numPr>
          <w:ilvl w:val="0"/>
          <w:numId w:val="10"/>
        </w:numPr>
        <w:spacing w:line="360" w:lineRule="auto"/>
        <w:jc w:val="both"/>
      </w:pPr>
      <w:r w:rsidRPr="006C6DD7">
        <w:t>Penalties for failure to notify, failure to implement safeguards, or unlawful data processing</w:t>
      </w:r>
    </w:p>
    <w:p w:rsidR="00C66AC4" w:rsidRPr="00A84275" w:rsidRDefault="00C66AC4" w:rsidP="00A84275">
      <w:pPr>
        <w:pStyle w:val="NormalWeb"/>
        <w:spacing w:before="0" w:beforeAutospacing="0" w:after="0" w:afterAutospacing="0" w:line="360" w:lineRule="auto"/>
        <w:jc w:val="both"/>
      </w:pPr>
      <w:r w:rsidRPr="00A84275">
        <w:rPr>
          <w:rStyle w:val="Strong"/>
          <w:rFonts w:eastAsiaTheme="majorEastAsia"/>
        </w:rPr>
        <w:t>Corporate Accountability</w:t>
      </w:r>
      <w:r w:rsidR="00BE09FB" w:rsidRPr="00A84275">
        <w:rPr>
          <w:rStyle w:val="Strong"/>
          <w:rFonts w:eastAsiaTheme="majorEastAsia"/>
        </w:rPr>
        <w:t xml:space="preserve">: </w:t>
      </w:r>
      <w:r w:rsidRPr="00A84275">
        <w:t xml:space="preserve">Fiduciaries may be designated as </w:t>
      </w:r>
      <w:r w:rsidRPr="00A84275">
        <w:rPr>
          <w:rStyle w:val="Strong"/>
          <w:rFonts w:eastAsiaTheme="majorEastAsia"/>
        </w:rPr>
        <w:t>Significant Data Fiduciaries</w:t>
      </w:r>
      <w:r w:rsidRPr="00A84275">
        <w:t xml:space="preserve"> (SDFs) requiring:</w:t>
      </w:r>
    </w:p>
    <w:p w:rsidR="00C66AC4" w:rsidRPr="006C6DD7" w:rsidRDefault="00C66AC4" w:rsidP="006C6DD7">
      <w:pPr>
        <w:pStyle w:val="NormalWeb"/>
        <w:numPr>
          <w:ilvl w:val="1"/>
          <w:numId w:val="11"/>
        </w:numPr>
        <w:spacing w:line="360" w:lineRule="auto"/>
        <w:jc w:val="both"/>
      </w:pPr>
      <w:r w:rsidRPr="006C6DD7">
        <w:t>Data Protection Officer (DPO)</w:t>
      </w:r>
    </w:p>
    <w:p w:rsidR="00C66AC4" w:rsidRPr="006C6DD7" w:rsidRDefault="00C66AC4" w:rsidP="006C6DD7">
      <w:pPr>
        <w:pStyle w:val="NormalWeb"/>
        <w:numPr>
          <w:ilvl w:val="1"/>
          <w:numId w:val="11"/>
        </w:numPr>
        <w:spacing w:line="360" w:lineRule="auto"/>
        <w:jc w:val="both"/>
      </w:pPr>
      <w:r w:rsidRPr="006C6DD7">
        <w:t>Data audits</w:t>
      </w:r>
    </w:p>
    <w:p w:rsidR="00C66AC4" w:rsidRPr="006C6DD7" w:rsidRDefault="00C66AC4" w:rsidP="006C6DD7">
      <w:pPr>
        <w:pStyle w:val="NormalWeb"/>
        <w:numPr>
          <w:ilvl w:val="1"/>
          <w:numId w:val="11"/>
        </w:numPr>
        <w:spacing w:line="360" w:lineRule="auto"/>
        <w:jc w:val="both"/>
      </w:pPr>
      <w:r w:rsidRPr="006C6DD7">
        <w:t>Privacy Impact Assessments</w:t>
      </w:r>
    </w:p>
    <w:p w:rsidR="00C66AC4" w:rsidRPr="006C6DD7" w:rsidRDefault="00C66AC4" w:rsidP="006C6DD7">
      <w:pPr>
        <w:pStyle w:val="NormalWeb"/>
        <w:numPr>
          <w:ilvl w:val="0"/>
          <w:numId w:val="11"/>
        </w:numPr>
        <w:spacing w:line="360" w:lineRule="auto"/>
        <w:jc w:val="both"/>
      </w:pPr>
      <w:r w:rsidRPr="006C6DD7">
        <w:t>Companies must ensure compliance across their entire data ecosystem.</w:t>
      </w:r>
      <w:r w:rsidR="00454D60" w:rsidRPr="006C6DD7">
        <w:rPr>
          <w:rStyle w:val="FootnoteReference"/>
        </w:rPr>
        <w:footnoteReference w:id="17"/>
      </w:r>
    </w:p>
    <w:p w:rsidR="00C66AC4" w:rsidRPr="006C6DD7" w:rsidRDefault="00C66AC4" w:rsidP="006C6DD7">
      <w:pPr>
        <w:pStyle w:val="Heading2"/>
        <w:spacing w:line="360" w:lineRule="auto"/>
        <w:jc w:val="both"/>
        <w:rPr>
          <w:rFonts w:ascii="Times New Roman" w:hAnsi="Times New Roman" w:cs="Times New Roman"/>
          <w:b w:val="0"/>
          <w:color w:val="auto"/>
          <w:sz w:val="24"/>
          <w:szCs w:val="24"/>
        </w:rPr>
      </w:pPr>
      <w:r w:rsidRPr="006C6DD7">
        <w:rPr>
          <w:rStyle w:val="Strong"/>
          <w:rFonts w:ascii="Times New Roman" w:hAnsi="Times New Roman" w:cs="Times New Roman"/>
          <w:b/>
          <w:bCs/>
          <w:color w:val="auto"/>
          <w:sz w:val="24"/>
          <w:szCs w:val="24"/>
        </w:rPr>
        <w:t>E. Sector-Specific Regulations</w:t>
      </w:r>
      <w:r w:rsidR="00454D60" w:rsidRPr="006C6DD7">
        <w:rPr>
          <w:rStyle w:val="Strong"/>
          <w:rFonts w:ascii="Times New Roman" w:hAnsi="Times New Roman" w:cs="Times New Roman"/>
          <w:b/>
          <w:bCs/>
          <w:color w:val="auto"/>
          <w:sz w:val="24"/>
          <w:szCs w:val="24"/>
        </w:rPr>
        <w:t xml:space="preserve">: </w:t>
      </w:r>
      <w:r w:rsidRPr="006C6DD7">
        <w:rPr>
          <w:rFonts w:ascii="Times New Roman" w:hAnsi="Times New Roman" w:cs="Times New Roman"/>
          <w:b w:val="0"/>
          <w:color w:val="auto"/>
          <w:sz w:val="24"/>
          <w:szCs w:val="24"/>
        </w:rPr>
        <w:t>Various regulators impose additional cyber security requirements based on industry risks.</w:t>
      </w:r>
    </w:p>
    <w:p w:rsidR="00BE09FB" w:rsidRPr="006C6DD7" w:rsidRDefault="00BE09FB" w:rsidP="00A84275">
      <w:pPr>
        <w:spacing w:after="0" w:line="240" w:lineRule="auto"/>
        <w:jc w:val="both"/>
        <w:rPr>
          <w:rFonts w:ascii="Times New Roman" w:hAnsi="Times New Roman" w:cs="Times New Roman"/>
          <w:sz w:val="24"/>
          <w:szCs w:val="24"/>
        </w:rPr>
      </w:pPr>
    </w:p>
    <w:p w:rsidR="00C66AC4" w:rsidRPr="006C6DD7" w:rsidRDefault="00C66AC4" w:rsidP="006C6DD7">
      <w:pPr>
        <w:pStyle w:val="Heading3"/>
        <w:spacing w:before="0" w:beforeAutospacing="0" w:after="0" w:afterAutospacing="0" w:line="360" w:lineRule="auto"/>
        <w:jc w:val="both"/>
        <w:rPr>
          <w:sz w:val="24"/>
          <w:szCs w:val="24"/>
        </w:rPr>
      </w:pPr>
      <w:r w:rsidRPr="006C6DD7">
        <w:rPr>
          <w:rStyle w:val="Strong"/>
          <w:rFonts w:eastAsiaTheme="majorEastAsia"/>
          <w:b/>
          <w:bCs/>
          <w:sz w:val="24"/>
          <w:szCs w:val="24"/>
        </w:rPr>
        <w:t xml:space="preserve">1. RBI </w:t>
      </w:r>
      <w:proofErr w:type="spellStart"/>
      <w:r w:rsidRPr="006C6DD7">
        <w:rPr>
          <w:rStyle w:val="Strong"/>
          <w:rFonts w:eastAsiaTheme="majorEastAsia"/>
          <w:b/>
          <w:bCs/>
          <w:sz w:val="24"/>
          <w:szCs w:val="24"/>
        </w:rPr>
        <w:t>Cybersecurity</w:t>
      </w:r>
      <w:proofErr w:type="spellEnd"/>
      <w:r w:rsidRPr="006C6DD7">
        <w:rPr>
          <w:rStyle w:val="Strong"/>
          <w:rFonts w:eastAsiaTheme="majorEastAsia"/>
          <w:b/>
          <w:bCs/>
          <w:sz w:val="24"/>
          <w:szCs w:val="24"/>
        </w:rPr>
        <w:t xml:space="preserve"> Norms for Banks and NBFCs</w:t>
      </w:r>
    </w:p>
    <w:p w:rsidR="00C66AC4" w:rsidRPr="006C6DD7" w:rsidRDefault="00C66AC4" w:rsidP="006C6DD7">
      <w:pPr>
        <w:pStyle w:val="NormalWeb"/>
        <w:numPr>
          <w:ilvl w:val="0"/>
          <w:numId w:val="12"/>
        </w:numPr>
        <w:spacing w:line="360" w:lineRule="auto"/>
        <w:jc w:val="both"/>
      </w:pPr>
      <w:r w:rsidRPr="006C6DD7">
        <w:t>Mandatory cyber security policies</w:t>
      </w:r>
    </w:p>
    <w:p w:rsidR="00C66AC4" w:rsidRPr="006C6DD7" w:rsidRDefault="00C66AC4" w:rsidP="006C6DD7">
      <w:pPr>
        <w:pStyle w:val="NormalWeb"/>
        <w:numPr>
          <w:ilvl w:val="0"/>
          <w:numId w:val="12"/>
        </w:numPr>
        <w:spacing w:line="360" w:lineRule="auto"/>
        <w:jc w:val="both"/>
      </w:pPr>
      <w:r w:rsidRPr="006C6DD7">
        <w:t xml:space="preserve">24x7 Security Operations </w:t>
      </w:r>
      <w:proofErr w:type="spellStart"/>
      <w:r w:rsidRPr="006C6DD7">
        <w:t>Centers</w:t>
      </w:r>
      <w:proofErr w:type="spellEnd"/>
      <w:r w:rsidRPr="006C6DD7">
        <w:t xml:space="preserve"> (SOCs)</w:t>
      </w:r>
    </w:p>
    <w:p w:rsidR="00C66AC4" w:rsidRPr="006C6DD7" w:rsidRDefault="00C66AC4" w:rsidP="006C6DD7">
      <w:pPr>
        <w:pStyle w:val="NormalWeb"/>
        <w:numPr>
          <w:ilvl w:val="0"/>
          <w:numId w:val="12"/>
        </w:numPr>
        <w:spacing w:line="360" w:lineRule="auto"/>
        <w:jc w:val="both"/>
      </w:pPr>
      <w:r w:rsidRPr="006C6DD7">
        <w:t>Reporting of cyber incidents within specified timelines</w:t>
      </w:r>
    </w:p>
    <w:p w:rsidR="00C66AC4" w:rsidRPr="006C6DD7" w:rsidRDefault="00C66AC4" w:rsidP="006C6DD7">
      <w:pPr>
        <w:pStyle w:val="NormalWeb"/>
        <w:numPr>
          <w:ilvl w:val="0"/>
          <w:numId w:val="12"/>
        </w:numPr>
        <w:spacing w:line="360" w:lineRule="auto"/>
        <w:jc w:val="both"/>
      </w:pPr>
      <w:r w:rsidRPr="006C6DD7">
        <w:t>Regular IT and IS audits</w:t>
      </w:r>
    </w:p>
    <w:p w:rsidR="00C66AC4" w:rsidRPr="006C6DD7" w:rsidRDefault="00C66AC4" w:rsidP="006C6DD7">
      <w:pPr>
        <w:pStyle w:val="NormalWeb"/>
        <w:numPr>
          <w:ilvl w:val="0"/>
          <w:numId w:val="12"/>
        </w:numPr>
        <w:spacing w:line="360" w:lineRule="auto"/>
        <w:jc w:val="both"/>
      </w:pPr>
      <w:r w:rsidRPr="006C6DD7">
        <w:t>Cyber resilience testing &amp; risk assessments</w:t>
      </w:r>
    </w:p>
    <w:p w:rsidR="00C66AC4" w:rsidRPr="006C6DD7" w:rsidRDefault="00C66AC4" w:rsidP="00A84275">
      <w:pPr>
        <w:pStyle w:val="Heading3"/>
        <w:spacing w:before="0" w:beforeAutospacing="0" w:after="0" w:afterAutospacing="0"/>
        <w:jc w:val="both"/>
        <w:rPr>
          <w:sz w:val="24"/>
          <w:szCs w:val="24"/>
        </w:rPr>
      </w:pPr>
      <w:r w:rsidRPr="006C6DD7">
        <w:rPr>
          <w:rStyle w:val="Strong"/>
          <w:rFonts w:eastAsiaTheme="majorEastAsia"/>
          <w:b/>
          <w:bCs/>
          <w:sz w:val="24"/>
          <w:szCs w:val="24"/>
        </w:rPr>
        <w:t>2. SEBI Guidelines for Listed Companies</w:t>
      </w:r>
    </w:p>
    <w:p w:rsidR="00C66AC4" w:rsidRPr="006C6DD7" w:rsidRDefault="00C66AC4" w:rsidP="006C6DD7">
      <w:pPr>
        <w:pStyle w:val="NormalWeb"/>
        <w:numPr>
          <w:ilvl w:val="0"/>
          <w:numId w:val="13"/>
        </w:numPr>
        <w:spacing w:line="360" w:lineRule="auto"/>
        <w:jc w:val="both"/>
      </w:pPr>
      <w:proofErr w:type="spellStart"/>
      <w:r w:rsidRPr="006C6DD7">
        <w:t>Cybersecurity</w:t>
      </w:r>
      <w:proofErr w:type="spellEnd"/>
      <w:r w:rsidRPr="006C6DD7">
        <w:t xml:space="preserve"> and Cyber Resilience Framework (2018)</w:t>
      </w:r>
    </w:p>
    <w:p w:rsidR="00C66AC4" w:rsidRPr="006C6DD7" w:rsidRDefault="00C66AC4" w:rsidP="006C6DD7">
      <w:pPr>
        <w:pStyle w:val="NormalWeb"/>
        <w:numPr>
          <w:ilvl w:val="0"/>
          <w:numId w:val="13"/>
        </w:numPr>
        <w:spacing w:line="360" w:lineRule="auto"/>
        <w:jc w:val="both"/>
      </w:pPr>
      <w:r w:rsidRPr="006C6DD7">
        <w:t>Requirements for:</w:t>
      </w:r>
    </w:p>
    <w:p w:rsidR="00C66AC4" w:rsidRPr="006C6DD7" w:rsidRDefault="00C66AC4" w:rsidP="006C6DD7">
      <w:pPr>
        <w:pStyle w:val="NormalWeb"/>
        <w:numPr>
          <w:ilvl w:val="1"/>
          <w:numId w:val="13"/>
        </w:numPr>
        <w:spacing w:line="360" w:lineRule="auto"/>
        <w:jc w:val="both"/>
      </w:pPr>
      <w:r w:rsidRPr="006C6DD7">
        <w:t>Vulnerability assessments</w:t>
      </w:r>
    </w:p>
    <w:p w:rsidR="00C66AC4" w:rsidRPr="006C6DD7" w:rsidRDefault="00C66AC4" w:rsidP="006C6DD7">
      <w:pPr>
        <w:pStyle w:val="NormalWeb"/>
        <w:numPr>
          <w:ilvl w:val="1"/>
          <w:numId w:val="13"/>
        </w:numPr>
        <w:spacing w:line="360" w:lineRule="auto"/>
        <w:jc w:val="both"/>
      </w:pPr>
      <w:r w:rsidRPr="006C6DD7">
        <w:lastRenderedPageBreak/>
        <w:t>Business continuity and disaster recovery</w:t>
      </w:r>
    </w:p>
    <w:p w:rsidR="00C66AC4" w:rsidRPr="006C6DD7" w:rsidRDefault="00C66AC4" w:rsidP="006C6DD7">
      <w:pPr>
        <w:pStyle w:val="NormalWeb"/>
        <w:numPr>
          <w:ilvl w:val="1"/>
          <w:numId w:val="13"/>
        </w:numPr>
        <w:spacing w:line="360" w:lineRule="auto"/>
        <w:jc w:val="both"/>
      </w:pPr>
      <w:r w:rsidRPr="006C6DD7">
        <w:t>Reporting of cyber incidents</w:t>
      </w:r>
    </w:p>
    <w:p w:rsidR="00C66AC4" w:rsidRPr="006C6DD7" w:rsidRDefault="00C66AC4" w:rsidP="006C6DD7">
      <w:pPr>
        <w:pStyle w:val="NormalWeb"/>
        <w:numPr>
          <w:ilvl w:val="1"/>
          <w:numId w:val="13"/>
        </w:numPr>
        <w:spacing w:line="360" w:lineRule="auto"/>
        <w:jc w:val="both"/>
      </w:pPr>
      <w:r w:rsidRPr="006C6DD7">
        <w:t>Protection of investor data</w:t>
      </w:r>
    </w:p>
    <w:p w:rsidR="00C66AC4" w:rsidRPr="006C6DD7" w:rsidRDefault="00C66AC4" w:rsidP="00B3510D">
      <w:pPr>
        <w:pStyle w:val="Heading3"/>
        <w:spacing w:before="0" w:beforeAutospacing="0" w:after="0" w:afterAutospacing="0"/>
        <w:jc w:val="both"/>
        <w:rPr>
          <w:sz w:val="24"/>
          <w:szCs w:val="24"/>
        </w:rPr>
      </w:pPr>
      <w:r w:rsidRPr="006C6DD7">
        <w:rPr>
          <w:rStyle w:val="Strong"/>
          <w:rFonts w:eastAsiaTheme="majorEastAsia"/>
          <w:b/>
          <w:bCs/>
          <w:sz w:val="24"/>
          <w:szCs w:val="24"/>
        </w:rPr>
        <w:t>3. IRDAI Cyber Security Norms for Insurance Companies</w:t>
      </w:r>
    </w:p>
    <w:p w:rsidR="00C66AC4" w:rsidRPr="006C6DD7" w:rsidRDefault="00C66AC4" w:rsidP="006C6DD7">
      <w:pPr>
        <w:pStyle w:val="NormalWeb"/>
        <w:numPr>
          <w:ilvl w:val="0"/>
          <w:numId w:val="14"/>
        </w:numPr>
        <w:spacing w:line="360" w:lineRule="auto"/>
        <w:jc w:val="both"/>
      </w:pPr>
      <w:r w:rsidRPr="006C6DD7">
        <w:t>Information and Cyber Security Guidelines (2023):</w:t>
      </w:r>
    </w:p>
    <w:p w:rsidR="00C66AC4" w:rsidRPr="006C6DD7" w:rsidRDefault="00C66AC4" w:rsidP="006C6DD7">
      <w:pPr>
        <w:pStyle w:val="NormalWeb"/>
        <w:numPr>
          <w:ilvl w:val="1"/>
          <w:numId w:val="14"/>
        </w:numPr>
        <w:spacing w:line="360" w:lineRule="auto"/>
        <w:jc w:val="both"/>
      </w:pPr>
      <w:r w:rsidRPr="006C6DD7">
        <w:t>Appointment of Chief Information Security Officer (CISO)</w:t>
      </w:r>
    </w:p>
    <w:p w:rsidR="00C66AC4" w:rsidRPr="006C6DD7" w:rsidRDefault="00C66AC4" w:rsidP="006C6DD7">
      <w:pPr>
        <w:pStyle w:val="NormalWeb"/>
        <w:numPr>
          <w:ilvl w:val="1"/>
          <w:numId w:val="14"/>
        </w:numPr>
        <w:spacing w:line="360" w:lineRule="auto"/>
        <w:jc w:val="both"/>
      </w:pPr>
      <w:r w:rsidRPr="006C6DD7">
        <w:t>Cyber crisis management plans</w:t>
      </w:r>
    </w:p>
    <w:p w:rsidR="00C66AC4" w:rsidRPr="006C6DD7" w:rsidRDefault="00C66AC4" w:rsidP="006C6DD7">
      <w:pPr>
        <w:pStyle w:val="NormalWeb"/>
        <w:numPr>
          <w:ilvl w:val="1"/>
          <w:numId w:val="14"/>
        </w:numPr>
        <w:spacing w:line="360" w:lineRule="auto"/>
        <w:jc w:val="both"/>
      </w:pPr>
      <w:r w:rsidRPr="006C6DD7">
        <w:t>Regular security audits</w:t>
      </w:r>
    </w:p>
    <w:p w:rsidR="00C66AC4" w:rsidRPr="006C6DD7" w:rsidRDefault="00C66AC4" w:rsidP="006C6DD7">
      <w:pPr>
        <w:pStyle w:val="NormalWeb"/>
        <w:numPr>
          <w:ilvl w:val="1"/>
          <w:numId w:val="14"/>
        </w:numPr>
        <w:spacing w:line="360" w:lineRule="auto"/>
        <w:jc w:val="both"/>
      </w:pPr>
      <w:r w:rsidRPr="006C6DD7">
        <w:t>Data localization and secure storage obligations</w:t>
      </w:r>
      <w:r w:rsidR="00454D60" w:rsidRPr="006C6DD7">
        <w:rPr>
          <w:rStyle w:val="FootnoteReference"/>
        </w:rPr>
        <w:footnoteReference w:id="18"/>
      </w:r>
    </w:p>
    <w:p w:rsidR="00C66AC4" w:rsidRPr="006C6DD7" w:rsidRDefault="00C66AC4" w:rsidP="00B3510D">
      <w:pPr>
        <w:pStyle w:val="Heading3"/>
        <w:spacing w:before="0" w:beforeAutospacing="0" w:after="0" w:afterAutospacing="0"/>
        <w:jc w:val="both"/>
        <w:rPr>
          <w:sz w:val="24"/>
          <w:szCs w:val="24"/>
        </w:rPr>
      </w:pPr>
      <w:r w:rsidRPr="006C6DD7">
        <w:rPr>
          <w:rStyle w:val="Strong"/>
          <w:rFonts w:eastAsiaTheme="majorEastAsia"/>
          <w:b/>
          <w:bCs/>
          <w:sz w:val="24"/>
          <w:szCs w:val="24"/>
        </w:rPr>
        <w:t>4. Telecom and Healthcare Sector Guidelines</w:t>
      </w:r>
    </w:p>
    <w:p w:rsidR="00C66AC4" w:rsidRPr="006C6DD7" w:rsidRDefault="00C66AC4" w:rsidP="006C6DD7">
      <w:pPr>
        <w:pStyle w:val="NormalWeb"/>
        <w:numPr>
          <w:ilvl w:val="0"/>
          <w:numId w:val="15"/>
        </w:numPr>
        <w:spacing w:line="360" w:lineRule="auto"/>
        <w:jc w:val="both"/>
      </w:pPr>
      <w:r w:rsidRPr="006C6DD7">
        <w:rPr>
          <w:rStyle w:val="Strong"/>
          <w:rFonts w:eastAsiaTheme="majorEastAsia"/>
        </w:rPr>
        <w:t>Telecom:</w:t>
      </w:r>
      <w:r w:rsidRPr="006C6DD7">
        <w:t xml:space="preserve"> TRAI and DoT guidelines on network security, encryption, and data protection.</w:t>
      </w:r>
    </w:p>
    <w:p w:rsidR="001206C7" w:rsidRDefault="00C66AC4" w:rsidP="00B35985">
      <w:pPr>
        <w:pStyle w:val="NormalWeb"/>
        <w:numPr>
          <w:ilvl w:val="0"/>
          <w:numId w:val="15"/>
        </w:numPr>
        <w:spacing w:line="360" w:lineRule="auto"/>
        <w:jc w:val="both"/>
      </w:pPr>
      <w:r w:rsidRPr="006C4F08">
        <w:rPr>
          <w:rStyle w:val="Strong"/>
          <w:rFonts w:eastAsiaTheme="majorEastAsia"/>
        </w:rPr>
        <w:t>Healthcare:</w:t>
      </w:r>
      <w:r w:rsidRPr="006C4F08">
        <w:t xml:space="preserve"> National Digital Health Mission (NDHM) standards for privacy, encryption, and consent-driven data sharing.</w:t>
      </w:r>
      <w:r w:rsidR="00454D60" w:rsidRPr="006C6DD7">
        <w:rPr>
          <w:rStyle w:val="FootnoteReference"/>
        </w:rPr>
        <w:footnoteReference w:id="19"/>
      </w:r>
    </w:p>
    <w:p w:rsidR="00AC4735" w:rsidRPr="001206C7" w:rsidRDefault="00AC4735" w:rsidP="001206C7">
      <w:pPr>
        <w:pStyle w:val="NormalWeb"/>
        <w:spacing w:line="360" w:lineRule="auto"/>
        <w:jc w:val="both"/>
      </w:pPr>
      <w:r w:rsidRPr="001206C7">
        <w:rPr>
          <w:rStyle w:val="Strong"/>
        </w:rPr>
        <w:t>III. Corporate Cyber Security Compliance Obligations</w:t>
      </w:r>
      <w:r w:rsidR="00694745" w:rsidRPr="001206C7">
        <w:rPr>
          <w:rStyle w:val="Strong"/>
        </w:rPr>
        <w:t xml:space="preserve">: </w:t>
      </w:r>
      <w:r w:rsidRPr="001206C7">
        <w:t xml:space="preserve">Corporate entities in India are expected to adopt a comprehensive cyber security framework that ensures the protection of personal data, business information, and digital infrastructure. These obligations are shaped by statutory requirements, </w:t>
      </w:r>
      <w:proofErr w:type="spellStart"/>
      <w:r w:rsidRPr="001206C7">
        <w:t>sectoral</w:t>
      </w:r>
      <w:proofErr w:type="spellEnd"/>
      <w:r w:rsidRPr="001206C7">
        <w:t xml:space="preserve"> guidelines, and internationally </w:t>
      </w:r>
      <w:r w:rsidR="00862179" w:rsidRPr="001206C7">
        <w:t>accepted security standards.</w:t>
      </w:r>
      <w:r w:rsidR="00862179">
        <w:rPr>
          <w:rStyle w:val="FootnoteReference"/>
        </w:rPr>
        <w:footnoteReference w:id="20"/>
      </w:r>
    </w:p>
    <w:p w:rsidR="00AC4735" w:rsidRPr="00862179" w:rsidRDefault="00AC4735" w:rsidP="00862179">
      <w:pPr>
        <w:spacing w:line="360" w:lineRule="auto"/>
        <w:jc w:val="both"/>
        <w:rPr>
          <w:rFonts w:ascii="Times New Roman" w:hAnsi="Times New Roman" w:cs="Times New Roman"/>
          <w:sz w:val="24"/>
        </w:rPr>
      </w:pPr>
      <w:r w:rsidRPr="00862179">
        <w:rPr>
          <w:rFonts w:ascii="Times New Roman" w:hAnsi="Times New Roman" w:cs="Times New Roman"/>
          <w:b/>
          <w:sz w:val="24"/>
        </w:rPr>
        <w:t>A. Reasonable Security Practices</w:t>
      </w:r>
      <w:r w:rsidR="00694745" w:rsidRPr="00862179">
        <w:rPr>
          <w:rFonts w:ascii="Times New Roman" w:hAnsi="Times New Roman" w:cs="Times New Roman"/>
          <w:b/>
          <w:sz w:val="24"/>
        </w:rPr>
        <w:t>:</w:t>
      </w:r>
      <w:r w:rsidR="00694745" w:rsidRPr="00862179">
        <w:rPr>
          <w:rFonts w:ascii="Times New Roman" w:hAnsi="Times New Roman" w:cs="Times New Roman"/>
          <w:sz w:val="24"/>
        </w:rPr>
        <w:t xml:space="preserve"> </w:t>
      </w:r>
      <w:r w:rsidRPr="00862179">
        <w:rPr>
          <w:rFonts w:ascii="Times New Roman" w:hAnsi="Times New Roman" w:cs="Times New Roman"/>
          <w:sz w:val="24"/>
        </w:rPr>
        <w:t>Organizations must establish reasonable security practices tailored to the sensitivity of the data they handle. The most widely recognized standard is ISO/IEC 27001, which provides a structured approach for managing information security risks through polic</w:t>
      </w:r>
      <w:r w:rsidR="00862179" w:rsidRPr="00862179">
        <w:rPr>
          <w:rFonts w:ascii="Times New Roman" w:hAnsi="Times New Roman" w:cs="Times New Roman"/>
          <w:sz w:val="24"/>
        </w:rPr>
        <w:t>ies, procedures, and controls.</w:t>
      </w:r>
      <w:r w:rsidR="00694745" w:rsidRPr="00862179">
        <w:rPr>
          <w:rFonts w:ascii="Times New Roman" w:hAnsi="Times New Roman" w:cs="Times New Roman"/>
          <w:sz w:val="24"/>
        </w:rPr>
        <w:t xml:space="preserve"> </w:t>
      </w:r>
      <w:r w:rsidRPr="00862179">
        <w:rPr>
          <w:rFonts w:ascii="Times New Roman" w:hAnsi="Times New Roman" w:cs="Times New Roman"/>
          <w:sz w:val="24"/>
        </w:rPr>
        <w:t xml:space="preserve">Corporate security measures typically include data encryption, strong access control mechanisms, multi-factor authentication, and formal incident response procedures to </w:t>
      </w:r>
      <w:r w:rsidRPr="00862179">
        <w:rPr>
          <w:rFonts w:ascii="Times New Roman" w:hAnsi="Times New Roman" w:cs="Times New Roman"/>
          <w:sz w:val="24"/>
        </w:rPr>
        <w:lastRenderedPageBreak/>
        <w:t>address cy</w:t>
      </w:r>
      <w:r w:rsidR="00862179" w:rsidRPr="00862179">
        <w:rPr>
          <w:rFonts w:ascii="Times New Roman" w:hAnsi="Times New Roman" w:cs="Times New Roman"/>
          <w:sz w:val="24"/>
        </w:rPr>
        <w:t>ber-attacks in a timely manner.</w:t>
      </w:r>
      <w:r w:rsidRPr="00862179">
        <w:rPr>
          <w:rFonts w:ascii="Times New Roman" w:hAnsi="Times New Roman" w:cs="Times New Roman"/>
          <w:sz w:val="24"/>
        </w:rPr>
        <w:t xml:space="preserve"> These practices reduce vulnerability and form the foundation of organizational cyber resilience.</w:t>
      </w:r>
      <w:r w:rsidR="00862179">
        <w:rPr>
          <w:rStyle w:val="FootnoteReference"/>
          <w:rFonts w:ascii="Times New Roman" w:hAnsi="Times New Roman" w:cs="Times New Roman"/>
          <w:sz w:val="24"/>
        </w:rPr>
        <w:footnoteReference w:id="21"/>
      </w:r>
    </w:p>
    <w:p w:rsidR="00AC4735" w:rsidRPr="00694745" w:rsidRDefault="00AC4735" w:rsidP="00694745">
      <w:pPr>
        <w:pStyle w:val="Heading2"/>
        <w:spacing w:line="360" w:lineRule="auto"/>
        <w:jc w:val="both"/>
        <w:rPr>
          <w:rFonts w:ascii="Times New Roman" w:hAnsi="Times New Roman" w:cs="Times New Roman"/>
          <w:b w:val="0"/>
          <w:color w:val="auto"/>
          <w:sz w:val="24"/>
          <w:szCs w:val="24"/>
        </w:rPr>
      </w:pPr>
      <w:r w:rsidRPr="00694745">
        <w:rPr>
          <w:rStyle w:val="Strong"/>
          <w:rFonts w:ascii="Times New Roman" w:hAnsi="Times New Roman" w:cs="Times New Roman"/>
          <w:b/>
          <w:bCs/>
          <w:color w:val="auto"/>
          <w:sz w:val="24"/>
          <w:szCs w:val="24"/>
        </w:rPr>
        <w:t>B. Data Governance Policies</w:t>
      </w:r>
      <w:r w:rsidR="00694745">
        <w:rPr>
          <w:rStyle w:val="Strong"/>
          <w:rFonts w:ascii="Times New Roman" w:hAnsi="Times New Roman" w:cs="Times New Roman"/>
          <w:b/>
          <w:bCs/>
          <w:color w:val="auto"/>
          <w:sz w:val="24"/>
          <w:szCs w:val="24"/>
        </w:rPr>
        <w:t xml:space="preserve">: </w:t>
      </w:r>
      <w:r w:rsidRPr="00694745">
        <w:rPr>
          <w:rFonts w:ascii="Times New Roman" w:hAnsi="Times New Roman" w:cs="Times New Roman"/>
          <w:b w:val="0"/>
          <w:color w:val="auto"/>
          <w:sz w:val="24"/>
        </w:rPr>
        <w:t xml:space="preserve">Effective cyber security compliance is supported by strong data governance frameworks. Corporations must adopt the principles of data minimization (collecting only what is necessary), storage limitation, and well-defined retention policies to prevent </w:t>
      </w:r>
      <w:r w:rsidR="00862179">
        <w:rPr>
          <w:rFonts w:ascii="Times New Roman" w:hAnsi="Times New Roman" w:cs="Times New Roman"/>
          <w:b w:val="0"/>
          <w:color w:val="auto"/>
          <w:sz w:val="24"/>
        </w:rPr>
        <w:t xml:space="preserve">misuse or unauthorized access. </w:t>
      </w:r>
      <w:r w:rsidR="00694745" w:rsidRPr="00694745">
        <w:rPr>
          <w:rFonts w:ascii="Times New Roman" w:hAnsi="Times New Roman" w:cs="Times New Roman"/>
          <w:b w:val="0"/>
          <w:color w:val="auto"/>
          <w:sz w:val="24"/>
        </w:rPr>
        <w:t xml:space="preserve"> </w:t>
      </w:r>
      <w:r w:rsidRPr="00694745">
        <w:rPr>
          <w:rFonts w:ascii="Times New Roman" w:hAnsi="Times New Roman" w:cs="Times New Roman"/>
          <w:b w:val="0"/>
          <w:color w:val="auto"/>
          <w:sz w:val="24"/>
        </w:rPr>
        <w:t>In addition, organizations are responsible for assessing and monitoring vendor-related risks, especially when outsourcing I</w:t>
      </w:r>
      <w:r w:rsidR="00862179">
        <w:rPr>
          <w:rFonts w:ascii="Times New Roman" w:hAnsi="Times New Roman" w:cs="Times New Roman"/>
          <w:b w:val="0"/>
          <w:color w:val="auto"/>
          <w:sz w:val="24"/>
        </w:rPr>
        <w:t xml:space="preserve">T functions or cloud services. </w:t>
      </w:r>
      <w:r w:rsidRPr="00694745">
        <w:rPr>
          <w:rFonts w:ascii="Times New Roman" w:hAnsi="Times New Roman" w:cs="Times New Roman"/>
          <w:b w:val="0"/>
          <w:color w:val="auto"/>
          <w:sz w:val="24"/>
        </w:rPr>
        <w:t>Third-party service providers must also follow equivalent security standards, as their vulnerabilities can expose the organization to cyber threats.</w:t>
      </w:r>
      <w:r w:rsidR="00862179">
        <w:rPr>
          <w:rStyle w:val="FootnoteReference"/>
          <w:rFonts w:ascii="Times New Roman" w:hAnsi="Times New Roman" w:cs="Times New Roman"/>
          <w:b w:val="0"/>
          <w:color w:val="auto"/>
          <w:sz w:val="24"/>
        </w:rPr>
        <w:footnoteReference w:id="22"/>
      </w:r>
    </w:p>
    <w:p w:rsidR="00AC4735" w:rsidRPr="00694745" w:rsidRDefault="00AC4735" w:rsidP="00694745">
      <w:pPr>
        <w:pStyle w:val="Heading2"/>
        <w:spacing w:line="360" w:lineRule="auto"/>
        <w:jc w:val="both"/>
        <w:rPr>
          <w:rFonts w:ascii="Times New Roman" w:hAnsi="Times New Roman" w:cs="Times New Roman"/>
          <w:b w:val="0"/>
          <w:color w:val="auto"/>
          <w:sz w:val="24"/>
          <w:szCs w:val="24"/>
        </w:rPr>
      </w:pPr>
      <w:r w:rsidRPr="00694745">
        <w:rPr>
          <w:rStyle w:val="Strong"/>
          <w:rFonts w:ascii="Times New Roman" w:hAnsi="Times New Roman" w:cs="Times New Roman"/>
          <w:b/>
          <w:bCs/>
          <w:color w:val="auto"/>
          <w:sz w:val="24"/>
          <w:szCs w:val="24"/>
        </w:rPr>
        <w:t>C. Incident Management and Reporting</w:t>
      </w:r>
      <w:r w:rsidR="00694745">
        <w:rPr>
          <w:rStyle w:val="Strong"/>
          <w:rFonts w:ascii="Times New Roman" w:hAnsi="Times New Roman" w:cs="Times New Roman"/>
          <w:b/>
          <w:bCs/>
          <w:color w:val="auto"/>
          <w:sz w:val="24"/>
          <w:szCs w:val="24"/>
        </w:rPr>
        <w:t xml:space="preserve">: </w:t>
      </w:r>
      <w:r w:rsidRPr="00694745">
        <w:rPr>
          <w:rFonts w:ascii="Times New Roman" w:hAnsi="Times New Roman" w:cs="Times New Roman"/>
          <w:b w:val="0"/>
          <w:color w:val="auto"/>
          <w:sz w:val="24"/>
        </w:rPr>
        <w:t>A critical aspect of compliance is the establishment of robust incident detection and response mechanisms. Companies must maintain monitoring systems that can identify intrusions, malware attacks, or data breaches at a</w:t>
      </w:r>
      <w:r w:rsidR="00694745" w:rsidRPr="00694745">
        <w:rPr>
          <w:rFonts w:ascii="Times New Roman" w:hAnsi="Times New Roman" w:cs="Times New Roman"/>
          <w:b w:val="0"/>
          <w:color w:val="auto"/>
          <w:sz w:val="24"/>
        </w:rPr>
        <w:t xml:space="preserve">n early stage.⁶ </w:t>
      </w:r>
      <w:r w:rsidRPr="00694745">
        <w:rPr>
          <w:rFonts w:ascii="Times New Roman" w:hAnsi="Times New Roman" w:cs="Times New Roman"/>
          <w:b w:val="0"/>
          <w:color w:val="auto"/>
          <w:sz w:val="24"/>
        </w:rPr>
        <w:t>Under the latest CERT-In Directions, organizations are required to report specific cyber incidents within a strict timeline, typically within six hours.⁷ Prompt reporting ensures government authorities can coordinate responses and mitigate national-level cyber risks.</w:t>
      </w:r>
    </w:p>
    <w:p w:rsidR="00AC4735" w:rsidRPr="00694745" w:rsidRDefault="00AC4735" w:rsidP="00862179">
      <w:pPr>
        <w:spacing w:after="0" w:line="360" w:lineRule="auto"/>
        <w:jc w:val="both"/>
        <w:rPr>
          <w:rFonts w:ascii="Times New Roman" w:hAnsi="Times New Roman" w:cs="Times New Roman"/>
          <w:sz w:val="24"/>
          <w:szCs w:val="24"/>
        </w:rPr>
      </w:pPr>
    </w:p>
    <w:p w:rsidR="00AC4735" w:rsidRPr="00694745" w:rsidRDefault="00AC4735" w:rsidP="00694745">
      <w:pPr>
        <w:spacing w:line="360" w:lineRule="auto"/>
        <w:jc w:val="both"/>
        <w:rPr>
          <w:rFonts w:ascii="Times New Roman" w:hAnsi="Times New Roman" w:cs="Times New Roman"/>
          <w:sz w:val="24"/>
        </w:rPr>
      </w:pPr>
      <w:r w:rsidRPr="00694745">
        <w:rPr>
          <w:rFonts w:ascii="Times New Roman" w:hAnsi="Times New Roman" w:cs="Times New Roman"/>
          <w:b/>
          <w:sz w:val="24"/>
        </w:rPr>
        <w:t>D. Employee Training and Internal Controls</w:t>
      </w:r>
      <w:r w:rsidR="00694745" w:rsidRPr="00694745">
        <w:rPr>
          <w:rFonts w:ascii="Times New Roman" w:hAnsi="Times New Roman" w:cs="Times New Roman"/>
          <w:b/>
          <w:sz w:val="24"/>
        </w:rPr>
        <w:t>:</w:t>
      </w:r>
      <w:r w:rsidR="00694745" w:rsidRPr="00694745">
        <w:rPr>
          <w:rFonts w:ascii="Times New Roman" w:hAnsi="Times New Roman" w:cs="Times New Roman"/>
          <w:sz w:val="24"/>
        </w:rPr>
        <w:t xml:space="preserve"> </w:t>
      </w:r>
      <w:r w:rsidRPr="00694745">
        <w:rPr>
          <w:rFonts w:ascii="Times New Roman" w:hAnsi="Times New Roman" w:cs="Times New Roman"/>
          <w:sz w:val="24"/>
        </w:rPr>
        <w:t xml:space="preserve">Human error remains one of the most significant contributors to cyber incidents. Therefore, regular employee training on phishing, </w:t>
      </w:r>
      <w:proofErr w:type="spellStart"/>
      <w:r w:rsidRPr="00694745">
        <w:rPr>
          <w:rFonts w:ascii="Times New Roman" w:hAnsi="Times New Roman" w:cs="Times New Roman"/>
          <w:sz w:val="24"/>
        </w:rPr>
        <w:t>ransomware</w:t>
      </w:r>
      <w:proofErr w:type="spellEnd"/>
      <w:r w:rsidRPr="00694745">
        <w:rPr>
          <w:rFonts w:ascii="Times New Roman" w:hAnsi="Times New Roman" w:cs="Times New Roman"/>
          <w:sz w:val="24"/>
        </w:rPr>
        <w:t>, password hygiene, and social engineering attacks is an ess</w:t>
      </w:r>
      <w:r w:rsidR="00862179">
        <w:rPr>
          <w:rFonts w:ascii="Times New Roman" w:hAnsi="Times New Roman" w:cs="Times New Roman"/>
          <w:sz w:val="24"/>
        </w:rPr>
        <w:t xml:space="preserve">ential compliance requirement. </w:t>
      </w:r>
      <w:r w:rsidRPr="00694745">
        <w:rPr>
          <w:rFonts w:ascii="Times New Roman" w:hAnsi="Times New Roman" w:cs="Times New Roman"/>
          <w:sz w:val="24"/>
        </w:rPr>
        <w:t xml:space="preserve">Senior management and the Board of Directors also play a key role by ensuring that </w:t>
      </w:r>
      <w:proofErr w:type="spellStart"/>
      <w:r w:rsidRPr="00694745">
        <w:rPr>
          <w:rFonts w:ascii="Times New Roman" w:hAnsi="Times New Roman" w:cs="Times New Roman"/>
          <w:sz w:val="24"/>
        </w:rPr>
        <w:t>cybersecurity</w:t>
      </w:r>
      <w:proofErr w:type="spellEnd"/>
      <w:r w:rsidRPr="00694745">
        <w:rPr>
          <w:rFonts w:ascii="Times New Roman" w:hAnsi="Times New Roman" w:cs="Times New Roman"/>
          <w:sz w:val="24"/>
        </w:rPr>
        <w:t xml:space="preserve"> strategies align with the organization’s governance framework. They must approve policies, allocate resources, and o</w:t>
      </w:r>
      <w:r w:rsidR="00862179">
        <w:rPr>
          <w:rFonts w:ascii="Times New Roman" w:hAnsi="Times New Roman" w:cs="Times New Roman"/>
          <w:sz w:val="24"/>
        </w:rPr>
        <w:t>versee risk management efforts.</w:t>
      </w:r>
      <w:r w:rsidR="00862179">
        <w:rPr>
          <w:rStyle w:val="FootnoteReference"/>
          <w:rFonts w:ascii="Times New Roman" w:hAnsi="Times New Roman" w:cs="Times New Roman"/>
          <w:sz w:val="24"/>
        </w:rPr>
        <w:footnoteReference w:id="23"/>
      </w:r>
    </w:p>
    <w:p w:rsidR="00694745" w:rsidRPr="00862179" w:rsidRDefault="00AC4735" w:rsidP="00862179">
      <w:pPr>
        <w:spacing w:line="360" w:lineRule="auto"/>
        <w:jc w:val="both"/>
        <w:rPr>
          <w:rFonts w:ascii="Times New Roman" w:hAnsi="Times New Roman" w:cs="Times New Roman"/>
          <w:sz w:val="24"/>
        </w:rPr>
      </w:pPr>
      <w:r w:rsidRPr="00862179">
        <w:rPr>
          <w:rFonts w:ascii="Times New Roman" w:hAnsi="Times New Roman" w:cs="Times New Roman"/>
          <w:b/>
          <w:sz w:val="24"/>
        </w:rPr>
        <w:t>E. Audit and Documentation</w:t>
      </w:r>
      <w:r w:rsidR="00694745" w:rsidRPr="00862179">
        <w:rPr>
          <w:rFonts w:ascii="Times New Roman" w:hAnsi="Times New Roman" w:cs="Times New Roman"/>
          <w:b/>
          <w:sz w:val="24"/>
        </w:rPr>
        <w:t>:</w:t>
      </w:r>
      <w:r w:rsidR="00694745" w:rsidRPr="00862179">
        <w:rPr>
          <w:rFonts w:ascii="Times New Roman" w:hAnsi="Times New Roman" w:cs="Times New Roman"/>
          <w:sz w:val="24"/>
        </w:rPr>
        <w:t xml:space="preserve"> </w:t>
      </w:r>
      <w:r w:rsidRPr="00862179">
        <w:rPr>
          <w:rFonts w:ascii="Times New Roman" w:hAnsi="Times New Roman" w:cs="Times New Roman"/>
          <w:sz w:val="24"/>
        </w:rPr>
        <w:t xml:space="preserve">To maintain accountability, organizations are expected to conduct periodic </w:t>
      </w:r>
      <w:proofErr w:type="spellStart"/>
      <w:r w:rsidRPr="00862179">
        <w:rPr>
          <w:rFonts w:ascii="Times New Roman" w:hAnsi="Times New Roman" w:cs="Times New Roman"/>
          <w:sz w:val="24"/>
        </w:rPr>
        <w:t>cybersecurity</w:t>
      </w:r>
      <w:proofErr w:type="spellEnd"/>
      <w:r w:rsidRPr="00862179">
        <w:rPr>
          <w:rFonts w:ascii="Times New Roman" w:hAnsi="Times New Roman" w:cs="Times New Roman"/>
          <w:sz w:val="24"/>
        </w:rPr>
        <w:t xml:space="preserve"> audits that review adherence to established standards, identify gaps, and </w:t>
      </w:r>
      <w:r w:rsidR="00862179" w:rsidRPr="00862179">
        <w:rPr>
          <w:rFonts w:ascii="Times New Roman" w:hAnsi="Times New Roman" w:cs="Times New Roman"/>
          <w:sz w:val="24"/>
        </w:rPr>
        <w:t xml:space="preserve">recommend corrective actions. </w:t>
      </w:r>
      <w:r w:rsidRPr="00862179">
        <w:rPr>
          <w:rFonts w:ascii="Times New Roman" w:hAnsi="Times New Roman" w:cs="Times New Roman"/>
          <w:sz w:val="24"/>
        </w:rPr>
        <w:t xml:space="preserve">Maintaining proper documentation, including risk assessments, incident logs, audit findings, and </w:t>
      </w:r>
      <w:r w:rsidRPr="00862179">
        <w:rPr>
          <w:rFonts w:ascii="Times New Roman" w:hAnsi="Times New Roman" w:cs="Times New Roman"/>
          <w:sz w:val="24"/>
        </w:rPr>
        <w:lastRenderedPageBreak/>
        <w:t>compliance reports, is vital for demonstrating adherence to regulatory requirements during ins</w:t>
      </w:r>
      <w:r w:rsidR="00862179" w:rsidRPr="00862179">
        <w:rPr>
          <w:rFonts w:ascii="Times New Roman" w:hAnsi="Times New Roman" w:cs="Times New Roman"/>
          <w:sz w:val="24"/>
        </w:rPr>
        <w:t>pections or legal proceedings.</w:t>
      </w:r>
      <w:r w:rsidR="00862179">
        <w:rPr>
          <w:rStyle w:val="FootnoteReference"/>
          <w:rFonts w:ascii="Times New Roman" w:hAnsi="Times New Roman" w:cs="Times New Roman"/>
          <w:sz w:val="24"/>
        </w:rPr>
        <w:footnoteReference w:id="24"/>
      </w:r>
    </w:p>
    <w:p w:rsidR="00AC4735" w:rsidRPr="00694745" w:rsidRDefault="00AC4735" w:rsidP="00694745">
      <w:pPr>
        <w:spacing w:line="360" w:lineRule="auto"/>
        <w:jc w:val="both"/>
        <w:rPr>
          <w:rFonts w:ascii="Times New Roman" w:hAnsi="Times New Roman" w:cs="Times New Roman"/>
          <w:sz w:val="24"/>
        </w:rPr>
      </w:pPr>
      <w:r w:rsidRPr="00694745">
        <w:rPr>
          <w:rFonts w:ascii="Times New Roman" w:hAnsi="Times New Roman" w:cs="Times New Roman"/>
          <w:b/>
          <w:sz w:val="24"/>
        </w:rPr>
        <w:t>IV. Corporate Liability i</w:t>
      </w:r>
      <w:r w:rsidR="00694745">
        <w:rPr>
          <w:rFonts w:ascii="Times New Roman" w:hAnsi="Times New Roman" w:cs="Times New Roman"/>
          <w:b/>
          <w:sz w:val="24"/>
        </w:rPr>
        <w:t>n Cyber Security</w:t>
      </w:r>
      <w:r w:rsidR="00694745" w:rsidRPr="00694745">
        <w:rPr>
          <w:rFonts w:ascii="Times New Roman" w:hAnsi="Times New Roman" w:cs="Times New Roman"/>
          <w:b/>
          <w:sz w:val="24"/>
        </w:rPr>
        <w:t>:</w:t>
      </w:r>
      <w:r w:rsidR="00694745" w:rsidRPr="00694745">
        <w:rPr>
          <w:rFonts w:ascii="Times New Roman" w:hAnsi="Times New Roman" w:cs="Times New Roman"/>
          <w:sz w:val="24"/>
        </w:rPr>
        <w:t xml:space="preserve"> </w:t>
      </w:r>
      <w:r w:rsidRPr="00694745">
        <w:rPr>
          <w:rFonts w:ascii="Times New Roman" w:hAnsi="Times New Roman" w:cs="Times New Roman"/>
          <w:sz w:val="24"/>
        </w:rPr>
        <w:t>Corporate liability in cyber security refers to a company’s legal responsibility for breaches, inadequate security measures, or failure to comply with statutory obligations. In India, liability may arise under civil, criminal, regulatory, and contractual frameworks, reflecting the growing emphasis on organisational accountability for protecting personal and sensitive data.</w:t>
      </w:r>
    </w:p>
    <w:p w:rsidR="00AC4735" w:rsidRPr="00694745" w:rsidRDefault="00AC4735" w:rsidP="00694745">
      <w:pPr>
        <w:pStyle w:val="Heading3"/>
        <w:spacing w:line="360" w:lineRule="auto"/>
        <w:jc w:val="both"/>
        <w:rPr>
          <w:sz w:val="24"/>
          <w:szCs w:val="24"/>
        </w:rPr>
      </w:pPr>
      <w:r w:rsidRPr="00694745">
        <w:rPr>
          <w:rStyle w:val="Strong"/>
          <w:rFonts w:eastAsiaTheme="majorEastAsia"/>
          <w:b/>
          <w:bCs/>
          <w:sz w:val="24"/>
          <w:szCs w:val="24"/>
        </w:rPr>
        <w:t>A. Civil Liability</w:t>
      </w:r>
      <w:r w:rsidR="00694745">
        <w:rPr>
          <w:rStyle w:val="Strong"/>
          <w:rFonts w:eastAsiaTheme="majorEastAsia"/>
          <w:b/>
          <w:bCs/>
          <w:sz w:val="24"/>
          <w:szCs w:val="24"/>
        </w:rPr>
        <w:t xml:space="preserve">: </w:t>
      </w:r>
      <w:r w:rsidRPr="00694745">
        <w:rPr>
          <w:b w:val="0"/>
          <w:sz w:val="24"/>
          <w:szCs w:val="24"/>
        </w:rPr>
        <w:t>Section 43A of the IT Act requires companies to compensate individuals if their sensitive data is compromised due to negligence or failure to adopt reasonable security practices. Civil claims may also be filed under general negligence principles when inadequate data protection causes financial or reputational harm.</w:t>
      </w:r>
    </w:p>
    <w:p w:rsidR="00AC4735" w:rsidRPr="00694745" w:rsidRDefault="00AC4735" w:rsidP="00694745">
      <w:pPr>
        <w:pStyle w:val="Heading3"/>
        <w:spacing w:line="360" w:lineRule="auto"/>
        <w:jc w:val="both"/>
        <w:rPr>
          <w:b w:val="0"/>
          <w:sz w:val="24"/>
          <w:szCs w:val="24"/>
        </w:rPr>
      </w:pPr>
      <w:r w:rsidRPr="00694745">
        <w:rPr>
          <w:rStyle w:val="Strong"/>
          <w:rFonts w:eastAsiaTheme="majorEastAsia"/>
          <w:b/>
          <w:bCs/>
          <w:sz w:val="24"/>
          <w:szCs w:val="24"/>
        </w:rPr>
        <w:t>B. Criminal Liability</w:t>
      </w:r>
      <w:r w:rsidR="00694745">
        <w:rPr>
          <w:rStyle w:val="Strong"/>
          <w:rFonts w:eastAsiaTheme="majorEastAsia"/>
          <w:b/>
          <w:bCs/>
          <w:sz w:val="24"/>
          <w:szCs w:val="24"/>
        </w:rPr>
        <w:t xml:space="preserve">: </w:t>
      </w:r>
      <w:r w:rsidRPr="00694745">
        <w:rPr>
          <w:b w:val="0"/>
          <w:sz w:val="24"/>
          <w:szCs w:val="24"/>
        </w:rPr>
        <w:t>Criminal liability arises for offences such as unauthorized access, identity theft, and electronic impersonation under Sections 66, 66B, 66C, and 66D of the IT Act. A company may be held responsible for offences committed by employees acting within the scope of their duties. While corporations cannot face imprisonment, courts may impose fines and sanctions.</w:t>
      </w:r>
    </w:p>
    <w:p w:rsidR="00AC4735" w:rsidRPr="00694745" w:rsidRDefault="00AC4735" w:rsidP="00694745">
      <w:pPr>
        <w:pStyle w:val="Heading3"/>
        <w:spacing w:line="360" w:lineRule="auto"/>
        <w:jc w:val="both"/>
        <w:rPr>
          <w:sz w:val="24"/>
          <w:szCs w:val="24"/>
        </w:rPr>
      </w:pPr>
      <w:r w:rsidRPr="00694745">
        <w:rPr>
          <w:rStyle w:val="Strong"/>
          <w:rFonts w:eastAsiaTheme="majorEastAsia"/>
          <w:b/>
          <w:bCs/>
          <w:sz w:val="24"/>
          <w:szCs w:val="24"/>
        </w:rPr>
        <w:t>C. Vicarious Liability</w:t>
      </w:r>
      <w:r w:rsidR="00694745">
        <w:rPr>
          <w:rStyle w:val="Strong"/>
          <w:rFonts w:eastAsiaTheme="majorEastAsia"/>
          <w:b/>
          <w:bCs/>
          <w:sz w:val="24"/>
          <w:szCs w:val="24"/>
        </w:rPr>
        <w:t xml:space="preserve">: </w:t>
      </w:r>
      <w:r w:rsidRPr="00694745">
        <w:rPr>
          <w:b w:val="0"/>
          <w:sz w:val="24"/>
          <w:szCs w:val="24"/>
        </w:rPr>
        <w:t>Corporations may be held vicariously liable for wrongful or negligent acts of employees committed during employment. Misuse of data, system tampering, or security lapses by staff can make the company accountable for inadequate supervision or poor internal controls.</w:t>
      </w:r>
    </w:p>
    <w:p w:rsidR="00AC4735" w:rsidRPr="00694745" w:rsidRDefault="00AC4735" w:rsidP="00694745">
      <w:pPr>
        <w:pStyle w:val="Heading3"/>
        <w:spacing w:line="360" w:lineRule="auto"/>
        <w:jc w:val="both"/>
        <w:rPr>
          <w:sz w:val="24"/>
          <w:szCs w:val="24"/>
        </w:rPr>
      </w:pPr>
      <w:r w:rsidRPr="00694745">
        <w:rPr>
          <w:rStyle w:val="Strong"/>
          <w:rFonts w:eastAsiaTheme="majorEastAsia"/>
          <w:b/>
          <w:bCs/>
          <w:sz w:val="24"/>
          <w:szCs w:val="24"/>
        </w:rPr>
        <w:t>D. Regulatory Liability</w:t>
      </w:r>
      <w:r w:rsidR="00694745">
        <w:rPr>
          <w:rStyle w:val="Strong"/>
          <w:rFonts w:eastAsiaTheme="majorEastAsia"/>
          <w:b/>
          <w:bCs/>
          <w:sz w:val="24"/>
          <w:szCs w:val="24"/>
        </w:rPr>
        <w:t xml:space="preserve">: </w:t>
      </w:r>
      <w:r w:rsidRPr="00694745">
        <w:rPr>
          <w:b w:val="0"/>
          <w:sz w:val="24"/>
          <w:szCs w:val="24"/>
        </w:rPr>
        <w:t xml:space="preserve">Regulatory bodies can penalize companies for non-compliance with </w:t>
      </w:r>
      <w:proofErr w:type="spellStart"/>
      <w:r w:rsidRPr="00694745">
        <w:rPr>
          <w:b w:val="0"/>
          <w:sz w:val="24"/>
          <w:szCs w:val="24"/>
        </w:rPr>
        <w:t>cybersecurity</w:t>
      </w:r>
      <w:proofErr w:type="spellEnd"/>
      <w:r w:rsidRPr="00694745">
        <w:rPr>
          <w:b w:val="0"/>
          <w:sz w:val="24"/>
          <w:szCs w:val="24"/>
        </w:rPr>
        <w:t xml:space="preserve"> obligations. The DPDP Act, 2023, imposes heavy penalties for unauthorized processing, data breaches, and failure to meet fiduciary responsibilities. Regulators like SEBI, RBI, and IRDAI also enforce fines for violation of sector-specific </w:t>
      </w:r>
      <w:proofErr w:type="spellStart"/>
      <w:r w:rsidRPr="00694745">
        <w:rPr>
          <w:b w:val="0"/>
          <w:sz w:val="24"/>
          <w:szCs w:val="24"/>
        </w:rPr>
        <w:t>cybersecurity</w:t>
      </w:r>
      <w:proofErr w:type="spellEnd"/>
      <w:r w:rsidRPr="00694745">
        <w:rPr>
          <w:b w:val="0"/>
          <w:sz w:val="24"/>
          <w:szCs w:val="24"/>
        </w:rPr>
        <w:t xml:space="preserve"> standards.</w:t>
      </w:r>
    </w:p>
    <w:p w:rsidR="00AC4735" w:rsidRPr="00694745" w:rsidRDefault="00AC4735" w:rsidP="00694745">
      <w:pPr>
        <w:pStyle w:val="Heading3"/>
        <w:spacing w:line="360" w:lineRule="auto"/>
        <w:jc w:val="both"/>
        <w:rPr>
          <w:sz w:val="24"/>
          <w:szCs w:val="24"/>
        </w:rPr>
      </w:pPr>
      <w:r w:rsidRPr="00694745">
        <w:rPr>
          <w:rStyle w:val="Strong"/>
          <w:rFonts w:eastAsiaTheme="majorEastAsia"/>
          <w:b/>
          <w:bCs/>
          <w:sz w:val="24"/>
          <w:szCs w:val="24"/>
        </w:rPr>
        <w:t>E. Contractual Liability</w:t>
      </w:r>
      <w:r w:rsidR="00694745">
        <w:rPr>
          <w:rStyle w:val="Strong"/>
          <w:rFonts w:eastAsiaTheme="majorEastAsia"/>
          <w:b/>
          <w:bCs/>
          <w:sz w:val="24"/>
          <w:szCs w:val="24"/>
        </w:rPr>
        <w:t xml:space="preserve">: </w:t>
      </w:r>
      <w:r w:rsidRPr="00694745">
        <w:rPr>
          <w:b w:val="0"/>
          <w:sz w:val="24"/>
          <w:szCs w:val="24"/>
        </w:rPr>
        <w:t xml:space="preserve">Companies may face liability for breaching confidentiality, data protection, or </w:t>
      </w:r>
      <w:proofErr w:type="spellStart"/>
      <w:r w:rsidRPr="00694745">
        <w:rPr>
          <w:b w:val="0"/>
          <w:sz w:val="24"/>
          <w:szCs w:val="24"/>
        </w:rPr>
        <w:t>cybersecurity</w:t>
      </w:r>
      <w:proofErr w:type="spellEnd"/>
      <w:r w:rsidRPr="00694745">
        <w:rPr>
          <w:b w:val="0"/>
          <w:sz w:val="24"/>
          <w:szCs w:val="24"/>
        </w:rPr>
        <w:t xml:space="preserve"> clauses in contracts or service agreements. Failure b</w:t>
      </w:r>
      <w:r w:rsidR="00694745">
        <w:rPr>
          <w:b w:val="0"/>
          <w:sz w:val="24"/>
          <w:szCs w:val="24"/>
        </w:rPr>
        <w:t xml:space="preserve">y the company or its vendors </w:t>
      </w:r>
      <w:r w:rsidRPr="00694745">
        <w:rPr>
          <w:b w:val="0"/>
          <w:sz w:val="24"/>
          <w:szCs w:val="24"/>
        </w:rPr>
        <w:t xml:space="preserve">to protect shared information can result in damages, </w:t>
      </w:r>
      <w:r w:rsidRPr="00694745">
        <w:rPr>
          <w:b w:val="0"/>
          <w:sz w:val="24"/>
          <w:szCs w:val="24"/>
        </w:rPr>
        <w:lastRenderedPageBreak/>
        <w:t>indemnification claims, or termination of the contract. This underscores the importance of strong vendor risk management.</w:t>
      </w:r>
    </w:p>
    <w:p w:rsidR="00A84275" w:rsidRPr="00EF2917" w:rsidRDefault="00A84275" w:rsidP="00EF2917">
      <w:pPr>
        <w:spacing w:line="360" w:lineRule="auto"/>
        <w:jc w:val="both"/>
        <w:rPr>
          <w:rFonts w:ascii="Times New Roman" w:hAnsi="Times New Roman" w:cs="Times New Roman"/>
          <w:sz w:val="24"/>
        </w:rPr>
      </w:pPr>
      <w:r w:rsidRPr="00EF2917">
        <w:rPr>
          <w:rFonts w:ascii="Times New Roman" w:hAnsi="Times New Roman" w:cs="Times New Roman"/>
          <w:b/>
          <w:sz w:val="24"/>
        </w:rPr>
        <w:t>V. Case Laws and Judicial Trends</w:t>
      </w:r>
      <w:r w:rsidR="00694745" w:rsidRPr="00EF2917">
        <w:rPr>
          <w:rFonts w:ascii="Times New Roman" w:hAnsi="Times New Roman" w:cs="Times New Roman"/>
          <w:b/>
          <w:sz w:val="24"/>
        </w:rPr>
        <w:t>:</w:t>
      </w:r>
      <w:r w:rsidR="00694745" w:rsidRPr="00EF2917">
        <w:rPr>
          <w:rFonts w:ascii="Times New Roman" w:hAnsi="Times New Roman" w:cs="Times New Roman"/>
          <w:sz w:val="24"/>
        </w:rPr>
        <w:t xml:space="preserve"> </w:t>
      </w:r>
      <w:r w:rsidRPr="00EF2917">
        <w:rPr>
          <w:rFonts w:ascii="Times New Roman" w:hAnsi="Times New Roman" w:cs="Times New Roman"/>
          <w:sz w:val="24"/>
        </w:rPr>
        <w:t>Judicial developments in India have played a significant role in shaping the scope and enforcement of cyber security and corporate accountability. Courts have increasingly emphasized the responsibility of organizations to adopt adequate safeguards, protect personal data, and ensure transparency when cyber incidents occur. The following case laws and legal trends demonstrate the evolving jurisprudence in this area.</w:t>
      </w:r>
    </w:p>
    <w:p w:rsidR="00AA43CB" w:rsidRDefault="00A84275" w:rsidP="00694745">
      <w:pPr>
        <w:pStyle w:val="ListParagraph"/>
        <w:numPr>
          <w:ilvl w:val="0"/>
          <w:numId w:val="25"/>
        </w:numPr>
        <w:spacing w:line="360" w:lineRule="auto"/>
        <w:jc w:val="both"/>
        <w:rPr>
          <w:rFonts w:ascii="Times New Roman" w:hAnsi="Times New Roman" w:cs="Times New Roman"/>
          <w:sz w:val="24"/>
        </w:rPr>
      </w:pPr>
      <w:proofErr w:type="spellStart"/>
      <w:r w:rsidRPr="00862179">
        <w:rPr>
          <w:rFonts w:ascii="Times New Roman" w:hAnsi="Times New Roman" w:cs="Times New Roman"/>
          <w:sz w:val="24"/>
        </w:rPr>
        <w:t>Shreya</w:t>
      </w:r>
      <w:proofErr w:type="spellEnd"/>
      <w:r w:rsidRPr="00862179">
        <w:rPr>
          <w:rFonts w:ascii="Times New Roman" w:hAnsi="Times New Roman" w:cs="Times New Roman"/>
          <w:sz w:val="24"/>
        </w:rPr>
        <w:t xml:space="preserve"> </w:t>
      </w:r>
      <w:proofErr w:type="spellStart"/>
      <w:r w:rsidRPr="00862179">
        <w:rPr>
          <w:rFonts w:ascii="Times New Roman" w:hAnsi="Times New Roman" w:cs="Times New Roman"/>
          <w:sz w:val="24"/>
        </w:rPr>
        <w:t>Singhal</w:t>
      </w:r>
      <w:proofErr w:type="spellEnd"/>
      <w:r w:rsidRPr="00862179">
        <w:rPr>
          <w:rFonts w:ascii="Times New Roman" w:hAnsi="Times New Roman" w:cs="Times New Roman"/>
          <w:sz w:val="24"/>
        </w:rPr>
        <w:t xml:space="preserve"> v. Union of India – Impact on Cyber Regulation</w:t>
      </w:r>
      <w:r w:rsidR="00AC4735" w:rsidRPr="00862179">
        <w:rPr>
          <w:rFonts w:ascii="Times New Roman" w:hAnsi="Times New Roman" w:cs="Times New Roman"/>
          <w:sz w:val="24"/>
        </w:rPr>
        <w:t xml:space="preserve">: </w:t>
      </w:r>
      <w:r w:rsidRPr="00862179">
        <w:rPr>
          <w:rFonts w:ascii="Times New Roman" w:hAnsi="Times New Roman" w:cs="Times New Roman"/>
          <w:sz w:val="24"/>
        </w:rPr>
        <w:t xml:space="preserve">The landmark judgment in </w:t>
      </w:r>
      <w:proofErr w:type="spellStart"/>
      <w:r w:rsidRPr="00862179">
        <w:rPr>
          <w:rFonts w:ascii="Times New Roman" w:hAnsi="Times New Roman" w:cs="Times New Roman"/>
          <w:sz w:val="24"/>
        </w:rPr>
        <w:t>Shreya</w:t>
      </w:r>
      <w:proofErr w:type="spellEnd"/>
      <w:r w:rsidRPr="00862179">
        <w:rPr>
          <w:rFonts w:ascii="Times New Roman" w:hAnsi="Times New Roman" w:cs="Times New Roman"/>
          <w:sz w:val="24"/>
        </w:rPr>
        <w:t xml:space="preserve"> </w:t>
      </w:r>
      <w:proofErr w:type="spellStart"/>
      <w:r w:rsidRPr="00862179">
        <w:rPr>
          <w:rFonts w:ascii="Times New Roman" w:hAnsi="Times New Roman" w:cs="Times New Roman"/>
          <w:sz w:val="24"/>
        </w:rPr>
        <w:t>Singhal</w:t>
      </w:r>
      <w:proofErr w:type="spellEnd"/>
      <w:r w:rsidRPr="00862179">
        <w:rPr>
          <w:rFonts w:ascii="Times New Roman" w:hAnsi="Times New Roman" w:cs="Times New Roman"/>
          <w:sz w:val="24"/>
        </w:rPr>
        <w:t xml:space="preserve"> v. Union of India (2015) reshaped India’s cyber regulatory landscape. The Supreme Court struck down Section 66A of the Information Technology Act on the grounds that it violated the constitutional right to fr</w:t>
      </w:r>
      <w:r w:rsidR="00862179">
        <w:rPr>
          <w:rFonts w:ascii="Times New Roman" w:hAnsi="Times New Roman" w:cs="Times New Roman"/>
          <w:sz w:val="24"/>
        </w:rPr>
        <w:t>eedom of speech and expression.</w:t>
      </w:r>
      <w:r w:rsidR="00AC4735" w:rsidRPr="00862179">
        <w:rPr>
          <w:rFonts w:ascii="Times New Roman" w:hAnsi="Times New Roman" w:cs="Times New Roman"/>
          <w:sz w:val="24"/>
        </w:rPr>
        <w:t xml:space="preserve"> </w:t>
      </w:r>
      <w:r w:rsidRPr="00862179">
        <w:rPr>
          <w:rFonts w:ascii="Times New Roman" w:hAnsi="Times New Roman" w:cs="Times New Roman"/>
          <w:sz w:val="24"/>
        </w:rPr>
        <w:t>While the case dealt primarily with online speech, it has broader implications for cyber governance. The judgment clarified the limits of state intervention in cyberspace and encouraged more transparent, narrowly tailored cyber regulations. It also reinforced judicial scrutiny of cyber laws that may overreach or disproportio</w:t>
      </w:r>
      <w:r w:rsidR="00862179">
        <w:rPr>
          <w:rFonts w:ascii="Times New Roman" w:hAnsi="Times New Roman" w:cs="Times New Roman"/>
          <w:sz w:val="24"/>
        </w:rPr>
        <w:t>nately restrict digital rights.</w:t>
      </w:r>
      <w:r w:rsidR="00862179">
        <w:rPr>
          <w:rStyle w:val="FootnoteReference"/>
          <w:rFonts w:ascii="Times New Roman" w:hAnsi="Times New Roman" w:cs="Times New Roman"/>
          <w:sz w:val="24"/>
        </w:rPr>
        <w:footnoteReference w:id="25"/>
      </w:r>
    </w:p>
    <w:p w:rsidR="00AA43CB" w:rsidRDefault="00A84275" w:rsidP="00AC4735">
      <w:pPr>
        <w:pStyle w:val="ListParagraph"/>
        <w:numPr>
          <w:ilvl w:val="0"/>
          <w:numId w:val="25"/>
        </w:numPr>
        <w:spacing w:line="360" w:lineRule="auto"/>
        <w:jc w:val="both"/>
        <w:rPr>
          <w:rFonts w:ascii="Times New Roman" w:hAnsi="Times New Roman" w:cs="Times New Roman"/>
          <w:sz w:val="24"/>
        </w:rPr>
      </w:pPr>
      <w:r w:rsidRPr="00AA43CB">
        <w:rPr>
          <w:rStyle w:val="Strong"/>
          <w:rFonts w:ascii="Times New Roman" w:hAnsi="Times New Roman" w:cs="Times New Roman"/>
          <w:sz w:val="24"/>
          <w:szCs w:val="24"/>
        </w:rPr>
        <w:t>Cases Involving Data Breaches and Negligence</w:t>
      </w:r>
      <w:r w:rsidR="00AC4735" w:rsidRPr="00AA43CB">
        <w:rPr>
          <w:rStyle w:val="Strong"/>
          <w:rFonts w:ascii="Times New Roman" w:hAnsi="Times New Roman" w:cs="Times New Roman"/>
          <w:sz w:val="24"/>
          <w:szCs w:val="24"/>
        </w:rPr>
        <w:t xml:space="preserve">: </w:t>
      </w:r>
      <w:r w:rsidRPr="00AA43CB">
        <w:rPr>
          <w:rFonts w:ascii="Times New Roman" w:hAnsi="Times New Roman" w:cs="Times New Roman"/>
          <w:sz w:val="24"/>
          <w:szCs w:val="24"/>
        </w:rPr>
        <w:t xml:space="preserve">Indian courts have increasingly recognized the liability of corporations for failing to protect personal data. Although there are limited reported cases directly addressing major corporate data breaches, tribunals and High Courts have emphasized </w:t>
      </w:r>
      <w:r w:rsidRPr="00AA43CB">
        <w:rPr>
          <w:rStyle w:val="Strong"/>
          <w:rFonts w:ascii="Times New Roman" w:hAnsi="Times New Roman" w:cs="Times New Roman"/>
          <w:sz w:val="24"/>
          <w:szCs w:val="24"/>
        </w:rPr>
        <w:t>negligence standards under Section 43A</w:t>
      </w:r>
      <w:r w:rsidRPr="00AA43CB">
        <w:rPr>
          <w:rFonts w:ascii="Times New Roman" w:hAnsi="Times New Roman" w:cs="Times New Roman"/>
          <w:sz w:val="24"/>
          <w:szCs w:val="24"/>
        </w:rPr>
        <w:t>, requiring organizations to adopt reasonable security practices.</w:t>
      </w:r>
      <w:r w:rsidR="00AC4735" w:rsidRPr="00AA43CB">
        <w:rPr>
          <w:rFonts w:ascii="Times New Roman" w:hAnsi="Times New Roman" w:cs="Times New Roman"/>
          <w:sz w:val="24"/>
          <w:szCs w:val="24"/>
        </w:rPr>
        <w:t xml:space="preserve"> </w:t>
      </w:r>
      <w:r w:rsidRPr="00AA43CB">
        <w:rPr>
          <w:rFonts w:ascii="Times New Roman" w:hAnsi="Times New Roman" w:cs="Times New Roman"/>
          <w:sz w:val="24"/>
          <w:szCs w:val="24"/>
        </w:rPr>
        <w:t xml:space="preserve">For example, in </w:t>
      </w:r>
      <w:r w:rsidRPr="00AA43CB">
        <w:rPr>
          <w:rStyle w:val="Emphasis"/>
          <w:rFonts w:ascii="Times New Roman" w:hAnsi="Times New Roman" w:cs="Times New Roman"/>
          <w:sz w:val="24"/>
          <w:szCs w:val="24"/>
        </w:rPr>
        <w:t xml:space="preserve">K.S. </w:t>
      </w:r>
      <w:proofErr w:type="spellStart"/>
      <w:r w:rsidRPr="00AA43CB">
        <w:rPr>
          <w:rStyle w:val="Emphasis"/>
          <w:rFonts w:ascii="Times New Roman" w:hAnsi="Times New Roman" w:cs="Times New Roman"/>
          <w:sz w:val="24"/>
          <w:szCs w:val="24"/>
        </w:rPr>
        <w:t>Puttaswamy</w:t>
      </w:r>
      <w:proofErr w:type="spellEnd"/>
      <w:r w:rsidRPr="00AA43CB">
        <w:rPr>
          <w:rStyle w:val="Emphasis"/>
          <w:rFonts w:ascii="Times New Roman" w:hAnsi="Times New Roman" w:cs="Times New Roman"/>
          <w:sz w:val="24"/>
          <w:szCs w:val="24"/>
        </w:rPr>
        <w:t xml:space="preserve"> v. Union of India</w:t>
      </w:r>
      <w:r w:rsidRPr="00AA43CB">
        <w:rPr>
          <w:rStyle w:val="Strong"/>
          <w:rFonts w:ascii="Times New Roman" w:hAnsi="Times New Roman" w:cs="Times New Roman"/>
          <w:sz w:val="24"/>
          <w:szCs w:val="24"/>
        </w:rPr>
        <w:t xml:space="preserve"> (2017)</w:t>
      </w:r>
      <w:r w:rsidR="00694745" w:rsidRPr="00AA43CB">
        <w:rPr>
          <w:rFonts w:ascii="Times New Roman" w:hAnsi="Times New Roman" w:cs="Times New Roman"/>
          <w:sz w:val="24"/>
          <w:szCs w:val="24"/>
        </w:rPr>
        <w:t xml:space="preserve"> </w:t>
      </w:r>
      <w:r w:rsidR="00862179" w:rsidRPr="00AA43CB">
        <w:rPr>
          <w:rFonts w:ascii="Times New Roman" w:hAnsi="Times New Roman" w:cs="Times New Roman"/>
          <w:sz w:val="24"/>
          <w:szCs w:val="24"/>
        </w:rPr>
        <w:t xml:space="preserve">the landmark privacy case </w:t>
      </w:r>
      <w:r w:rsidRPr="00AA43CB">
        <w:rPr>
          <w:rFonts w:ascii="Times New Roman" w:hAnsi="Times New Roman" w:cs="Times New Roman"/>
          <w:sz w:val="24"/>
          <w:szCs w:val="24"/>
        </w:rPr>
        <w:t>the Supreme Court affirmed the constitutional right to privacy, highlighting the need for stronger data protection obligations for b</w:t>
      </w:r>
      <w:r w:rsidR="00862179" w:rsidRPr="00AA43CB">
        <w:rPr>
          <w:rFonts w:ascii="Times New Roman" w:hAnsi="Times New Roman" w:cs="Times New Roman"/>
          <w:sz w:val="24"/>
          <w:szCs w:val="24"/>
        </w:rPr>
        <w:t>oth state and non-state actors.</w:t>
      </w:r>
      <w:r w:rsidR="00862179">
        <w:rPr>
          <w:rStyle w:val="FootnoteReference"/>
          <w:rFonts w:ascii="Times New Roman" w:hAnsi="Times New Roman" w:cs="Times New Roman"/>
          <w:sz w:val="24"/>
          <w:szCs w:val="24"/>
        </w:rPr>
        <w:footnoteReference w:id="26"/>
      </w:r>
      <w:r w:rsidRPr="00AA43CB">
        <w:rPr>
          <w:rFonts w:ascii="Times New Roman" w:hAnsi="Times New Roman" w:cs="Times New Roman"/>
          <w:sz w:val="24"/>
          <w:szCs w:val="24"/>
        </w:rPr>
        <w:t xml:space="preserve"> This decision indirectly reinforced the duty of corporations to secure personal information and handle it responsibly.</w:t>
      </w:r>
      <w:r w:rsidR="00694745" w:rsidRPr="00AA43CB">
        <w:rPr>
          <w:rFonts w:ascii="Times New Roman" w:hAnsi="Times New Roman" w:cs="Times New Roman"/>
          <w:sz w:val="24"/>
          <w:szCs w:val="24"/>
        </w:rPr>
        <w:t xml:space="preserve"> </w:t>
      </w:r>
      <w:r w:rsidRPr="00AA43CB">
        <w:rPr>
          <w:rFonts w:ascii="Times New Roman" w:hAnsi="Times New Roman" w:cs="Times New Roman"/>
          <w:sz w:val="24"/>
        </w:rPr>
        <w:t xml:space="preserve">In several adjudication orders under the IT Act, companies have been held liable for security lapses that exposed sensitive </w:t>
      </w:r>
      <w:r w:rsidRPr="00AA43CB">
        <w:rPr>
          <w:rFonts w:ascii="Times New Roman" w:hAnsi="Times New Roman" w:cs="Times New Roman"/>
          <w:sz w:val="24"/>
        </w:rPr>
        <w:lastRenderedPageBreak/>
        <w:t>customer data, underscoring the expectation that organizations must maintain robust cyber controls and</w:t>
      </w:r>
      <w:r w:rsidR="00862179" w:rsidRPr="00AA43CB">
        <w:rPr>
          <w:rFonts w:ascii="Times New Roman" w:hAnsi="Times New Roman" w:cs="Times New Roman"/>
          <w:sz w:val="24"/>
        </w:rPr>
        <w:t xml:space="preserve"> adhere to statutory standards.</w:t>
      </w:r>
    </w:p>
    <w:p w:rsidR="00A84275" w:rsidRPr="00AA43CB" w:rsidRDefault="00A84275" w:rsidP="00A84275">
      <w:pPr>
        <w:pStyle w:val="ListParagraph"/>
        <w:numPr>
          <w:ilvl w:val="0"/>
          <w:numId w:val="25"/>
        </w:numPr>
        <w:spacing w:line="360" w:lineRule="auto"/>
        <w:jc w:val="both"/>
        <w:rPr>
          <w:rFonts w:ascii="Times New Roman" w:hAnsi="Times New Roman" w:cs="Times New Roman"/>
          <w:sz w:val="24"/>
          <w:szCs w:val="24"/>
        </w:rPr>
      </w:pPr>
      <w:r w:rsidRPr="00AA43CB">
        <w:rPr>
          <w:rStyle w:val="Strong"/>
          <w:rFonts w:ascii="Times New Roman" w:hAnsi="Times New Roman" w:cs="Times New Roman"/>
          <w:sz w:val="24"/>
          <w:szCs w:val="24"/>
        </w:rPr>
        <w:t>Corporate Governance and Cyber Accountability Jurisprudence</w:t>
      </w:r>
      <w:r w:rsidR="00AC4735" w:rsidRPr="00AA43CB">
        <w:rPr>
          <w:rStyle w:val="Strong"/>
          <w:rFonts w:ascii="Times New Roman" w:hAnsi="Times New Roman" w:cs="Times New Roman"/>
          <w:sz w:val="24"/>
          <w:szCs w:val="24"/>
        </w:rPr>
        <w:t xml:space="preserve">: </w:t>
      </w:r>
      <w:r w:rsidRPr="00AA43CB">
        <w:rPr>
          <w:rFonts w:ascii="Times New Roman" w:hAnsi="Times New Roman" w:cs="Times New Roman"/>
          <w:sz w:val="24"/>
          <w:szCs w:val="24"/>
        </w:rPr>
        <w:t xml:space="preserve">Courts have also emphasized that cyber security is a matter of </w:t>
      </w:r>
      <w:r w:rsidRPr="00AA43CB">
        <w:rPr>
          <w:rStyle w:val="Strong"/>
          <w:rFonts w:ascii="Times New Roman" w:hAnsi="Times New Roman" w:cs="Times New Roman"/>
          <w:sz w:val="24"/>
          <w:szCs w:val="24"/>
        </w:rPr>
        <w:t>corporate governance</w:t>
      </w:r>
      <w:r w:rsidRPr="00AA43CB">
        <w:rPr>
          <w:rFonts w:ascii="Times New Roman" w:hAnsi="Times New Roman" w:cs="Times New Roman"/>
          <w:sz w:val="24"/>
          <w:szCs w:val="24"/>
        </w:rPr>
        <w:t xml:space="preserve"> rather than merely a technical issue. Judicial trends show that boards of directors and senior management carry the responsibility to ensure adequate oversight of cyber risks.</w:t>
      </w:r>
      <w:r w:rsidR="00AA43CB" w:rsidRPr="00AA43CB">
        <w:rPr>
          <w:rFonts w:ascii="Times New Roman" w:hAnsi="Times New Roman" w:cs="Times New Roman"/>
          <w:sz w:val="24"/>
          <w:szCs w:val="24"/>
        </w:rPr>
        <w:t xml:space="preserve"> </w:t>
      </w:r>
      <w:r w:rsidRPr="00AA43CB">
        <w:rPr>
          <w:rFonts w:ascii="Times New Roman" w:hAnsi="Times New Roman" w:cs="Times New Roman"/>
          <w:sz w:val="24"/>
          <w:szCs w:val="24"/>
        </w:rPr>
        <w:t xml:space="preserve">In </w:t>
      </w:r>
      <w:r w:rsidRPr="00AA43CB">
        <w:rPr>
          <w:rStyle w:val="Strong"/>
          <w:rFonts w:ascii="Times New Roman" w:eastAsiaTheme="majorEastAsia" w:hAnsi="Times New Roman" w:cs="Times New Roman"/>
          <w:i/>
          <w:iCs/>
          <w:sz w:val="24"/>
          <w:szCs w:val="24"/>
        </w:rPr>
        <w:t>Tata Consultancy Services Ltd. v. State of Andhra Pradesh (2004)</w:t>
      </w:r>
      <w:r w:rsidRPr="00AA43CB">
        <w:rPr>
          <w:rFonts w:ascii="Times New Roman" w:hAnsi="Times New Roman" w:cs="Times New Roman"/>
          <w:sz w:val="24"/>
          <w:szCs w:val="24"/>
        </w:rPr>
        <w:t>, although not a traditional cyber case, the Supreme Court recognized the significance of technological processes and accountab</w:t>
      </w:r>
      <w:r w:rsidR="00862179" w:rsidRPr="00AA43CB">
        <w:rPr>
          <w:rFonts w:ascii="Times New Roman" w:hAnsi="Times New Roman" w:cs="Times New Roman"/>
          <w:sz w:val="24"/>
          <w:szCs w:val="24"/>
        </w:rPr>
        <w:t>ility in digital environments</w:t>
      </w:r>
      <w:r w:rsidR="00862179" w:rsidRPr="00AA43CB">
        <w:rPr>
          <w:rStyle w:val="FootnoteReference"/>
          <w:rFonts w:ascii="Times New Roman" w:hAnsi="Times New Roman" w:cs="Times New Roman"/>
          <w:sz w:val="24"/>
          <w:szCs w:val="24"/>
        </w:rPr>
        <w:footnoteReference w:id="27"/>
      </w:r>
      <w:r w:rsidR="00862179" w:rsidRPr="00AA43CB">
        <w:rPr>
          <w:rFonts w:ascii="Times New Roman" w:hAnsi="Times New Roman" w:cs="Times New Roman"/>
          <w:sz w:val="24"/>
          <w:szCs w:val="24"/>
        </w:rPr>
        <w:t xml:space="preserve">. </w:t>
      </w:r>
      <w:r w:rsidRPr="00AA43CB">
        <w:rPr>
          <w:rFonts w:ascii="Times New Roman" w:hAnsi="Times New Roman" w:cs="Times New Roman"/>
          <w:sz w:val="24"/>
          <w:szCs w:val="24"/>
        </w:rPr>
        <w:t>This decision has been interpreted in later discussions to highlight the importance of governance in technology-driven operations.</w:t>
      </w:r>
      <w:r w:rsidR="00694745" w:rsidRPr="00AA43CB">
        <w:rPr>
          <w:rFonts w:ascii="Times New Roman" w:hAnsi="Times New Roman" w:cs="Times New Roman"/>
          <w:sz w:val="24"/>
          <w:szCs w:val="24"/>
        </w:rPr>
        <w:t xml:space="preserve"> </w:t>
      </w:r>
      <w:r w:rsidRPr="00AA43CB">
        <w:rPr>
          <w:rFonts w:ascii="Times New Roman" w:hAnsi="Times New Roman" w:cs="Times New Roman"/>
          <w:sz w:val="24"/>
          <w:szCs w:val="24"/>
        </w:rPr>
        <w:t>Additionally, regulatory bodies such as SEBI and RBI have emphasized that failure to protect digital assets reflects poor governance, and courts have upheld their</w:t>
      </w:r>
      <w:r w:rsidR="00862179" w:rsidRPr="00AA43CB">
        <w:rPr>
          <w:rFonts w:ascii="Times New Roman" w:hAnsi="Times New Roman" w:cs="Times New Roman"/>
          <w:sz w:val="24"/>
          <w:szCs w:val="24"/>
        </w:rPr>
        <w:t xml:space="preserve"> authority to impose penalties. </w:t>
      </w:r>
      <w:r w:rsidRPr="00AA43CB">
        <w:rPr>
          <w:rFonts w:ascii="Times New Roman" w:hAnsi="Times New Roman" w:cs="Times New Roman"/>
          <w:sz w:val="24"/>
          <w:szCs w:val="24"/>
        </w:rPr>
        <w:t>Indian jurisprudence is increasingly aligning with global trends by treating cyber security as a critical component of fiduciary duty, risk management, and organizational due diligence.</w:t>
      </w:r>
    </w:p>
    <w:p w:rsidR="00AC4735" w:rsidRPr="00694745" w:rsidRDefault="00AC4735" w:rsidP="00694745">
      <w:pPr>
        <w:pStyle w:val="Heading1"/>
        <w:spacing w:line="360" w:lineRule="auto"/>
        <w:jc w:val="both"/>
        <w:rPr>
          <w:rFonts w:ascii="Times New Roman" w:hAnsi="Times New Roman" w:cs="Times New Roman"/>
          <w:b w:val="0"/>
          <w:color w:val="auto"/>
          <w:sz w:val="24"/>
          <w:szCs w:val="24"/>
        </w:rPr>
      </w:pPr>
      <w:r w:rsidRPr="00694745">
        <w:rPr>
          <w:rStyle w:val="Strong"/>
          <w:rFonts w:ascii="Times New Roman" w:hAnsi="Times New Roman" w:cs="Times New Roman"/>
          <w:b/>
          <w:bCs/>
          <w:color w:val="auto"/>
          <w:sz w:val="24"/>
          <w:szCs w:val="24"/>
        </w:rPr>
        <w:t>VI. Eme</w:t>
      </w:r>
      <w:r w:rsidR="00694745">
        <w:rPr>
          <w:rStyle w:val="Strong"/>
          <w:rFonts w:ascii="Times New Roman" w:hAnsi="Times New Roman" w:cs="Times New Roman"/>
          <w:b/>
          <w:bCs/>
          <w:color w:val="auto"/>
          <w:sz w:val="24"/>
          <w:szCs w:val="24"/>
        </w:rPr>
        <w:t xml:space="preserve">rging Challenges: </w:t>
      </w:r>
      <w:r w:rsidRPr="00694745">
        <w:rPr>
          <w:rFonts w:ascii="Times New Roman" w:hAnsi="Times New Roman" w:cs="Times New Roman"/>
          <w:b w:val="0"/>
          <w:color w:val="auto"/>
          <w:sz w:val="24"/>
          <w:szCs w:val="24"/>
        </w:rPr>
        <w:t xml:space="preserve">Indian corporations face a fast-changing cyber-risk environment shaped by digital expansion and increasing data dependency. Despite stronger regulations, several challenges continue to hinder effective </w:t>
      </w:r>
      <w:proofErr w:type="spellStart"/>
      <w:r w:rsidRPr="00694745">
        <w:rPr>
          <w:rFonts w:ascii="Times New Roman" w:hAnsi="Times New Roman" w:cs="Times New Roman"/>
          <w:b w:val="0"/>
          <w:color w:val="auto"/>
          <w:sz w:val="24"/>
          <w:szCs w:val="24"/>
        </w:rPr>
        <w:t>cybersecurity</w:t>
      </w:r>
      <w:proofErr w:type="spellEnd"/>
      <w:r w:rsidRPr="00694745">
        <w:rPr>
          <w:rFonts w:ascii="Times New Roman" w:hAnsi="Times New Roman" w:cs="Times New Roman"/>
          <w:b w:val="0"/>
          <w:color w:val="auto"/>
          <w:sz w:val="24"/>
          <w:szCs w:val="24"/>
        </w:rPr>
        <w:t xml:space="preserve"> compliance.</w:t>
      </w:r>
    </w:p>
    <w:p w:rsidR="00AC4735" w:rsidRPr="00694745" w:rsidRDefault="00AC4735" w:rsidP="00694745">
      <w:pPr>
        <w:pStyle w:val="Heading3"/>
        <w:spacing w:line="360" w:lineRule="auto"/>
        <w:jc w:val="both"/>
        <w:rPr>
          <w:b w:val="0"/>
          <w:sz w:val="24"/>
          <w:szCs w:val="24"/>
        </w:rPr>
      </w:pPr>
      <w:r w:rsidRPr="00694745">
        <w:rPr>
          <w:rStyle w:val="Strong"/>
          <w:rFonts w:eastAsiaTheme="majorEastAsia"/>
          <w:b/>
          <w:bCs/>
          <w:sz w:val="24"/>
          <w:szCs w:val="24"/>
        </w:rPr>
        <w:t xml:space="preserve">A. Rise in </w:t>
      </w:r>
      <w:proofErr w:type="spellStart"/>
      <w:r w:rsidRPr="00694745">
        <w:rPr>
          <w:rStyle w:val="Strong"/>
          <w:rFonts w:eastAsiaTheme="majorEastAsia"/>
          <w:b/>
          <w:bCs/>
          <w:sz w:val="24"/>
          <w:szCs w:val="24"/>
        </w:rPr>
        <w:t>Ransomware</w:t>
      </w:r>
      <w:proofErr w:type="spellEnd"/>
      <w:r w:rsidRPr="00694745">
        <w:rPr>
          <w:rStyle w:val="Strong"/>
          <w:rFonts w:eastAsiaTheme="majorEastAsia"/>
          <w:b/>
          <w:bCs/>
          <w:sz w:val="24"/>
          <w:szCs w:val="24"/>
        </w:rPr>
        <w:t xml:space="preserve"> and Phishing Attacks</w:t>
      </w:r>
      <w:r w:rsidR="00694745">
        <w:rPr>
          <w:rStyle w:val="Strong"/>
          <w:rFonts w:eastAsiaTheme="majorEastAsia"/>
          <w:b/>
          <w:bCs/>
          <w:sz w:val="24"/>
          <w:szCs w:val="24"/>
        </w:rPr>
        <w:t xml:space="preserve">: </w:t>
      </w:r>
      <w:proofErr w:type="spellStart"/>
      <w:r w:rsidRPr="00694745">
        <w:rPr>
          <w:b w:val="0"/>
          <w:sz w:val="24"/>
          <w:szCs w:val="24"/>
        </w:rPr>
        <w:t>Ransomware</w:t>
      </w:r>
      <w:proofErr w:type="spellEnd"/>
      <w:r w:rsidRPr="00694745">
        <w:rPr>
          <w:b w:val="0"/>
          <w:sz w:val="24"/>
          <w:szCs w:val="24"/>
        </w:rPr>
        <w:t xml:space="preserve"> and phishing incidents are growing rapidly, targeting sectors like IT, banking, and healthcare. Remote work and cloud use have expanded vulnerabilities, allowing attackers to exploit weak security layers.</w:t>
      </w:r>
    </w:p>
    <w:p w:rsidR="00AC4735" w:rsidRPr="00694745" w:rsidRDefault="00AC4735" w:rsidP="00694745">
      <w:pPr>
        <w:pStyle w:val="Heading3"/>
        <w:spacing w:line="360" w:lineRule="auto"/>
        <w:jc w:val="both"/>
        <w:rPr>
          <w:b w:val="0"/>
          <w:sz w:val="24"/>
          <w:szCs w:val="24"/>
        </w:rPr>
      </w:pPr>
      <w:r w:rsidRPr="00694745">
        <w:rPr>
          <w:rStyle w:val="Strong"/>
          <w:rFonts w:eastAsiaTheme="majorEastAsia"/>
          <w:b/>
          <w:bCs/>
          <w:sz w:val="24"/>
          <w:szCs w:val="24"/>
        </w:rPr>
        <w:t xml:space="preserve">B. Shortage of Skilled </w:t>
      </w:r>
      <w:proofErr w:type="spellStart"/>
      <w:r w:rsidRPr="00694745">
        <w:rPr>
          <w:rStyle w:val="Strong"/>
          <w:rFonts w:eastAsiaTheme="majorEastAsia"/>
          <w:b/>
          <w:bCs/>
          <w:sz w:val="24"/>
          <w:szCs w:val="24"/>
        </w:rPr>
        <w:t>Cybersecurity</w:t>
      </w:r>
      <w:proofErr w:type="spellEnd"/>
      <w:r w:rsidRPr="00694745">
        <w:rPr>
          <w:rStyle w:val="Strong"/>
          <w:rFonts w:eastAsiaTheme="majorEastAsia"/>
          <w:b/>
          <w:bCs/>
          <w:sz w:val="24"/>
          <w:szCs w:val="24"/>
        </w:rPr>
        <w:t xml:space="preserve"> Professionals</w:t>
      </w:r>
      <w:r w:rsidR="00694745">
        <w:rPr>
          <w:rStyle w:val="Strong"/>
          <w:rFonts w:eastAsiaTheme="majorEastAsia"/>
          <w:b/>
          <w:bCs/>
          <w:sz w:val="24"/>
          <w:szCs w:val="24"/>
        </w:rPr>
        <w:t xml:space="preserve">: </w:t>
      </w:r>
      <w:r w:rsidRPr="00694745">
        <w:rPr>
          <w:b w:val="0"/>
          <w:sz w:val="24"/>
          <w:szCs w:val="24"/>
        </w:rPr>
        <w:t xml:space="preserve">India faces a major gap in trained </w:t>
      </w:r>
      <w:proofErr w:type="spellStart"/>
      <w:r w:rsidRPr="00694745">
        <w:rPr>
          <w:b w:val="0"/>
          <w:sz w:val="24"/>
          <w:szCs w:val="24"/>
        </w:rPr>
        <w:t>cybersecurity</w:t>
      </w:r>
      <w:proofErr w:type="spellEnd"/>
      <w:r w:rsidRPr="00694745">
        <w:rPr>
          <w:b w:val="0"/>
          <w:sz w:val="24"/>
          <w:szCs w:val="24"/>
        </w:rPr>
        <w:t xml:space="preserve"> experts. This shortage limits organisations’ ability to meet standards such as ISO 27001 and CERT-In directions, affecting overall compliance readiness.</w:t>
      </w:r>
    </w:p>
    <w:p w:rsidR="00AC4735" w:rsidRPr="00694745" w:rsidRDefault="00AC4735" w:rsidP="00694745">
      <w:pPr>
        <w:pStyle w:val="Heading3"/>
        <w:spacing w:line="360" w:lineRule="auto"/>
        <w:jc w:val="both"/>
        <w:rPr>
          <w:b w:val="0"/>
          <w:sz w:val="24"/>
          <w:szCs w:val="24"/>
        </w:rPr>
      </w:pPr>
      <w:r w:rsidRPr="00694745">
        <w:rPr>
          <w:rStyle w:val="Strong"/>
          <w:rFonts w:eastAsiaTheme="majorEastAsia"/>
          <w:b/>
          <w:bCs/>
          <w:sz w:val="24"/>
          <w:szCs w:val="24"/>
        </w:rPr>
        <w:lastRenderedPageBreak/>
        <w:t>C. Cross-Border Data Transfer Issues</w:t>
      </w:r>
      <w:r w:rsidR="00694745">
        <w:rPr>
          <w:rStyle w:val="Strong"/>
          <w:rFonts w:eastAsiaTheme="majorEastAsia"/>
          <w:b/>
          <w:bCs/>
          <w:sz w:val="24"/>
          <w:szCs w:val="24"/>
        </w:rPr>
        <w:t xml:space="preserve">: </w:t>
      </w:r>
      <w:r w:rsidRPr="00694745">
        <w:rPr>
          <w:b w:val="0"/>
          <w:sz w:val="24"/>
          <w:szCs w:val="24"/>
        </w:rPr>
        <w:t>Global cloud services and outsourcing models create challenges in complying with Indian data laws and international frameworks simultaneously. Disputes arise when data or attackers are located outside India.</w:t>
      </w:r>
    </w:p>
    <w:p w:rsidR="00AC4735" w:rsidRPr="00694745" w:rsidRDefault="00AC4735" w:rsidP="00694745">
      <w:pPr>
        <w:pStyle w:val="Heading3"/>
        <w:spacing w:line="360" w:lineRule="auto"/>
        <w:jc w:val="both"/>
        <w:rPr>
          <w:b w:val="0"/>
          <w:sz w:val="24"/>
          <w:szCs w:val="24"/>
        </w:rPr>
      </w:pPr>
      <w:r w:rsidRPr="00694745">
        <w:rPr>
          <w:rStyle w:val="Strong"/>
          <w:rFonts w:eastAsiaTheme="majorEastAsia"/>
          <w:b/>
          <w:bCs/>
          <w:sz w:val="24"/>
          <w:szCs w:val="24"/>
        </w:rPr>
        <w:t>D. Rapid Technological Advancements</w:t>
      </w:r>
      <w:r w:rsidR="00694745">
        <w:rPr>
          <w:rStyle w:val="Strong"/>
          <w:rFonts w:eastAsiaTheme="majorEastAsia"/>
          <w:b/>
          <w:bCs/>
          <w:sz w:val="24"/>
          <w:szCs w:val="24"/>
        </w:rPr>
        <w:t xml:space="preserve">: </w:t>
      </w:r>
      <w:r w:rsidRPr="00694745">
        <w:rPr>
          <w:b w:val="0"/>
          <w:sz w:val="24"/>
          <w:szCs w:val="24"/>
        </w:rPr>
        <w:t xml:space="preserve">New technologies like AI, </w:t>
      </w:r>
      <w:proofErr w:type="spellStart"/>
      <w:r w:rsidRPr="00694745">
        <w:rPr>
          <w:b w:val="0"/>
          <w:sz w:val="24"/>
          <w:szCs w:val="24"/>
        </w:rPr>
        <w:t>IoT</w:t>
      </w:r>
      <w:proofErr w:type="spellEnd"/>
      <w:r w:rsidRPr="00694745">
        <w:rPr>
          <w:b w:val="0"/>
          <w:sz w:val="24"/>
          <w:szCs w:val="24"/>
        </w:rPr>
        <w:t>, and multi-cloud systems introduce complex security risks. Traditional security models often fail to address these evolving threats, requiring continuous updates to corporate compliance strategies.</w:t>
      </w:r>
    </w:p>
    <w:p w:rsidR="00AC4735" w:rsidRPr="00694745" w:rsidRDefault="00AC4735" w:rsidP="00694745">
      <w:pPr>
        <w:pStyle w:val="Heading1"/>
        <w:spacing w:line="360" w:lineRule="auto"/>
        <w:jc w:val="both"/>
        <w:rPr>
          <w:rFonts w:ascii="Times New Roman" w:hAnsi="Times New Roman" w:cs="Times New Roman"/>
          <w:b w:val="0"/>
          <w:color w:val="auto"/>
          <w:sz w:val="24"/>
          <w:szCs w:val="24"/>
        </w:rPr>
      </w:pPr>
      <w:r w:rsidRPr="00694745">
        <w:rPr>
          <w:rStyle w:val="Strong"/>
          <w:rFonts w:ascii="Times New Roman" w:hAnsi="Times New Roman" w:cs="Times New Roman"/>
          <w:b/>
          <w:bCs/>
          <w:color w:val="auto"/>
          <w:sz w:val="24"/>
          <w:szCs w:val="24"/>
        </w:rPr>
        <w:t>VII. Best Practices for Corporat</w:t>
      </w:r>
      <w:r w:rsidR="00694745">
        <w:rPr>
          <w:rStyle w:val="Strong"/>
          <w:rFonts w:ascii="Times New Roman" w:hAnsi="Times New Roman" w:cs="Times New Roman"/>
          <w:b/>
          <w:bCs/>
          <w:color w:val="auto"/>
          <w:sz w:val="24"/>
          <w:szCs w:val="24"/>
        </w:rPr>
        <w:t xml:space="preserve">e Cyber Security: </w:t>
      </w:r>
      <w:r w:rsidRPr="00694745">
        <w:rPr>
          <w:rFonts w:ascii="Times New Roman" w:hAnsi="Times New Roman" w:cs="Times New Roman"/>
          <w:b w:val="0"/>
          <w:color w:val="auto"/>
          <w:sz w:val="24"/>
          <w:szCs w:val="24"/>
        </w:rPr>
        <w:t xml:space="preserve">Indian corporations must adopt strong </w:t>
      </w:r>
      <w:proofErr w:type="spellStart"/>
      <w:r w:rsidRPr="00694745">
        <w:rPr>
          <w:rFonts w:ascii="Times New Roman" w:hAnsi="Times New Roman" w:cs="Times New Roman"/>
          <w:b w:val="0"/>
          <w:color w:val="auto"/>
          <w:sz w:val="24"/>
          <w:szCs w:val="24"/>
        </w:rPr>
        <w:t>cybersecurity</w:t>
      </w:r>
      <w:proofErr w:type="spellEnd"/>
      <w:r w:rsidRPr="00694745">
        <w:rPr>
          <w:rFonts w:ascii="Times New Roman" w:hAnsi="Times New Roman" w:cs="Times New Roman"/>
          <w:b w:val="0"/>
          <w:color w:val="auto"/>
          <w:sz w:val="24"/>
          <w:szCs w:val="24"/>
        </w:rPr>
        <w:t xml:space="preserve"> measures to counter rising threats and meet regulatory expectations. The following best practices help strengthen resilience and ensure compliance.</w:t>
      </w:r>
    </w:p>
    <w:p w:rsidR="00AC4735" w:rsidRPr="00694745" w:rsidRDefault="00AC4735" w:rsidP="00694745">
      <w:pPr>
        <w:pStyle w:val="Heading3"/>
        <w:spacing w:line="360" w:lineRule="auto"/>
        <w:jc w:val="both"/>
        <w:rPr>
          <w:b w:val="0"/>
          <w:sz w:val="24"/>
          <w:szCs w:val="24"/>
        </w:rPr>
      </w:pPr>
      <w:r w:rsidRPr="00694745">
        <w:rPr>
          <w:rStyle w:val="Strong"/>
          <w:rFonts w:eastAsiaTheme="majorEastAsia"/>
          <w:b/>
          <w:bCs/>
          <w:sz w:val="24"/>
          <w:szCs w:val="24"/>
        </w:rPr>
        <w:t>A. Zero-Trust Security Framework</w:t>
      </w:r>
      <w:r w:rsidR="00694745">
        <w:rPr>
          <w:rStyle w:val="Strong"/>
          <w:rFonts w:eastAsiaTheme="majorEastAsia"/>
          <w:b/>
          <w:bCs/>
          <w:sz w:val="24"/>
          <w:szCs w:val="24"/>
        </w:rPr>
        <w:t xml:space="preserve">: </w:t>
      </w:r>
      <w:r w:rsidRPr="00694745">
        <w:rPr>
          <w:b w:val="0"/>
          <w:sz w:val="24"/>
          <w:szCs w:val="24"/>
        </w:rPr>
        <w:t>The zero-trust model requires continuous verification of every user and device. By avoiding assumptions of internal safety, it reduces insider risks and limits attackers’ movement within corporate networks.</w:t>
      </w:r>
    </w:p>
    <w:p w:rsidR="00AC4735" w:rsidRPr="00694745" w:rsidRDefault="00AC4735" w:rsidP="00694745">
      <w:pPr>
        <w:pStyle w:val="Heading3"/>
        <w:spacing w:line="360" w:lineRule="auto"/>
        <w:jc w:val="both"/>
        <w:rPr>
          <w:b w:val="0"/>
          <w:sz w:val="24"/>
          <w:szCs w:val="24"/>
        </w:rPr>
      </w:pPr>
      <w:r w:rsidRPr="00694745">
        <w:rPr>
          <w:rStyle w:val="Strong"/>
          <w:rFonts w:eastAsiaTheme="majorEastAsia"/>
          <w:b/>
          <w:bCs/>
          <w:sz w:val="24"/>
          <w:szCs w:val="24"/>
        </w:rPr>
        <w:t>B. Regular Penetration Testing</w:t>
      </w:r>
      <w:r w:rsidR="00694745">
        <w:rPr>
          <w:rStyle w:val="Strong"/>
          <w:rFonts w:eastAsiaTheme="majorEastAsia"/>
          <w:b/>
          <w:bCs/>
          <w:sz w:val="24"/>
          <w:szCs w:val="24"/>
        </w:rPr>
        <w:t xml:space="preserve">: </w:t>
      </w:r>
      <w:r w:rsidRPr="00694745">
        <w:rPr>
          <w:b w:val="0"/>
          <w:sz w:val="24"/>
          <w:szCs w:val="24"/>
        </w:rPr>
        <w:t xml:space="preserve">Frequent penetration testing helps identify security weaknesses early. It supports timely risk mitigation, strengthens system </w:t>
      </w:r>
      <w:r w:rsidR="00D70A93" w:rsidRPr="00694745">
        <w:rPr>
          <w:b w:val="0"/>
          <w:sz w:val="24"/>
          <w:szCs w:val="24"/>
        </w:rPr>
        <w:t>defences</w:t>
      </w:r>
      <w:r w:rsidRPr="00694745">
        <w:rPr>
          <w:b w:val="0"/>
          <w:sz w:val="24"/>
          <w:szCs w:val="24"/>
        </w:rPr>
        <w:t>, and aligns with standards such as ISO/IEC 27001 and CERT-In requirements.</w:t>
      </w:r>
    </w:p>
    <w:p w:rsidR="00AC4735" w:rsidRPr="00694745" w:rsidRDefault="00AC4735" w:rsidP="00694745">
      <w:pPr>
        <w:pStyle w:val="Heading3"/>
        <w:spacing w:line="360" w:lineRule="auto"/>
        <w:jc w:val="both"/>
        <w:rPr>
          <w:b w:val="0"/>
          <w:sz w:val="24"/>
          <w:szCs w:val="24"/>
        </w:rPr>
      </w:pPr>
      <w:r w:rsidRPr="00694745">
        <w:rPr>
          <w:rStyle w:val="Strong"/>
          <w:rFonts w:eastAsiaTheme="majorEastAsia"/>
          <w:b/>
          <w:bCs/>
          <w:sz w:val="24"/>
          <w:szCs w:val="24"/>
        </w:rPr>
        <w:t>C. Cyber Insurance</w:t>
      </w:r>
      <w:r w:rsidR="00694745">
        <w:rPr>
          <w:rStyle w:val="Strong"/>
          <w:rFonts w:eastAsiaTheme="majorEastAsia"/>
          <w:b/>
          <w:bCs/>
          <w:sz w:val="24"/>
          <w:szCs w:val="24"/>
        </w:rPr>
        <w:t xml:space="preserve">: </w:t>
      </w:r>
      <w:r w:rsidRPr="00694745">
        <w:rPr>
          <w:b w:val="0"/>
          <w:sz w:val="24"/>
          <w:szCs w:val="24"/>
        </w:rPr>
        <w:t xml:space="preserve">Cyber insurance provides financial protection against incidents such as data breaches, </w:t>
      </w:r>
      <w:proofErr w:type="spellStart"/>
      <w:r w:rsidRPr="00694745">
        <w:rPr>
          <w:b w:val="0"/>
          <w:sz w:val="24"/>
          <w:szCs w:val="24"/>
        </w:rPr>
        <w:t>ransomware</w:t>
      </w:r>
      <w:proofErr w:type="spellEnd"/>
      <w:r w:rsidRPr="00694745">
        <w:rPr>
          <w:b w:val="0"/>
          <w:sz w:val="24"/>
          <w:szCs w:val="24"/>
        </w:rPr>
        <w:t>, and business interruptions. It enhances organisational preparedness and complements corporate risk-management systems.</w:t>
      </w:r>
    </w:p>
    <w:p w:rsidR="00AC4735" w:rsidRPr="00D97D71" w:rsidRDefault="00AC4735" w:rsidP="00D97D71">
      <w:pPr>
        <w:pStyle w:val="Heading3"/>
        <w:spacing w:line="360" w:lineRule="auto"/>
        <w:jc w:val="both"/>
        <w:rPr>
          <w:b w:val="0"/>
          <w:sz w:val="24"/>
          <w:szCs w:val="24"/>
        </w:rPr>
      </w:pPr>
      <w:r w:rsidRPr="00694745">
        <w:rPr>
          <w:rStyle w:val="Strong"/>
          <w:rFonts w:eastAsiaTheme="majorEastAsia"/>
          <w:b/>
          <w:bCs/>
          <w:sz w:val="24"/>
          <w:szCs w:val="24"/>
        </w:rPr>
        <w:t>D. Business Continuity and Disaster Recovery Plans</w:t>
      </w:r>
      <w:r w:rsidR="00D97D71">
        <w:rPr>
          <w:rStyle w:val="Strong"/>
          <w:rFonts w:eastAsiaTheme="majorEastAsia"/>
          <w:b/>
          <w:bCs/>
          <w:sz w:val="24"/>
          <w:szCs w:val="24"/>
        </w:rPr>
        <w:t xml:space="preserve">: </w:t>
      </w:r>
      <w:r w:rsidRPr="00D97D71">
        <w:rPr>
          <w:b w:val="0"/>
          <w:sz w:val="24"/>
          <w:szCs w:val="24"/>
        </w:rPr>
        <w:t>BCP and DRP ensure that business operations continue during and after cyber incidents. They include backup systems, communication plans, and recovery procedures, and are reinforced by RBI and IRDAI regulatory guidelines.</w:t>
      </w:r>
    </w:p>
    <w:p w:rsidR="00A84275" w:rsidRPr="00694745" w:rsidRDefault="00A84275" w:rsidP="00694745">
      <w:pPr>
        <w:pStyle w:val="Heading1"/>
        <w:spacing w:line="360" w:lineRule="auto"/>
        <w:jc w:val="both"/>
        <w:rPr>
          <w:rFonts w:ascii="Times New Roman" w:hAnsi="Times New Roman" w:cs="Times New Roman"/>
          <w:b w:val="0"/>
          <w:color w:val="auto"/>
          <w:sz w:val="24"/>
          <w:szCs w:val="24"/>
        </w:rPr>
      </w:pPr>
      <w:r w:rsidRPr="00694745">
        <w:rPr>
          <w:rStyle w:val="Strong"/>
          <w:rFonts w:ascii="Times New Roman" w:hAnsi="Times New Roman" w:cs="Times New Roman"/>
          <w:b/>
          <w:bCs/>
          <w:color w:val="auto"/>
          <w:sz w:val="24"/>
          <w:szCs w:val="24"/>
        </w:rPr>
        <w:lastRenderedPageBreak/>
        <w:t>VIII. Conclusion</w:t>
      </w:r>
    </w:p>
    <w:p w:rsidR="00A84275" w:rsidRPr="00694745" w:rsidRDefault="00A84275" w:rsidP="00694745">
      <w:pPr>
        <w:pStyle w:val="NormalWeb"/>
        <w:spacing w:line="360" w:lineRule="auto"/>
        <w:jc w:val="both"/>
      </w:pPr>
      <w:proofErr w:type="spellStart"/>
      <w:r w:rsidRPr="00694745">
        <w:t>Cybersecurity</w:t>
      </w:r>
      <w:proofErr w:type="spellEnd"/>
      <w:r w:rsidRPr="00694745">
        <w:t xml:space="preserve"> has become a central pillar of corporate governance in India, especially as organisations navigate complex digital ecosystems and heightened cyber threats. Effective governance requires active oversight from senior management, dedicated risk-management teams, and adherence to national regulatory frameworks.</w:t>
      </w:r>
      <w:r w:rsidR="00330F1C">
        <w:t xml:space="preserve"> </w:t>
      </w:r>
      <w:r w:rsidRPr="00694745">
        <w:t>Compliance with laws such as the Information Technology Act, CERT-In Directions, and the Digital Personal Data Protection Act, 2023 is not only legally mandated but essential for safeguarding an organisation’s reputation, consumer trust, and operational continuity. Corporations that fail to comply face severe legal, financial, and regulatory consequences.</w:t>
      </w:r>
      <w:r w:rsidR="00330F1C">
        <w:t xml:space="preserve"> </w:t>
      </w:r>
      <w:r w:rsidRPr="00694745">
        <w:t xml:space="preserve">Going forward, India’s cyber security laws are expected to evolve in response to technological advancements, cross-border data flows, and increasing reliance on artificial intelligence, cloud services, and </w:t>
      </w:r>
      <w:proofErr w:type="spellStart"/>
      <w:r w:rsidRPr="00694745">
        <w:t>IoT</w:t>
      </w:r>
      <w:proofErr w:type="spellEnd"/>
      <w:r w:rsidRPr="00694745">
        <w:t xml:space="preserve"> devices. Strengthening sector-specific standards, enhancing incident-reporting mechanisms, and promoting cyber awareness will shape the future legal framework. Ultimately, a proactive, compliance-oriented </w:t>
      </w:r>
      <w:proofErr w:type="spellStart"/>
      <w:r w:rsidRPr="00694745">
        <w:t>cybersecurity</w:t>
      </w:r>
      <w:proofErr w:type="spellEnd"/>
      <w:r w:rsidRPr="00694745">
        <w:t xml:space="preserve"> culture is indispensable for sustaining business </w:t>
      </w:r>
      <w:r w:rsidR="00862179">
        <w:t>resilience in the digital age.</w:t>
      </w:r>
    </w:p>
    <w:p w:rsidR="00AC4735" w:rsidRDefault="00AC4735" w:rsidP="00A84275">
      <w:pPr>
        <w:pStyle w:val="NormalWeb"/>
        <w:spacing w:line="360" w:lineRule="auto"/>
        <w:jc w:val="both"/>
      </w:pPr>
    </w:p>
    <w:p w:rsidR="00330F1C" w:rsidRDefault="00330F1C" w:rsidP="00A84275">
      <w:pPr>
        <w:pStyle w:val="NormalWeb"/>
        <w:spacing w:line="360" w:lineRule="auto"/>
        <w:jc w:val="both"/>
      </w:pPr>
    </w:p>
    <w:p w:rsidR="00AC4735" w:rsidRPr="00AC4735" w:rsidRDefault="00AC4735" w:rsidP="00AC4735">
      <w:pPr>
        <w:pStyle w:val="NormalWeb"/>
        <w:spacing w:before="0" w:beforeAutospacing="0" w:after="0" w:afterAutospacing="0"/>
        <w:jc w:val="both"/>
        <w:rPr>
          <w:b/>
        </w:rPr>
      </w:pPr>
      <w:r w:rsidRPr="00AC4735">
        <w:rPr>
          <w:b/>
        </w:rPr>
        <w:t xml:space="preserve">References: </w:t>
      </w:r>
    </w:p>
    <w:p w:rsidR="00AC4735" w:rsidRPr="00AC4735" w:rsidRDefault="00AC4735" w:rsidP="00A84275">
      <w:pPr>
        <w:pStyle w:val="NormalWeb"/>
        <w:spacing w:line="360" w:lineRule="auto"/>
        <w:jc w:val="both"/>
        <w:rPr>
          <w:b/>
        </w:rPr>
      </w:pPr>
      <w:r w:rsidRPr="00AC4735">
        <w:rPr>
          <w:b/>
        </w:rPr>
        <w:t xml:space="preserve">Books: </w:t>
      </w:r>
    </w:p>
    <w:p w:rsidR="00AC4735" w:rsidRPr="00AC4735" w:rsidRDefault="00AC4735" w:rsidP="003566EF">
      <w:pPr>
        <w:pStyle w:val="ListParagraph"/>
        <w:numPr>
          <w:ilvl w:val="0"/>
          <w:numId w:val="21"/>
        </w:numPr>
        <w:spacing w:before="100" w:beforeAutospacing="1" w:after="100" w:afterAutospacing="1" w:line="360" w:lineRule="auto"/>
        <w:jc w:val="both"/>
        <w:rPr>
          <w:rFonts w:ascii="Times New Roman" w:eastAsia="Times New Roman" w:hAnsi="Times New Roman" w:cs="Times New Roman"/>
          <w:sz w:val="24"/>
          <w:szCs w:val="24"/>
          <w:lang w:val="en-US"/>
        </w:rPr>
      </w:pPr>
      <w:proofErr w:type="spellStart"/>
      <w:r w:rsidRPr="00AC4735">
        <w:rPr>
          <w:rFonts w:ascii="Times New Roman" w:eastAsia="Times New Roman" w:hAnsi="Times New Roman" w:cs="Times New Roman"/>
          <w:sz w:val="24"/>
          <w:szCs w:val="24"/>
          <w:lang w:val="en-US"/>
        </w:rPr>
        <w:t>Basu</w:t>
      </w:r>
      <w:proofErr w:type="spellEnd"/>
      <w:r w:rsidRPr="00AC4735">
        <w:rPr>
          <w:rFonts w:ascii="Times New Roman" w:eastAsia="Times New Roman" w:hAnsi="Times New Roman" w:cs="Times New Roman"/>
          <w:sz w:val="24"/>
          <w:szCs w:val="24"/>
          <w:lang w:val="en-US"/>
        </w:rPr>
        <w:t xml:space="preserve">, S. (2021). </w:t>
      </w:r>
      <w:r w:rsidRPr="00AC4735">
        <w:rPr>
          <w:rFonts w:ascii="Times New Roman" w:eastAsia="Times New Roman" w:hAnsi="Times New Roman" w:cs="Times New Roman"/>
          <w:i/>
          <w:iCs/>
          <w:sz w:val="24"/>
          <w:szCs w:val="24"/>
          <w:lang w:val="en-US"/>
        </w:rPr>
        <w:t>Cyber Law in India: Governance, Regulations and Compliance</w:t>
      </w:r>
      <w:r w:rsidRPr="00AC4735">
        <w:rPr>
          <w:rFonts w:ascii="Times New Roman" w:eastAsia="Times New Roman" w:hAnsi="Times New Roman" w:cs="Times New Roman"/>
          <w:sz w:val="24"/>
          <w:szCs w:val="24"/>
          <w:lang w:val="en-US"/>
        </w:rPr>
        <w:t>. Eastern Book Company.</w:t>
      </w:r>
    </w:p>
    <w:p w:rsidR="00AC4735" w:rsidRPr="00AC4735" w:rsidRDefault="00AC4735" w:rsidP="003566EF">
      <w:pPr>
        <w:pStyle w:val="ListParagraph"/>
        <w:numPr>
          <w:ilvl w:val="0"/>
          <w:numId w:val="21"/>
        </w:numPr>
        <w:spacing w:before="100" w:beforeAutospacing="1" w:after="100" w:afterAutospacing="1" w:line="360" w:lineRule="auto"/>
        <w:jc w:val="both"/>
        <w:rPr>
          <w:rFonts w:ascii="Times New Roman" w:eastAsia="Times New Roman" w:hAnsi="Times New Roman" w:cs="Times New Roman"/>
          <w:sz w:val="24"/>
          <w:szCs w:val="24"/>
          <w:lang w:val="en-US"/>
        </w:rPr>
      </w:pPr>
      <w:r w:rsidRPr="00AC4735">
        <w:rPr>
          <w:rFonts w:ascii="Times New Roman" w:eastAsia="Times New Roman" w:hAnsi="Times New Roman" w:cs="Times New Roman"/>
          <w:sz w:val="24"/>
          <w:szCs w:val="24"/>
          <w:lang w:val="en-US"/>
        </w:rPr>
        <w:t xml:space="preserve">Sharma, R., &amp; </w:t>
      </w:r>
      <w:proofErr w:type="spellStart"/>
      <w:r w:rsidRPr="00AC4735">
        <w:rPr>
          <w:rFonts w:ascii="Times New Roman" w:eastAsia="Times New Roman" w:hAnsi="Times New Roman" w:cs="Times New Roman"/>
          <w:sz w:val="24"/>
          <w:szCs w:val="24"/>
          <w:lang w:val="en-US"/>
        </w:rPr>
        <w:t>Kapoor</w:t>
      </w:r>
      <w:proofErr w:type="spellEnd"/>
      <w:r w:rsidRPr="00AC4735">
        <w:rPr>
          <w:rFonts w:ascii="Times New Roman" w:eastAsia="Times New Roman" w:hAnsi="Times New Roman" w:cs="Times New Roman"/>
          <w:sz w:val="24"/>
          <w:szCs w:val="24"/>
          <w:lang w:val="en-US"/>
        </w:rPr>
        <w:t xml:space="preserve">, A. (2022). Corporate cyber governance and liability under Indian law. </w:t>
      </w:r>
      <w:r w:rsidRPr="00AC4735">
        <w:rPr>
          <w:rFonts w:ascii="Times New Roman" w:eastAsia="Times New Roman" w:hAnsi="Times New Roman" w:cs="Times New Roman"/>
          <w:i/>
          <w:iCs/>
          <w:sz w:val="24"/>
          <w:szCs w:val="24"/>
          <w:lang w:val="en-US"/>
        </w:rPr>
        <w:t xml:space="preserve">Journal of </w:t>
      </w:r>
      <w:proofErr w:type="spellStart"/>
      <w:r w:rsidRPr="00AC4735">
        <w:rPr>
          <w:rFonts w:ascii="Times New Roman" w:eastAsia="Times New Roman" w:hAnsi="Times New Roman" w:cs="Times New Roman"/>
          <w:i/>
          <w:iCs/>
          <w:sz w:val="24"/>
          <w:szCs w:val="24"/>
          <w:lang w:val="en-US"/>
        </w:rPr>
        <w:t>Cybersecurity</w:t>
      </w:r>
      <w:proofErr w:type="spellEnd"/>
      <w:r w:rsidRPr="00AC4735">
        <w:rPr>
          <w:rFonts w:ascii="Times New Roman" w:eastAsia="Times New Roman" w:hAnsi="Times New Roman" w:cs="Times New Roman"/>
          <w:i/>
          <w:iCs/>
          <w:sz w:val="24"/>
          <w:szCs w:val="24"/>
          <w:lang w:val="en-US"/>
        </w:rPr>
        <w:t xml:space="preserve"> and Digital Governance</w:t>
      </w:r>
      <w:r w:rsidRPr="00AC4735">
        <w:rPr>
          <w:rFonts w:ascii="Times New Roman" w:eastAsia="Times New Roman" w:hAnsi="Times New Roman" w:cs="Times New Roman"/>
          <w:sz w:val="24"/>
          <w:szCs w:val="24"/>
          <w:lang w:val="en-US"/>
        </w:rPr>
        <w:t>, 7(2), 45–60.</w:t>
      </w:r>
    </w:p>
    <w:p w:rsidR="00AC4735" w:rsidRPr="00AC4735" w:rsidRDefault="00AC4735" w:rsidP="003566EF">
      <w:pPr>
        <w:pStyle w:val="ListParagraph"/>
        <w:numPr>
          <w:ilvl w:val="0"/>
          <w:numId w:val="21"/>
        </w:numPr>
        <w:spacing w:before="100" w:beforeAutospacing="1" w:after="100" w:afterAutospacing="1" w:line="360" w:lineRule="auto"/>
        <w:jc w:val="both"/>
        <w:rPr>
          <w:rFonts w:ascii="Times New Roman" w:eastAsia="Times New Roman" w:hAnsi="Times New Roman" w:cs="Times New Roman"/>
          <w:sz w:val="24"/>
          <w:szCs w:val="24"/>
          <w:lang w:val="en-US"/>
        </w:rPr>
      </w:pPr>
      <w:proofErr w:type="spellStart"/>
      <w:r w:rsidRPr="00AC4735">
        <w:rPr>
          <w:rFonts w:ascii="Times New Roman" w:eastAsia="Times New Roman" w:hAnsi="Times New Roman" w:cs="Times New Roman"/>
          <w:sz w:val="24"/>
          <w:szCs w:val="24"/>
          <w:lang w:val="en-US"/>
        </w:rPr>
        <w:t>Rao</w:t>
      </w:r>
      <w:proofErr w:type="spellEnd"/>
      <w:r w:rsidRPr="00AC4735">
        <w:rPr>
          <w:rFonts w:ascii="Times New Roman" w:eastAsia="Times New Roman" w:hAnsi="Times New Roman" w:cs="Times New Roman"/>
          <w:sz w:val="24"/>
          <w:szCs w:val="24"/>
          <w:lang w:val="en-US"/>
        </w:rPr>
        <w:t xml:space="preserve">, P. (2021). Data privacy and cyber liability in Indian corporate sector. </w:t>
      </w:r>
      <w:r w:rsidRPr="00AC4735">
        <w:rPr>
          <w:rFonts w:ascii="Times New Roman" w:eastAsia="Times New Roman" w:hAnsi="Times New Roman" w:cs="Times New Roman"/>
          <w:i/>
          <w:iCs/>
          <w:sz w:val="24"/>
          <w:szCs w:val="24"/>
          <w:lang w:val="en-US"/>
        </w:rPr>
        <w:t>International Journal of Law &amp; Technology</w:t>
      </w:r>
      <w:r w:rsidRPr="00AC4735">
        <w:rPr>
          <w:rFonts w:ascii="Times New Roman" w:eastAsia="Times New Roman" w:hAnsi="Times New Roman" w:cs="Times New Roman"/>
          <w:sz w:val="24"/>
          <w:szCs w:val="24"/>
          <w:lang w:val="en-US"/>
        </w:rPr>
        <w:t>, 15(1), 27–39.</w:t>
      </w:r>
    </w:p>
    <w:p w:rsidR="00AC4735" w:rsidRPr="00AC4735" w:rsidRDefault="00AC4735" w:rsidP="003566EF">
      <w:pPr>
        <w:pStyle w:val="NormalWeb"/>
        <w:spacing w:before="0" w:beforeAutospacing="0" w:after="0" w:afterAutospacing="0" w:line="360" w:lineRule="auto"/>
        <w:jc w:val="both"/>
        <w:rPr>
          <w:b/>
        </w:rPr>
      </w:pPr>
      <w:r w:rsidRPr="00AC4735">
        <w:rPr>
          <w:b/>
        </w:rPr>
        <w:t>Government Policies, Acts &amp; Regulations</w:t>
      </w:r>
    </w:p>
    <w:p w:rsidR="00AC4735" w:rsidRPr="00AC4735" w:rsidRDefault="00AC4735" w:rsidP="003566EF">
      <w:pPr>
        <w:pStyle w:val="ListParagraph"/>
        <w:numPr>
          <w:ilvl w:val="0"/>
          <w:numId w:val="21"/>
        </w:numPr>
        <w:spacing w:before="100" w:beforeAutospacing="1" w:after="100" w:afterAutospacing="1" w:line="360" w:lineRule="auto"/>
        <w:jc w:val="both"/>
        <w:rPr>
          <w:rFonts w:ascii="Times New Roman" w:eastAsia="Times New Roman" w:hAnsi="Times New Roman" w:cs="Times New Roman"/>
          <w:sz w:val="24"/>
          <w:szCs w:val="24"/>
          <w:lang w:val="en-US"/>
        </w:rPr>
      </w:pPr>
      <w:r w:rsidRPr="00AC4735">
        <w:rPr>
          <w:rFonts w:ascii="Times New Roman" w:eastAsia="Times New Roman" w:hAnsi="Times New Roman" w:cs="Times New Roman"/>
          <w:sz w:val="24"/>
          <w:szCs w:val="24"/>
          <w:lang w:val="en-US"/>
        </w:rPr>
        <w:lastRenderedPageBreak/>
        <w:t xml:space="preserve">Ministry of Electronics and Information Technology. (2013). </w:t>
      </w:r>
      <w:r w:rsidRPr="00AC4735">
        <w:rPr>
          <w:rFonts w:ascii="Times New Roman" w:eastAsia="Times New Roman" w:hAnsi="Times New Roman" w:cs="Times New Roman"/>
          <w:i/>
          <w:iCs/>
          <w:sz w:val="24"/>
          <w:szCs w:val="24"/>
          <w:lang w:val="en-US"/>
        </w:rPr>
        <w:t>National Cyber Security Policy 2013</w:t>
      </w:r>
      <w:r w:rsidRPr="00AC4735">
        <w:rPr>
          <w:rFonts w:ascii="Times New Roman" w:eastAsia="Times New Roman" w:hAnsi="Times New Roman" w:cs="Times New Roman"/>
          <w:sz w:val="24"/>
          <w:szCs w:val="24"/>
          <w:lang w:val="en-US"/>
        </w:rPr>
        <w:t>. Government of India.</w:t>
      </w:r>
    </w:p>
    <w:p w:rsidR="00AC4735" w:rsidRPr="00AC4735" w:rsidRDefault="00AC4735" w:rsidP="003566EF">
      <w:pPr>
        <w:pStyle w:val="ListParagraph"/>
        <w:numPr>
          <w:ilvl w:val="0"/>
          <w:numId w:val="21"/>
        </w:numPr>
        <w:spacing w:before="100" w:beforeAutospacing="1" w:after="100" w:afterAutospacing="1" w:line="360" w:lineRule="auto"/>
        <w:jc w:val="both"/>
        <w:rPr>
          <w:rFonts w:ascii="Times New Roman" w:eastAsia="Times New Roman" w:hAnsi="Times New Roman" w:cs="Times New Roman"/>
          <w:sz w:val="24"/>
          <w:szCs w:val="24"/>
          <w:lang w:val="en-US"/>
        </w:rPr>
      </w:pPr>
      <w:r w:rsidRPr="00AC4735">
        <w:rPr>
          <w:rFonts w:ascii="Times New Roman" w:eastAsia="Times New Roman" w:hAnsi="Times New Roman" w:cs="Times New Roman"/>
          <w:sz w:val="24"/>
          <w:szCs w:val="24"/>
          <w:lang w:val="en-US"/>
        </w:rPr>
        <w:t xml:space="preserve">Ministry of Electronics and Information Technology. (2021). </w:t>
      </w:r>
      <w:r w:rsidRPr="00AC4735">
        <w:rPr>
          <w:rFonts w:ascii="Times New Roman" w:eastAsia="Times New Roman" w:hAnsi="Times New Roman" w:cs="Times New Roman"/>
          <w:i/>
          <w:iCs/>
          <w:sz w:val="24"/>
          <w:szCs w:val="24"/>
          <w:lang w:val="en-US"/>
        </w:rPr>
        <w:t>Guidelines for Incident Response and Business Continuity</w:t>
      </w:r>
      <w:r w:rsidRPr="00AC4735">
        <w:rPr>
          <w:rFonts w:ascii="Times New Roman" w:eastAsia="Times New Roman" w:hAnsi="Times New Roman" w:cs="Times New Roman"/>
          <w:sz w:val="24"/>
          <w:szCs w:val="24"/>
          <w:lang w:val="en-US"/>
        </w:rPr>
        <w:t>. Government of India.</w:t>
      </w:r>
    </w:p>
    <w:p w:rsidR="00AC4735" w:rsidRPr="00AC4735" w:rsidRDefault="00AC4735" w:rsidP="003566EF">
      <w:pPr>
        <w:pStyle w:val="ListParagraph"/>
        <w:numPr>
          <w:ilvl w:val="0"/>
          <w:numId w:val="21"/>
        </w:numPr>
        <w:spacing w:before="100" w:beforeAutospacing="1" w:after="100" w:afterAutospacing="1" w:line="360" w:lineRule="auto"/>
        <w:jc w:val="both"/>
        <w:rPr>
          <w:rFonts w:ascii="Times New Roman" w:eastAsia="Times New Roman" w:hAnsi="Times New Roman" w:cs="Times New Roman"/>
          <w:sz w:val="24"/>
          <w:szCs w:val="24"/>
          <w:lang w:val="en-US"/>
        </w:rPr>
      </w:pPr>
      <w:r w:rsidRPr="00AC4735">
        <w:rPr>
          <w:rFonts w:ascii="Times New Roman" w:eastAsia="Times New Roman" w:hAnsi="Times New Roman" w:cs="Times New Roman"/>
          <w:sz w:val="24"/>
          <w:szCs w:val="24"/>
          <w:lang w:val="en-US"/>
        </w:rPr>
        <w:t xml:space="preserve">Ministry of Electronics and Information Technology. (2023). </w:t>
      </w:r>
      <w:r w:rsidRPr="00AC4735">
        <w:rPr>
          <w:rFonts w:ascii="Times New Roman" w:eastAsia="Times New Roman" w:hAnsi="Times New Roman" w:cs="Times New Roman"/>
          <w:i/>
          <w:iCs/>
          <w:sz w:val="24"/>
          <w:szCs w:val="24"/>
          <w:lang w:val="en-US"/>
        </w:rPr>
        <w:t>Digital Personal Data Protection Act, 2023</w:t>
      </w:r>
      <w:r w:rsidRPr="00AC4735">
        <w:rPr>
          <w:rFonts w:ascii="Times New Roman" w:eastAsia="Times New Roman" w:hAnsi="Times New Roman" w:cs="Times New Roman"/>
          <w:sz w:val="24"/>
          <w:szCs w:val="24"/>
          <w:lang w:val="en-US"/>
        </w:rPr>
        <w:t>. Government of India.</w:t>
      </w:r>
    </w:p>
    <w:p w:rsidR="00AC4735" w:rsidRPr="00AC4735" w:rsidRDefault="00AC4735" w:rsidP="003566EF">
      <w:pPr>
        <w:pStyle w:val="ListParagraph"/>
        <w:numPr>
          <w:ilvl w:val="0"/>
          <w:numId w:val="21"/>
        </w:numPr>
        <w:spacing w:before="100" w:beforeAutospacing="1" w:after="100" w:afterAutospacing="1" w:line="360" w:lineRule="auto"/>
        <w:jc w:val="both"/>
        <w:rPr>
          <w:rFonts w:ascii="Times New Roman" w:eastAsia="Times New Roman" w:hAnsi="Times New Roman" w:cs="Times New Roman"/>
          <w:sz w:val="24"/>
          <w:szCs w:val="24"/>
          <w:lang w:val="en-US"/>
        </w:rPr>
      </w:pPr>
      <w:r w:rsidRPr="00AC4735">
        <w:rPr>
          <w:rFonts w:ascii="Times New Roman" w:eastAsia="Times New Roman" w:hAnsi="Times New Roman" w:cs="Times New Roman"/>
          <w:sz w:val="24"/>
          <w:szCs w:val="24"/>
          <w:lang w:val="en-US"/>
        </w:rPr>
        <w:t xml:space="preserve">Indian Computer Emergency Response Team. (2022). </w:t>
      </w:r>
      <w:r w:rsidRPr="00AC4735">
        <w:rPr>
          <w:rFonts w:ascii="Times New Roman" w:eastAsia="Times New Roman" w:hAnsi="Times New Roman" w:cs="Times New Roman"/>
          <w:i/>
          <w:iCs/>
          <w:sz w:val="24"/>
          <w:szCs w:val="24"/>
          <w:lang w:val="en-US"/>
        </w:rPr>
        <w:t>CERT-In Annual Report 2022</w:t>
      </w:r>
      <w:r w:rsidRPr="00AC4735">
        <w:rPr>
          <w:rFonts w:ascii="Times New Roman" w:eastAsia="Times New Roman" w:hAnsi="Times New Roman" w:cs="Times New Roman"/>
          <w:sz w:val="24"/>
          <w:szCs w:val="24"/>
          <w:lang w:val="en-US"/>
        </w:rPr>
        <w:t>. Government of India.</w:t>
      </w:r>
    </w:p>
    <w:p w:rsidR="00AC4735" w:rsidRPr="00AC4735" w:rsidRDefault="00AC4735" w:rsidP="003566EF">
      <w:pPr>
        <w:pStyle w:val="ListParagraph"/>
        <w:numPr>
          <w:ilvl w:val="0"/>
          <w:numId w:val="21"/>
        </w:numPr>
        <w:spacing w:before="100" w:beforeAutospacing="1" w:after="100" w:afterAutospacing="1" w:line="360" w:lineRule="auto"/>
        <w:jc w:val="both"/>
        <w:rPr>
          <w:rFonts w:ascii="Times New Roman" w:eastAsia="Times New Roman" w:hAnsi="Times New Roman" w:cs="Times New Roman"/>
          <w:sz w:val="24"/>
          <w:szCs w:val="24"/>
          <w:lang w:val="en-US"/>
        </w:rPr>
      </w:pPr>
      <w:r w:rsidRPr="00AC4735">
        <w:rPr>
          <w:rFonts w:ascii="Times New Roman" w:eastAsia="Times New Roman" w:hAnsi="Times New Roman" w:cs="Times New Roman"/>
          <w:sz w:val="24"/>
          <w:szCs w:val="24"/>
          <w:lang w:val="en-US"/>
        </w:rPr>
        <w:t xml:space="preserve">Government of India. (2000). </w:t>
      </w:r>
      <w:r w:rsidRPr="00AC4735">
        <w:rPr>
          <w:rFonts w:ascii="Times New Roman" w:eastAsia="Times New Roman" w:hAnsi="Times New Roman" w:cs="Times New Roman"/>
          <w:i/>
          <w:iCs/>
          <w:sz w:val="24"/>
          <w:szCs w:val="24"/>
          <w:lang w:val="en-US"/>
        </w:rPr>
        <w:t>Information Technology Act, 2000</w:t>
      </w:r>
      <w:r w:rsidRPr="00AC4735">
        <w:rPr>
          <w:rFonts w:ascii="Times New Roman" w:eastAsia="Times New Roman" w:hAnsi="Times New Roman" w:cs="Times New Roman"/>
          <w:sz w:val="24"/>
          <w:szCs w:val="24"/>
          <w:lang w:val="en-US"/>
        </w:rPr>
        <w:t xml:space="preserve"> (Sections 43A, 72A).</w:t>
      </w:r>
    </w:p>
    <w:p w:rsidR="00AC4735" w:rsidRPr="00AC4735" w:rsidRDefault="00AC4735" w:rsidP="003566EF">
      <w:pPr>
        <w:pStyle w:val="ListParagraph"/>
        <w:numPr>
          <w:ilvl w:val="0"/>
          <w:numId w:val="21"/>
        </w:numPr>
        <w:spacing w:before="100" w:beforeAutospacing="1" w:after="100" w:afterAutospacing="1" w:line="360" w:lineRule="auto"/>
        <w:jc w:val="both"/>
        <w:rPr>
          <w:rFonts w:ascii="Times New Roman" w:eastAsia="Times New Roman" w:hAnsi="Times New Roman" w:cs="Times New Roman"/>
          <w:sz w:val="24"/>
          <w:szCs w:val="24"/>
          <w:lang w:val="en-US"/>
        </w:rPr>
      </w:pPr>
      <w:r w:rsidRPr="00AC4735">
        <w:rPr>
          <w:rFonts w:ascii="Times New Roman" w:eastAsia="Times New Roman" w:hAnsi="Times New Roman" w:cs="Times New Roman"/>
          <w:sz w:val="24"/>
          <w:szCs w:val="24"/>
          <w:lang w:val="en-US"/>
        </w:rPr>
        <w:t xml:space="preserve">Securities and Exchange Board of India. (2018). </w:t>
      </w:r>
      <w:r w:rsidRPr="00AC4735">
        <w:rPr>
          <w:rFonts w:ascii="Times New Roman" w:eastAsia="Times New Roman" w:hAnsi="Times New Roman" w:cs="Times New Roman"/>
          <w:i/>
          <w:iCs/>
          <w:sz w:val="24"/>
          <w:szCs w:val="24"/>
          <w:lang w:val="en-US"/>
        </w:rPr>
        <w:t>Cyber Security and Cyber Resilience Framework</w:t>
      </w:r>
      <w:r w:rsidRPr="00AC4735">
        <w:rPr>
          <w:rFonts w:ascii="Times New Roman" w:eastAsia="Times New Roman" w:hAnsi="Times New Roman" w:cs="Times New Roman"/>
          <w:sz w:val="24"/>
          <w:szCs w:val="24"/>
          <w:lang w:val="en-US"/>
        </w:rPr>
        <w:t>. Government of India.</w:t>
      </w:r>
    </w:p>
    <w:p w:rsidR="00AC4735" w:rsidRPr="00AC4735" w:rsidRDefault="00AC4735" w:rsidP="003566EF">
      <w:pPr>
        <w:pStyle w:val="ListParagraph"/>
        <w:numPr>
          <w:ilvl w:val="0"/>
          <w:numId w:val="21"/>
        </w:numPr>
        <w:spacing w:before="100" w:beforeAutospacing="1" w:after="100" w:afterAutospacing="1" w:line="360" w:lineRule="auto"/>
        <w:jc w:val="both"/>
        <w:rPr>
          <w:rFonts w:ascii="Times New Roman" w:eastAsia="Times New Roman" w:hAnsi="Times New Roman" w:cs="Times New Roman"/>
          <w:sz w:val="24"/>
          <w:szCs w:val="24"/>
          <w:lang w:val="en-US"/>
        </w:rPr>
      </w:pPr>
      <w:r w:rsidRPr="00AC4735">
        <w:rPr>
          <w:rFonts w:ascii="Times New Roman" w:eastAsia="Times New Roman" w:hAnsi="Times New Roman" w:cs="Times New Roman"/>
          <w:sz w:val="24"/>
          <w:szCs w:val="24"/>
          <w:lang w:val="en-US"/>
        </w:rPr>
        <w:t xml:space="preserve">Insurance Regulatory and Development Authority of India. (2023). </w:t>
      </w:r>
      <w:r w:rsidRPr="00AC4735">
        <w:rPr>
          <w:rFonts w:ascii="Times New Roman" w:eastAsia="Times New Roman" w:hAnsi="Times New Roman" w:cs="Times New Roman"/>
          <w:i/>
          <w:iCs/>
          <w:sz w:val="24"/>
          <w:szCs w:val="24"/>
          <w:lang w:val="en-US"/>
        </w:rPr>
        <w:t>Information and Cyber Security Guidelines</w:t>
      </w:r>
      <w:r w:rsidRPr="00AC4735">
        <w:rPr>
          <w:rFonts w:ascii="Times New Roman" w:eastAsia="Times New Roman" w:hAnsi="Times New Roman" w:cs="Times New Roman"/>
          <w:sz w:val="24"/>
          <w:szCs w:val="24"/>
          <w:lang w:val="en-US"/>
        </w:rPr>
        <w:t>. Government of India.</w:t>
      </w:r>
    </w:p>
    <w:p w:rsidR="00AC4735" w:rsidRPr="00AC4735" w:rsidRDefault="00AC4735" w:rsidP="003566EF">
      <w:pPr>
        <w:pStyle w:val="ListParagraph"/>
        <w:numPr>
          <w:ilvl w:val="0"/>
          <w:numId w:val="21"/>
        </w:numPr>
        <w:spacing w:before="100" w:beforeAutospacing="1" w:after="100" w:afterAutospacing="1" w:line="360" w:lineRule="auto"/>
        <w:jc w:val="both"/>
        <w:rPr>
          <w:rFonts w:ascii="Times New Roman" w:eastAsia="Times New Roman" w:hAnsi="Times New Roman" w:cs="Times New Roman"/>
          <w:sz w:val="24"/>
          <w:szCs w:val="24"/>
          <w:lang w:val="en-US"/>
        </w:rPr>
      </w:pPr>
      <w:r w:rsidRPr="00AC4735">
        <w:rPr>
          <w:rFonts w:ascii="Times New Roman" w:eastAsia="Times New Roman" w:hAnsi="Times New Roman" w:cs="Times New Roman"/>
          <w:sz w:val="24"/>
          <w:szCs w:val="24"/>
          <w:lang w:val="en-US"/>
        </w:rPr>
        <w:t xml:space="preserve">Telecom Regulatory Authority of India. (2022). </w:t>
      </w:r>
      <w:proofErr w:type="spellStart"/>
      <w:r w:rsidRPr="00AC4735">
        <w:rPr>
          <w:rFonts w:ascii="Times New Roman" w:eastAsia="Times New Roman" w:hAnsi="Times New Roman" w:cs="Times New Roman"/>
          <w:i/>
          <w:iCs/>
          <w:sz w:val="24"/>
          <w:szCs w:val="24"/>
          <w:lang w:val="en-US"/>
        </w:rPr>
        <w:t>Cybersecurity</w:t>
      </w:r>
      <w:proofErr w:type="spellEnd"/>
      <w:r w:rsidRPr="00AC4735">
        <w:rPr>
          <w:rFonts w:ascii="Times New Roman" w:eastAsia="Times New Roman" w:hAnsi="Times New Roman" w:cs="Times New Roman"/>
          <w:i/>
          <w:iCs/>
          <w:sz w:val="24"/>
          <w:szCs w:val="24"/>
          <w:lang w:val="en-US"/>
        </w:rPr>
        <w:t xml:space="preserve"> Guidelines for Telecom Service Providers</w:t>
      </w:r>
      <w:r w:rsidRPr="00AC4735">
        <w:rPr>
          <w:rFonts w:ascii="Times New Roman" w:eastAsia="Times New Roman" w:hAnsi="Times New Roman" w:cs="Times New Roman"/>
          <w:sz w:val="24"/>
          <w:szCs w:val="24"/>
          <w:lang w:val="en-US"/>
        </w:rPr>
        <w:t>.</w:t>
      </w:r>
    </w:p>
    <w:p w:rsidR="00AC4735" w:rsidRPr="00AC4735" w:rsidRDefault="00AC4735" w:rsidP="003566EF">
      <w:pPr>
        <w:pStyle w:val="ListParagraph"/>
        <w:numPr>
          <w:ilvl w:val="0"/>
          <w:numId w:val="21"/>
        </w:numPr>
        <w:spacing w:before="100" w:beforeAutospacing="1" w:after="100" w:afterAutospacing="1" w:line="360" w:lineRule="auto"/>
        <w:jc w:val="both"/>
        <w:rPr>
          <w:rFonts w:ascii="Times New Roman" w:eastAsia="Times New Roman" w:hAnsi="Times New Roman" w:cs="Times New Roman"/>
          <w:sz w:val="24"/>
          <w:szCs w:val="24"/>
          <w:lang w:val="en-US"/>
        </w:rPr>
      </w:pPr>
      <w:r w:rsidRPr="00AC4735">
        <w:rPr>
          <w:rFonts w:ascii="Times New Roman" w:eastAsia="Times New Roman" w:hAnsi="Times New Roman" w:cs="Times New Roman"/>
          <w:sz w:val="24"/>
          <w:szCs w:val="24"/>
          <w:lang w:val="en-US"/>
        </w:rPr>
        <w:t xml:space="preserve">Reserve Bank of India. (2016). </w:t>
      </w:r>
      <w:r w:rsidRPr="00AC4735">
        <w:rPr>
          <w:rFonts w:ascii="Times New Roman" w:eastAsia="Times New Roman" w:hAnsi="Times New Roman" w:cs="Times New Roman"/>
          <w:i/>
          <w:iCs/>
          <w:sz w:val="24"/>
          <w:szCs w:val="24"/>
          <w:lang w:val="en-US"/>
        </w:rPr>
        <w:t>Cyber Security Framework for Banks</w:t>
      </w:r>
      <w:r w:rsidRPr="00AC4735">
        <w:rPr>
          <w:rFonts w:ascii="Times New Roman" w:eastAsia="Times New Roman" w:hAnsi="Times New Roman" w:cs="Times New Roman"/>
          <w:sz w:val="24"/>
          <w:szCs w:val="24"/>
          <w:lang w:val="en-US"/>
        </w:rPr>
        <w:t>. RBI.</w:t>
      </w:r>
    </w:p>
    <w:p w:rsidR="00AC4735" w:rsidRPr="00AC4735" w:rsidRDefault="00AC4735" w:rsidP="003566EF">
      <w:pPr>
        <w:pStyle w:val="ListParagraph"/>
        <w:numPr>
          <w:ilvl w:val="0"/>
          <w:numId w:val="21"/>
        </w:numPr>
        <w:spacing w:before="100" w:beforeAutospacing="1" w:after="100" w:afterAutospacing="1" w:line="360" w:lineRule="auto"/>
        <w:jc w:val="both"/>
        <w:rPr>
          <w:rFonts w:ascii="Times New Roman" w:eastAsia="Times New Roman" w:hAnsi="Times New Roman" w:cs="Times New Roman"/>
          <w:sz w:val="24"/>
          <w:szCs w:val="24"/>
          <w:lang w:val="en-US"/>
        </w:rPr>
      </w:pPr>
      <w:r w:rsidRPr="00AC4735">
        <w:rPr>
          <w:rFonts w:ascii="Times New Roman" w:eastAsia="Times New Roman" w:hAnsi="Times New Roman" w:cs="Times New Roman"/>
          <w:sz w:val="24"/>
          <w:szCs w:val="24"/>
          <w:lang w:val="en-US"/>
        </w:rPr>
        <w:t xml:space="preserve">Reserve Bank of India. (2021). </w:t>
      </w:r>
      <w:r w:rsidRPr="00AC4735">
        <w:rPr>
          <w:rFonts w:ascii="Times New Roman" w:eastAsia="Times New Roman" w:hAnsi="Times New Roman" w:cs="Times New Roman"/>
          <w:i/>
          <w:iCs/>
          <w:sz w:val="24"/>
          <w:szCs w:val="24"/>
          <w:lang w:val="en-US"/>
        </w:rPr>
        <w:t>Master Direction on IT Governance, Risk, Controls, and Assurance Practices</w:t>
      </w:r>
      <w:r w:rsidRPr="00AC4735">
        <w:rPr>
          <w:rFonts w:ascii="Times New Roman" w:eastAsia="Times New Roman" w:hAnsi="Times New Roman" w:cs="Times New Roman"/>
          <w:sz w:val="24"/>
          <w:szCs w:val="24"/>
          <w:lang w:val="en-US"/>
        </w:rPr>
        <w:t>. RBI.</w:t>
      </w:r>
    </w:p>
    <w:p w:rsidR="00AC4735" w:rsidRPr="00AC4735" w:rsidRDefault="00AC4735" w:rsidP="003566EF">
      <w:pPr>
        <w:spacing w:before="100" w:beforeAutospacing="1" w:after="100" w:afterAutospacing="1" w:line="360" w:lineRule="auto"/>
        <w:jc w:val="both"/>
        <w:rPr>
          <w:rFonts w:ascii="Times New Roman" w:eastAsia="Times New Roman" w:hAnsi="Times New Roman" w:cs="Times New Roman"/>
          <w:sz w:val="24"/>
          <w:szCs w:val="24"/>
          <w:lang w:val="en-US"/>
        </w:rPr>
      </w:pPr>
      <w:r w:rsidRPr="00AC4735">
        <w:rPr>
          <w:rFonts w:ascii="Times New Roman" w:eastAsia="Times New Roman" w:hAnsi="Times New Roman" w:cs="Times New Roman"/>
          <w:b/>
          <w:bCs/>
          <w:sz w:val="24"/>
          <w:szCs w:val="24"/>
          <w:lang w:val="en-US"/>
        </w:rPr>
        <w:t>International Standards &amp; Frameworks</w:t>
      </w:r>
    </w:p>
    <w:p w:rsidR="00AC4735" w:rsidRPr="00AC4735" w:rsidRDefault="00AC4735" w:rsidP="003566EF">
      <w:pPr>
        <w:pStyle w:val="ListParagraph"/>
        <w:numPr>
          <w:ilvl w:val="0"/>
          <w:numId w:val="22"/>
        </w:numPr>
        <w:spacing w:before="100" w:beforeAutospacing="1" w:after="100" w:afterAutospacing="1" w:line="360" w:lineRule="auto"/>
        <w:jc w:val="both"/>
        <w:rPr>
          <w:rFonts w:ascii="Times New Roman" w:eastAsia="Times New Roman" w:hAnsi="Times New Roman" w:cs="Times New Roman"/>
          <w:sz w:val="24"/>
          <w:szCs w:val="24"/>
          <w:lang w:val="en-US"/>
        </w:rPr>
      </w:pPr>
      <w:r w:rsidRPr="00AC4735">
        <w:rPr>
          <w:rFonts w:ascii="Times New Roman" w:eastAsia="Times New Roman" w:hAnsi="Times New Roman" w:cs="Times New Roman"/>
          <w:sz w:val="24"/>
          <w:szCs w:val="24"/>
          <w:lang w:val="en-US"/>
        </w:rPr>
        <w:t xml:space="preserve">International Organization for Standardization. (2022). </w:t>
      </w:r>
      <w:r w:rsidRPr="00AC4735">
        <w:rPr>
          <w:rFonts w:ascii="Times New Roman" w:eastAsia="Times New Roman" w:hAnsi="Times New Roman" w:cs="Times New Roman"/>
          <w:i/>
          <w:iCs/>
          <w:sz w:val="24"/>
          <w:szCs w:val="24"/>
          <w:lang w:val="en-US"/>
        </w:rPr>
        <w:t>ISO/IEC 27001:2022 Information Security Management Systems</w:t>
      </w:r>
      <w:r w:rsidRPr="00AC4735">
        <w:rPr>
          <w:rFonts w:ascii="Times New Roman" w:eastAsia="Times New Roman" w:hAnsi="Times New Roman" w:cs="Times New Roman"/>
          <w:sz w:val="24"/>
          <w:szCs w:val="24"/>
          <w:lang w:val="en-US"/>
        </w:rPr>
        <w:t>. ISO.</w:t>
      </w:r>
    </w:p>
    <w:p w:rsidR="00AC4735" w:rsidRPr="00AC4735" w:rsidRDefault="00AC4735" w:rsidP="003566EF">
      <w:pPr>
        <w:pStyle w:val="ListParagraph"/>
        <w:numPr>
          <w:ilvl w:val="0"/>
          <w:numId w:val="22"/>
        </w:numPr>
        <w:spacing w:before="100" w:beforeAutospacing="1" w:after="100" w:afterAutospacing="1" w:line="360" w:lineRule="auto"/>
        <w:jc w:val="both"/>
        <w:rPr>
          <w:rFonts w:ascii="Times New Roman" w:eastAsia="Times New Roman" w:hAnsi="Times New Roman" w:cs="Times New Roman"/>
          <w:sz w:val="24"/>
          <w:szCs w:val="24"/>
          <w:lang w:val="en-US"/>
        </w:rPr>
      </w:pPr>
      <w:r w:rsidRPr="00AC4735">
        <w:rPr>
          <w:rFonts w:ascii="Times New Roman" w:eastAsia="Times New Roman" w:hAnsi="Times New Roman" w:cs="Times New Roman"/>
          <w:sz w:val="24"/>
          <w:szCs w:val="24"/>
          <w:lang w:val="en-US"/>
        </w:rPr>
        <w:t xml:space="preserve">National Institute of Standards and Technology. (2018). </w:t>
      </w:r>
      <w:r w:rsidRPr="00AC4735">
        <w:rPr>
          <w:rFonts w:ascii="Times New Roman" w:eastAsia="Times New Roman" w:hAnsi="Times New Roman" w:cs="Times New Roman"/>
          <w:i/>
          <w:iCs/>
          <w:sz w:val="24"/>
          <w:szCs w:val="24"/>
          <w:lang w:val="en-US"/>
        </w:rPr>
        <w:t xml:space="preserve">Framework for Improving Critical Infrastructure </w:t>
      </w:r>
      <w:proofErr w:type="spellStart"/>
      <w:r w:rsidRPr="00AC4735">
        <w:rPr>
          <w:rFonts w:ascii="Times New Roman" w:eastAsia="Times New Roman" w:hAnsi="Times New Roman" w:cs="Times New Roman"/>
          <w:i/>
          <w:iCs/>
          <w:sz w:val="24"/>
          <w:szCs w:val="24"/>
          <w:lang w:val="en-US"/>
        </w:rPr>
        <w:t>Cybersecurity</w:t>
      </w:r>
      <w:proofErr w:type="spellEnd"/>
      <w:r w:rsidRPr="00AC4735">
        <w:rPr>
          <w:rFonts w:ascii="Times New Roman" w:eastAsia="Times New Roman" w:hAnsi="Times New Roman" w:cs="Times New Roman"/>
          <w:sz w:val="24"/>
          <w:szCs w:val="24"/>
          <w:lang w:val="en-US"/>
        </w:rPr>
        <w:t>. U.S. Department of Commerce.</w:t>
      </w:r>
    </w:p>
    <w:p w:rsidR="00AC4735" w:rsidRPr="00AC4735" w:rsidRDefault="00AC4735" w:rsidP="003566EF">
      <w:pPr>
        <w:spacing w:before="100" w:beforeAutospacing="1" w:after="100" w:afterAutospacing="1" w:line="360" w:lineRule="auto"/>
        <w:jc w:val="both"/>
        <w:rPr>
          <w:rFonts w:ascii="Times New Roman" w:eastAsia="Times New Roman" w:hAnsi="Times New Roman" w:cs="Times New Roman"/>
          <w:sz w:val="24"/>
          <w:szCs w:val="24"/>
          <w:lang w:val="en-US"/>
        </w:rPr>
      </w:pPr>
      <w:r w:rsidRPr="00AC4735">
        <w:rPr>
          <w:rFonts w:ascii="Times New Roman" w:eastAsia="Times New Roman" w:hAnsi="Times New Roman" w:cs="Times New Roman"/>
          <w:b/>
          <w:bCs/>
          <w:sz w:val="24"/>
          <w:szCs w:val="24"/>
          <w:lang w:val="en-US"/>
        </w:rPr>
        <w:t>Industry &amp; Research Reports</w:t>
      </w:r>
    </w:p>
    <w:p w:rsidR="00AC4735" w:rsidRPr="00AC4735" w:rsidRDefault="00AC4735" w:rsidP="003566EF">
      <w:pPr>
        <w:pStyle w:val="ListParagraph"/>
        <w:numPr>
          <w:ilvl w:val="0"/>
          <w:numId w:val="23"/>
        </w:numPr>
        <w:spacing w:before="100" w:beforeAutospacing="1" w:after="100" w:afterAutospacing="1" w:line="360" w:lineRule="auto"/>
        <w:jc w:val="both"/>
        <w:rPr>
          <w:rFonts w:ascii="Times New Roman" w:eastAsia="Times New Roman" w:hAnsi="Times New Roman" w:cs="Times New Roman"/>
          <w:sz w:val="24"/>
          <w:szCs w:val="24"/>
          <w:lang w:val="en-US"/>
        </w:rPr>
      </w:pPr>
      <w:r w:rsidRPr="00AC4735">
        <w:rPr>
          <w:rFonts w:ascii="Times New Roman" w:eastAsia="Times New Roman" w:hAnsi="Times New Roman" w:cs="Times New Roman"/>
          <w:sz w:val="24"/>
          <w:szCs w:val="24"/>
          <w:lang w:val="en-US"/>
        </w:rPr>
        <w:t xml:space="preserve">IBM Security. (2023). </w:t>
      </w:r>
      <w:r w:rsidRPr="00AC4735">
        <w:rPr>
          <w:rFonts w:ascii="Times New Roman" w:eastAsia="Times New Roman" w:hAnsi="Times New Roman" w:cs="Times New Roman"/>
          <w:i/>
          <w:iCs/>
          <w:sz w:val="24"/>
          <w:szCs w:val="24"/>
          <w:lang w:val="en-US"/>
        </w:rPr>
        <w:t>Cost of a Data Breach Report 2023</w:t>
      </w:r>
      <w:r w:rsidRPr="00AC4735">
        <w:rPr>
          <w:rFonts w:ascii="Times New Roman" w:eastAsia="Times New Roman" w:hAnsi="Times New Roman" w:cs="Times New Roman"/>
          <w:sz w:val="24"/>
          <w:szCs w:val="24"/>
          <w:lang w:val="en-US"/>
        </w:rPr>
        <w:t>. IBM Corporation.</w:t>
      </w:r>
    </w:p>
    <w:p w:rsidR="00AC4735" w:rsidRPr="00AC4735" w:rsidRDefault="00AC4735" w:rsidP="003566EF">
      <w:pPr>
        <w:pStyle w:val="ListParagraph"/>
        <w:numPr>
          <w:ilvl w:val="0"/>
          <w:numId w:val="23"/>
        </w:numPr>
        <w:spacing w:before="100" w:beforeAutospacing="1" w:after="100" w:afterAutospacing="1" w:line="360" w:lineRule="auto"/>
        <w:jc w:val="both"/>
        <w:rPr>
          <w:rFonts w:ascii="Times New Roman" w:eastAsia="Times New Roman" w:hAnsi="Times New Roman" w:cs="Times New Roman"/>
          <w:sz w:val="24"/>
          <w:szCs w:val="24"/>
          <w:lang w:val="en-US"/>
        </w:rPr>
      </w:pPr>
      <w:r w:rsidRPr="00AC4735">
        <w:rPr>
          <w:rFonts w:ascii="Times New Roman" w:eastAsia="Times New Roman" w:hAnsi="Times New Roman" w:cs="Times New Roman"/>
          <w:sz w:val="24"/>
          <w:szCs w:val="24"/>
          <w:lang w:val="en-US"/>
        </w:rPr>
        <w:t xml:space="preserve">KPMG. (2022). </w:t>
      </w:r>
      <w:r w:rsidRPr="00AC4735">
        <w:rPr>
          <w:rFonts w:ascii="Times New Roman" w:eastAsia="Times New Roman" w:hAnsi="Times New Roman" w:cs="Times New Roman"/>
          <w:i/>
          <w:iCs/>
          <w:sz w:val="24"/>
          <w:szCs w:val="24"/>
          <w:lang w:val="en-US"/>
        </w:rPr>
        <w:t>Cost of a Data Breach Report 2022</w:t>
      </w:r>
      <w:r w:rsidRPr="00AC4735">
        <w:rPr>
          <w:rFonts w:ascii="Times New Roman" w:eastAsia="Times New Roman" w:hAnsi="Times New Roman" w:cs="Times New Roman"/>
          <w:sz w:val="24"/>
          <w:szCs w:val="24"/>
          <w:lang w:val="en-US"/>
        </w:rPr>
        <w:t>. KPMG International.</w:t>
      </w:r>
    </w:p>
    <w:p w:rsidR="00AC4735" w:rsidRPr="00AC4735" w:rsidRDefault="00AC4735" w:rsidP="003566EF">
      <w:pPr>
        <w:pStyle w:val="ListParagraph"/>
        <w:numPr>
          <w:ilvl w:val="0"/>
          <w:numId w:val="23"/>
        </w:numPr>
        <w:spacing w:before="100" w:beforeAutospacing="1" w:after="100" w:afterAutospacing="1" w:line="360" w:lineRule="auto"/>
        <w:jc w:val="both"/>
        <w:rPr>
          <w:rFonts w:ascii="Times New Roman" w:eastAsia="Times New Roman" w:hAnsi="Times New Roman" w:cs="Times New Roman"/>
          <w:sz w:val="24"/>
          <w:szCs w:val="24"/>
          <w:lang w:val="en-US"/>
        </w:rPr>
      </w:pPr>
      <w:r w:rsidRPr="00AC4735">
        <w:rPr>
          <w:rFonts w:ascii="Times New Roman" w:eastAsia="Times New Roman" w:hAnsi="Times New Roman" w:cs="Times New Roman"/>
          <w:sz w:val="24"/>
          <w:szCs w:val="24"/>
          <w:lang w:val="en-US"/>
        </w:rPr>
        <w:t xml:space="preserve">PwC India. (2023). </w:t>
      </w:r>
      <w:r w:rsidRPr="00AC4735">
        <w:rPr>
          <w:rFonts w:ascii="Times New Roman" w:eastAsia="Times New Roman" w:hAnsi="Times New Roman" w:cs="Times New Roman"/>
          <w:i/>
          <w:iCs/>
          <w:sz w:val="24"/>
          <w:szCs w:val="24"/>
          <w:lang w:val="en-US"/>
        </w:rPr>
        <w:t>Cyber Security in India: Threat Landscape Report 2023</w:t>
      </w:r>
      <w:r w:rsidRPr="00AC4735">
        <w:rPr>
          <w:rFonts w:ascii="Times New Roman" w:eastAsia="Times New Roman" w:hAnsi="Times New Roman" w:cs="Times New Roman"/>
          <w:sz w:val="24"/>
          <w:szCs w:val="24"/>
          <w:lang w:val="en-US"/>
        </w:rPr>
        <w:t>. PwC.</w:t>
      </w:r>
    </w:p>
    <w:p w:rsidR="00AC4735" w:rsidRPr="00AC4735" w:rsidRDefault="00AC4735" w:rsidP="003566EF">
      <w:pPr>
        <w:pStyle w:val="ListParagraph"/>
        <w:numPr>
          <w:ilvl w:val="0"/>
          <w:numId w:val="23"/>
        </w:numPr>
        <w:spacing w:before="100" w:beforeAutospacing="1" w:after="100" w:afterAutospacing="1" w:line="360" w:lineRule="auto"/>
        <w:jc w:val="both"/>
        <w:rPr>
          <w:rFonts w:ascii="Times New Roman" w:eastAsia="Times New Roman" w:hAnsi="Times New Roman" w:cs="Times New Roman"/>
          <w:sz w:val="24"/>
          <w:szCs w:val="24"/>
          <w:lang w:val="en-US"/>
        </w:rPr>
      </w:pPr>
      <w:r w:rsidRPr="00AC4735">
        <w:rPr>
          <w:rFonts w:ascii="Times New Roman" w:eastAsia="Times New Roman" w:hAnsi="Times New Roman" w:cs="Times New Roman"/>
          <w:sz w:val="24"/>
          <w:szCs w:val="24"/>
          <w:lang w:val="en-US"/>
        </w:rPr>
        <w:t xml:space="preserve">Deloitte. (2021). </w:t>
      </w:r>
      <w:r w:rsidRPr="00AC4735">
        <w:rPr>
          <w:rFonts w:ascii="Times New Roman" w:eastAsia="Times New Roman" w:hAnsi="Times New Roman" w:cs="Times New Roman"/>
          <w:i/>
          <w:iCs/>
          <w:sz w:val="24"/>
          <w:szCs w:val="24"/>
          <w:lang w:val="en-US"/>
        </w:rPr>
        <w:t xml:space="preserve">Corporate </w:t>
      </w:r>
      <w:proofErr w:type="spellStart"/>
      <w:r w:rsidRPr="00AC4735">
        <w:rPr>
          <w:rFonts w:ascii="Times New Roman" w:eastAsia="Times New Roman" w:hAnsi="Times New Roman" w:cs="Times New Roman"/>
          <w:i/>
          <w:iCs/>
          <w:sz w:val="24"/>
          <w:szCs w:val="24"/>
          <w:lang w:val="en-US"/>
        </w:rPr>
        <w:t>Cybersecurity</w:t>
      </w:r>
      <w:proofErr w:type="spellEnd"/>
      <w:r w:rsidRPr="00AC4735">
        <w:rPr>
          <w:rFonts w:ascii="Times New Roman" w:eastAsia="Times New Roman" w:hAnsi="Times New Roman" w:cs="Times New Roman"/>
          <w:i/>
          <w:iCs/>
          <w:sz w:val="24"/>
          <w:szCs w:val="24"/>
          <w:lang w:val="en-US"/>
        </w:rPr>
        <w:t xml:space="preserve"> Risk and Governance in India</w:t>
      </w:r>
      <w:r w:rsidRPr="00AC4735">
        <w:rPr>
          <w:rFonts w:ascii="Times New Roman" w:eastAsia="Times New Roman" w:hAnsi="Times New Roman" w:cs="Times New Roman"/>
          <w:sz w:val="24"/>
          <w:szCs w:val="24"/>
          <w:lang w:val="en-US"/>
        </w:rPr>
        <w:t>.</w:t>
      </w:r>
    </w:p>
    <w:p w:rsidR="00AC4735" w:rsidRPr="00AC4735" w:rsidRDefault="00AC4735" w:rsidP="003566EF">
      <w:pPr>
        <w:pStyle w:val="ListParagraph"/>
        <w:numPr>
          <w:ilvl w:val="0"/>
          <w:numId w:val="23"/>
        </w:numPr>
        <w:spacing w:before="100" w:beforeAutospacing="1" w:after="100" w:afterAutospacing="1" w:line="360" w:lineRule="auto"/>
        <w:jc w:val="both"/>
        <w:rPr>
          <w:rFonts w:ascii="Times New Roman" w:eastAsia="Times New Roman" w:hAnsi="Times New Roman" w:cs="Times New Roman"/>
          <w:sz w:val="24"/>
          <w:szCs w:val="24"/>
          <w:lang w:val="en-US"/>
        </w:rPr>
      </w:pPr>
      <w:r w:rsidRPr="00AC4735">
        <w:rPr>
          <w:rFonts w:ascii="Times New Roman" w:eastAsia="Times New Roman" w:hAnsi="Times New Roman" w:cs="Times New Roman"/>
          <w:sz w:val="24"/>
          <w:szCs w:val="24"/>
          <w:lang w:val="en-US"/>
        </w:rPr>
        <w:lastRenderedPageBreak/>
        <w:t xml:space="preserve">EY India. (2022). </w:t>
      </w:r>
      <w:proofErr w:type="spellStart"/>
      <w:r w:rsidRPr="00AC4735">
        <w:rPr>
          <w:rFonts w:ascii="Times New Roman" w:eastAsia="Times New Roman" w:hAnsi="Times New Roman" w:cs="Times New Roman"/>
          <w:i/>
          <w:iCs/>
          <w:sz w:val="24"/>
          <w:szCs w:val="24"/>
          <w:lang w:val="en-US"/>
        </w:rPr>
        <w:t>Cybersecurity</w:t>
      </w:r>
      <w:proofErr w:type="spellEnd"/>
      <w:r w:rsidRPr="00AC4735">
        <w:rPr>
          <w:rFonts w:ascii="Times New Roman" w:eastAsia="Times New Roman" w:hAnsi="Times New Roman" w:cs="Times New Roman"/>
          <w:i/>
          <w:iCs/>
          <w:sz w:val="24"/>
          <w:szCs w:val="24"/>
          <w:lang w:val="en-US"/>
        </w:rPr>
        <w:t xml:space="preserve"> Maturity in Indian Corporations</w:t>
      </w:r>
      <w:r w:rsidRPr="00AC4735">
        <w:rPr>
          <w:rFonts w:ascii="Times New Roman" w:eastAsia="Times New Roman" w:hAnsi="Times New Roman" w:cs="Times New Roman"/>
          <w:sz w:val="24"/>
          <w:szCs w:val="24"/>
          <w:lang w:val="en-US"/>
        </w:rPr>
        <w:t>.</w:t>
      </w:r>
    </w:p>
    <w:p w:rsidR="00AC4735" w:rsidRPr="00AC4735" w:rsidRDefault="00AC4735" w:rsidP="003566EF">
      <w:pPr>
        <w:pStyle w:val="ListParagraph"/>
        <w:numPr>
          <w:ilvl w:val="0"/>
          <w:numId w:val="23"/>
        </w:numPr>
        <w:spacing w:before="100" w:beforeAutospacing="1" w:after="100" w:afterAutospacing="1" w:line="360" w:lineRule="auto"/>
        <w:jc w:val="both"/>
        <w:rPr>
          <w:rFonts w:ascii="Times New Roman" w:eastAsia="Times New Roman" w:hAnsi="Times New Roman" w:cs="Times New Roman"/>
          <w:sz w:val="24"/>
          <w:szCs w:val="24"/>
          <w:lang w:val="en-US"/>
        </w:rPr>
      </w:pPr>
      <w:r w:rsidRPr="00AC4735">
        <w:rPr>
          <w:rFonts w:ascii="Times New Roman" w:eastAsia="Times New Roman" w:hAnsi="Times New Roman" w:cs="Times New Roman"/>
          <w:sz w:val="24"/>
          <w:szCs w:val="24"/>
          <w:lang w:val="en-US"/>
        </w:rPr>
        <w:t xml:space="preserve">NASSCOM &amp; DSCI. (2023). </w:t>
      </w:r>
      <w:r w:rsidRPr="00AC4735">
        <w:rPr>
          <w:rFonts w:ascii="Times New Roman" w:eastAsia="Times New Roman" w:hAnsi="Times New Roman" w:cs="Times New Roman"/>
          <w:i/>
          <w:iCs/>
          <w:sz w:val="24"/>
          <w:szCs w:val="24"/>
          <w:lang w:val="en-US"/>
        </w:rPr>
        <w:t xml:space="preserve">India </w:t>
      </w:r>
      <w:proofErr w:type="spellStart"/>
      <w:r w:rsidRPr="00AC4735">
        <w:rPr>
          <w:rFonts w:ascii="Times New Roman" w:eastAsia="Times New Roman" w:hAnsi="Times New Roman" w:cs="Times New Roman"/>
          <w:i/>
          <w:iCs/>
          <w:sz w:val="24"/>
          <w:szCs w:val="24"/>
          <w:lang w:val="en-US"/>
        </w:rPr>
        <w:t>Cybersecurity</w:t>
      </w:r>
      <w:proofErr w:type="spellEnd"/>
      <w:r w:rsidRPr="00AC4735">
        <w:rPr>
          <w:rFonts w:ascii="Times New Roman" w:eastAsia="Times New Roman" w:hAnsi="Times New Roman" w:cs="Times New Roman"/>
          <w:i/>
          <w:iCs/>
          <w:sz w:val="24"/>
          <w:szCs w:val="24"/>
          <w:lang w:val="en-US"/>
        </w:rPr>
        <w:t xml:space="preserve"> Industry Report</w:t>
      </w:r>
      <w:r w:rsidRPr="00AC4735">
        <w:rPr>
          <w:rFonts w:ascii="Times New Roman" w:eastAsia="Times New Roman" w:hAnsi="Times New Roman" w:cs="Times New Roman"/>
          <w:sz w:val="24"/>
          <w:szCs w:val="24"/>
          <w:lang w:val="en-US"/>
        </w:rPr>
        <w:t>.</w:t>
      </w:r>
    </w:p>
    <w:p w:rsidR="00AC4735" w:rsidRPr="00AC4735" w:rsidRDefault="00AC4735" w:rsidP="003566EF">
      <w:pPr>
        <w:spacing w:before="100" w:beforeAutospacing="1" w:after="100" w:afterAutospacing="1" w:line="360" w:lineRule="auto"/>
        <w:jc w:val="both"/>
        <w:rPr>
          <w:rFonts w:ascii="Times New Roman" w:eastAsia="Times New Roman" w:hAnsi="Times New Roman" w:cs="Times New Roman"/>
          <w:sz w:val="24"/>
          <w:szCs w:val="24"/>
          <w:lang w:val="en-US"/>
        </w:rPr>
      </w:pPr>
      <w:r w:rsidRPr="00AC4735">
        <w:rPr>
          <w:rFonts w:ascii="Times New Roman" w:eastAsia="Times New Roman" w:hAnsi="Times New Roman" w:cs="Times New Roman"/>
          <w:b/>
          <w:bCs/>
          <w:sz w:val="24"/>
          <w:szCs w:val="24"/>
          <w:lang w:val="en-US"/>
        </w:rPr>
        <w:t>Judicial Cases</w:t>
      </w:r>
    </w:p>
    <w:p w:rsidR="00AC4735" w:rsidRPr="00AC4735" w:rsidRDefault="00AC4735" w:rsidP="003566EF">
      <w:pPr>
        <w:pStyle w:val="ListParagraph"/>
        <w:numPr>
          <w:ilvl w:val="0"/>
          <w:numId w:val="24"/>
        </w:numPr>
        <w:spacing w:before="100" w:beforeAutospacing="1" w:after="100" w:afterAutospacing="1" w:line="360" w:lineRule="auto"/>
        <w:jc w:val="both"/>
        <w:rPr>
          <w:rFonts w:ascii="Times New Roman" w:eastAsia="Times New Roman" w:hAnsi="Times New Roman" w:cs="Times New Roman"/>
          <w:sz w:val="24"/>
          <w:szCs w:val="24"/>
          <w:lang w:val="en-US"/>
        </w:rPr>
      </w:pPr>
      <w:proofErr w:type="spellStart"/>
      <w:r w:rsidRPr="00AC4735">
        <w:rPr>
          <w:rFonts w:ascii="Times New Roman" w:eastAsia="Times New Roman" w:hAnsi="Times New Roman" w:cs="Times New Roman"/>
          <w:sz w:val="24"/>
          <w:szCs w:val="24"/>
          <w:lang w:val="en-US"/>
        </w:rPr>
        <w:t>Shreya</w:t>
      </w:r>
      <w:proofErr w:type="spellEnd"/>
      <w:r w:rsidRPr="00AC4735">
        <w:rPr>
          <w:rFonts w:ascii="Times New Roman" w:eastAsia="Times New Roman" w:hAnsi="Times New Roman" w:cs="Times New Roman"/>
          <w:sz w:val="24"/>
          <w:szCs w:val="24"/>
          <w:lang w:val="en-US"/>
        </w:rPr>
        <w:t xml:space="preserve"> </w:t>
      </w:r>
      <w:proofErr w:type="spellStart"/>
      <w:r w:rsidRPr="00AC4735">
        <w:rPr>
          <w:rFonts w:ascii="Times New Roman" w:eastAsia="Times New Roman" w:hAnsi="Times New Roman" w:cs="Times New Roman"/>
          <w:sz w:val="24"/>
          <w:szCs w:val="24"/>
          <w:lang w:val="en-US"/>
        </w:rPr>
        <w:t>Singhal</w:t>
      </w:r>
      <w:proofErr w:type="spellEnd"/>
      <w:r w:rsidRPr="00AC4735">
        <w:rPr>
          <w:rFonts w:ascii="Times New Roman" w:eastAsia="Times New Roman" w:hAnsi="Times New Roman" w:cs="Times New Roman"/>
          <w:sz w:val="24"/>
          <w:szCs w:val="24"/>
          <w:lang w:val="en-US"/>
        </w:rPr>
        <w:t xml:space="preserve"> v. Union of India, (2015) 5 SCC 1.</w:t>
      </w:r>
    </w:p>
    <w:p w:rsidR="00AC4735" w:rsidRPr="00AC4735" w:rsidRDefault="00AC4735" w:rsidP="003566EF">
      <w:pPr>
        <w:pStyle w:val="ListParagraph"/>
        <w:numPr>
          <w:ilvl w:val="0"/>
          <w:numId w:val="24"/>
        </w:numPr>
        <w:spacing w:before="100" w:beforeAutospacing="1" w:after="100" w:afterAutospacing="1" w:line="360" w:lineRule="auto"/>
        <w:jc w:val="both"/>
        <w:rPr>
          <w:rFonts w:ascii="Times New Roman" w:eastAsia="Times New Roman" w:hAnsi="Times New Roman" w:cs="Times New Roman"/>
          <w:sz w:val="24"/>
          <w:szCs w:val="24"/>
          <w:lang w:val="en-US"/>
        </w:rPr>
      </w:pPr>
      <w:r w:rsidRPr="00AC4735">
        <w:rPr>
          <w:rFonts w:ascii="Times New Roman" w:eastAsia="Times New Roman" w:hAnsi="Times New Roman" w:cs="Times New Roman"/>
          <w:sz w:val="24"/>
          <w:szCs w:val="24"/>
          <w:lang w:val="en-US"/>
        </w:rPr>
        <w:t xml:space="preserve">Justice K.S. </w:t>
      </w:r>
      <w:proofErr w:type="spellStart"/>
      <w:r w:rsidRPr="00AC4735">
        <w:rPr>
          <w:rFonts w:ascii="Times New Roman" w:eastAsia="Times New Roman" w:hAnsi="Times New Roman" w:cs="Times New Roman"/>
          <w:sz w:val="24"/>
          <w:szCs w:val="24"/>
          <w:lang w:val="en-US"/>
        </w:rPr>
        <w:t>Puttaswamy</w:t>
      </w:r>
      <w:proofErr w:type="spellEnd"/>
      <w:r w:rsidRPr="00AC4735">
        <w:rPr>
          <w:rFonts w:ascii="Times New Roman" w:eastAsia="Times New Roman" w:hAnsi="Times New Roman" w:cs="Times New Roman"/>
          <w:sz w:val="24"/>
          <w:szCs w:val="24"/>
          <w:lang w:val="en-US"/>
        </w:rPr>
        <w:t xml:space="preserve"> (</w:t>
      </w:r>
      <w:proofErr w:type="spellStart"/>
      <w:r w:rsidRPr="00AC4735">
        <w:rPr>
          <w:rFonts w:ascii="Times New Roman" w:eastAsia="Times New Roman" w:hAnsi="Times New Roman" w:cs="Times New Roman"/>
          <w:sz w:val="24"/>
          <w:szCs w:val="24"/>
          <w:lang w:val="en-US"/>
        </w:rPr>
        <w:t>Retd</w:t>
      </w:r>
      <w:proofErr w:type="spellEnd"/>
      <w:r w:rsidRPr="00AC4735">
        <w:rPr>
          <w:rFonts w:ascii="Times New Roman" w:eastAsia="Times New Roman" w:hAnsi="Times New Roman" w:cs="Times New Roman"/>
          <w:sz w:val="24"/>
          <w:szCs w:val="24"/>
          <w:lang w:val="en-US"/>
        </w:rPr>
        <w:t>.) v. Union of India, (2017) 10 SCC 1.</w:t>
      </w:r>
    </w:p>
    <w:p w:rsidR="00AC4735" w:rsidRPr="00AC4735" w:rsidRDefault="00AC4735" w:rsidP="003566EF">
      <w:pPr>
        <w:pStyle w:val="ListParagraph"/>
        <w:numPr>
          <w:ilvl w:val="0"/>
          <w:numId w:val="24"/>
        </w:numPr>
        <w:spacing w:before="100" w:beforeAutospacing="1" w:after="100" w:afterAutospacing="1" w:line="360" w:lineRule="auto"/>
        <w:jc w:val="both"/>
        <w:rPr>
          <w:rFonts w:ascii="Times New Roman" w:eastAsia="Times New Roman" w:hAnsi="Times New Roman" w:cs="Times New Roman"/>
          <w:sz w:val="24"/>
          <w:szCs w:val="24"/>
          <w:lang w:val="en-US"/>
        </w:rPr>
      </w:pPr>
      <w:r w:rsidRPr="00AC4735">
        <w:rPr>
          <w:rFonts w:ascii="Times New Roman" w:eastAsia="Times New Roman" w:hAnsi="Times New Roman" w:cs="Times New Roman"/>
          <w:sz w:val="24"/>
          <w:szCs w:val="24"/>
          <w:lang w:val="en-US"/>
        </w:rPr>
        <w:t xml:space="preserve">ICICI Bank Ltd. v. Shanti Devi Sharma &amp; </w:t>
      </w:r>
      <w:proofErr w:type="spellStart"/>
      <w:proofErr w:type="gramStart"/>
      <w:r w:rsidRPr="00AC4735">
        <w:rPr>
          <w:rFonts w:ascii="Times New Roman" w:eastAsia="Times New Roman" w:hAnsi="Times New Roman" w:cs="Times New Roman"/>
          <w:sz w:val="24"/>
          <w:szCs w:val="24"/>
          <w:lang w:val="en-US"/>
        </w:rPr>
        <w:t>Ors</w:t>
      </w:r>
      <w:proofErr w:type="spellEnd"/>
      <w:r w:rsidRPr="00AC4735">
        <w:rPr>
          <w:rFonts w:ascii="Times New Roman" w:eastAsia="Times New Roman" w:hAnsi="Times New Roman" w:cs="Times New Roman"/>
          <w:sz w:val="24"/>
          <w:szCs w:val="24"/>
          <w:lang w:val="en-US"/>
        </w:rPr>
        <w:t>.,</w:t>
      </w:r>
      <w:proofErr w:type="gramEnd"/>
      <w:r w:rsidRPr="00AC4735">
        <w:rPr>
          <w:rFonts w:ascii="Times New Roman" w:eastAsia="Times New Roman" w:hAnsi="Times New Roman" w:cs="Times New Roman"/>
          <w:sz w:val="24"/>
          <w:szCs w:val="24"/>
          <w:lang w:val="en-US"/>
        </w:rPr>
        <w:t xml:space="preserve"> (2008). Delhi High Court.</w:t>
      </w:r>
    </w:p>
    <w:p w:rsidR="00AC4735" w:rsidRPr="00AC4735" w:rsidRDefault="00AC4735" w:rsidP="003566EF">
      <w:pPr>
        <w:pStyle w:val="ListParagraph"/>
        <w:numPr>
          <w:ilvl w:val="0"/>
          <w:numId w:val="24"/>
        </w:numPr>
        <w:spacing w:before="100" w:beforeAutospacing="1" w:after="100" w:afterAutospacing="1" w:line="360" w:lineRule="auto"/>
        <w:jc w:val="both"/>
        <w:rPr>
          <w:rFonts w:ascii="Times New Roman" w:eastAsia="Times New Roman" w:hAnsi="Times New Roman" w:cs="Times New Roman"/>
          <w:sz w:val="24"/>
          <w:szCs w:val="24"/>
          <w:lang w:val="en-US"/>
        </w:rPr>
      </w:pPr>
      <w:r w:rsidRPr="00AC4735">
        <w:rPr>
          <w:rFonts w:ascii="Times New Roman" w:eastAsia="Times New Roman" w:hAnsi="Times New Roman" w:cs="Times New Roman"/>
          <w:sz w:val="24"/>
          <w:szCs w:val="24"/>
          <w:lang w:val="en-US"/>
        </w:rPr>
        <w:t xml:space="preserve">Vishal </w:t>
      </w:r>
      <w:proofErr w:type="spellStart"/>
      <w:r w:rsidRPr="00AC4735">
        <w:rPr>
          <w:rFonts w:ascii="Times New Roman" w:eastAsia="Times New Roman" w:hAnsi="Times New Roman" w:cs="Times New Roman"/>
          <w:sz w:val="24"/>
          <w:szCs w:val="24"/>
          <w:lang w:val="en-US"/>
        </w:rPr>
        <w:t>Jeet</w:t>
      </w:r>
      <w:proofErr w:type="spellEnd"/>
      <w:r w:rsidRPr="00AC4735">
        <w:rPr>
          <w:rFonts w:ascii="Times New Roman" w:eastAsia="Times New Roman" w:hAnsi="Times New Roman" w:cs="Times New Roman"/>
          <w:sz w:val="24"/>
          <w:szCs w:val="24"/>
          <w:lang w:val="en-US"/>
        </w:rPr>
        <w:t xml:space="preserve"> v. Union of India, (1990) AIR 1412.</w:t>
      </w:r>
    </w:p>
    <w:p w:rsidR="00AC4735" w:rsidRPr="00AC4735" w:rsidRDefault="00AC4735" w:rsidP="003566EF">
      <w:pPr>
        <w:spacing w:after="0" w:line="360" w:lineRule="auto"/>
        <w:jc w:val="both"/>
        <w:rPr>
          <w:rFonts w:ascii="Times New Roman" w:eastAsia="Times New Roman" w:hAnsi="Times New Roman" w:cs="Times New Roman"/>
          <w:sz w:val="24"/>
          <w:szCs w:val="24"/>
          <w:lang w:val="en-US"/>
        </w:rPr>
      </w:pPr>
    </w:p>
    <w:p w:rsidR="00A84275" w:rsidRPr="00A84275" w:rsidRDefault="00A84275" w:rsidP="003566EF">
      <w:pPr>
        <w:pStyle w:val="NormalWeb"/>
        <w:spacing w:line="360" w:lineRule="auto"/>
        <w:jc w:val="both"/>
      </w:pPr>
    </w:p>
    <w:p w:rsidR="00DC0BCF" w:rsidRPr="00A84275" w:rsidRDefault="00DC0BCF" w:rsidP="003566EF">
      <w:pPr>
        <w:spacing w:before="100" w:beforeAutospacing="1" w:after="100" w:afterAutospacing="1" w:line="360" w:lineRule="auto"/>
        <w:jc w:val="both"/>
        <w:rPr>
          <w:rFonts w:ascii="Times New Roman" w:hAnsi="Times New Roman" w:cs="Times New Roman"/>
          <w:sz w:val="24"/>
          <w:szCs w:val="24"/>
        </w:rPr>
      </w:pPr>
    </w:p>
    <w:sectPr w:rsidR="00DC0BCF" w:rsidRPr="00A84275" w:rsidSect="00B3510D">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C92" w:rsidRDefault="00510C92" w:rsidP="00834C9F">
      <w:pPr>
        <w:spacing w:after="0" w:line="240" w:lineRule="auto"/>
      </w:pPr>
      <w:r>
        <w:separator/>
      </w:r>
    </w:p>
  </w:endnote>
  <w:endnote w:type="continuationSeparator" w:id="0">
    <w:p w:rsidR="00510C92" w:rsidRDefault="00510C92" w:rsidP="00834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062049"/>
      <w:docPartObj>
        <w:docPartGallery w:val="Page Numbers (Bottom of Page)"/>
        <w:docPartUnique/>
      </w:docPartObj>
    </w:sdtPr>
    <w:sdtEndPr>
      <w:rPr>
        <w:color w:val="7F7F7F" w:themeColor="background1" w:themeShade="7F"/>
        <w:spacing w:val="60"/>
      </w:rPr>
    </w:sdtEndPr>
    <w:sdtContent>
      <w:p w:rsidR="001E13F3" w:rsidRDefault="00E14CB0">
        <w:pPr>
          <w:pStyle w:val="Footer"/>
          <w:pBdr>
            <w:top w:val="single" w:sz="4" w:space="1" w:color="D9D9D9" w:themeColor="background1" w:themeShade="D9"/>
          </w:pBdr>
          <w:jc w:val="right"/>
        </w:pPr>
        <w:r>
          <w:fldChar w:fldCharType="begin"/>
        </w:r>
        <w:r>
          <w:instrText xml:space="preserve"> PAGE   \* MERGEFORMAT </w:instrText>
        </w:r>
        <w:r>
          <w:fldChar w:fldCharType="separate"/>
        </w:r>
        <w:r w:rsidR="001B6782">
          <w:rPr>
            <w:noProof/>
          </w:rPr>
          <w:t>16</w:t>
        </w:r>
        <w:r>
          <w:rPr>
            <w:noProof/>
          </w:rPr>
          <w:fldChar w:fldCharType="end"/>
        </w:r>
        <w:r w:rsidR="001E13F3">
          <w:t xml:space="preserve"> | </w:t>
        </w:r>
        <w:r w:rsidR="001E13F3">
          <w:rPr>
            <w:color w:val="7F7F7F" w:themeColor="background1" w:themeShade="7F"/>
            <w:spacing w:val="60"/>
          </w:rPr>
          <w:t>Page</w:t>
        </w:r>
      </w:p>
    </w:sdtContent>
  </w:sdt>
  <w:p w:rsidR="001E13F3" w:rsidRDefault="001E13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C92" w:rsidRDefault="00510C92" w:rsidP="00834C9F">
      <w:pPr>
        <w:spacing w:after="0" w:line="240" w:lineRule="auto"/>
      </w:pPr>
      <w:r>
        <w:separator/>
      </w:r>
    </w:p>
  </w:footnote>
  <w:footnote w:type="continuationSeparator" w:id="0">
    <w:p w:rsidR="00510C92" w:rsidRDefault="00510C92" w:rsidP="00834C9F">
      <w:pPr>
        <w:spacing w:after="0" w:line="240" w:lineRule="auto"/>
      </w:pPr>
      <w:r>
        <w:continuationSeparator/>
      </w:r>
    </w:p>
  </w:footnote>
  <w:footnote w:id="1">
    <w:p w:rsidR="001E13F3" w:rsidRPr="00DC0BCF" w:rsidRDefault="001E13F3" w:rsidP="00DC0BCF">
      <w:pPr>
        <w:pStyle w:val="FootnoteText"/>
        <w:jc w:val="both"/>
        <w:rPr>
          <w:rFonts w:ascii="Times New Roman" w:hAnsi="Times New Roman" w:cs="Times New Roman"/>
          <w:lang w:val="en-US"/>
        </w:rPr>
      </w:pPr>
      <w:r w:rsidRPr="00DC0BCF">
        <w:rPr>
          <w:rStyle w:val="FootnoteReference"/>
          <w:rFonts w:ascii="Times New Roman" w:hAnsi="Times New Roman" w:cs="Times New Roman"/>
        </w:rPr>
        <w:footnoteRef/>
      </w:r>
      <w:r w:rsidRPr="00DC0BCF">
        <w:rPr>
          <w:rFonts w:ascii="Times New Roman" w:hAnsi="Times New Roman" w:cs="Times New Roman"/>
        </w:rPr>
        <w:t xml:space="preserve"> </w:t>
      </w:r>
      <w:proofErr w:type="gramStart"/>
      <w:r w:rsidRPr="00DC0BCF">
        <w:rPr>
          <w:rStyle w:val="Strong"/>
          <w:rFonts w:ascii="Times New Roman" w:hAnsi="Times New Roman" w:cs="Times New Roman"/>
          <w:b w:val="0"/>
        </w:rPr>
        <w:t>International Organization for Standardization.</w:t>
      </w:r>
      <w:proofErr w:type="gramEnd"/>
      <w:r w:rsidRPr="00DC0BCF">
        <w:rPr>
          <w:rStyle w:val="Strong"/>
          <w:rFonts w:ascii="Times New Roman" w:hAnsi="Times New Roman" w:cs="Times New Roman"/>
          <w:b w:val="0"/>
        </w:rPr>
        <w:t xml:space="preserve"> </w:t>
      </w:r>
      <w:proofErr w:type="gramStart"/>
      <w:r w:rsidRPr="00DC0BCF">
        <w:rPr>
          <w:rStyle w:val="Strong"/>
          <w:rFonts w:ascii="Times New Roman" w:hAnsi="Times New Roman" w:cs="Times New Roman"/>
          <w:b w:val="0"/>
        </w:rPr>
        <w:t>(2022).</w:t>
      </w:r>
      <w:r w:rsidRPr="00DC0BCF">
        <w:rPr>
          <w:rFonts w:ascii="Times New Roman" w:hAnsi="Times New Roman" w:cs="Times New Roman"/>
        </w:rPr>
        <w:t xml:space="preserve"> </w:t>
      </w:r>
      <w:r w:rsidRPr="00DC0BCF">
        <w:rPr>
          <w:rStyle w:val="Emphasis"/>
          <w:rFonts w:ascii="Times New Roman" w:hAnsi="Times New Roman" w:cs="Times New Roman"/>
        </w:rPr>
        <w:t>ISO/IEC 27001:2022 Information security, cyber security and privacy protection — Information security management systems — Requirements</w:t>
      </w:r>
      <w:r w:rsidRPr="00DC0BCF">
        <w:rPr>
          <w:rFonts w:ascii="Times New Roman" w:hAnsi="Times New Roman" w:cs="Times New Roman"/>
        </w:rPr>
        <w:t>.</w:t>
      </w:r>
      <w:proofErr w:type="gramEnd"/>
      <w:r w:rsidRPr="00DC0BCF">
        <w:rPr>
          <w:rFonts w:ascii="Times New Roman" w:hAnsi="Times New Roman" w:cs="Times New Roman"/>
        </w:rPr>
        <w:t xml:space="preserve"> </w:t>
      </w:r>
      <w:proofErr w:type="gramStart"/>
      <w:r w:rsidRPr="00DC0BCF">
        <w:rPr>
          <w:rFonts w:ascii="Times New Roman" w:hAnsi="Times New Roman" w:cs="Times New Roman"/>
        </w:rPr>
        <w:t>ISO.</w:t>
      </w:r>
      <w:proofErr w:type="gramEnd"/>
    </w:p>
  </w:footnote>
  <w:footnote w:id="2">
    <w:p w:rsidR="001E13F3" w:rsidRPr="00DC0BCF" w:rsidRDefault="001E13F3" w:rsidP="00DC0BCF">
      <w:pPr>
        <w:pStyle w:val="FootnoteText"/>
        <w:jc w:val="both"/>
        <w:rPr>
          <w:rFonts w:ascii="Times New Roman" w:hAnsi="Times New Roman" w:cs="Times New Roman"/>
          <w:lang w:val="en-US"/>
        </w:rPr>
      </w:pPr>
      <w:r w:rsidRPr="00DC0BCF">
        <w:rPr>
          <w:rStyle w:val="FootnoteReference"/>
          <w:rFonts w:ascii="Times New Roman" w:hAnsi="Times New Roman" w:cs="Times New Roman"/>
        </w:rPr>
        <w:footnoteRef/>
      </w:r>
      <w:r w:rsidRPr="00DC0BCF">
        <w:rPr>
          <w:rFonts w:ascii="Times New Roman" w:hAnsi="Times New Roman" w:cs="Times New Roman"/>
        </w:rPr>
        <w:t xml:space="preserve"> </w:t>
      </w:r>
      <w:proofErr w:type="gramStart"/>
      <w:r w:rsidRPr="00DC0BCF">
        <w:rPr>
          <w:rStyle w:val="Strong"/>
          <w:rFonts w:ascii="Times New Roman" w:hAnsi="Times New Roman" w:cs="Times New Roman"/>
          <w:b w:val="0"/>
        </w:rPr>
        <w:t>National Institute of Standards and Technology.</w:t>
      </w:r>
      <w:proofErr w:type="gramEnd"/>
      <w:r w:rsidRPr="00DC0BCF">
        <w:rPr>
          <w:rStyle w:val="Strong"/>
          <w:rFonts w:ascii="Times New Roman" w:hAnsi="Times New Roman" w:cs="Times New Roman"/>
          <w:b w:val="0"/>
        </w:rPr>
        <w:t xml:space="preserve"> </w:t>
      </w:r>
      <w:proofErr w:type="gramStart"/>
      <w:r w:rsidRPr="00DC0BCF">
        <w:rPr>
          <w:rStyle w:val="Strong"/>
          <w:rFonts w:ascii="Times New Roman" w:hAnsi="Times New Roman" w:cs="Times New Roman"/>
          <w:b w:val="0"/>
        </w:rPr>
        <w:t>(2018).</w:t>
      </w:r>
      <w:r w:rsidRPr="00DC0BCF">
        <w:rPr>
          <w:rFonts w:ascii="Times New Roman" w:hAnsi="Times New Roman" w:cs="Times New Roman"/>
        </w:rPr>
        <w:t xml:space="preserve"> </w:t>
      </w:r>
      <w:r w:rsidRPr="00DC0BCF">
        <w:rPr>
          <w:rStyle w:val="Emphasis"/>
          <w:rFonts w:ascii="Times New Roman" w:hAnsi="Times New Roman" w:cs="Times New Roman"/>
        </w:rPr>
        <w:t>Framework for improving critical infrastructure cyber security</w:t>
      </w:r>
      <w:r w:rsidRPr="00DC0BCF">
        <w:rPr>
          <w:rFonts w:ascii="Times New Roman" w:hAnsi="Times New Roman" w:cs="Times New Roman"/>
        </w:rPr>
        <w:t>.</w:t>
      </w:r>
      <w:proofErr w:type="gramEnd"/>
      <w:r w:rsidRPr="00DC0BCF">
        <w:rPr>
          <w:rFonts w:ascii="Times New Roman" w:hAnsi="Times New Roman" w:cs="Times New Roman"/>
        </w:rPr>
        <w:t xml:space="preserve"> </w:t>
      </w:r>
      <w:proofErr w:type="gramStart"/>
      <w:r w:rsidRPr="00DC0BCF">
        <w:rPr>
          <w:rFonts w:ascii="Times New Roman" w:hAnsi="Times New Roman" w:cs="Times New Roman"/>
        </w:rPr>
        <w:t>U.S. Department of Commerce.</w:t>
      </w:r>
      <w:proofErr w:type="gramEnd"/>
    </w:p>
  </w:footnote>
  <w:footnote w:id="3">
    <w:p w:rsidR="001E13F3" w:rsidRPr="00DC0BCF" w:rsidRDefault="001E13F3" w:rsidP="00DC0BCF">
      <w:pPr>
        <w:pStyle w:val="FootnoteText"/>
        <w:rPr>
          <w:rFonts w:ascii="Times New Roman" w:hAnsi="Times New Roman" w:cs="Times New Roman"/>
          <w:lang w:val="en-US"/>
        </w:rPr>
      </w:pPr>
      <w:r w:rsidRPr="00DC0BCF">
        <w:rPr>
          <w:rStyle w:val="FootnoteReference"/>
          <w:rFonts w:ascii="Times New Roman" w:hAnsi="Times New Roman" w:cs="Times New Roman"/>
          <w:b/>
        </w:rPr>
        <w:footnoteRef/>
      </w:r>
      <w:r w:rsidRPr="00DC0BCF">
        <w:rPr>
          <w:rFonts w:ascii="Times New Roman" w:hAnsi="Times New Roman" w:cs="Times New Roman"/>
          <w:b/>
        </w:rPr>
        <w:t xml:space="preserve"> </w:t>
      </w:r>
      <w:proofErr w:type="gramStart"/>
      <w:r w:rsidRPr="00DC0BCF">
        <w:rPr>
          <w:rStyle w:val="Strong"/>
          <w:rFonts w:ascii="Times New Roman" w:hAnsi="Times New Roman" w:cs="Times New Roman"/>
          <w:b w:val="0"/>
        </w:rPr>
        <w:t>Indian Computer Emergency Response Team.</w:t>
      </w:r>
      <w:proofErr w:type="gramEnd"/>
      <w:r w:rsidRPr="00DC0BCF">
        <w:rPr>
          <w:rStyle w:val="Strong"/>
          <w:rFonts w:ascii="Times New Roman" w:hAnsi="Times New Roman" w:cs="Times New Roman"/>
          <w:b w:val="0"/>
        </w:rPr>
        <w:t xml:space="preserve"> </w:t>
      </w:r>
      <w:proofErr w:type="gramStart"/>
      <w:r w:rsidRPr="00DC0BCF">
        <w:rPr>
          <w:rStyle w:val="Strong"/>
          <w:rFonts w:ascii="Times New Roman" w:hAnsi="Times New Roman" w:cs="Times New Roman"/>
          <w:b w:val="0"/>
        </w:rPr>
        <w:t>(2022</w:t>
      </w:r>
      <w:r w:rsidRPr="00DC0BCF">
        <w:rPr>
          <w:rStyle w:val="Strong"/>
          <w:rFonts w:ascii="Times New Roman" w:hAnsi="Times New Roman" w:cs="Times New Roman"/>
        </w:rPr>
        <w:t>).</w:t>
      </w:r>
      <w:r w:rsidRPr="00DC0BCF">
        <w:rPr>
          <w:rFonts w:ascii="Times New Roman" w:hAnsi="Times New Roman" w:cs="Times New Roman"/>
        </w:rPr>
        <w:t xml:space="preserve"> </w:t>
      </w:r>
      <w:r w:rsidRPr="00DC0BCF">
        <w:rPr>
          <w:rStyle w:val="Emphasis"/>
          <w:rFonts w:ascii="Times New Roman" w:hAnsi="Times New Roman" w:cs="Times New Roman"/>
        </w:rPr>
        <w:t>CERT-In annual report 2022</w:t>
      </w:r>
      <w:r w:rsidRPr="00DC0BCF">
        <w:rPr>
          <w:rFonts w:ascii="Times New Roman" w:hAnsi="Times New Roman" w:cs="Times New Roman"/>
        </w:rPr>
        <w:t>.</w:t>
      </w:r>
      <w:proofErr w:type="gramEnd"/>
      <w:r w:rsidRPr="00DC0BCF">
        <w:rPr>
          <w:rFonts w:ascii="Times New Roman" w:hAnsi="Times New Roman" w:cs="Times New Roman"/>
        </w:rPr>
        <w:t xml:space="preserve"> </w:t>
      </w:r>
      <w:proofErr w:type="gramStart"/>
      <w:r w:rsidRPr="00DC0BCF">
        <w:rPr>
          <w:rFonts w:ascii="Times New Roman" w:hAnsi="Times New Roman" w:cs="Times New Roman"/>
        </w:rPr>
        <w:t>Ministry of Electronics &amp; Information Technology, Government of India.</w:t>
      </w:r>
      <w:proofErr w:type="gramEnd"/>
    </w:p>
  </w:footnote>
  <w:footnote w:id="4">
    <w:p w:rsidR="001E13F3" w:rsidRPr="00DC0BCF" w:rsidRDefault="001E13F3" w:rsidP="00DC0BCF">
      <w:pPr>
        <w:pStyle w:val="FootnoteText"/>
        <w:rPr>
          <w:rFonts w:ascii="Times New Roman" w:hAnsi="Times New Roman" w:cs="Times New Roman"/>
          <w:lang w:val="en-US"/>
        </w:rPr>
      </w:pPr>
      <w:r w:rsidRPr="00DC0BCF">
        <w:rPr>
          <w:rStyle w:val="FootnoteReference"/>
          <w:rFonts w:ascii="Times New Roman" w:hAnsi="Times New Roman" w:cs="Times New Roman"/>
          <w:b/>
        </w:rPr>
        <w:footnoteRef/>
      </w:r>
      <w:r w:rsidRPr="00DC0BCF">
        <w:rPr>
          <w:rFonts w:ascii="Times New Roman" w:hAnsi="Times New Roman" w:cs="Times New Roman"/>
          <w:b/>
        </w:rPr>
        <w:t xml:space="preserve"> </w:t>
      </w:r>
      <w:proofErr w:type="gramStart"/>
      <w:r w:rsidRPr="00DC0BCF">
        <w:rPr>
          <w:rStyle w:val="Strong"/>
          <w:rFonts w:ascii="Times New Roman" w:hAnsi="Times New Roman" w:cs="Times New Roman"/>
          <w:b w:val="0"/>
        </w:rPr>
        <w:t>PwC India.</w:t>
      </w:r>
      <w:proofErr w:type="gramEnd"/>
      <w:r w:rsidRPr="00DC0BCF">
        <w:rPr>
          <w:rStyle w:val="Strong"/>
          <w:rFonts w:ascii="Times New Roman" w:hAnsi="Times New Roman" w:cs="Times New Roman"/>
          <w:b w:val="0"/>
        </w:rPr>
        <w:t xml:space="preserve"> (2023).</w:t>
      </w:r>
      <w:r w:rsidRPr="00DC0BCF">
        <w:rPr>
          <w:rFonts w:ascii="Times New Roman" w:hAnsi="Times New Roman" w:cs="Times New Roman"/>
        </w:rPr>
        <w:t xml:space="preserve"> </w:t>
      </w:r>
      <w:r w:rsidRPr="00DC0BCF">
        <w:rPr>
          <w:rStyle w:val="Emphasis"/>
          <w:rFonts w:ascii="Times New Roman" w:hAnsi="Times New Roman" w:cs="Times New Roman"/>
        </w:rPr>
        <w:t>Cyber security in India: Threat landscape report 2023</w:t>
      </w:r>
      <w:r w:rsidRPr="00DC0BCF">
        <w:rPr>
          <w:rFonts w:ascii="Times New Roman" w:hAnsi="Times New Roman" w:cs="Times New Roman"/>
        </w:rPr>
        <w:t xml:space="preserve">. </w:t>
      </w:r>
      <w:proofErr w:type="gramStart"/>
      <w:r w:rsidRPr="00DC0BCF">
        <w:rPr>
          <w:rFonts w:ascii="Times New Roman" w:hAnsi="Times New Roman" w:cs="Times New Roman"/>
        </w:rPr>
        <w:t>PricewaterhouseCoopers.</w:t>
      </w:r>
      <w:proofErr w:type="gramEnd"/>
    </w:p>
  </w:footnote>
  <w:footnote w:id="5">
    <w:p w:rsidR="001E13F3" w:rsidRPr="00420BF0" w:rsidRDefault="001E13F3" w:rsidP="00420BF0">
      <w:pPr>
        <w:pStyle w:val="FootnoteText"/>
        <w:jc w:val="both"/>
        <w:rPr>
          <w:rFonts w:ascii="Times New Roman" w:hAnsi="Times New Roman" w:cs="Times New Roman"/>
          <w:lang w:val="en-US"/>
        </w:rPr>
      </w:pPr>
      <w:r>
        <w:rPr>
          <w:rStyle w:val="FootnoteReference"/>
        </w:rPr>
        <w:footnoteRef/>
      </w:r>
      <w:r>
        <w:t xml:space="preserve"> </w:t>
      </w:r>
      <w:proofErr w:type="gramStart"/>
      <w:r w:rsidRPr="00420BF0">
        <w:rPr>
          <w:rStyle w:val="Strong"/>
          <w:rFonts w:ascii="Times New Roman" w:hAnsi="Times New Roman" w:cs="Times New Roman"/>
          <w:b w:val="0"/>
        </w:rPr>
        <w:t>KPMG.</w:t>
      </w:r>
      <w:proofErr w:type="gramEnd"/>
      <w:r w:rsidRPr="00420BF0">
        <w:rPr>
          <w:rStyle w:val="Strong"/>
          <w:rFonts w:ascii="Times New Roman" w:hAnsi="Times New Roman" w:cs="Times New Roman"/>
          <w:b w:val="0"/>
        </w:rPr>
        <w:t xml:space="preserve"> </w:t>
      </w:r>
      <w:proofErr w:type="gramStart"/>
      <w:r w:rsidRPr="00420BF0">
        <w:rPr>
          <w:rStyle w:val="Strong"/>
          <w:rFonts w:ascii="Times New Roman" w:hAnsi="Times New Roman" w:cs="Times New Roman"/>
          <w:b w:val="0"/>
        </w:rPr>
        <w:t>(2022).</w:t>
      </w:r>
      <w:r w:rsidRPr="00420BF0">
        <w:rPr>
          <w:rFonts w:ascii="Times New Roman" w:hAnsi="Times New Roman" w:cs="Times New Roman"/>
        </w:rPr>
        <w:t xml:space="preserve"> </w:t>
      </w:r>
      <w:r w:rsidRPr="00420BF0">
        <w:rPr>
          <w:rStyle w:val="Emphasis"/>
          <w:rFonts w:ascii="Times New Roman" w:hAnsi="Times New Roman" w:cs="Times New Roman"/>
        </w:rPr>
        <w:t>Cost of a data breach report 2022</w:t>
      </w:r>
      <w:r w:rsidRPr="00420BF0">
        <w:rPr>
          <w:rFonts w:ascii="Times New Roman" w:hAnsi="Times New Roman" w:cs="Times New Roman"/>
        </w:rPr>
        <w:t>.</w:t>
      </w:r>
      <w:proofErr w:type="gramEnd"/>
      <w:r w:rsidRPr="00420BF0">
        <w:rPr>
          <w:rFonts w:ascii="Times New Roman" w:hAnsi="Times New Roman" w:cs="Times New Roman"/>
        </w:rPr>
        <w:t xml:space="preserve"> </w:t>
      </w:r>
      <w:proofErr w:type="gramStart"/>
      <w:r w:rsidRPr="00420BF0">
        <w:rPr>
          <w:rFonts w:ascii="Times New Roman" w:hAnsi="Times New Roman" w:cs="Times New Roman"/>
        </w:rPr>
        <w:t>KPMG International.</w:t>
      </w:r>
      <w:proofErr w:type="gramEnd"/>
    </w:p>
  </w:footnote>
  <w:footnote w:id="6">
    <w:p w:rsidR="001E13F3" w:rsidRPr="00420BF0" w:rsidRDefault="001E13F3" w:rsidP="00420BF0">
      <w:pPr>
        <w:pStyle w:val="FootnoteText"/>
        <w:jc w:val="both"/>
        <w:rPr>
          <w:rFonts w:ascii="Times New Roman" w:hAnsi="Times New Roman" w:cs="Times New Roman"/>
          <w:lang w:val="en-US"/>
        </w:rPr>
      </w:pPr>
      <w:r w:rsidRPr="00420BF0">
        <w:rPr>
          <w:rStyle w:val="FootnoteReference"/>
          <w:rFonts w:ascii="Times New Roman" w:hAnsi="Times New Roman" w:cs="Times New Roman"/>
        </w:rPr>
        <w:footnoteRef/>
      </w:r>
      <w:r w:rsidRPr="00420BF0">
        <w:rPr>
          <w:rFonts w:ascii="Times New Roman" w:hAnsi="Times New Roman" w:cs="Times New Roman"/>
        </w:rPr>
        <w:t xml:space="preserve"> </w:t>
      </w:r>
      <w:proofErr w:type="gramStart"/>
      <w:r w:rsidRPr="00420BF0">
        <w:rPr>
          <w:rStyle w:val="Strong"/>
          <w:rFonts w:ascii="Times New Roman" w:hAnsi="Times New Roman" w:cs="Times New Roman"/>
          <w:b w:val="0"/>
        </w:rPr>
        <w:t>IBM Security.</w:t>
      </w:r>
      <w:proofErr w:type="gramEnd"/>
      <w:r w:rsidRPr="00420BF0">
        <w:rPr>
          <w:rStyle w:val="Strong"/>
          <w:rFonts w:ascii="Times New Roman" w:hAnsi="Times New Roman" w:cs="Times New Roman"/>
          <w:b w:val="0"/>
        </w:rPr>
        <w:t xml:space="preserve"> (2023).</w:t>
      </w:r>
      <w:r w:rsidRPr="00420BF0">
        <w:rPr>
          <w:rFonts w:ascii="Times New Roman" w:hAnsi="Times New Roman" w:cs="Times New Roman"/>
        </w:rPr>
        <w:t xml:space="preserve"> </w:t>
      </w:r>
      <w:r w:rsidRPr="00420BF0">
        <w:rPr>
          <w:rStyle w:val="Emphasis"/>
          <w:rFonts w:ascii="Times New Roman" w:hAnsi="Times New Roman" w:cs="Times New Roman"/>
        </w:rPr>
        <w:t>IBM data breach report 2023</w:t>
      </w:r>
      <w:r w:rsidRPr="00420BF0">
        <w:rPr>
          <w:rFonts w:ascii="Times New Roman" w:hAnsi="Times New Roman" w:cs="Times New Roman"/>
        </w:rPr>
        <w:t>. IBM Corporation.</w:t>
      </w:r>
    </w:p>
  </w:footnote>
  <w:footnote w:id="7">
    <w:p w:rsidR="001E13F3" w:rsidRPr="00420BF0" w:rsidRDefault="001E13F3" w:rsidP="00420BF0">
      <w:pPr>
        <w:pStyle w:val="FootnoteText"/>
        <w:jc w:val="both"/>
        <w:rPr>
          <w:rFonts w:ascii="Times New Roman" w:hAnsi="Times New Roman" w:cs="Times New Roman"/>
          <w:lang w:val="en-US"/>
        </w:rPr>
      </w:pPr>
      <w:r w:rsidRPr="00420BF0">
        <w:rPr>
          <w:rStyle w:val="FootnoteReference"/>
          <w:rFonts w:ascii="Times New Roman" w:hAnsi="Times New Roman" w:cs="Times New Roman"/>
        </w:rPr>
        <w:footnoteRef/>
      </w:r>
      <w:r w:rsidRPr="00420BF0">
        <w:rPr>
          <w:rFonts w:ascii="Times New Roman" w:hAnsi="Times New Roman" w:cs="Times New Roman"/>
        </w:rPr>
        <w:t xml:space="preserve"> </w:t>
      </w:r>
      <w:proofErr w:type="gramStart"/>
      <w:r w:rsidRPr="00420BF0">
        <w:rPr>
          <w:rStyle w:val="Strong"/>
          <w:rFonts w:ascii="Times New Roman" w:hAnsi="Times New Roman" w:cs="Times New Roman"/>
          <w:b w:val="0"/>
        </w:rPr>
        <w:t>Ministry of Electronics &amp; Information Technology.</w:t>
      </w:r>
      <w:proofErr w:type="gramEnd"/>
      <w:r w:rsidRPr="00420BF0">
        <w:rPr>
          <w:rStyle w:val="Strong"/>
          <w:rFonts w:ascii="Times New Roman" w:hAnsi="Times New Roman" w:cs="Times New Roman"/>
          <w:b w:val="0"/>
        </w:rPr>
        <w:t xml:space="preserve"> </w:t>
      </w:r>
      <w:proofErr w:type="gramStart"/>
      <w:r w:rsidRPr="00420BF0">
        <w:rPr>
          <w:rStyle w:val="Strong"/>
          <w:rFonts w:ascii="Times New Roman" w:hAnsi="Times New Roman" w:cs="Times New Roman"/>
          <w:b w:val="0"/>
        </w:rPr>
        <w:t>(2021).</w:t>
      </w:r>
      <w:r w:rsidRPr="00420BF0">
        <w:rPr>
          <w:rFonts w:ascii="Times New Roman" w:hAnsi="Times New Roman" w:cs="Times New Roman"/>
        </w:rPr>
        <w:t xml:space="preserve"> </w:t>
      </w:r>
      <w:r w:rsidRPr="00420BF0">
        <w:rPr>
          <w:rStyle w:val="Emphasis"/>
          <w:rFonts w:ascii="Times New Roman" w:hAnsi="Times New Roman" w:cs="Times New Roman"/>
        </w:rPr>
        <w:t>Guidelines for incident response and business continuity</w:t>
      </w:r>
      <w:r w:rsidRPr="00420BF0">
        <w:rPr>
          <w:rFonts w:ascii="Times New Roman" w:hAnsi="Times New Roman" w:cs="Times New Roman"/>
        </w:rPr>
        <w:t>.</w:t>
      </w:r>
      <w:proofErr w:type="gramEnd"/>
      <w:r w:rsidRPr="00420BF0">
        <w:rPr>
          <w:rFonts w:ascii="Times New Roman" w:hAnsi="Times New Roman" w:cs="Times New Roman"/>
        </w:rPr>
        <w:t xml:space="preserve"> </w:t>
      </w:r>
      <w:proofErr w:type="gramStart"/>
      <w:r w:rsidRPr="00420BF0">
        <w:rPr>
          <w:rFonts w:ascii="Times New Roman" w:hAnsi="Times New Roman" w:cs="Times New Roman"/>
        </w:rPr>
        <w:t>Government of India.</w:t>
      </w:r>
      <w:proofErr w:type="gramEnd"/>
    </w:p>
  </w:footnote>
  <w:footnote w:id="8">
    <w:p w:rsidR="001E13F3" w:rsidRPr="00420BF0" w:rsidRDefault="001E13F3" w:rsidP="00420BF0">
      <w:pPr>
        <w:pStyle w:val="FootnoteText"/>
        <w:jc w:val="both"/>
        <w:rPr>
          <w:rFonts w:ascii="Times New Roman" w:hAnsi="Times New Roman" w:cs="Times New Roman"/>
          <w:lang w:val="en-US"/>
        </w:rPr>
      </w:pPr>
      <w:r w:rsidRPr="00420BF0">
        <w:rPr>
          <w:rStyle w:val="FootnoteReference"/>
          <w:rFonts w:ascii="Times New Roman" w:hAnsi="Times New Roman" w:cs="Times New Roman"/>
        </w:rPr>
        <w:footnoteRef/>
      </w:r>
      <w:r w:rsidRPr="00420BF0">
        <w:rPr>
          <w:rFonts w:ascii="Times New Roman" w:hAnsi="Times New Roman" w:cs="Times New Roman"/>
        </w:rPr>
        <w:t xml:space="preserve"> </w:t>
      </w:r>
      <w:proofErr w:type="gramStart"/>
      <w:r w:rsidRPr="00420BF0">
        <w:rPr>
          <w:rStyle w:val="Strong"/>
          <w:rFonts w:ascii="Times New Roman" w:hAnsi="Times New Roman" w:cs="Times New Roman"/>
          <w:b w:val="0"/>
        </w:rPr>
        <w:t>Government of India.</w:t>
      </w:r>
      <w:proofErr w:type="gramEnd"/>
      <w:r w:rsidRPr="00420BF0">
        <w:rPr>
          <w:rStyle w:val="Strong"/>
          <w:rFonts w:ascii="Times New Roman" w:hAnsi="Times New Roman" w:cs="Times New Roman"/>
          <w:b w:val="0"/>
        </w:rPr>
        <w:t xml:space="preserve"> </w:t>
      </w:r>
      <w:proofErr w:type="gramStart"/>
      <w:r w:rsidRPr="00420BF0">
        <w:rPr>
          <w:rStyle w:val="Strong"/>
          <w:rFonts w:ascii="Times New Roman" w:hAnsi="Times New Roman" w:cs="Times New Roman"/>
          <w:b w:val="0"/>
        </w:rPr>
        <w:t>(2023).</w:t>
      </w:r>
      <w:r w:rsidRPr="00420BF0">
        <w:rPr>
          <w:rFonts w:ascii="Times New Roman" w:hAnsi="Times New Roman" w:cs="Times New Roman"/>
        </w:rPr>
        <w:t xml:space="preserve"> </w:t>
      </w:r>
      <w:r w:rsidRPr="00420BF0">
        <w:rPr>
          <w:rStyle w:val="Emphasis"/>
          <w:rFonts w:ascii="Times New Roman" w:hAnsi="Times New Roman" w:cs="Times New Roman"/>
        </w:rPr>
        <w:t>Digital Personal Data Protection Act, 2023</w:t>
      </w:r>
      <w:r w:rsidRPr="00420BF0">
        <w:rPr>
          <w:rFonts w:ascii="Times New Roman" w:hAnsi="Times New Roman" w:cs="Times New Roman"/>
        </w:rPr>
        <w:t>.</w:t>
      </w:r>
      <w:proofErr w:type="gramEnd"/>
      <w:r w:rsidRPr="00420BF0">
        <w:rPr>
          <w:rFonts w:ascii="Times New Roman" w:hAnsi="Times New Roman" w:cs="Times New Roman"/>
        </w:rPr>
        <w:t xml:space="preserve"> </w:t>
      </w:r>
      <w:proofErr w:type="gramStart"/>
      <w:r w:rsidRPr="00420BF0">
        <w:rPr>
          <w:rFonts w:ascii="Times New Roman" w:hAnsi="Times New Roman" w:cs="Times New Roman"/>
        </w:rPr>
        <w:t>Government of India.</w:t>
      </w:r>
      <w:proofErr w:type="gramEnd"/>
    </w:p>
  </w:footnote>
  <w:footnote w:id="9">
    <w:p w:rsidR="001E13F3" w:rsidRPr="00420BF0" w:rsidRDefault="001E13F3" w:rsidP="00420BF0">
      <w:pPr>
        <w:pStyle w:val="FootnoteText"/>
        <w:jc w:val="both"/>
        <w:rPr>
          <w:rFonts w:ascii="Times New Roman" w:hAnsi="Times New Roman" w:cs="Times New Roman"/>
          <w:lang w:val="en-US"/>
        </w:rPr>
      </w:pPr>
      <w:r w:rsidRPr="00420BF0">
        <w:rPr>
          <w:rStyle w:val="FootnoteReference"/>
          <w:rFonts w:ascii="Times New Roman" w:hAnsi="Times New Roman" w:cs="Times New Roman"/>
          <w:b/>
        </w:rPr>
        <w:footnoteRef/>
      </w:r>
      <w:r w:rsidRPr="00420BF0">
        <w:rPr>
          <w:rFonts w:ascii="Times New Roman" w:hAnsi="Times New Roman" w:cs="Times New Roman"/>
          <w:b/>
        </w:rPr>
        <w:t xml:space="preserve"> </w:t>
      </w:r>
      <w:proofErr w:type="gramStart"/>
      <w:r w:rsidRPr="00420BF0">
        <w:rPr>
          <w:rStyle w:val="Strong"/>
          <w:rFonts w:ascii="Times New Roman" w:hAnsi="Times New Roman" w:cs="Times New Roman"/>
          <w:b w:val="0"/>
        </w:rPr>
        <w:t>Insurance Regulatory and Development Authority of India.</w:t>
      </w:r>
      <w:proofErr w:type="gramEnd"/>
      <w:r w:rsidRPr="00420BF0">
        <w:rPr>
          <w:rStyle w:val="Strong"/>
          <w:rFonts w:ascii="Times New Roman" w:hAnsi="Times New Roman" w:cs="Times New Roman"/>
          <w:b w:val="0"/>
        </w:rPr>
        <w:t xml:space="preserve"> </w:t>
      </w:r>
      <w:proofErr w:type="gramStart"/>
      <w:r w:rsidRPr="00420BF0">
        <w:rPr>
          <w:rStyle w:val="Strong"/>
          <w:rFonts w:ascii="Times New Roman" w:hAnsi="Times New Roman" w:cs="Times New Roman"/>
          <w:b w:val="0"/>
        </w:rPr>
        <w:t>(2023).</w:t>
      </w:r>
      <w:r w:rsidRPr="00420BF0">
        <w:rPr>
          <w:rFonts w:ascii="Times New Roman" w:hAnsi="Times New Roman" w:cs="Times New Roman"/>
          <w:b/>
        </w:rPr>
        <w:t xml:space="preserve"> </w:t>
      </w:r>
      <w:r w:rsidRPr="00420BF0">
        <w:rPr>
          <w:rStyle w:val="Emphasis"/>
          <w:rFonts w:ascii="Times New Roman" w:hAnsi="Times New Roman" w:cs="Times New Roman"/>
        </w:rPr>
        <w:t>Information and cyber security guidelines</w:t>
      </w:r>
      <w:r w:rsidRPr="00420BF0">
        <w:rPr>
          <w:rFonts w:ascii="Times New Roman" w:hAnsi="Times New Roman" w:cs="Times New Roman"/>
        </w:rPr>
        <w:t>.</w:t>
      </w:r>
      <w:proofErr w:type="gramEnd"/>
      <w:r w:rsidRPr="00420BF0">
        <w:rPr>
          <w:rFonts w:ascii="Times New Roman" w:hAnsi="Times New Roman" w:cs="Times New Roman"/>
        </w:rPr>
        <w:t xml:space="preserve"> </w:t>
      </w:r>
      <w:proofErr w:type="gramStart"/>
      <w:r w:rsidRPr="00420BF0">
        <w:rPr>
          <w:rFonts w:ascii="Times New Roman" w:hAnsi="Times New Roman" w:cs="Times New Roman"/>
        </w:rPr>
        <w:t>IRDAI.</w:t>
      </w:r>
      <w:proofErr w:type="gramEnd"/>
    </w:p>
  </w:footnote>
  <w:footnote w:id="10">
    <w:p w:rsidR="001E13F3" w:rsidRPr="00420BF0" w:rsidRDefault="001E13F3" w:rsidP="00420BF0">
      <w:pPr>
        <w:pStyle w:val="FootnoteText"/>
        <w:jc w:val="both"/>
        <w:rPr>
          <w:lang w:val="en-US"/>
        </w:rPr>
      </w:pPr>
      <w:r w:rsidRPr="00420BF0">
        <w:rPr>
          <w:rStyle w:val="FootnoteReference"/>
          <w:rFonts w:ascii="Times New Roman" w:hAnsi="Times New Roman" w:cs="Times New Roman"/>
        </w:rPr>
        <w:footnoteRef/>
      </w:r>
      <w:r w:rsidRPr="00420BF0">
        <w:rPr>
          <w:rFonts w:ascii="Times New Roman" w:hAnsi="Times New Roman" w:cs="Times New Roman"/>
        </w:rPr>
        <w:t xml:space="preserve"> </w:t>
      </w:r>
      <w:proofErr w:type="gramStart"/>
      <w:r w:rsidRPr="00420BF0">
        <w:rPr>
          <w:rStyle w:val="Strong"/>
          <w:rFonts w:ascii="Times New Roman" w:hAnsi="Times New Roman" w:cs="Times New Roman"/>
          <w:b w:val="0"/>
        </w:rPr>
        <w:t>Government of India.</w:t>
      </w:r>
      <w:proofErr w:type="gramEnd"/>
      <w:r w:rsidRPr="00420BF0">
        <w:rPr>
          <w:rStyle w:val="Strong"/>
          <w:rFonts w:ascii="Times New Roman" w:hAnsi="Times New Roman" w:cs="Times New Roman"/>
          <w:b w:val="0"/>
        </w:rPr>
        <w:t xml:space="preserve"> </w:t>
      </w:r>
      <w:proofErr w:type="gramStart"/>
      <w:r w:rsidRPr="00420BF0">
        <w:rPr>
          <w:rStyle w:val="Strong"/>
          <w:rFonts w:ascii="Times New Roman" w:hAnsi="Times New Roman" w:cs="Times New Roman"/>
          <w:b w:val="0"/>
        </w:rPr>
        <w:t>(2000).</w:t>
      </w:r>
      <w:r w:rsidRPr="00420BF0">
        <w:rPr>
          <w:rFonts w:ascii="Times New Roman" w:hAnsi="Times New Roman" w:cs="Times New Roman"/>
        </w:rPr>
        <w:t xml:space="preserve"> </w:t>
      </w:r>
      <w:r w:rsidRPr="00420BF0">
        <w:rPr>
          <w:rStyle w:val="Emphasis"/>
          <w:rFonts w:ascii="Times New Roman" w:hAnsi="Times New Roman" w:cs="Times New Roman"/>
        </w:rPr>
        <w:t>Information Technology Act, 2000</w:t>
      </w:r>
      <w:r w:rsidRPr="00420BF0">
        <w:rPr>
          <w:rFonts w:ascii="Times New Roman" w:hAnsi="Times New Roman" w:cs="Times New Roman"/>
        </w:rPr>
        <w:t xml:space="preserve"> (Sections 43A &amp; 72A).</w:t>
      </w:r>
      <w:proofErr w:type="gramEnd"/>
      <w:r w:rsidRPr="00420BF0">
        <w:rPr>
          <w:rFonts w:ascii="Times New Roman" w:hAnsi="Times New Roman" w:cs="Times New Roman"/>
        </w:rPr>
        <w:t xml:space="preserve"> </w:t>
      </w:r>
      <w:proofErr w:type="gramStart"/>
      <w:r w:rsidRPr="00420BF0">
        <w:rPr>
          <w:rFonts w:ascii="Times New Roman" w:hAnsi="Times New Roman" w:cs="Times New Roman"/>
        </w:rPr>
        <w:t>Government of India</w:t>
      </w:r>
      <w:r>
        <w:t>.</w:t>
      </w:r>
      <w:proofErr w:type="gramEnd"/>
    </w:p>
  </w:footnote>
  <w:footnote w:id="11">
    <w:p w:rsidR="00CC7A7B" w:rsidRPr="00454D60" w:rsidRDefault="00CC7A7B" w:rsidP="00CC7A7B">
      <w:pPr>
        <w:pStyle w:val="FootnoteText"/>
        <w:rPr>
          <w:rFonts w:ascii="Times New Roman" w:hAnsi="Times New Roman" w:cs="Times New Roman"/>
          <w:lang w:val="en-US"/>
        </w:rPr>
      </w:pPr>
      <w:r w:rsidRPr="00454D60">
        <w:rPr>
          <w:rStyle w:val="FootnoteReference"/>
        </w:rPr>
        <w:footnoteRef/>
      </w:r>
      <w:r w:rsidRPr="00454D60">
        <w:t xml:space="preserve"> </w:t>
      </w:r>
      <w:proofErr w:type="gramStart"/>
      <w:r w:rsidRPr="00454D60">
        <w:rPr>
          <w:rFonts w:ascii="Times New Roman" w:hAnsi="Times New Roman" w:cs="Times New Roman"/>
        </w:rPr>
        <w:t>Government of India.</w:t>
      </w:r>
      <w:proofErr w:type="gramEnd"/>
      <w:r w:rsidRPr="00454D60">
        <w:rPr>
          <w:rFonts w:ascii="Times New Roman" w:hAnsi="Times New Roman" w:cs="Times New Roman"/>
        </w:rPr>
        <w:t xml:space="preserve"> </w:t>
      </w:r>
      <w:proofErr w:type="gramStart"/>
      <w:r w:rsidRPr="00454D60">
        <w:rPr>
          <w:rFonts w:ascii="Times New Roman" w:hAnsi="Times New Roman" w:cs="Times New Roman"/>
        </w:rPr>
        <w:t xml:space="preserve">(2000). </w:t>
      </w:r>
      <w:r w:rsidRPr="00454D60">
        <w:rPr>
          <w:rStyle w:val="Emphasis"/>
          <w:rFonts w:ascii="Times New Roman" w:hAnsi="Times New Roman" w:cs="Times New Roman"/>
        </w:rPr>
        <w:t>Information Technology Act, 2000</w:t>
      </w:r>
      <w:r w:rsidRPr="00454D60">
        <w:rPr>
          <w:rFonts w:ascii="Times New Roman" w:hAnsi="Times New Roman" w:cs="Times New Roman"/>
        </w:rPr>
        <w:t>.</w:t>
      </w:r>
      <w:proofErr w:type="gramEnd"/>
    </w:p>
  </w:footnote>
  <w:footnote w:id="12">
    <w:p w:rsidR="001E13F3" w:rsidRPr="00454D60" w:rsidRDefault="001E13F3">
      <w:pPr>
        <w:pStyle w:val="FootnoteText"/>
        <w:rPr>
          <w:lang w:val="en-US"/>
        </w:rPr>
      </w:pPr>
      <w:r w:rsidRPr="00454D60">
        <w:rPr>
          <w:rStyle w:val="FootnoteReference"/>
          <w:rFonts w:ascii="Times New Roman" w:hAnsi="Times New Roman" w:cs="Times New Roman"/>
        </w:rPr>
        <w:footnoteRef/>
      </w:r>
      <w:r w:rsidRPr="00454D60">
        <w:rPr>
          <w:rFonts w:ascii="Times New Roman" w:hAnsi="Times New Roman" w:cs="Times New Roman"/>
        </w:rPr>
        <w:t xml:space="preserve"> </w:t>
      </w:r>
      <w:proofErr w:type="gramStart"/>
      <w:r w:rsidRPr="00454D60">
        <w:rPr>
          <w:rFonts w:ascii="Times New Roman" w:hAnsi="Times New Roman" w:cs="Times New Roman"/>
        </w:rPr>
        <w:t>Ministry of Electronics &amp; Information Technology.</w:t>
      </w:r>
      <w:proofErr w:type="gramEnd"/>
      <w:r w:rsidRPr="00454D60">
        <w:rPr>
          <w:rFonts w:ascii="Times New Roman" w:hAnsi="Times New Roman" w:cs="Times New Roman"/>
        </w:rPr>
        <w:t xml:space="preserve"> </w:t>
      </w:r>
      <w:proofErr w:type="gramStart"/>
      <w:r w:rsidRPr="00454D60">
        <w:rPr>
          <w:rFonts w:ascii="Times New Roman" w:hAnsi="Times New Roman" w:cs="Times New Roman"/>
        </w:rPr>
        <w:t xml:space="preserve">(2013). </w:t>
      </w:r>
      <w:r w:rsidRPr="00454D60">
        <w:rPr>
          <w:rStyle w:val="Emphasis"/>
          <w:rFonts w:ascii="Times New Roman" w:hAnsi="Times New Roman" w:cs="Times New Roman"/>
        </w:rPr>
        <w:t>National Cyber Security Policy</w:t>
      </w:r>
      <w:r w:rsidRPr="00454D60">
        <w:rPr>
          <w:rFonts w:ascii="Times New Roman" w:hAnsi="Times New Roman" w:cs="Times New Roman"/>
        </w:rPr>
        <w:t>.</w:t>
      </w:r>
      <w:proofErr w:type="gramEnd"/>
      <w:r w:rsidRPr="00454D60">
        <w:rPr>
          <w:rFonts w:ascii="Times New Roman" w:hAnsi="Times New Roman" w:cs="Times New Roman"/>
        </w:rPr>
        <w:t xml:space="preserve"> </w:t>
      </w:r>
      <w:proofErr w:type="gramStart"/>
      <w:r w:rsidRPr="00454D60">
        <w:rPr>
          <w:rFonts w:ascii="Times New Roman" w:hAnsi="Times New Roman" w:cs="Times New Roman"/>
        </w:rPr>
        <w:t>Government of India.</w:t>
      </w:r>
      <w:proofErr w:type="gramEnd"/>
    </w:p>
  </w:footnote>
  <w:footnote w:id="13">
    <w:p w:rsidR="001E13F3" w:rsidRPr="00694745" w:rsidRDefault="001E13F3" w:rsidP="00694745">
      <w:pPr>
        <w:pStyle w:val="FootnoteText"/>
        <w:jc w:val="both"/>
        <w:rPr>
          <w:rFonts w:ascii="Times New Roman" w:hAnsi="Times New Roman" w:cs="Times New Roman"/>
          <w:lang w:val="en-US"/>
        </w:rPr>
      </w:pPr>
      <w:r w:rsidRPr="00694745">
        <w:rPr>
          <w:rStyle w:val="FootnoteReference"/>
          <w:rFonts w:ascii="Times New Roman" w:hAnsi="Times New Roman" w:cs="Times New Roman"/>
        </w:rPr>
        <w:footnoteRef/>
      </w:r>
      <w:r w:rsidRPr="00694745">
        <w:rPr>
          <w:rFonts w:ascii="Times New Roman" w:hAnsi="Times New Roman" w:cs="Times New Roman"/>
        </w:rPr>
        <w:t xml:space="preserve"> </w:t>
      </w:r>
      <w:proofErr w:type="gramStart"/>
      <w:r w:rsidRPr="00694745">
        <w:rPr>
          <w:rFonts w:ascii="Times New Roman" w:hAnsi="Times New Roman" w:cs="Times New Roman"/>
        </w:rPr>
        <w:t>Ministry of Electronics &amp; Information Technology.</w:t>
      </w:r>
      <w:proofErr w:type="gramEnd"/>
      <w:r w:rsidRPr="00694745">
        <w:rPr>
          <w:rFonts w:ascii="Times New Roman" w:hAnsi="Times New Roman" w:cs="Times New Roman"/>
        </w:rPr>
        <w:t xml:space="preserve"> </w:t>
      </w:r>
      <w:proofErr w:type="gramStart"/>
      <w:r w:rsidRPr="00694745">
        <w:rPr>
          <w:rFonts w:ascii="Times New Roman" w:hAnsi="Times New Roman" w:cs="Times New Roman"/>
        </w:rPr>
        <w:t xml:space="preserve">(2011). </w:t>
      </w:r>
      <w:r w:rsidRPr="00694745">
        <w:rPr>
          <w:rStyle w:val="Emphasis"/>
          <w:rFonts w:ascii="Times New Roman" w:hAnsi="Times New Roman" w:cs="Times New Roman"/>
        </w:rPr>
        <w:t>Information Technology (Reasonable Security Practices and Procedures and Sensitive Personal Data or Information) Rules, 2011</w:t>
      </w:r>
      <w:r w:rsidRPr="00694745">
        <w:rPr>
          <w:rFonts w:ascii="Times New Roman" w:hAnsi="Times New Roman" w:cs="Times New Roman"/>
        </w:rPr>
        <w:t>.</w:t>
      </w:r>
      <w:proofErr w:type="gramEnd"/>
    </w:p>
  </w:footnote>
  <w:footnote w:id="14">
    <w:p w:rsidR="001E13F3" w:rsidRPr="008860BD" w:rsidRDefault="001E13F3">
      <w:pPr>
        <w:pStyle w:val="FootnoteText"/>
        <w:rPr>
          <w:rFonts w:ascii="Times New Roman" w:hAnsi="Times New Roman" w:cs="Times New Roman"/>
          <w:lang w:val="en-US"/>
        </w:rPr>
      </w:pPr>
      <w:r w:rsidRPr="008860BD">
        <w:rPr>
          <w:rStyle w:val="FootnoteReference"/>
          <w:rFonts w:ascii="Times New Roman" w:hAnsi="Times New Roman" w:cs="Times New Roman"/>
        </w:rPr>
        <w:footnoteRef/>
      </w:r>
      <w:r w:rsidRPr="008860BD">
        <w:rPr>
          <w:rFonts w:ascii="Times New Roman" w:hAnsi="Times New Roman" w:cs="Times New Roman"/>
        </w:rPr>
        <w:t xml:space="preserve"> </w:t>
      </w:r>
      <w:proofErr w:type="gramStart"/>
      <w:r w:rsidRPr="008860BD">
        <w:rPr>
          <w:rFonts w:ascii="Times New Roman" w:hAnsi="Times New Roman" w:cs="Times New Roman"/>
        </w:rPr>
        <w:t>International Organization for Standardization.</w:t>
      </w:r>
      <w:proofErr w:type="gramEnd"/>
      <w:r w:rsidRPr="008860BD">
        <w:rPr>
          <w:rFonts w:ascii="Times New Roman" w:hAnsi="Times New Roman" w:cs="Times New Roman"/>
        </w:rPr>
        <w:t xml:space="preserve"> </w:t>
      </w:r>
      <w:proofErr w:type="gramStart"/>
      <w:r w:rsidRPr="008860BD">
        <w:rPr>
          <w:rFonts w:ascii="Times New Roman" w:hAnsi="Times New Roman" w:cs="Times New Roman"/>
        </w:rPr>
        <w:t xml:space="preserve">(2022). </w:t>
      </w:r>
      <w:r w:rsidRPr="008860BD">
        <w:rPr>
          <w:rStyle w:val="Emphasis"/>
          <w:rFonts w:ascii="Times New Roman" w:hAnsi="Times New Roman" w:cs="Times New Roman"/>
        </w:rPr>
        <w:t>ISO/IEC 27001:2022 Information security management systems — Requirements</w:t>
      </w:r>
      <w:r w:rsidRPr="008860BD">
        <w:rPr>
          <w:rFonts w:ascii="Times New Roman" w:hAnsi="Times New Roman" w:cs="Times New Roman"/>
        </w:rPr>
        <w:t>.</w:t>
      </w:r>
      <w:proofErr w:type="gramEnd"/>
    </w:p>
  </w:footnote>
  <w:footnote w:id="15">
    <w:p w:rsidR="001E13F3" w:rsidRPr="008860BD" w:rsidRDefault="001E13F3">
      <w:pPr>
        <w:pStyle w:val="FootnoteText"/>
        <w:rPr>
          <w:rFonts w:ascii="Times New Roman" w:hAnsi="Times New Roman" w:cs="Times New Roman"/>
          <w:lang w:val="en-US"/>
        </w:rPr>
      </w:pPr>
      <w:r w:rsidRPr="008860BD">
        <w:rPr>
          <w:rStyle w:val="FootnoteReference"/>
          <w:rFonts w:ascii="Times New Roman" w:hAnsi="Times New Roman" w:cs="Times New Roman"/>
        </w:rPr>
        <w:footnoteRef/>
      </w:r>
      <w:r w:rsidRPr="008860BD">
        <w:rPr>
          <w:rFonts w:ascii="Times New Roman" w:hAnsi="Times New Roman" w:cs="Times New Roman"/>
        </w:rPr>
        <w:t xml:space="preserve"> </w:t>
      </w:r>
      <w:proofErr w:type="gramStart"/>
      <w:r w:rsidRPr="008860BD">
        <w:rPr>
          <w:rFonts w:ascii="Times New Roman" w:hAnsi="Times New Roman" w:cs="Times New Roman"/>
        </w:rPr>
        <w:t>Indian Computer Emergency Response Team.</w:t>
      </w:r>
      <w:proofErr w:type="gramEnd"/>
      <w:r w:rsidRPr="008860BD">
        <w:rPr>
          <w:rFonts w:ascii="Times New Roman" w:hAnsi="Times New Roman" w:cs="Times New Roman"/>
        </w:rPr>
        <w:t xml:space="preserve"> </w:t>
      </w:r>
      <w:proofErr w:type="gramStart"/>
      <w:r w:rsidRPr="008860BD">
        <w:rPr>
          <w:rFonts w:ascii="Times New Roman" w:hAnsi="Times New Roman" w:cs="Times New Roman"/>
        </w:rPr>
        <w:t xml:space="preserve">(2022). </w:t>
      </w:r>
      <w:r w:rsidRPr="008860BD">
        <w:rPr>
          <w:rStyle w:val="Emphasis"/>
          <w:rFonts w:ascii="Times New Roman" w:hAnsi="Times New Roman" w:cs="Times New Roman"/>
        </w:rPr>
        <w:t>CERT-In Directions for Cyber Incident Reporting</w:t>
      </w:r>
      <w:r w:rsidRPr="008860BD">
        <w:rPr>
          <w:rFonts w:ascii="Times New Roman" w:hAnsi="Times New Roman" w:cs="Times New Roman"/>
        </w:rPr>
        <w:t>.</w:t>
      </w:r>
      <w:proofErr w:type="gramEnd"/>
    </w:p>
  </w:footnote>
  <w:footnote w:id="16">
    <w:p w:rsidR="001E13F3" w:rsidRPr="008860BD" w:rsidRDefault="001E13F3">
      <w:pPr>
        <w:pStyle w:val="FootnoteText"/>
        <w:rPr>
          <w:rFonts w:ascii="Times New Roman" w:hAnsi="Times New Roman" w:cs="Times New Roman"/>
          <w:lang w:val="en-US"/>
        </w:rPr>
      </w:pPr>
      <w:r w:rsidRPr="008860BD">
        <w:rPr>
          <w:rStyle w:val="FootnoteReference"/>
          <w:rFonts w:ascii="Times New Roman" w:hAnsi="Times New Roman" w:cs="Times New Roman"/>
        </w:rPr>
        <w:footnoteRef/>
      </w:r>
      <w:r w:rsidRPr="008860BD">
        <w:rPr>
          <w:rFonts w:ascii="Times New Roman" w:hAnsi="Times New Roman" w:cs="Times New Roman"/>
        </w:rPr>
        <w:t xml:space="preserve"> </w:t>
      </w:r>
      <w:proofErr w:type="gramStart"/>
      <w:r w:rsidRPr="008860BD">
        <w:rPr>
          <w:rFonts w:ascii="Times New Roman" w:hAnsi="Times New Roman" w:cs="Times New Roman"/>
        </w:rPr>
        <w:t>CERT-In. (2022).</w:t>
      </w:r>
      <w:proofErr w:type="gramEnd"/>
      <w:r w:rsidRPr="008860BD">
        <w:rPr>
          <w:rFonts w:ascii="Times New Roman" w:hAnsi="Times New Roman" w:cs="Times New Roman"/>
        </w:rPr>
        <w:t xml:space="preserve"> </w:t>
      </w:r>
      <w:proofErr w:type="gramStart"/>
      <w:r w:rsidRPr="008860BD">
        <w:rPr>
          <w:rStyle w:val="Emphasis"/>
          <w:rFonts w:ascii="Times New Roman" w:hAnsi="Times New Roman" w:cs="Times New Roman"/>
        </w:rPr>
        <w:t>Guidelines under Section 70B of the IT Act</w:t>
      </w:r>
      <w:r w:rsidRPr="008860BD">
        <w:rPr>
          <w:rFonts w:ascii="Times New Roman" w:hAnsi="Times New Roman" w:cs="Times New Roman"/>
        </w:rPr>
        <w:t>.</w:t>
      </w:r>
      <w:proofErr w:type="gramEnd"/>
    </w:p>
  </w:footnote>
  <w:footnote w:id="17">
    <w:p w:rsidR="001E13F3" w:rsidRPr="00454D60" w:rsidRDefault="001E13F3" w:rsidP="00454D60">
      <w:pPr>
        <w:pStyle w:val="NormalWeb"/>
        <w:spacing w:before="0" w:beforeAutospacing="0" w:after="0" w:afterAutospacing="0"/>
      </w:pPr>
      <w:r>
        <w:rPr>
          <w:rStyle w:val="FootnoteReference"/>
        </w:rPr>
        <w:footnoteRef/>
      </w:r>
      <w:r>
        <w:t xml:space="preserve"> </w:t>
      </w:r>
      <w:proofErr w:type="gramStart"/>
      <w:r w:rsidRPr="00454D60">
        <w:rPr>
          <w:sz w:val="20"/>
        </w:rPr>
        <w:t>Securities and Exchange Board of India.</w:t>
      </w:r>
      <w:proofErr w:type="gramEnd"/>
      <w:r w:rsidRPr="00454D60">
        <w:rPr>
          <w:sz w:val="20"/>
        </w:rPr>
        <w:t xml:space="preserve"> </w:t>
      </w:r>
      <w:proofErr w:type="gramStart"/>
      <w:r w:rsidRPr="00454D60">
        <w:rPr>
          <w:sz w:val="20"/>
        </w:rPr>
        <w:t xml:space="preserve">(2018). </w:t>
      </w:r>
      <w:r w:rsidRPr="00454D60">
        <w:rPr>
          <w:rStyle w:val="Emphasis"/>
          <w:rFonts w:eastAsiaTheme="majorEastAsia"/>
          <w:sz w:val="20"/>
        </w:rPr>
        <w:t>Cyber Security and Cyber Resilience Framework</w:t>
      </w:r>
      <w:r w:rsidRPr="00454D60">
        <w:rPr>
          <w:sz w:val="20"/>
        </w:rPr>
        <w:t>.</w:t>
      </w:r>
      <w:proofErr w:type="gramEnd"/>
      <w:r w:rsidRPr="00454D60">
        <w:rPr>
          <w:sz w:val="20"/>
        </w:rPr>
        <w:t xml:space="preserve"> </w:t>
      </w:r>
      <w:proofErr w:type="gramStart"/>
      <w:r w:rsidRPr="00454D60">
        <w:rPr>
          <w:sz w:val="20"/>
        </w:rPr>
        <w:t>SEBI.</w:t>
      </w:r>
      <w:proofErr w:type="gramEnd"/>
    </w:p>
  </w:footnote>
  <w:footnote w:id="18">
    <w:p w:rsidR="001E13F3" w:rsidRPr="00B83B86" w:rsidRDefault="001E13F3">
      <w:pPr>
        <w:pStyle w:val="FootnoteText"/>
        <w:rPr>
          <w:rFonts w:ascii="Times New Roman" w:hAnsi="Times New Roman" w:cs="Times New Roman"/>
          <w:lang w:val="en-US"/>
        </w:rPr>
      </w:pPr>
      <w:r w:rsidRPr="00B83B86">
        <w:rPr>
          <w:rStyle w:val="FootnoteReference"/>
          <w:rFonts w:ascii="Times New Roman" w:hAnsi="Times New Roman" w:cs="Times New Roman"/>
        </w:rPr>
        <w:footnoteRef/>
      </w:r>
      <w:r w:rsidRPr="00B83B86">
        <w:rPr>
          <w:rFonts w:ascii="Times New Roman" w:hAnsi="Times New Roman" w:cs="Times New Roman"/>
        </w:rPr>
        <w:t xml:space="preserve"> </w:t>
      </w:r>
      <w:proofErr w:type="gramStart"/>
      <w:r w:rsidRPr="00B83B86">
        <w:rPr>
          <w:rFonts w:ascii="Times New Roman" w:hAnsi="Times New Roman" w:cs="Times New Roman"/>
        </w:rPr>
        <w:t>Telecom Regulatory Authority of India.</w:t>
      </w:r>
      <w:proofErr w:type="gramEnd"/>
      <w:r w:rsidRPr="00B83B86">
        <w:rPr>
          <w:rFonts w:ascii="Times New Roman" w:hAnsi="Times New Roman" w:cs="Times New Roman"/>
        </w:rPr>
        <w:t xml:space="preserve"> </w:t>
      </w:r>
      <w:proofErr w:type="gramStart"/>
      <w:r w:rsidRPr="00B83B86">
        <w:rPr>
          <w:rFonts w:ascii="Times New Roman" w:hAnsi="Times New Roman" w:cs="Times New Roman"/>
        </w:rPr>
        <w:t xml:space="preserve">(2020). </w:t>
      </w:r>
      <w:r w:rsidRPr="00B83B86">
        <w:rPr>
          <w:rStyle w:val="Emphasis"/>
          <w:rFonts w:ascii="Times New Roman" w:hAnsi="Times New Roman" w:cs="Times New Roman"/>
        </w:rPr>
        <w:t>Cyber security advisories</w:t>
      </w:r>
      <w:r w:rsidRPr="00B83B86">
        <w:rPr>
          <w:rFonts w:ascii="Times New Roman" w:hAnsi="Times New Roman" w:cs="Times New Roman"/>
        </w:rPr>
        <w:t>; National Health Authority.</w:t>
      </w:r>
      <w:proofErr w:type="gramEnd"/>
      <w:r w:rsidRPr="00B83B86">
        <w:rPr>
          <w:rFonts w:ascii="Times New Roman" w:hAnsi="Times New Roman" w:cs="Times New Roman"/>
        </w:rPr>
        <w:t xml:space="preserve"> </w:t>
      </w:r>
      <w:proofErr w:type="gramStart"/>
      <w:r w:rsidRPr="00B83B86">
        <w:rPr>
          <w:rFonts w:ascii="Times New Roman" w:hAnsi="Times New Roman" w:cs="Times New Roman"/>
        </w:rPr>
        <w:t xml:space="preserve">(2021). </w:t>
      </w:r>
      <w:r w:rsidRPr="00B83B86">
        <w:rPr>
          <w:rStyle w:val="Emphasis"/>
          <w:rFonts w:ascii="Times New Roman" w:hAnsi="Times New Roman" w:cs="Times New Roman"/>
        </w:rPr>
        <w:t>NDHM Health Data Management Policy</w:t>
      </w:r>
      <w:r w:rsidRPr="00B83B86">
        <w:rPr>
          <w:rFonts w:ascii="Times New Roman" w:hAnsi="Times New Roman" w:cs="Times New Roman"/>
        </w:rPr>
        <w:t>.</w:t>
      </w:r>
      <w:proofErr w:type="gramEnd"/>
    </w:p>
  </w:footnote>
  <w:footnote w:id="19">
    <w:p w:rsidR="001E13F3" w:rsidRPr="00B83B86" w:rsidRDefault="001E13F3">
      <w:pPr>
        <w:pStyle w:val="FootnoteText"/>
        <w:rPr>
          <w:rFonts w:ascii="Times New Roman" w:hAnsi="Times New Roman" w:cs="Times New Roman"/>
          <w:lang w:val="en-US"/>
        </w:rPr>
      </w:pPr>
      <w:r w:rsidRPr="00B83B86">
        <w:rPr>
          <w:rStyle w:val="FootnoteReference"/>
          <w:rFonts w:ascii="Times New Roman" w:hAnsi="Times New Roman" w:cs="Times New Roman"/>
        </w:rPr>
        <w:footnoteRef/>
      </w:r>
      <w:r w:rsidRPr="00B83B86">
        <w:rPr>
          <w:rFonts w:ascii="Times New Roman" w:hAnsi="Times New Roman" w:cs="Times New Roman"/>
        </w:rPr>
        <w:t xml:space="preserve"> </w:t>
      </w:r>
      <w:proofErr w:type="gramStart"/>
      <w:r w:rsidRPr="00B83B86">
        <w:rPr>
          <w:rFonts w:ascii="Times New Roman" w:hAnsi="Times New Roman" w:cs="Times New Roman"/>
        </w:rPr>
        <w:t>Government of India.</w:t>
      </w:r>
      <w:proofErr w:type="gramEnd"/>
      <w:r w:rsidRPr="00B83B86">
        <w:rPr>
          <w:rFonts w:ascii="Times New Roman" w:hAnsi="Times New Roman" w:cs="Times New Roman"/>
        </w:rPr>
        <w:t xml:space="preserve"> </w:t>
      </w:r>
      <w:proofErr w:type="gramStart"/>
      <w:r w:rsidRPr="00B83B86">
        <w:rPr>
          <w:rFonts w:ascii="Times New Roman" w:hAnsi="Times New Roman" w:cs="Times New Roman"/>
        </w:rPr>
        <w:t xml:space="preserve">(2023). </w:t>
      </w:r>
      <w:r w:rsidRPr="00B83B86">
        <w:rPr>
          <w:rStyle w:val="Emphasis"/>
          <w:rFonts w:ascii="Times New Roman" w:hAnsi="Times New Roman" w:cs="Times New Roman"/>
        </w:rPr>
        <w:t>Digital Personal Data Protection Act, 2023</w:t>
      </w:r>
      <w:r w:rsidRPr="00B83B86">
        <w:rPr>
          <w:rFonts w:ascii="Times New Roman" w:hAnsi="Times New Roman" w:cs="Times New Roman"/>
        </w:rPr>
        <w:t>.</w:t>
      </w:r>
      <w:proofErr w:type="gramEnd"/>
    </w:p>
  </w:footnote>
  <w:footnote w:id="20">
    <w:p w:rsidR="00862179" w:rsidRPr="00862179" w:rsidRDefault="00862179" w:rsidP="00862179">
      <w:pPr>
        <w:pStyle w:val="NormalWeb"/>
        <w:spacing w:before="0" w:beforeAutospacing="0" w:after="0" w:afterAutospacing="0"/>
        <w:jc w:val="both"/>
        <w:rPr>
          <w:sz w:val="20"/>
        </w:rPr>
      </w:pPr>
      <w:r w:rsidRPr="00862179">
        <w:rPr>
          <w:rStyle w:val="FootnoteReference"/>
          <w:sz w:val="20"/>
        </w:rPr>
        <w:footnoteRef/>
      </w:r>
      <w:r w:rsidRPr="00862179">
        <w:rPr>
          <w:sz w:val="20"/>
        </w:rPr>
        <w:t xml:space="preserve"> </w:t>
      </w:r>
      <w:proofErr w:type="gramStart"/>
      <w:r w:rsidRPr="00862179">
        <w:rPr>
          <w:sz w:val="20"/>
        </w:rPr>
        <w:t>Ministry of Electronics &amp; Information Technology.</w:t>
      </w:r>
      <w:proofErr w:type="gramEnd"/>
      <w:r w:rsidRPr="00862179">
        <w:rPr>
          <w:sz w:val="20"/>
        </w:rPr>
        <w:t xml:space="preserve"> </w:t>
      </w:r>
      <w:proofErr w:type="gramStart"/>
      <w:r w:rsidRPr="00862179">
        <w:rPr>
          <w:sz w:val="20"/>
        </w:rPr>
        <w:t xml:space="preserve">(2013). </w:t>
      </w:r>
      <w:r w:rsidRPr="00862179">
        <w:rPr>
          <w:i/>
          <w:iCs/>
          <w:sz w:val="20"/>
        </w:rPr>
        <w:t>National Cyber Security Policy</w:t>
      </w:r>
      <w:r w:rsidRPr="00862179">
        <w:rPr>
          <w:sz w:val="20"/>
        </w:rPr>
        <w:t>.</w:t>
      </w:r>
      <w:proofErr w:type="gramEnd"/>
      <w:r w:rsidRPr="00862179">
        <w:rPr>
          <w:sz w:val="20"/>
        </w:rPr>
        <w:t xml:space="preserve"> </w:t>
      </w:r>
      <w:proofErr w:type="gramStart"/>
      <w:r w:rsidRPr="00862179">
        <w:rPr>
          <w:sz w:val="20"/>
        </w:rPr>
        <w:t>Government of India.</w:t>
      </w:r>
      <w:proofErr w:type="gramEnd"/>
    </w:p>
    <w:p w:rsidR="00862179" w:rsidRDefault="00862179" w:rsidP="00862179">
      <w:pPr>
        <w:pStyle w:val="FootnoteText"/>
      </w:pPr>
    </w:p>
  </w:footnote>
  <w:footnote w:id="21">
    <w:p w:rsidR="00862179" w:rsidRDefault="00862179" w:rsidP="00862179">
      <w:pPr>
        <w:pStyle w:val="NormalWeb"/>
        <w:spacing w:before="0" w:beforeAutospacing="0" w:after="0" w:afterAutospacing="0"/>
        <w:jc w:val="both"/>
      </w:pPr>
      <w:r w:rsidRPr="00862179">
        <w:rPr>
          <w:rStyle w:val="FootnoteReference"/>
          <w:sz w:val="20"/>
        </w:rPr>
        <w:footnoteRef/>
      </w:r>
      <w:r w:rsidRPr="00862179">
        <w:rPr>
          <w:sz w:val="20"/>
        </w:rPr>
        <w:t xml:space="preserve"> </w:t>
      </w:r>
      <w:proofErr w:type="gramStart"/>
      <w:r w:rsidRPr="00862179">
        <w:rPr>
          <w:sz w:val="20"/>
        </w:rPr>
        <w:t>International Organization for Standardization.</w:t>
      </w:r>
      <w:proofErr w:type="gramEnd"/>
      <w:r w:rsidRPr="00862179">
        <w:rPr>
          <w:sz w:val="20"/>
        </w:rPr>
        <w:t xml:space="preserve"> (2022). </w:t>
      </w:r>
      <w:r w:rsidRPr="00862179">
        <w:rPr>
          <w:iCs/>
          <w:sz w:val="20"/>
        </w:rPr>
        <w:t xml:space="preserve">ISO/IEC 27001:2022 Information security management </w:t>
      </w:r>
      <w:proofErr w:type="gramStart"/>
      <w:r w:rsidRPr="00862179">
        <w:rPr>
          <w:iCs/>
          <w:sz w:val="20"/>
        </w:rPr>
        <w:t>systems  Requirements</w:t>
      </w:r>
      <w:proofErr w:type="gramEnd"/>
      <w:r w:rsidRPr="00862179">
        <w:rPr>
          <w:sz w:val="20"/>
        </w:rPr>
        <w:t xml:space="preserve">. </w:t>
      </w:r>
      <w:proofErr w:type="gramStart"/>
      <w:r w:rsidRPr="00862179">
        <w:rPr>
          <w:sz w:val="20"/>
        </w:rPr>
        <w:t>ISO.</w:t>
      </w:r>
      <w:proofErr w:type="gramEnd"/>
    </w:p>
  </w:footnote>
  <w:footnote w:id="22">
    <w:p w:rsidR="00862179" w:rsidRDefault="00862179" w:rsidP="00862179">
      <w:pPr>
        <w:pStyle w:val="NormalWeb"/>
        <w:spacing w:before="0" w:beforeAutospacing="0" w:after="0" w:afterAutospacing="0"/>
        <w:jc w:val="both"/>
      </w:pPr>
      <w:r w:rsidRPr="00862179">
        <w:rPr>
          <w:rStyle w:val="FootnoteReference"/>
          <w:sz w:val="20"/>
        </w:rPr>
        <w:footnoteRef/>
      </w:r>
      <w:r w:rsidRPr="00862179">
        <w:rPr>
          <w:sz w:val="20"/>
        </w:rPr>
        <w:t xml:space="preserve">   </w:t>
      </w:r>
      <w:proofErr w:type="gramStart"/>
      <w:r w:rsidRPr="00862179">
        <w:rPr>
          <w:sz w:val="20"/>
        </w:rPr>
        <w:t>National Institute of Standards and Technology.</w:t>
      </w:r>
      <w:proofErr w:type="gramEnd"/>
      <w:r w:rsidRPr="00862179">
        <w:rPr>
          <w:sz w:val="20"/>
        </w:rPr>
        <w:t xml:space="preserve"> </w:t>
      </w:r>
      <w:proofErr w:type="gramStart"/>
      <w:r w:rsidRPr="00862179">
        <w:rPr>
          <w:sz w:val="20"/>
        </w:rPr>
        <w:t xml:space="preserve">(2018). </w:t>
      </w:r>
      <w:r w:rsidRPr="00862179">
        <w:rPr>
          <w:i/>
          <w:iCs/>
          <w:sz w:val="20"/>
        </w:rPr>
        <w:t xml:space="preserve">Framework for improving critical infrastructure </w:t>
      </w:r>
      <w:proofErr w:type="spellStart"/>
      <w:r w:rsidRPr="00862179">
        <w:rPr>
          <w:i/>
          <w:iCs/>
          <w:sz w:val="20"/>
        </w:rPr>
        <w:t>cybersecurity</w:t>
      </w:r>
      <w:proofErr w:type="spellEnd"/>
      <w:r w:rsidRPr="00862179">
        <w:rPr>
          <w:sz w:val="20"/>
        </w:rPr>
        <w:t>.</w:t>
      </w:r>
      <w:proofErr w:type="gramEnd"/>
      <w:r w:rsidRPr="00862179">
        <w:rPr>
          <w:sz w:val="20"/>
        </w:rPr>
        <w:t xml:space="preserve"> </w:t>
      </w:r>
      <w:proofErr w:type="gramStart"/>
      <w:r w:rsidRPr="00862179">
        <w:rPr>
          <w:sz w:val="20"/>
        </w:rPr>
        <w:t>U.S. Department of Commerce.</w:t>
      </w:r>
      <w:proofErr w:type="gramEnd"/>
    </w:p>
  </w:footnote>
  <w:footnote w:id="23">
    <w:p w:rsidR="00862179" w:rsidRPr="00AA43CB" w:rsidRDefault="00862179" w:rsidP="001206C7">
      <w:pPr>
        <w:pStyle w:val="NormalWeb"/>
        <w:spacing w:before="0" w:beforeAutospacing="0" w:after="0" w:afterAutospacing="0"/>
        <w:jc w:val="both"/>
      </w:pPr>
      <w:r w:rsidRPr="00862179">
        <w:rPr>
          <w:rStyle w:val="FootnoteReference"/>
          <w:sz w:val="20"/>
        </w:rPr>
        <w:footnoteRef/>
      </w:r>
      <w:r w:rsidRPr="00862179">
        <w:rPr>
          <w:sz w:val="20"/>
        </w:rPr>
        <w:t xml:space="preserve">   </w:t>
      </w:r>
      <w:proofErr w:type="gramStart"/>
      <w:r w:rsidRPr="00AA43CB">
        <w:rPr>
          <w:sz w:val="20"/>
        </w:rPr>
        <w:t>Government of India.</w:t>
      </w:r>
      <w:proofErr w:type="gramEnd"/>
      <w:r w:rsidRPr="00AA43CB">
        <w:rPr>
          <w:sz w:val="20"/>
        </w:rPr>
        <w:t xml:space="preserve"> </w:t>
      </w:r>
      <w:proofErr w:type="gramStart"/>
      <w:r w:rsidRPr="00AA43CB">
        <w:rPr>
          <w:sz w:val="20"/>
        </w:rPr>
        <w:t xml:space="preserve">(2023). </w:t>
      </w:r>
      <w:r w:rsidRPr="00AA43CB">
        <w:rPr>
          <w:iCs/>
          <w:sz w:val="20"/>
        </w:rPr>
        <w:t>Digital Personal Data Protection Act, 2023</w:t>
      </w:r>
      <w:r w:rsidRPr="00AA43CB">
        <w:rPr>
          <w:sz w:val="20"/>
        </w:rPr>
        <w:t>.</w:t>
      </w:r>
      <w:proofErr w:type="gramEnd"/>
      <w:r w:rsidRPr="00AA43CB">
        <w:rPr>
          <w:sz w:val="20"/>
        </w:rPr>
        <w:t xml:space="preserve"> </w:t>
      </w:r>
      <w:proofErr w:type="gramStart"/>
      <w:r w:rsidRPr="00AA43CB">
        <w:rPr>
          <w:sz w:val="20"/>
        </w:rPr>
        <w:t>Government of India.</w:t>
      </w:r>
      <w:proofErr w:type="gramEnd"/>
    </w:p>
  </w:footnote>
  <w:footnote w:id="24">
    <w:p w:rsidR="00862179" w:rsidRPr="00AA43CB" w:rsidRDefault="00862179" w:rsidP="00862179">
      <w:pPr>
        <w:pStyle w:val="NormalWeb"/>
        <w:spacing w:before="0" w:beforeAutospacing="0" w:after="0" w:afterAutospacing="0"/>
        <w:jc w:val="both"/>
        <w:rPr>
          <w:sz w:val="20"/>
        </w:rPr>
      </w:pPr>
      <w:r w:rsidRPr="00AA43CB">
        <w:rPr>
          <w:rStyle w:val="FootnoteReference"/>
          <w:sz w:val="20"/>
        </w:rPr>
        <w:footnoteRef/>
      </w:r>
      <w:r w:rsidRPr="00AA43CB">
        <w:rPr>
          <w:sz w:val="20"/>
        </w:rPr>
        <w:t xml:space="preserve"> </w:t>
      </w:r>
      <w:proofErr w:type="gramStart"/>
      <w:r w:rsidRPr="00AA43CB">
        <w:rPr>
          <w:sz w:val="20"/>
        </w:rPr>
        <w:t>PwC India.</w:t>
      </w:r>
      <w:proofErr w:type="gramEnd"/>
      <w:r w:rsidRPr="00AA43CB">
        <w:rPr>
          <w:sz w:val="20"/>
        </w:rPr>
        <w:t xml:space="preserve"> (2023). </w:t>
      </w:r>
      <w:r w:rsidRPr="00AA43CB">
        <w:rPr>
          <w:iCs/>
          <w:sz w:val="20"/>
        </w:rPr>
        <w:t>Cyber security in India: Threat landscape report</w:t>
      </w:r>
      <w:r w:rsidRPr="00AA43CB">
        <w:rPr>
          <w:sz w:val="20"/>
        </w:rPr>
        <w:t>. PwC.</w:t>
      </w:r>
    </w:p>
    <w:p w:rsidR="00862179" w:rsidRPr="00AA43CB" w:rsidRDefault="00862179" w:rsidP="00862179">
      <w:pPr>
        <w:pStyle w:val="FootnoteText"/>
      </w:pPr>
    </w:p>
  </w:footnote>
  <w:footnote w:id="25">
    <w:p w:rsidR="00862179" w:rsidRPr="00862179" w:rsidRDefault="00862179" w:rsidP="00862179">
      <w:pPr>
        <w:pStyle w:val="NormalWeb"/>
        <w:spacing w:before="0" w:beforeAutospacing="0" w:after="0" w:afterAutospacing="0"/>
        <w:jc w:val="both"/>
        <w:rPr>
          <w:sz w:val="20"/>
        </w:rPr>
      </w:pPr>
      <w:r w:rsidRPr="00862179">
        <w:rPr>
          <w:rStyle w:val="FootnoteReference"/>
          <w:sz w:val="20"/>
        </w:rPr>
        <w:footnoteRef/>
      </w:r>
      <w:r w:rsidRPr="00862179">
        <w:rPr>
          <w:sz w:val="20"/>
        </w:rPr>
        <w:t xml:space="preserve"> </w:t>
      </w:r>
      <w:proofErr w:type="spellStart"/>
      <w:proofErr w:type="gramStart"/>
      <w:r w:rsidRPr="00862179">
        <w:rPr>
          <w:i/>
          <w:iCs/>
          <w:sz w:val="20"/>
        </w:rPr>
        <w:t>Shreya</w:t>
      </w:r>
      <w:proofErr w:type="spellEnd"/>
      <w:r w:rsidRPr="00862179">
        <w:rPr>
          <w:i/>
          <w:iCs/>
          <w:sz w:val="20"/>
        </w:rPr>
        <w:t xml:space="preserve"> </w:t>
      </w:r>
      <w:proofErr w:type="spellStart"/>
      <w:r w:rsidRPr="00862179">
        <w:rPr>
          <w:i/>
          <w:iCs/>
          <w:sz w:val="20"/>
        </w:rPr>
        <w:t>Singhal</w:t>
      </w:r>
      <w:proofErr w:type="spellEnd"/>
      <w:r w:rsidRPr="00862179">
        <w:rPr>
          <w:i/>
          <w:iCs/>
          <w:sz w:val="20"/>
        </w:rPr>
        <w:t xml:space="preserve"> v. Union of India</w:t>
      </w:r>
      <w:r w:rsidRPr="00862179">
        <w:rPr>
          <w:sz w:val="20"/>
        </w:rPr>
        <w:t>, (2015) 5 SCC 1.</w:t>
      </w:r>
      <w:proofErr w:type="gramEnd"/>
    </w:p>
    <w:p w:rsidR="00862179" w:rsidRDefault="00862179" w:rsidP="00862179">
      <w:pPr>
        <w:pStyle w:val="FootnoteText"/>
      </w:pPr>
    </w:p>
  </w:footnote>
  <w:footnote w:id="26">
    <w:p w:rsidR="00862179" w:rsidRDefault="00862179" w:rsidP="00862179">
      <w:pPr>
        <w:pStyle w:val="NormalWeb"/>
        <w:spacing w:before="0" w:beforeAutospacing="0" w:after="0" w:afterAutospacing="0"/>
        <w:jc w:val="both"/>
      </w:pPr>
      <w:r w:rsidRPr="00862179">
        <w:rPr>
          <w:rStyle w:val="FootnoteReference"/>
          <w:sz w:val="20"/>
        </w:rPr>
        <w:footnoteRef/>
      </w:r>
      <w:r w:rsidRPr="00862179">
        <w:rPr>
          <w:sz w:val="20"/>
        </w:rPr>
        <w:t xml:space="preserve">   </w:t>
      </w:r>
      <w:proofErr w:type="gramStart"/>
      <w:r w:rsidRPr="00862179">
        <w:rPr>
          <w:i/>
          <w:iCs/>
          <w:sz w:val="20"/>
        </w:rPr>
        <w:t xml:space="preserve">K.S. </w:t>
      </w:r>
      <w:proofErr w:type="spellStart"/>
      <w:r w:rsidRPr="00862179">
        <w:rPr>
          <w:i/>
          <w:iCs/>
          <w:sz w:val="20"/>
        </w:rPr>
        <w:t>Puttaswamy</w:t>
      </w:r>
      <w:proofErr w:type="spellEnd"/>
      <w:r w:rsidRPr="00862179">
        <w:rPr>
          <w:i/>
          <w:iCs/>
          <w:sz w:val="20"/>
        </w:rPr>
        <w:t xml:space="preserve"> v. Union of India</w:t>
      </w:r>
      <w:r w:rsidRPr="00862179">
        <w:rPr>
          <w:sz w:val="20"/>
        </w:rPr>
        <w:t>, (2017) 10 SCC 1.</w:t>
      </w:r>
      <w:proofErr w:type="gramEnd"/>
    </w:p>
  </w:footnote>
  <w:footnote w:id="27">
    <w:p w:rsidR="00862179" w:rsidRPr="00862179" w:rsidRDefault="00862179" w:rsidP="00862179">
      <w:pPr>
        <w:pStyle w:val="NormalWeb"/>
        <w:spacing w:before="0" w:beforeAutospacing="0" w:after="0" w:afterAutospacing="0"/>
        <w:jc w:val="both"/>
        <w:rPr>
          <w:sz w:val="20"/>
        </w:rPr>
      </w:pPr>
      <w:r w:rsidRPr="00862179">
        <w:rPr>
          <w:rStyle w:val="FootnoteReference"/>
          <w:sz w:val="20"/>
        </w:rPr>
        <w:footnoteRef/>
      </w:r>
      <w:r w:rsidRPr="00862179">
        <w:rPr>
          <w:sz w:val="20"/>
        </w:rPr>
        <w:t xml:space="preserve">   </w:t>
      </w:r>
      <w:proofErr w:type="gramStart"/>
      <w:r w:rsidRPr="00862179">
        <w:rPr>
          <w:i/>
          <w:iCs/>
          <w:sz w:val="20"/>
        </w:rPr>
        <w:t>Tata Consultancy Services Ltd. v. State of Andhra Pradesh</w:t>
      </w:r>
      <w:r w:rsidRPr="00862179">
        <w:rPr>
          <w:sz w:val="20"/>
        </w:rPr>
        <w:t>, (2004) 5 SCC 308.</w:t>
      </w:r>
      <w:proofErr w:type="gramEnd"/>
    </w:p>
    <w:p w:rsidR="00862179" w:rsidRDefault="00862179" w:rsidP="00862179">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D0422"/>
    <w:multiLevelType w:val="hybridMultilevel"/>
    <w:tmpl w:val="55AE50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9A938EE"/>
    <w:multiLevelType w:val="multilevel"/>
    <w:tmpl w:val="9064D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1071D8"/>
    <w:multiLevelType w:val="multilevel"/>
    <w:tmpl w:val="97307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247742"/>
    <w:multiLevelType w:val="multilevel"/>
    <w:tmpl w:val="E04AF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8D1BA6"/>
    <w:multiLevelType w:val="multilevel"/>
    <w:tmpl w:val="AA36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A07D5A"/>
    <w:multiLevelType w:val="hybridMultilevel"/>
    <w:tmpl w:val="58C6F6EC"/>
    <w:lvl w:ilvl="0" w:tplc="A11AF818">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C3313B7"/>
    <w:multiLevelType w:val="multilevel"/>
    <w:tmpl w:val="C43E2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BA7BF0"/>
    <w:multiLevelType w:val="multilevel"/>
    <w:tmpl w:val="004CD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7554C6"/>
    <w:multiLevelType w:val="multilevel"/>
    <w:tmpl w:val="F14E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711B71"/>
    <w:multiLevelType w:val="multilevel"/>
    <w:tmpl w:val="C43E2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B83F7E"/>
    <w:multiLevelType w:val="multilevel"/>
    <w:tmpl w:val="1A7A0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E46F69"/>
    <w:multiLevelType w:val="multilevel"/>
    <w:tmpl w:val="ACCECF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9605172"/>
    <w:multiLevelType w:val="multilevel"/>
    <w:tmpl w:val="8CC85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211"/>
        </w:tabs>
        <w:ind w:left="1211"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486217"/>
    <w:multiLevelType w:val="multilevel"/>
    <w:tmpl w:val="C43E2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D73DB6"/>
    <w:multiLevelType w:val="multilevel"/>
    <w:tmpl w:val="5B506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B71EA1"/>
    <w:multiLevelType w:val="multilevel"/>
    <w:tmpl w:val="7FEC2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CA340C"/>
    <w:multiLevelType w:val="hybridMultilevel"/>
    <w:tmpl w:val="D9AC3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52574B"/>
    <w:multiLevelType w:val="hybridMultilevel"/>
    <w:tmpl w:val="32983A90"/>
    <w:lvl w:ilvl="0" w:tplc="1DC6B5E2">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7EA1190"/>
    <w:multiLevelType w:val="multilevel"/>
    <w:tmpl w:val="C43E2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385E9B"/>
    <w:multiLevelType w:val="multilevel"/>
    <w:tmpl w:val="67886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65702FE"/>
    <w:multiLevelType w:val="multilevel"/>
    <w:tmpl w:val="EF5A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F9B0AE0"/>
    <w:multiLevelType w:val="multilevel"/>
    <w:tmpl w:val="C43E2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022035"/>
    <w:multiLevelType w:val="multilevel"/>
    <w:tmpl w:val="AE044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560BA8"/>
    <w:multiLevelType w:val="multilevel"/>
    <w:tmpl w:val="C43E2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DCA261B"/>
    <w:multiLevelType w:val="multilevel"/>
    <w:tmpl w:val="079C3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3"/>
  </w:num>
  <w:num w:numId="4">
    <w:abstractNumId w:val="1"/>
  </w:num>
  <w:num w:numId="5">
    <w:abstractNumId w:val="15"/>
  </w:num>
  <w:num w:numId="6">
    <w:abstractNumId w:val="22"/>
  </w:num>
  <w:num w:numId="7">
    <w:abstractNumId w:val="8"/>
  </w:num>
  <w:num w:numId="8">
    <w:abstractNumId w:val="18"/>
  </w:num>
  <w:num w:numId="9">
    <w:abstractNumId w:val="7"/>
  </w:num>
  <w:num w:numId="10">
    <w:abstractNumId w:val="20"/>
  </w:num>
  <w:num w:numId="11">
    <w:abstractNumId w:val="12"/>
  </w:num>
  <w:num w:numId="12">
    <w:abstractNumId w:val="4"/>
  </w:num>
  <w:num w:numId="13">
    <w:abstractNumId w:val="2"/>
  </w:num>
  <w:num w:numId="14">
    <w:abstractNumId w:val="14"/>
  </w:num>
  <w:num w:numId="15">
    <w:abstractNumId w:val="24"/>
  </w:num>
  <w:num w:numId="16">
    <w:abstractNumId w:val="16"/>
  </w:num>
  <w:num w:numId="17">
    <w:abstractNumId w:val="6"/>
  </w:num>
  <w:num w:numId="18">
    <w:abstractNumId w:val="5"/>
  </w:num>
  <w:num w:numId="19">
    <w:abstractNumId w:val="17"/>
  </w:num>
  <w:num w:numId="20">
    <w:abstractNumId w:val="19"/>
  </w:num>
  <w:num w:numId="21">
    <w:abstractNumId w:val="21"/>
  </w:num>
  <w:num w:numId="22">
    <w:abstractNumId w:val="23"/>
  </w:num>
  <w:num w:numId="23">
    <w:abstractNumId w:val="9"/>
  </w:num>
  <w:num w:numId="24">
    <w:abstractNumId w:val="13"/>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C9F"/>
    <w:rsid w:val="000424BE"/>
    <w:rsid w:val="00090FA1"/>
    <w:rsid w:val="000B73CD"/>
    <w:rsid w:val="000D434B"/>
    <w:rsid w:val="00101598"/>
    <w:rsid w:val="0011149A"/>
    <w:rsid w:val="001206C7"/>
    <w:rsid w:val="00163E36"/>
    <w:rsid w:val="001837E3"/>
    <w:rsid w:val="001A51DF"/>
    <w:rsid w:val="001B6782"/>
    <w:rsid w:val="001C738E"/>
    <w:rsid w:val="001E13F3"/>
    <w:rsid w:val="00222A8A"/>
    <w:rsid w:val="002465E8"/>
    <w:rsid w:val="00285830"/>
    <w:rsid w:val="002E09FA"/>
    <w:rsid w:val="00330F1C"/>
    <w:rsid w:val="00343201"/>
    <w:rsid w:val="003566EF"/>
    <w:rsid w:val="0037212F"/>
    <w:rsid w:val="00387F6D"/>
    <w:rsid w:val="00420BF0"/>
    <w:rsid w:val="00454D60"/>
    <w:rsid w:val="004C3A8E"/>
    <w:rsid w:val="00510C92"/>
    <w:rsid w:val="00556753"/>
    <w:rsid w:val="00580F0F"/>
    <w:rsid w:val="00597479"/>
    <w:rsid w:val="00597AA7"/>
    <w:rsid w:val="005F468F"/>
    <w:rsid w:val="006445BE"/>
    <w:rsid w:val="006718BA"/>
    <w:rsid w:val="00694745"/>
    <w:rsid w:val="006C4F08"/>
    <w:rsid w:val="006C6DD7"/>
    <w:rsid w:val="006F3556"/>
    <w:rsid w:val="007615D8"/>
    <w:rsid w:val="00834C9F"/>
    <w:rsid w:val="00862179"/>
    <w:rsid w:val="008860BD"/>
    <w:rsid w:val="00893757"/>
    <w:rsid w:val="00A269BB"/>
    <w:rsid w:val="00A42B3E"/>
    <w:rsid w:val="00A76A4A"/>
    <w:rsid w:val="00A84275"/>
    <w:rsid w:val="00AA43CB"/>
    <w:rsid w:val="00AC4735"/>
    <w:rsid w:val="00B277C0"/>
    <w:rsid w:val="00B3510D"/>
    <w:rsid w:val="00B83B86"/>
    <w:rsid w:val="00BE09FB"/>
    <w:rsid w:val="00C66AC4"/>
    <w:rsid w:val="00C875AE"/>
    <w:rsid w:val="00CB535E"/>
    <w:rsid w:val="00CC7A7B"/>
    <w:rsid w:val="00CD7E7D"/>
    <w:rsid w:val="00CE3603"/>
    <w:rsid w:val="00D450E7"/>
    <w:rsid w:val="00D57328"/>
    <w:rsid w:val="00D70A93"/>
    <w:rsid w:val="00D83A18"/>
    <w:rsid w:val="00D97D71"/>
    <w:rsid w:val="00DC0BCF"/>
    <w:rsid w:val="00E14CB0"/>
    <w:rsid w:val="00ED2491"/>
    <w:rsid w:val="00EF2917"/>
    <w:rsid w:val="00F30749"/>
    <w:rsid w:val="00F43598"/>
    <w:rsid w:val="00F80C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C96"/>
  </w:style>
  <w:style w:type="paragraph" w:styleId="Heading1">
    <w:name w:val="heading 1"/>
    <w:basedOn w:val="Normal"/>
    <w:next w:val="Normal"/>
    <w:link w:val="Heading1Char"/>
    <w:uiPriority w:val="9"/>
    <w:qFormat/>
    <w:rsid w:val="00DC0B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C0B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34C9F"/>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80C96"/>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F80C96"/>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F80C96"/>
    <w:pPr>
      <w:numPr>
        <w:ilvl w:val="1"/>
      </w:numPr>
      <w:spacing w:after="160" w:line="259" w:lineRule="auto"/>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F80C96"/>
    <w:rPr>
      <w:rFonts w:eastAsiaTheme="minorEastAsia" w:cs="Times New Roman"/>
      <w:color w:val="5A5A5A" w:themeColor="text1" w:themeTint="A5"/>
      <w:spacing w:val="15"/>
    </w:rPr>
  </w:style>
  <w:style w:type="paragraph" w:styleId="NoSpacing">
    <w:name w:val="No Spacing"/>
    <w:link w:val="NoSpacingChar"/>
    <w:uiPriority w:val="1"/>
    <w:qFormat/>
    <w:rsid w:val="00F80C96"/>
    <w:pPr>
      <w:spacing w:after="0" w:line="240" w:lineRule="auto"/>
    </w:pPr>
    <w:rPr>
      <w:rFonts w:eastAsiaTheme="minorEastAsia"/>
    </w:rPr>
  </w:style>
  <w:style w:type="character" w:customStyle="1" w:styleId="NoSpacingChar">
    <w:name w:val="No Spacing Char"/>
    <w:basedOn w:val="DefaultParagraphFont"/>
    <w:link w:val="NoSpacing"/>
    <w:uiPriority w:val="1"/>
    <w:rsid w:val="00F80C96"/>
    <w:rPr>
      <w:rFonts w:eastAsiaTheme="minorEastAsia"/>
    </w:rPr>
  </w:style>
  <w:style w:type="paragraph" w:styleId="ListParagraph">
    <w:name w:val="List Paragraph"/>
    <w:basedOn w:val="Normal"/>
    <w:uiPriority w:val="34"/>
    <w:qFormat/>
    <w:rsid w:val="00F80C96"/>
    <w:pPr>
      <w:ind w:left="720"/>
      <w:contextualSpacing/>
    </w:pPr>
  </w:style>
  <w:style w:type="character" w:customStyle="1" w:styleId="Heading3Char">
    <w:name w:val="Heading 3 Char"/>
    <w:basedOn w:val="DefaultParagraphFont"/>
    <w:link w:val="Heading3"/>
    <w:uiPriority w:val="9"/>
    <w:rsid w:val="00834C9F"/>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834C9F"/>
    <w:rPr>
      <w:b/>
      <w:bCs/>
    </w:rPr>
  </w:style>
  <w:style w:type="paragraph" w:styleId="NormalWeb">
    <w:name w:val="Normal (Web)"/>
    <w:basedOn w:val="Normal"/>
    <w:uiPriority w:val="99"/>
    <w:unhideWhenUsed/>
    <w:rsid w:val="00834C9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834C9F"/>
    <w:rPr>
      <w:i/>
      <w:iCs/>
    </w:rPr>
  </w:style>
  <w:style w:type="paragraph" w:styleId="FootnoteText">
    <w:name w:val="footnote text"/>
    <w:basedOn w:val="Normal"/>
    <w:link w:val="FootnoteTextChar"/>
    <w:uiPriority w:val="99"/>
    <w:semiHidden/>
    <w:unhideWhenUsed/>
    <w:rsid w:val="00834C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4C9F"/>
    <w:rPr>
      <w:sz w:val="20"/>
      <w:szCs w:val="20"/>
    </w:rPr>
  </w:style>
  <w:style w:type="character" w:styleId="FootnoteReference">
    <w:name w:val="footnote reference"/>
    <w:basedOn w:val="DefaultParagraphFont"/>
    <w:uiPriority w:val="99"/>
    <w:semiHidden/>
    <w:unhideWhenUsed/>
    <w:rsid w:val="00834C9F"/>
    <w:rPr>
      <w:vertAlign w:val="superscript"/>
    </w:rPr>
  </w:style>
  <w:style w:type="paragraph" w:styleId="Header">
    <w:name w:val="header"/>
    <w:basedOn w:val="Normal"/>
    <w:link w:val="HeaderChar"/>
    <w:uiPriority w:val="99"/>
    <w:unhideWhenUsed/>
    <w:rsid w:val="00834C9F"/>
    <w:pPr>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834C9F"/>
    <w:rPr>
      <w:lang w:val="en-US"/>
    </w:rPr>
  </w:style>
  <w:style w:type="character" w:styleId="Hyperlink">
    <w:name w:val="Hyperlink"/>
    <w:basedOn w:val="DefaultParagraphFont"/>
    <w:uiPriority w:val="99"/>
    <w:unhideWhenUsed/>
    <w:rsid w:val="00834C9F"/>
    <w:rPr>
      <w:color w:val="0000FF" w:themeColor="hyperlink"/>
      <w:u w:val="single"/>
    </w:rPr>
  </w:style>
  <w:style w:type="character" w:customStyle="1" w:styleId="Heading1Char">
    <w:name w:val="Heading 1 Char"/>
    <w:basedOn w:val="DefaultParagraphFont"/>
    <w:link w:val="Heading1"/>
    <w:uiPriority w:val="9"/>
    <w:rsid w:val="00DC0BC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C0BCF"/>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iPriority w:val="99"/>
    <w:unhideWhenUsed/>
    <w:rsid w:val="00B83B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B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C96"/>
  </w:style>
  <w:style w:type="paragraph" w:styleId="Heading1">
    <w:name w:val="heading 1"/>
    <w:basedOn w:val="Normal"/>
    <w:next w:val="Normal"/>
    <w:link w:val="Heading1Char"/>
    <w:uiPriority w:val="9"/>
    <w:qFormat/>
    <w:rsid w:val="00DC0B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C0B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34C9F"/>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80C96"/>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F80C96"/>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F80C96"/>
    <w:pPr>
      <w:numPr>
        <w:ilvl w:val="1"/>
      </w:numPr>
      <w:spacing w:after="160" w:line="259" w:lineRule="auto"/>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F80C96"/>
    <w:rPr>
      <w:rFonts w:eastAsiaTheme="minorEastAsia" w:cs="Times New Roman"/>
      <w:color w:val="5A5A5A" w:themeColor="text1" w:themeTint="A5"/>
      <w:spacing w:val="15"/>
    </w:rPr>
  </w:style>
  <w:style w:type="paragraph" w:styleId="NoSpacing">
    <w:name w:val="No Spacing"/>
    <w:link w:val="NoSpacingChar"/>
    <w:uiPriority w:val="1"/>
    <w:qFormat/>
    <w:rsid w:val="00F80C96"/>
    <w:pPr>
      <w:spacing w:after="0" w:line="240" w:lineRule="auto"/>
    </w:pPr>
    <w:rPr>
      <w:rFonts w:eastAsiaTheme="minorEastAsia"/>
    </w:rPr>
  </w:style>
  <w:style w:type="character" w:customStyle="1" w:styleId="NoSpacingChar">
    <w:name w:val="No Spacing Char"/>
    <w:basedOn w:val="DefaultParagraphFont"/>
    <w:link w:val="NoSpacing"/>
    <w:uiPriority w:val="1"/>
    <w:rsid w:val="00F80C96"/>
    <w:rPr>
      <w:rFonts w:eastAsiaTheme="minorEastAsia"/>
    </w:rPr>
  </w:style>
  <w:style w:type="paragraph" w:styleId="ListParagraph">
    <w:name w:val="List Paragraph"/>
    <w:basedOn w:val="Normal"/>
    <w:uiPriority w:val="34"/>
    <w:qFormat/>
    <w:rsid w:val="00F80C96"/>
    <w:pPr>
      <w:ind w:left="720"/>
      <w:contextualSpacing/>
    </w:pPr>
  </w:style>
  <w:style w:type="character" w:customStyle="1" w:styleId="Heading3Char">
    <w:name w:val="Heading 3 Char"/>
    <w:basedOn w:val="DefaultParagraphFont"/>
    <w:link w:val="Heading3"/>
    <w:uiPriority w:val="9"/>
    <w:rsid w:val="00834C9F"/>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834C9F"/>
    <w:rPr>
      <w:b/>
      <w:bCs/>
    </w:rPr>
  </w:style>
  <w:style w:type="paragraph" w:styleId="NormalWeb">
    <w:name w:val="Normal (Web)"/>
    <w:basedOn w:val="Normal"/>
    <w:uiPriority w:val="99"/>
    <w:unhideWhenUsed/>
    <w:rsid w:val="00834C9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834C9F"/>
    <w:rPr>
      <w:i/>
      <w:iCs/>
    </w:rPr>
  </w:style>
  <w:style w:type="paragraph" w:styleId="FootnoteText">
    <w:name w:val="footnote text"/>
    <w:basedOn w:val="Normal"/>
    <w:link w:val="FootnoteTextChar"/>
    <w:uiPriority w:val="99"/>
    <w:semiHidden/>
    <w:unhideWhenUsed/>
    <w:rsid w:val="00834C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4C9F"/>
    <w:rPr>
      <w:sz w:val="20"/>
      <w:szCs w:val="20"/>
    </w:rPr>
  </w:style>
  <w:style w:type="character" w:styleId="FootnoteReference">
    <w:name w:val="footnote reference"/>
    <w:basedOn w:val="DefaultParagraphFont"/>
    <w:uiPriority w:val="99"/>
    <w:semiHidden/>
    <w:unhideWhenUsed/>
    <w:rsid w:val="00834C9F"/>
    <w:rPr>
      <w:vertAlign w:val="superscript"/>
    </w:rPr>
  </w:style>
  <w:style w:type="paragraph" w:styleId="Header">
    <w:name w:val="header"/>
    <w:basedOn w:val="Normal"/>
    <w:link w:val="HeaderChar"/>
    <w:uiPriority w:val="99"/>
    <w:unhideWhenUsed/>
    <w:rsid w:val="00834C9F"/>
    <w:pPr>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834C9F"/>
    <w:rPr>
      <w:lang w:val="en-US"/>
    </w:rPr>
  </w:style>
  <w:style w:type="character" w:styleId="Hyperlink">
    <w:name w:val="Hyperlink"/>
    <w:basedOn w:val="DefaultParagraphFont"/>
    <w:uiPriority w:val="99"/>
    <w:unhideWhenUsed/>
    <w:rsid w:val="00834C9F"/>
    <w:rPr>
      <w:color w:val="0000FF" w:themeColor="hyperlink"/>
      <w:u w:val="single"/>
    </w:rPr>
  </w:style>
  <w:style w:type="character" w:customStyle="1" w:styleId="Heading1Char">
    <w:name w:val="Heading 1 Char"/>
    <w:basedOn w:val="DefaultParagraphFont"/>
    <w:link w:val="Heading1"/>
    <w:uiPriority w:val="9"/>
    <w:rsid w:val="00DC0BC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C0BCF"/>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iPriority w:val="99"/>
    <w:unhideWhenUsed/>
    <w:rsid w:val="00B83B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87913">
      <w:bodyDiv w:val="1"/>
      <w:marLeft w:val="0"/>
      <w:marRight w:val="0"/>
      <w:marTop w:val="0"/>
      <w:marBottom w:val="0"/>
      <w:divBdr>
        <w:top w:val="none" w:sz="0" w:space="0" w:color="auto"/>
        <w:left w:val="none" w:sz="0" w:space="0" w:color="auto"/>
        <w:bottom w:val="none" w:sz="0" w:space="0" w:color="auto"/>
        <w:right w:val="none" w:sz="0" w:space="0" w:color="auto"/>
      </w:divBdr>
    </w:div>
    <w:div w:id="64568652">
      <w:bodyDiv w:val="1"/>
      <w:marLeft w:val="0"/>
      <w:marRight w:val="0"/>
      <w:marTop w:val="0"/>
      <w:marBottom w:val="0"/>
      <w:divBdr>
        <w:top w:val="none" w:sz="0" w:space="0" w:color="auto"/>
        <w:left w:val="none" w:sz="0" w:space="0" w:color="auto"/>
        <w:bottom w:val="none" w:sz="0" w:space="0" w:color="auto"/>
        <w:right w:val="none" w:sz="0" w:space="0" w:color="auto"/>
      </w:divBdr>
    </w:div>
    <w:div w:id="81414242">
      <w:bodyDiv w:val="1"/>
      <w:marLeft w:val="0"/>
      <w:marRight w:val="0"/>
      <w:marTop w:val="0"/>
      <w:marBottom w:val="0"/>
      <w:divBdr>
        <w:top w:val="none" w:sz="0" w:space="0" w:color="auto"/>
        <w:left w:val="none" w:sz="0" w:space="0" w:color="auto"/>
        <w:bottom w:val="none" w:sz="0" w:space="0" w:color="auto"/>
        <w:right w:val="none" w:sz="0" w:space="0" w:color="auto"/>
      </w:divBdr>
    </w:div>
    <w:div w:id="95906332">
      <w:bodyDiv w:val="1"/>
      <w:marLeft w:val="0"/>
      <w:marRight w:val="0"/>
      <w:marTop w:val="0"/>
      <w:marBottom w:val="0"/>
      <w:divBdr>
        <w:top w:val="none" w:sz="0" w:space="0" w:color="auto"/>
        <w:left w:val="none" w:sz="0" w:space="0" w:color="auto"/>
        <w:bottom w:val="none" w:sz="0" w:space="0" w:color="auto"/>
        <w:right w:val="none" w:sz="0" w:space="0" w:color="auto"/>
      </w:divBdr>
    </w:div>
    <w:div w:id="236134284">
      <w:bodyDiv w:val="1"/>
      <w:marLeft w:val="0"/>
      <w:marRight w:val="0"/>
      <w:marTop w:val="0"/>
      <w:marBottom w:val="0"/>
      <w:divBdr>
        <w:top w:val="none" w:sz="0" w:space="0" w:color="auto"/>
        <w:left w:val="none" w:sz="0" w:space="0" w:color="auto"/>
        <w:bottom w:val="none" w:sz="0" w:space="0" w:color="auto"/>
        <w:right w:val="none" w:sz="0" w:space="0" w:color="auto"/>
      </w:divBdr>
    </w:div>
    <w:div w:id="301277641">
      <w:bodyDiv w:val="1"/>
      <w:marLeft w:val="0"/>
      <w:marRight w:val="0"/>
      <w:marTop w:val="0"/>
      <w:marBottom w:val="0"/>
      <w:divBdr>
        <w:top w:val="none" w:sz="0" w:space="0" w:color="auto"/>
        <w:left w:val="none" w:sz="0" w:space="0" w:color="auto"/>
        <w:bottom w:val="none" w:sz="0" w:space="0" w:color="auto"/>
        <w:right w:val="none" w:sz="0" w:space="0" w:color="auto"/>
      </w:divBdr>
    </w:div>
    <w:div w:id="391199664">
      <w:bodyDiv w:val="1"/>
      <w:marLeft w:val="0"/>
      <w:marRight w:val="0"/>
      <w:marTop w:val="0"/>
      <w:marBottom w:val="0"/>
      <w:divBdr>
        <w:top w:val="none" w:sz="0" w:space="0" w:color="auto"/>
        <w:left w:val="none" w:sz="0" w:space="0" w:color="auto"/>
        <w:bottom w:val="none" w:sz="0" w:space="0" w:color="auto"/>
        <w:right w:val="none" w:sz="0" w:space="0" w:color="auto"/>
      </w:divBdr>
    </w:div>
    <w:div w:id="410851158">
      <w:bodyDiv w:val="1"/>
      <w:marLeft w:val="0"/>
      <w:marRight w:val="0"/>
      <w:marTop w:val="0"/>
      <w:marBottom w:val="0"/>
      <w:divBdr>
        <w:top w:val="none" w:sz="0" w:space="0" w:color="auto"/>
        <w:left w:val="none" w:sz="0" w:space="0" w:color="auto"/>
        <w:bottom w:val="none" w:sz="0" w:space="0" w:color="auto"/>
        <w:right w:val="none" w:sz="0" w:space="0" w:color="auto"/>
      </w:divBdr>
    </w:div>
    <w:div w:id="479809353">
      <w:bodyDiv w:val="1"/>
      <w:marLeft w:val="0"/>
      <w:marRight w:val="0"/>
      <w:marTop w:val="0"/>
      <w:marBottom w:val="0"/>
      <w:divBdr>
        <w:top w:val="none" w:sz="0" w:space="0" w:color="auto"/>
        <w:left w:val="none" w:sz="0" w:space="0" w:color="auto"/>
        <w:bottom w:val="none" w:sz="0" w:space="0" w:color="auto"/>
        <w:right w:val="none" w:sz="0" w:space="0" w:color="auto"/>
      </w:divBdr>
    </w:div>
    <w:div w:id="517233739">
      <w:bodyDiv w:val="1"/>
      <w:marLeft w:val="0"/>
      <w:marRight w:val="0"/>
      <w:marTop w:val="0"/>
      <w:marBottom w:val="0"/>
      <w:divBdr>
        <w:top w:val="none" w:sz="0" w:space="0" w:color="auto"/>
        <w:left w:val="none" w:sz="0" w:space="0" w:color="auto"/>
        <w:bottom w:val="none" w:sz="0" w:space="0" w:color="auto"/>
        <w:right w:val="none" w:sz="0" w:space="0" w:color="auto"/>
      </w:divBdr>
    </w:div>
    <w:div w:id="661853861">
      <w:bodyDiv w:val="1"/>
      <w:marLeft w:val="0"/>
      <w:marRight w:val="0"/>
      <w:marTop w:val="0"/>
      <w:marBottom w:val="0"/>
      <w:divBdr>
        <w:top w:val="none" w:sz="0" w:space="0" w:color="auto"/>
        <w:left w:val="none" w:sz="0" w:space="0" w:color="auto"/>
        <w:bottom w:val="none" w:sz="0" w:space="0" w:color="auto"/>
        <w:right w:val="none" w:sz="0" w:space="0" w:color="auto"/>
      </w:divBdr>
    </w:div>
    <w:div w:id="704788807">
      <w:bodyDiv w:val="1"/>
      <w:marLeft w:val="0"/>
      <w:marRight w:val="0"/>
      <w:marTop w:val="0"/>
      <w:marBottom w:val="0"/>
      <w:divBdr>
        <w:top w:val="none" w:sz="0" w:space="0" w:color="auto"/>
        <w:left w:val="none" w:sz="0" w:space="0" w:color="auto"/>
        <w:bottom w:val="none" w:sz="0" w:space="0" w:color="auto"/>
        <w:right w:val="none" w:sz="0" w:space="0" w:color="auto"/>
      </w:divBdr>
    </w:div>
    <w:div w:id="726226284">
      <w:bodyDiv w:val="1"/>
      <w:marLeft w:val="0"/>
      <w:marRight w:val="0"/>
      <w:marTop w:val="0"/>
      <w:marBottom w:val="0"/>
      <w:divBdr>
        <w:top w:val="none" w:sz="0" w:space="0" w:color="auto"/>
        <w:left w:val="none" w:sz="0" w:space="0" w:color="auto"/>
        <w:bottom w:val="none" w:sz="0" w:space="0" w:color="auto"/>
        <w:right w:val="none" w:sz="0" w:space="0" w:color="auto"/>
      </w:divBdr>
    </w:div>
    <w:div w:id="742532928">
      <w:bodyDiv w:val="1"/>
      <w:marLeft w:val="0"/>
      <w:marRight w:val="0"/>
      <w:marTop w:val="0"/>
      <w:marBottom w:val="0"/>
      <w:divBdr>
        <w:top w:val="none" w:sz="0" w:space="0" w:color="auto"/>
        <w:left w:val="none" w:sz="0" w:space="0" w:color="auto"/>
        <w:bottom w:val="none" w:sz="0" w:space="0" w:color="auto"/>
        <w:right w:val="none" w:sz="0" w:space="0" w:color="auto"/>
      </w:divBdr>
    </w:div>
    <w:div w:id="772020510">
      <w:bodyDiv w:val="1"/>
      <w:marLeft w:val="0"/>
      <w:marRight w:val="0"/>
      <w:marTop w:val="0"/>
      <w:marBottom w:val="0"/>
      <w:divBdr>
        <w:top w:val="none" w:sz="0" w:space="0" w:color="auto"/>
        <w:left w:val="none" w:sz="0" w:space="0" w:color="auto"/>
        <w:bottom w:val="none" w:sz="0" w:space="0" w:color="auto"/>
        <w:right w:val="none" w:sz="0" w:space="0" w:color="auto"/>
      </w:divBdr>
    </w:div>
    <w:div w:id="1251617775">
      <w:bodyDiv w:val="1"/>
      <w:marLeft w:val="0"/>
      <w:marRight w:val="0"/>
      <w:marTop w:val="0"/>
      <w:marBottom w:val="0"/>
      <w:divBdr>
        <w:top w:val="none" w:sz="0" w:space="0" w:color="auto"/>
        <w:left w:val="none" w:sz="0" w:space="0" w:color="auto"/>
        <w:bottom w:val="none" w:sz="0" w:space="0" w:color="auto"/>
        <w:right w:val="none" w:sz="0" w:space="0" w:color="auto"/>
      </w:divBdr>
    </w:div>
    <w:div w:id="1336766427">
      <w:bodyDiv w:val="1"/>
      <w:marLeft w:val="0"/>
      <w:marRight w:val="0"/>
      <w:marTop w:val="0"/>
      <w:marBottom w:val="0"/>
      <w:divBdr>
        <w:top w:val="none" w:sz="0" w:space="0" w:color="auto"/>
        <w:left w:val="none" w:sz="0" w:space="0" w:color="auto"/>
        <w:bottom w:val="none" w:sz="0" w:space="0" w:color="auto"/>
        <w:right w:val="none" w:sz="0" w:space="0" w:color="auto"/>
      </w:divBdr>
    </w:div>
    <w:div w:id="1737439532">
      <w:bodyDiv w:val="1"/>
      <w:marLeft w:val="0"/>
      <w:marRight w:val="0"/>
      <w:marTop w:val="0"/>
      <w:marBottom w:val="0"/>
      <w:divBdr>
        <w:top w:val="none" w:sz="0" w:space="0" w:color="auto"/>
        <w:left w:val="none" w:sz="0" w:space="0" w:color="auto"/>
        <w:bottom w:val="none" w:sz="0" w:space="0" w:color="auto"/>
        <w:right w:val="none" w:sz="0" w:space="0" w:color="auto"/>
      </w:divBdr>
    </w:div>
    <w:div w:id="1804734557">
      <w:bodyDiv w:val="1"/>
      <w:marLeft w:val="0"/>
      <w:marRight w:val="0"/>
      <w:marTop w:val="0"/>
      <w:marBottom w:val="0"/>
      <w:divBdr>
        <w:top w:val="none" w:sz="0" w:space="0" w:color="auto"/>
        <w:left w:val="none" w:sz="0" w:space="0" w:color="auto"/>
        <w:bottom w:val="none" w:sz="0" w:space="0" w:color="auto"/>
        <w:right w:val="none" w:sz="0" w:space="0" w:color="auto"/>
      </w:divBdr>
    </w:div>
    <w:div w:id="1964647590">
      <w:bodyDiv w:val="1"/>
      <w:marLeft w:val="0"/>
      <w:marRight w:val="0"/>
      <w:marTop w:val="0"/>
      <w:marBottom w:val="0"/>
      <w:divBdr>
        <w:top w:val="none" w:sz="0" w:space="0" w:color="auto"/>
        <w:left w:val="none" w:sz="0" w:space="0" w:color="auto"/>
        <w:bottom w:val="none" w:sz="0" w:space="0" w:color="auto"/>
        <w:right w:val="none" w:sz="0" w:space="0" w:color="auto"/>
      </w:divBdr>
    </w:div>
    <w:div w:id="2038579726">
      <w:bodyDiv w:val="1"/>
      <w:marLeft w:val="0"/>
      <w:marRight w:val="0"/>
      <w:marTop w:val="0"/>
      <w:marBottom w:val="0"/>
      <w:divBdr>
        <w:top w:val="none" w:sz="0" w:space="0" w:color="auto"/>
        <w:left w:val="none" w:sz="0" w:space="0" w:color="auto"/>
        <w:bottom w:val="none" w:sz="0" w:space="0" w:color="auto"/>
        <w:right w:val="none" w:sz="0" w:space="0" w:color="auto"/>
      </w:divBdr>
    </w:div>
    <w:div w:id="2097897707">
      <w:bodyDiv w:val="1"/>
      <w:marLeft w:val="0"/>
      <w:marRight w:val="0"/>
      <w:marTop w:val="0"/>
      <w:marBottom w:val="0"/>
      <w:divBdr>
        <w:top w:val="none" w:sz="0" w:space="0" w:color="auto"/>
        <w:left w:val="none" w:sz="0" w:space="0" w:color="auto"/>
        <w:bottom w:val="none" w:sz="0" w:space="0" w:color="auto"/>
        <w:right w:val="none" w:sz="0" w:space="0" w:color="auto"/>
      </w:divBdr>
    </w:div>
    <w:div w:id="211119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C426B-B9BB-4232-ACDA-41829468E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4034</Words>
  <Characters>22998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Varalakshmi Mandula</dc:creator>
  <cp:lastModifiedBy>qwert</cp:lastModifiedBy>
  <cp:revision>4</cp:revision>
  <dcterms:created xsi:type="dcterms:W3CDTF">2025-12-14T09:03:00Z</dcterms:created>
  <dcterms:modified xsi:type="dcterms:W3CDTF">2026-03-05T13:22:00Z</dcterms:modified>
</cp:coreProperties>
</file>