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186F7" w14:textId="77777777" w:rsidR="002B4F8E" w:rsidRPr="00DC7B1E" w:rsidRDefault="002B4F8E" w:rsidP="001B4BB5">
      <w:pPr>
        <w:spacing w:after="0" w:line="240" w:lineRule="auto"/>
        <w:jc w:val="center"/>
        <w:outlineLvl w:val="0"/>
        <w:rPr>
          <w:rFonts w:ascii="Tahoma" w:eastAsia="Times New Roman" w:hAnsi="Tahoma" w:cs="Tahoma"/>
          <w:b/>
          <w:bCs/>
          <w:kern w:val="36"/>
          <w:sz w:val="20"/>
          <w:szCs w:val="20"/>
          <w:lang w:eastAsia="en-PH"/>
          <w14:ligatures w14:val="none"/>
        </w:rPr>
      </w:pPr>
      <w:r w:rsidRPr="00DC7B1E">
        <w:rPr>
          <w:rFonts w:ascii="Tahoma" w:eastAsia="Times New Roman" w:hAnsi="Tahoma" w:cs="Tahoma"/>
          <w:b/>
          <w:bCs/>
          <w:kern w:val="36"/>
          <w:sz w:val="20"/>
          <w:szCs w:val="20"/>
          <w:lang w:eastAsia="en-PH"/>
          <w14:ligatures w14:val="none"/>
        </w:rPr>
        <w:t>TEACHER CHALLENGES AND STRATEGIES IN ADDRESSING PROOF IN MATHEMATICS</w:t>
      </w:r>
    </w:p>
    <w:p w14:paraId="7E53A079" w14:textId="77777777" w:rsidR="002B4F8E" w:rsidRPr="00DC7B1E" w:rsidRDefault="002B4F8E" w:rsidP="001B4BB5">
      <w:pPr>
        <w:spacing w:after="0" w:line="240" w:lineRule="auto"/>
        <w:jc w:val="center"/>
        <w:outlineLvl w:val="0"/>
        <w:rPr>
          <w:rFonts w:ascii="Tahoma" w:eastAsia="Times New Roman" w:hAnsi="Tahoma" w:cs="Tahoma"/>
          <w:b/>
          <w:bCs/>
          <w:kern w:val="36"/>
          <w:sz w:val="20"/>
          <w:szCs w:val="20"/>
          <w:lang w:eastAsia="en-PH"/>
          <w14:ligatures w14:val="none"/>
        </w:rPr>
      </w:pPr>
    </w:p>
    <w:p w14:paraId="1ABF4F85" w14:textId="4E3BDCC5" w:rsidR="00F14771" w:rsidRPr="00DC7B1E" w:rsidRDefault="00F14771" w:rsidP="001B4BB5">
      <w:pPr>
        <w:spacing w:after="0" w:line="240" w:lineRule="auto"/>
        <w:jc w:val="center"/>
        <w:outlineLvl w:val="0"/>
        <w:rPr>
          <w:rFonts w:ascii="Tahoma" w:eastAsia="Times New Roman" w:hAnsi="Tahoma" w:cs="Tahoma"/>
          <w:i/>
          <w:iCs/>
          <w:kern w:val="36"/>
          <w:sz w:val="20"/>
          <w:szCs w:val="20"/>
          <w:lang w:eastAsia="en-PH"/>
          <w14:ligatures w14:val="none"/>
        </w:rPr>
      </w:pPr>
      <w:bookmarkStart w:id="0" w:name="_GoBack"/>
      <w:bookmarkEnd w:id="0"/>
    </w:p>
    <w:p w14:paraId="5E235413" w14:textId="44A99F1D" w:rsidR="002B4F8E" w:rsidRPr="00DC7B1E" w:rsidRDefault="002B4F8E" w:rsidP="001B4BB5">
      <w:pPr>
        <w:spacing w:after="0" w:line="240" w:lineRule="auto"/>
        <w:jc w:val="center"/>
        <w:outlineLvl w:val="0"/>
        <w:rPr>
          <w:rFonts w:ascii="Tahoma" w:eastAsia="Times New Roman" w:hAnsi="Tahoma" w:cs="Tahoma"/>
          <w:i/>
          <w:iCs/>
          <w:kern w:val="36"/>
          <w:sz w:val="20"/>
          <w:szCs w:val="20"/>
          <w:lang w:eastAsia="en-PH"/>
          <w14:ligatures w14:val="none"/>
        </w:rPr>
      </w:pPr>
    </w:p>
    <w:p w14:paraId="0C5D4DE6" w14:textId="77777777" w:rsidR="002B4F8E" w:rsidRPr="00DC7B1E" w:rsidRDefault="002B4F8E" w:rsidP="001B4BB5">
      <w:pPr>
        <w:spacing w:after="0" w:line="240" w:lineRule="auto"/>
        <w:jc w:val="center"/>
        <w:outlineLvl w:val="0"/>
        <w:rPr>
          <w:rFonts w:ascii="Tahoma" w:eastAsia="Times New Roman" w:hAnsi="Tahoma" w:cs="Tahoma"/>
          <w:b/>
          <w:bCs/>
          <w:i/>
          <w:iCs/>
          <w:color w:val="000000" w:themeColor="text1"/>
          <w:kern w:val="36"/>
          <w:sz w:val="20"/>
          <w:szCs w:val="20"/>
          <w:lang w:eastAsia="en-PH"/>
          <w14:ligatures w14:val="none"/>
        </w:rPr>
      </w:pPr>
    </w:p>
    <w:p w14:paraId="728220BB" w14:textId="77777777" w:rsidR="002B4F8E" w:rsidRPr="00DC7B1E" w:rsidRDefault="002B4F8E" w:rsidP="001B4BB5">
      <w:pPr>
        <w:pStyle w:val="Heading2"/>
        <w:spacing w:before="0" w:line="240" w:lineRule="auto"/>
        <w:jc w:val="center"/>
        <w:rPr>
          <w:rStyle w:val="Strong"/>
          <w:rFonts w:ascii="Tahoma" w:hAnsi="Tahoma" w:cs="Tahoma"/>
          <w:color w:val="000000" w:themeColor="text1"/>
          <w:sz w:val="20"/>
          <w:szCs w:val="20"/>
        </w:rPr>
      </w:pPr>
      <w:r w:rsidRPr="00DC7B1E">
        <w:rPr>
          <w:rStyle w:val="Strong"/>
          <w:rFonts w:ascii="Tahoma" w:hAnsi="Tahoma" w:cs="Tahoma"/>
          <w:color w:val="000000" w:themeColor="text1"/>
          <w:sz w:val="20"/>
          <w:szCs w:val="20"/>
        </w:rPr>
        <w:t>ABSTRACT</w:t>
      </w:r>
    </w:p>
    <w:p w14:paraId="052E9E46" w14:textId="77777777" w:rsidR="002B4F8E" w:rsidRPr="00DC7B1E" w:rsidRDefault="002B4F8E" w:rsidP="001B4BB5">
      <w:pPr>
        <w:spacing w:after="0" w:line="240" w:lineRule="auto"/>
        <w:rPr>
          <w:rFonts w:ascii="Tahoma" w:hAnsi="Tahoma" w:cs="Tahoma"/>
          <w:sz w:val="20"/>
          <w:szCs w:val="20"/>
        </w:rPr>
      </w:pPr>
    </w:p>
    <w:p w14:paraId="687A8C1D" w14:textId="77777777" w:rsidR="002B4F8E" w:rsidRPr="00DC7B1E" w:rsidRDefault="002B4F8E" w:rsidP="001B4BB5">
      <w:pPr>
        <w:pStyle w:val="NormalWeb"/>
        <w:spacing w:after="0" w:line="240" w:lineRule="auto"/>
        <w:jc w:val="both"/>
        <w:rPr>
          <w:rFonts w:ascii="Tahoma" w:hAnsi="Tahoma" w:cs="Tahoma"/>
          <w:sz w:val="20"/>
          <w:szCs w:val="20"/>
        </w:rPr>
      </w:pPr>
      <w:r w:rsidRPr="00DC7B1E">
        <w:rPr>
          <w:rFonts w:ascii="Tahoma" w:hAnsi="Tahoma" w:cs="Tahoma"/>
          <w:sz w:val="20"/>
          <w:szCs w:val="20"/>
        </w:rPr>
        <w:t xml:space="preserve">Mathematical proof is a fundamental component of mathematical reasoning and conceptual understanding; however, it remains one of the most challenging topics for both teachers to teach and students to learn. This study investigated the challenges mathematics teachers face in addressing proof and the strategies they use to overcome students’ misconceptions and difficulties. A mixed-method research design was employed, integrating quantitative and qualitative approaches to provide a comprehensive analysis of proof instruction. The respondents were 30 mathematics teachers in Region VI who are currently enrolled in graduate studies in mathematics or mathematics education. Data were gathered using a validated questionnaire comprising teachers’ profiles, a Likert-scale measure of challenges in teaching proof, and open-ended questions on instructional strategies. Descriptive statistics, Kruskal–Wallis H test, and Mann–Whitney U test were used for quantitative analysis, while thematic analysis was applied to qualitative responses. Results revealed that teachers experience a </w:t>
      </w:r>
      <w:r w:rsidRPr="00DC7B1E">
        <w:rPr>
          <w:rStyle w:val="Strong"/>
          <w:rFonts w:ascii="Tahoma" w:hAnsi="Tahoma" w:cs="Tahoma"/>
          <w:b w:val="0"/>
          <w:bCs w:val="0"/>
          <w:sz w:val="20"/>
          <w:szCs w:val="20"/>
        </w:rPr>
        <w:t>very high level of challenges</w:t>
      </w:r>
      <w:r w:rsidRPr="00DC7B1E">
        <w:rPr>
          <w:rFonts w:ascii="Tahoma" w:hAnsi="Tahoma" w:cs="Tahoma"/>
          <w:sz w:val="20"/>
          <w:szCs w:val="20"/>
        </w:rPr>
        <w:t xml:space="preserve"> in addressing mathematical proof across cognitive, affective, instructional, and structural dimensions. Students’ tendency to treat examples as proofs, weak deductive reasoning, lack of foundational knowledge, low motivation, limited instructional time, and inadequate resources emerged as the most critical challenges. These challenges remained consistently high across all teacher profile variables, with no significant differences observed based on educational attainment, teaching position, experience, resource access, or teaching modality. Qualitative findings showed that teachers employ multiple strategies, including scaffolded instruction, varied proof techniques, guided questioning, collaborative learning, and affect-sensitive approaches, to support students’ understanding. The convergence of quantitative and qualitative findings underscores the systemic nature of proof-related challenges and highlights the need for curriculum refinement, improved instructional resources, and sustained professional development focused on reasoning-centered proof instruction.</w:t>
      </w:r>
    </w:p>
    <w:p w14:paraId="405E2694" w14:textId="77777777" w:rsidR="002B4F8E" w:rsidRPr="00DC7B1E" w:rsidRDefault="002B4F8E" w:rsidP="001B4BB5">
      <w:pPr>
        <w:pStyle w:val="NormalWeb"/>
        <w:spacing w:after="0" w:line="240" w:lineRule="auto"/>
        <w:jc w:val="both"/>
        <w:rPr>
          <w:rFonts w:ascii="Tahoma" w:hAnsi="Tahoma" w:cs="Tahoma"/>
          <w:sz w:val="20"/>
          <w:szCs w:val="20"/>
        </w:rPr>
      </w:pPr>
    </w:p>
    <w:p w14:paraId="76FAC0C6" w14:textId="77777777" w:rsidR="002B4F8E" w:rsidRPr="00DC7B1E" w:rsidRDefault="002B4F8E" w:rsidP="001B4BB5">
      <w:pPr>
        <w:pStyle w:val="NormalWeb"/>
        <w:spacing w:after="0" w:line="240" w:lineRule="auto"/>
        <w:jc w:val="both"/>
        <w:rPr>
          <w:rFonts w:ascii="Tahoma" w:hAnsi="Tahoma" w:cs="Tahoma"/>
          <w:i/>
          <w:iCs/>
          <w:sz w:val="20"/>
          <w:szCs w:val="20"/>
        </w:rPr>
      </w:pPr>
      <w:r w:rsidRPr="00DC7B1E">
        <w:rPr>
          <w:rStyle w:val="Strong"/>
          <w:rFonts w:ascii="Tahoma" w:hAnsi="Tahoma" w:cs="Tahoma"/>
          <w:i/>
          <w:iCs/>
          <w:sz w:val="20"/>
          <w:szCs w:val="20"/>
        </w:rPr>
        <w:t>Keywords:</w:t>
      </w:r>
      <w:r w:rsidRPr="00DC7B1E">
        <w:rPr>
          <w:rFonts w:ascii="Tahoma" w:hAnsi="Tahoma" w:cs="Tahoma"/>
          <w:i/>
          <w:iCs/>
          <w:sz w:val="20"/>
          <w:szCs w:val="20"/>
        </w:rPr>
        <w:t xml:space="preserve"> mathematical proof, proof instruction, teacher challenges, instructional strategies, mixed-method research, mathematics education</w:t>
      </w:r>
    </w:p>
    <w:p w14:paraId="0CC250F0" w14:textId="77777777" w:rsidR="002B4F8E" w:rsidRPr="00DC7B1E" w:rsidRDefault="002B4F8E" w:rsidP="001B4BB5">
      <w:pPr>
        <w:spacing w:after="0" w:line="240" w:lineRule="auto"/>
        <w:jc w:val="center"/>
        <w:outlineLvl w:val="0"/>
        <w:rPr>
          <w:rFonts w:ascii="Tahoma" w:eastAsia="Times New Roman" w:hAnsi="Tahoma" w:cs="Tahoma"/>
          <w:b/>
          <w:bCs/>
          <w:kern w:val="36"/>
          <w:sz w:val="20"/>
          <w:szCs w:val="20"/>
          <w:lang w:eastAsia="en-PH"/>
          <w14:ligatures w14:val="none"/>
        </w:rPr>
      </w:pPr>
    </w:p>
    <w:p w14:paraId="15A7B4F9" w14:textId="77777777" w:rsidR="002B4F8E" w:rsidRPr="00DC7B1E" w:rsidRDefault="002B4F8E" w:rsidP="001B4BB5">
      <w:pPr>
        <w:spacing w:after="0" w:line="240" w:lineRule="auto"/>
        <w:jc w:val="center"/>
        <w:outlineLvl w:val="0"/>
        <w:rPr>
          <w:rFonts w:ascii="Tahoma" w:eastAsia="Times New Roman" w:hAnsi="Tahoma" w:cs="Tahoma"/>
          <w:b/>
          <w:bCs/>
          <w:kern w:val="36"/>
          <w:sz w:val="20"/>
          <w:szCs w:val="20"/>
          <w:lang w:eastAsia="en-PH"/>
          <w14:ligatures w14:val="none"/>
        </w:rPr>
      </w:pPr>
      <w:r w:rsidRPr="00DC7B1E">
        <w:rPr>
          <w:rFonts w:ascii="Tahoma" w:eastAsia="Times New Roman" w:hAnsi="Tahoma" w:cs="Tahoma"/>
          <w:b/>
          <w:bCs/>
          <w:kern w:val="36"/>
          <w:sz w:val="20"/>
          <w:szCs w:val="20"/>
          <w:lang w:eastAsia="en-PH"/>
          <w14:ligatures w14:val="none"/>
        </w:rPr>
        <w:t>INTRODUCTION</w:t>
      </w:r>
    </w:p>
    <w:p w14:paraId="5DD66742" w14:textId="77777777" w:rsidR="002B4F8E" w:rsidRPr="00DC7B1E" w:rsidRDefault="002B4F8E" w:rsidP="001B4BB5">
      <w:pPr>
        <w:spacing w:after="0" w:line="240" w:lineRule="auto"/>
        <w:ind w:firstLine="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Mathematical proof is central to the development of logical reasoning and conceptual understanding, yet it remains one of the most challenging areas for teachers to teach and for students to learn. Students commonly struggle with the structure of proofs, confuse examples with formal arguments, and rely heavily on memorization rather than genuine reasoning (Belay, 2024; Hummer et al., 2025). These persistent difficulties highlight the need to examine how teachers confront such challenges in their classrooms, as effective proof instruction is essential for developing learners’ higher-order thinking skills.</w:t>
      </w:r>
    </w:p>
    <w:p w14:paraId="05442EAA" w14:textId="77777777" w:rsidR="002B4F8E" w:rsidRPr="00DC7B1E" w:rsidRDefault="002B4F8E" w:rsidP="001B4BB5">
      <w:pPr>
        <w:spacing w:after="0" w:line="240" w:lineRule="auto"/>
        <w:ind w:firstLine="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According to reflections from mathematics educators, teaching proof requires navigating complex content, diagnosing subtle misconceptions, and addressing learners’ low motivation toward abstract reasoning. Teachers must also manage practical constraints, such as limited instructional time, insufficient resources, and curriculum competencies that are often broad or unclear (</w:t>
      </w:r>
      <w:proofErr w:type="spellStart"/>
      <w:r w:rsidRPr="00DC7B1E">
        <w:rPr>
          <w:rFonts w:ascii="Tahoma" w:eastAsia="Times New Roman" w:hAnsi="Tahoma" w:cs="Tahoma"/>
          <w:kern w:val="0"/>
          <w:sz w:val="20"/>
          <w:szCs w:val="20"/>
          <w:lang w:eastAsia="en-PH"/>
          <w14:ligatures w14:val="none"/>
        </w:rPr>
        <w:t>Karalı</w:t>
      </w:r>
      <w:proofErr w:type="spellEnd"/>
      <w:r w:rsidRPr="00DC7B1E">
        <w:rPr>
          <w:rFonts w:ascii="Tahoma" w:eastAsia="Times New Roman" w:hAnsi="Tahoma" w:cs="Tahoma"/>
          <w:kern w:val="0"/>
          <w:sz w:val="20"/>
          <w:szCs w:val="20"/>
          <w:lang w:eastAsia="en-PH"/>
          <w14:ligatures w14:val="none"/>
        </w:rPr>
        <w:t xml:space="preserve">, 2022; </w:t>
      </w:r>
      <w:proofErr w:type="spellStart"/>
      <w:r w:rsidRPr="00DC7B1E">
        <w:rPr>
          <w:rFonts w:ascii="Tahoma" w:eastAsia="Times New Roman" w:hAnsi="Tahoma" w:cs="Tahoma"/>
          <w:kern w:val="0"/>
          <w:sz w:val="20"/>
          <w:szCs w:val="20"/>
          <w:lang w:eastAsia="en-PH"/>
          <w14:ligatures w14:val="none"/>
        </w:rPr>
        <w:t>Klock</w:t>
      </w:r>
      <w:proofErr w:type="spellEnd"/>
      <w:r w:rsidRPr="00DC7B1E">
        <w:rPr>
          <w:rFonts w:ascii="Tahoma" w:eastAsia="Times New Roman" w:hAnsi="Tahoma" w:cs="Tahoma"/>
          <w:kern w:val="0"/>
          <w:sz w:val="20"/>
          <w:szCs w:val="20"/>
          <w:lang w:eastAsia="en-PH"/>
          <w14:ligatures w14:val="none"/>
        </w:rPr>
        <w:t xml:space="preserve"> &amp; Godino, 2021). These realities demand intentional, adaptable teaching strategies—such as scaffolded explanations, inquiry-based tasks, visual representations, collaborative work, and targeted feedback—that have been shown to support students' understanding of proofs (Stylianides &amp; Stylianides, 2023; Jones &amp; Brodie, 2023).</w:t>
      </w:r>
    </w:p>
    <w:p w14:paraId="23BEE183" w14:textId="77777777" w:rsidR="002B4F8E" w:rsidRPr="00DC7B1E" w:rsidRDefault="002B4F8E" w:rsidP="001B4BB5">
      <w:pPr>
        <w:spacing w:after="0" w:line="240" w:lineRule="auto"/>
        <w:ind w:firstLine="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Despite the availability of international research on proof challenges and instructional approaches, a gap persists in understanding how Filipino mathematics teachers—particularly those teaching in secondary schools while pursuing graduate studies—experience these challenges and apply strategies in </w:t>
      </w:r>
      <w:r w:rsidRPr="00DC7B1E">
        <w:rPr>
          <w:rFonts w:ascii="Tahoma" w:eastAsia="Times New Roman" w:hAnsi="Tahoma" w:cs="Tahoma"/>
          <w:kern w:val="0"/>
          <w:sz w:val="20"/>
          <w:szCs w:val="20"/>
          <w:lang w:eastAsia="en-PH"/>
          <w14:ligatures w14:val="none"/>
        </w:rPr>
        <w:lastRenderedPageBreak/>
        <w:t>actual practice. Local studies focus mostly on students’ mathematical misconceptions (</w:t>
      </w:r>
      <w:proofErr w:type="spellStart"/>
      <w:r w:rsidRPr="00DC7B1E">
        <w:rPr>
          <w:rFonts w:ascii="Tahoma" w:eastAsia="Times New Roman" w:hAnsi="Tahoma" w:cs="Tahoma"/>
          <w:kern w:val="0"/>
          <w:sz w:val="20"/>
          <w:szCs w:val="20"/>
          <w:lang w:eastAsia="en-PH"/>
          <w14:ligatures w14:val="none"/>
        </w:rPr>
        <w:t>Quinio</w:t>
      </w:r>
      <w:proofErr w:type="spellEnd"/>
      <w:r w:rsidRPr="00DC7B1E">
        <w:rPr>
          <w:rFonts w:ascii="Tahoma" w:eastAsia="Times New Roman" w:hAnsi="Tahoma" w:cs="Tahoma"/>
          <w:kern w:val="0"/>
          <w:sz w:val="20"/>
          <w:szCs w:val="20"/>
          <w:lang w:eastAsia="en-PH"/>
          <w14:ligatures w14:val="none"/>
        </w:rPr>
        <w:t xml:space="preserve"> &amp; Cuarto, 2025), leaving limited empirical evidence on the teacher perspective, especially in Region VI.</w:t>
      </w:r>
    </w:p>
    <w:p w14:paraId="6CDE2971" w14:textId="77777777" w:rsidR="002B4F8E" w:rsidRPr="00DC7B1E" w:rsidRDefault="002B4F8E" w:rsidP="001B4BB5">
      <w:pPr>
        <w:spacing w:after="0" w:line="240" w:lineRule="auto"/>
        <w:ind w:firstLine="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Given this gap, the purpose of the present study is to investigate the challenges mathematics teachers in Region VI encounter in teaching proof and to identify the strategies they employ to address students’ misconceptions and difficulties. By examining these experiences, the study aims to generate insights that can inform professional development, enrich instructional practices, and support more effective teaching of mathematical proof.</w:t>
      </w:r>
    </w:p>
    <w:p w14:paraId="21E8BF80" w14:textId="77777777" w:rsidR="002B4F8E" w:rsidRPr="00DC7B1E" w:rsidRDefault="002B4F8E" w:rsidP="001B4BB5">
      <w:pPr>
        <w:spacing w:after="0" w:line="240" w:lineRule="auto"/>
        <w:ind w:firstLine="567"/>
        <w:outlineLvl w:val="0"/>
        <w:rPr>
          <w:rFonts w:ascii="Tahoma" w:eastAsia="Times New Roman" w:hAnsi="Tahoma" w:cs="Tahoma"/>
          <w:kern w:val="36"/>
          <w:sz w:val="20"/>
          <w:szCs w:val="20"/>
          <w:lang w:eastAsia="en-PH"/>
          <w14:ligatures w14:val="none"/>
        </w:rPr>
      </w:pPr>
    </w:p>
    <w:p w14:paraId="79075741" w14:textId="77777777" w:rsidR="002B4F8E" w:rsidRPr="00DC7B1E" w:rsidRDefault="002B4F8E" w:rsidP="001B4BB5">
      <w:pPr>
        <w:spacing w:after="0" w:line="240" w:lineRule="auto"/>
        <w:outlineLvl w:val="0"/>
        <w:rPr>
          <w:rFonts w:ascii="Tahoma" w:eastAsia="Times New Roman" w:hAnsi="Tahoma" w:cs="Tahoma"/>
          <w:b/>
          <w:bCs/>
          <w:kern w:val="36"/>
          <w:sz w:val="20"/>
          <w:szCs w:val="20"/>
          <w:lang w:eastAsia="en-PH"/>
          <w14:ligatures w14:val="none"/>
        </w:rPr>
      </w:pPr>
      <w:r w:rsidRPr="00DC7B1E">
        <w:rPr>
          <w:rFonts w:ascii="Tahoma" w:eastAsia="Times New Roman" w:hAnsi="Tahoma" w:cs="Tahoma"/>
          <w:b/>
          <w:bCs/>
          <w:kern w:val="36"/>
          <w:sz w:val="20"/>
          <w:szCs w:val="20"/>
          <w:lang w:eastAsia="en-PH"/>
          <w14:ligatures w14:val="none"/>
        </w:rPr>
        <w:t>Statement of the Problem</w:t>
      </w:r>
    </w:p>
    <w:p w14:paraId="29AB5CF0" w14:textId="77777777" w:rsidR="002B4F8E" w:rsidRPr="00DC7B1E" w:rsidRDefault="002B4F8E" w:rsidP="001B4BB5">
      <w:pPr>
        <w:spacing w:after="0" w:line="240" w:lineRule="auto"/>
        <w:ind w:firstLine="360"/>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This study aims to determine the challenges and strategies teachers face in geometric proof in Mathematics. </w:t>
      </w:r>
    </w:p>
    <w:p w14:paraId="2E1934A3" w14:textId="77777777" w:rsidR="002B4F8E" w:rsidRPr="00DC7B1E" w:rsidRDefault="002B4F8E" w:rsidP="001B4BB5">
      <w:pPr>
        <w:spacing w:after="0" w:line="240" w:lineRule="auto"/>
        <w:ind w:firstLine="360"/>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Specifically, it seeks to answer the following questions:</w:t>
      </w:r>
    </w:p>
    <w:p w14:paraId="180515B4" w14:textId="77777777" w:rsidR="002B4F8E" w:rsidRPr="00DC7B1E" w:rsidRDefault="002B4F8E" w:rsidP="001B4BB5">
      <w:pPr>
        <w:numPr>
          <w:ilvl w:val="0"/>
          <w:numId w:val="2"/>
        </w:numPr>
        <w:spacing w:after="0" w:line="240" w:lineRule="auto"/>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What is the profile of the respondents in terms of highest educational attainment, teaching position, years of teaching mathematics, Mathematics courses taken related to proof, access to instructional resources regarding proving, and teaching modality used?</w:t>
      </w:r>
    </w:p>
    <w:p w14:paraId="161E4E9E" w14:textId="77777777" w:rsidR="002B4F8E" w:rsidRPr="00DC7B1E" w:rsidRDefault="002B4F8E" w:rsidP="001B4BB5">
      <w:pPr>
        <w:numPr>
          <w:ilvl w:val="0"/>
          <w:numId w:val="2"/>
        </w:numPr>
        <w:spacing w:after="0" w:line="240" w:lineRule="auto"/>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What is the level of challenges in addressing proof in Mathematics when taken as a whole and when classified according to the aforementioned profile?</w:t>
      </w:r>
    </w:p>
    <w:p w14:paraId="23BACE07" w14:textId="77777777" w:rsidR="002B4F8E" w:rsidRPr="00DC7B1E" w:rsidRDefault="002B4F8E" w:rsidP="001B4BB5">
      <w:pPr>
        <w:numPr>
          <w:ilvl w:val="0"/>
          <w:numId w:val="2"/>
        </w:numPr>
        <w:spacing w:after="0" w:line="240" w:lineRule="auto"/>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What is/are strategies employed by teachers in proving in Mathematics?</w:t>
      </w:r>
    </w:p>
    <w:p w14:paraId="507EB916" w14:textId="77777777" w:rsidR="002B4F8E" w:rsidRPr="00DC7B1E" w:rsidRDefault="002B4F8E" w:rsidP="001B4BB5">
      <w:pPr>
        <w:numPr>
          <w:ilvl w:val="0"/>
          <w:numId w:val="2"/>
        </w:numPr>
        <w:spacing w:after="0" w:line="240" w:lineRule="auto"/>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Are there significant differences in the level of challenges encountered by teachers when classified according to the respondents’ aforementioned profile?</w:t>
      </w:r>
    </w:p>
    <w:p w14:paraId="288F52F7" w14:textId="77777777" w:rsidR="002B4F8E" w:rsidRPr="00DC7B1E" w:rsidRDefault="002B4F8E" w:rsidP="001B4BB5">
      <w:pPr>
        <w:spacing w:after="0" w:line="240" w:lineRule="auto"/>
        <w:jc w:val="center"/>
        <w:rPr>
          <w:rFonts w:ascii="Tahoma" w:eastAsia="Times New Roman" w:hAnsi="Tahoma" w:cs="Tahoma"/>
          <w:b/>
          <w:bCs/>
          <w:color w:val="000000" w:themeColor="text1"/>
          <w:kern w:val="0"/>
          <w:sz w:val="20"/>
          <w:szCs w:val="20"/>
          <w:lang w:eastAsia="en-PH"/>
          <w14:ligatures w14:val="none"/>
        </w:rPr>
      </w:pPr>
    </w:p>
    <w:p w14:paraId="1D6E9CA2" w14:textId="77777777" w:rsidR="002B4F8E" w:rsidRPr="00DC7B1E" w:rsidRDefault="002B4F8E" w:rsidP="001B4BB5">
      <w:pPr>
        <w:spacing w:after="0" w:line="240" w:lineRule="auto"/>
        <w:jc w:val="center"/>
        <w:rPr>
          <w:rFonts w:ascii="Tahoma" w:eastAsia="Times New Roman" w:hAnsi="Tahoma" w:cs="Tahoma"/>
          <w:b/>
          <w:bCs/>
          <w:color w:val="000000" w:themeColor="text1"/>
          <w:kern w:val="0"/>
          <w:sz w:val="20"/>
          <w:szCs w:val="20"/>
          <w:lang w:eastAsia="en-PH"/>
          <w14:ligatures w14:val="none"/>
        </w:rPr>
      </w:pPr>
      <w:r w:rsidRPr="00DC7B1E">
        <w:rPr>
          <w:rFonts w:ascii="Tahoma" w:eastAsia="Times New Roman" w:hAnsi="Tahoma" w:cs="Tahoma"/>
          <w:b/>
          <w:bCs/>
          <w:color w:val="000000" w:themeColor="text1"/>
          <w:kern w:val="0"/>
          <w:sz w:val="20"/>
          <w:szCs w:val="20"/>
          <w:lang w:eastAsia="en-PH"/>
          <w14:ligatures w14:val="none"/>
        </w:rPr>
        <w:t>Schematic Diagram of the Study</w:t>
      </w:r>
    </w:p>
    <w:p w14:paraId="377BB098" w14:textId="77777777" w:rsidR="002B4F8E" w:rsidRPr="00DC7B1E" w:rsidRDefault="002B4F8E" w:rsidP="001B4BB5">
      <w:pPr>
        <w:spacing w:after="0" w:line="240" w:lineRule="auto"/>
        <w:jc w:val="center"/>
        <w:rPr>
          <w:rFonts w:ascii="Tahoma" w:eastAsia="Times New Roman" w:hAnsi="Tahoma" w:cs="Tahoma"/>
          <w:b/>
          <w:bCs/>
          <w:color w:val="000000" w:themeColor="text1"/>
          <w:kern w:val="0"/>
          <w:sz w:val="20"/>
          <w:szCs w:val="20"/>
          <w:lang w:eastAsia="en-PH"/>
          <w14:ligatures w14:val="none"/>
        </w:rPr>
      </w:pPr>
      <w:r w:rsidRPr="00DC7B1E">
        <w:rPr>
          <w:rFonts w:ascii="Tahoma" w:hAnsi="Tahoma" w:cs="Tahoma"/>
          <w:noProof/>
          <w:sz w:val="20"/>
          <w:szCs w:val="20"/>
          <w:lang w:val="en-IN" w:eastAsia="en-IN"/>
        </w:rPr>
        <w:drawing>
          <wp:inline distT="0" distB="0" distL="0" distR="0" wp14:anchorId="2066F0D0" wp14:editId="28311B54">
            <wp:extent cx="4614348" cy="2581275"/>
            <wp:effectExtent l="0" t="0" r="0" b="0"/>
            <wp:docPr id="356819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30004" cy="2590033"/>
                    </a:xfrm>
                    <a:prstGeom prst="rect">
                      <a:avLst/>
                    </a:prstGeom>
                    <a:noFill/>
                    <a:ln>
                      <a:noFill/>
                    </a:ln>
                  </pic:spPr>
                </pic:pic>
              </a:graphicData>
            </a:graphic>
          </wp:inline>
        </w:drawing>
      </w:r>
    </w:p>
    <w:p w14:paraId="1F328479" w14:textId="77777777" w:rsidR="002B4F8E" w:rsidRPr="00DC7B1E" w:rsidRDefault="002B4F8E" w:rsidP="001B4BB5">
      <w:pPr>
        <w:spacing w:after="0" w:line="240" w:lineRule="auto"/>
        <w:jc w:val="center"/>
        <w:rPr>
          <w:rFonts w:ascii="Tahoma" w:eastAsia="Times New Roman" w:hAnsi="Tahoma" w:cs="Tahoma"/>
          <w:b/>
          <w:bCs/>
          <w:color w:val="000000" w:themeColor="text1"/>
          <w:kern w:val="0"/>
          <w:sz w:val="20"/>
          <w:szCs w:val="20"/>
          <w:lang w:eastAsia="en-PH"/>
          <w14:ligatures w14:val="none"/>
        </w:rPr>
      </w:pPr>
    </w:p>
    <w:p w14:paraId="7010D3D8" w14:textId="77777777" w:rsidR="002B4F8E" w:rsidRPr="00DC7B1E" w:rsidRDefault="002B4F8E" w:rsidP="001B4BB5">
      <w:pPr>
        <w:spacing w:after="0" w:line="240" w:lineRule="auto"/>
        <w:jc w:val="center"/>
        <w:rPr>
          <w:rFonts w:ascii="Tahoma" w:eastAsia="Times New Roman" w:hAnsi="Tahoma" w:cs="Tahoma"/>
          <w:b/>
          <w:bCs/>
          <w:color w:val="000000" w:themeColor="text1"/>
          <w:kern w:val="0"/>
          <w:sz w:val="20"/>
          <w:szCs w:val="20"/>
          <w:lang w:eastAsia="en-PH"/>
          <w14:ligatures w14:val="none"/>
        </w:rPr>
      </w:pPr>
    </w:p>
    <w:p w14:paraId="509C0705" w14:textId="77777777" w:rsidR="002B4F8E" w:rsidRPr="00DC7B1E" w:rsidRDefault="002B4F8E" w:rsidP="001B4BB5">
      <w:pPr>
        <w:spacing w:after="0" w:line="240" w:lineRule="auto"/>
        <w:jc w:val="center"/>
        <w:rPr>
          <w:rFonts w:ascii="Tahoma" w:eastAsia="Times New Roman" w:hAnsi="Tahoma" w:cs="Tahoma"/>
          <w:b/>
          <w:bCs/>
          <w:color w:val="000000" w:themeColor="text1"/>
          <w:kern w:val="0"/>
          <w:sz w:val="20"/>
          <w:szCs w:val="20"/>
          <w:lang w:eastAsia="en-PH"/>
          <w14:ligatures w14:val="none"/>
        </w:rPr>
      </w:pPr>
    </w:p>
    <w:p w14:paraId="0CC626E8" w14:textId="77777777" w:rsidR="002B4F8E" w:rsidRPr="00DC7B1E" w:rsidRDefault="002B4F8E" w:rsidP="001B4BB5">
      <w:pPr>
        <w:spacing w:after="0" w:line="240" w:lineRule="auto"/>
        <w:jc w:val="center"/>
        <w:rPr>
          <w:rFonts w:ascii="Tahoma" w:eastAsia="Times New Roman" w:hAnsi="Tahoma" w:cs="Tahoma"/>
          <w:b/>
          <w:bCs/>
          <w:color w:val="000000" w:themeColor="text1"/>
          <w:kern w:val="0"/>
          <w:sz w:val="20"/>
          <w:szCs w:val="20"/>
          <w:lang w:eastAsia="en-PH"/>
          <w14:ligatures w14:val="none"/>
        </w:rPr>
      </w:pPr>
    </w:p>
    <w:p w14:paraId="28CF4ED3" w14:textId="77777777" w:rsidR="002B4F8E" w:rsidRPr="00DC7B1E" w:rsidRDefault="002B4F8E" w:rsidP="001B4BB5">
      <w:pPr>
        <w:spacing w:after="0" w:line="240" w:lineRule="auto"/>
        <w:jc w:val="center"/>
        <w:rPr>
          <w:rFonts w:ascii="Tahoma" w:eastAsia="Times New Roman" w:hAnsi="Tahoma" w:cs="Tahoma"/>
          <w:b/>
          <w:bCs/>
          <w:color w:val="000000" w:themeColor="text1"/>
          <w:kern w:val="0"/>
          <w:sz w:val="20"/>
          <w:szCs w:val="20"/>
          <w:lang w:eastAsia="en-PH"/>
          <w14:ligatures w14:val="none"/>
        </w:rPr>
      </w:pPr>
      <w:r w:rsidRPr="00DC7B1E">
        <w:rPr>
          <w:rFonts w:ascii="Tahoma" w:eastAsia="Times New Roman" w:hAnsi="Tahoma" w:cs="Tahoma"/>
          <w:b/>
          <w:bCs/>
          <w:color w:val="000000" w:themeColor="text1"/>
          <w:kern w:val="0"/>
          <w:sz w:val="20"/>
          <w:szCs w:val="20"/>
          <w:lang w:eastAsia="en-PH"/>
          <w14:ligatures w14:val="none"/>
        </w:rPr>
        <w:t>Methodology</w:t>
      </w:r>
    </w:p>
    <w:p w14:paraId="340FC580"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r w:rsidRPr="00DC7B1E">
        <w:rPr>
          <w:rFonts w:ascii="Tahoma" w:eastAsia="Times New Roman" w:hAnsi="Tahoma" w:cs="Tahoma"/>
          <w:b/>
          <w:bCs/>
          <w:color w:val="000000" w:themeColor="text1"/>
          <w:kern w:val="0"/>
          <w:sz w:val="20"/>
          <w:szCs w:val="20"/>
          <w:lang w:eastAsia="en-PH"/>
          <w14:ligatures w14:val="none"/>
        </w:rPr>
        <w:t>Research Design</w:t>
      </w:r>
    </w:p>
    <w:p w14:paraId="5C1898F7" w14:textId="77777777" w:rsidR="002B4F8E" w:rsidRPr="00DC7B1E" w:rsidRDefault="002B4F8E" w:rsidP="001B4BB5">
      <w:pPr>
        <w:spacing w:after="0" w:line="240" w:lineRule="auto"/>
        <w:ind w:firstLine="720"/>
        <w:rPr>
          <w:rFonts w:ascii="Tahoma" w:eastAsia="Times New Roman" w:hAnsi="Tahoma" w:cs="Tahoma"/>
          <w:color w:val="000000" w:themeColor="text1"/>
          <w:kern w:val="0"/>
          <w:sz w:val="20"/>
          <w:szCs w:val="20"/>
          <w:lang w:eastAsia="en-PH"/>
          <w14:ligatures w14:val="none"/>
        </w:rPr>
      </w:pPr>
      <w:r w:rsidRPr="00DC7B1E">
        <w:rPr>
          <w:rFonts w:ascii="Tahoma" w:hAnsi="Tahoma" w:cs="Tahoma"/>
          <w:sz w:val="20"/>
          <w:szCs w:val="20"/>
        </w:rPr>
        <w:t xml:space="preserve">This study employs a </w:t>
      </w:r>
      <w:r w:rsidRPr="00DC7B1E">
        <w:rPr>
          <w:rStyle w:val="Strong"/>
          <w:rFonts w:ascii="Tahoma" w:hAnsi="Tahoma" w:cs="Tahoma"/>
          <w:sz w:val="20"/>
          <w:szCs w:val="20"/>
        </w:rPr>
        <w:t>mixed-method research design</w:t>
      </w:r>
      <w:r w:rsidRPr="00DC7B1E">
        <w:rPr>
          <w:rFonts w:ascii="Tahoma" w:hAnsi="Tahoma" w:cs="Tahoma"/>
          <w:sz w:val="20"/>
          <w:szCs w:val="20"/>
        </w:rPr>
        <w:t xml:space="preserve">, integrating both quantitative and qualitative approaches to provide a comprehensive understanding of the challenges and strategies involved in addressing proof in mathematics. The quantitative component used to measure the level of challenges experienced by secondary school mathematics teachers through a structured Likert-scale survey. This approach enables numerical analysis, trend identification, and comparison of challenge levels across teacher profiles. Meanwhile, the qualitative component will explore the strategies teachers use to address proof-related misconceptions through open-ended questions or short written reflections. This qualitative data was captured from teachers’ insights, reasoning processes, and contextualized practices </w:t>
      </w:r>
      <w:r w:rsidRPr="00DC7B1E">
        <w:rPr>
          <w:rFonts w:ascii="Tahoma" w:hAnsi="Tahoma" w:cs="Tahoma"/>
          <w:sz w:val="20"/>
          <w:szCs w:val="20"/>
        </w:rPr>
        <w:lastRenderedPageBreak/>
        <w:t>that cannot be fully represented by numerical scores. According to Creswell and Creswell (2023), mixed-method designs provide a more complete picture of a research problem by combining the strengths of both quantitative measurement and qualitative depth. By adopting this design, the present study can systematically quantify the difficulties teachers face while also gaining detailed, real-time descriptions of their instructional strategies, thus offering a holistic understanding of proof instruction in the mathematics classroom.</w:t>
      </w:r>
    </w:p>
    <w:p w14:paraId="36B110ED"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p>
    <w:p w14:paraId="41E31BBB"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r w:rsidRPr="00DC7B1E">
        <w:rPr>
          <w:rFonts w:ascii="Tahoma" w:eastAsia="Times New Roman" w:hAnsi="Tahoma" w:cs="Tahoma"/>
          <w:b/>
          <w:bCs/>
          <w:color w:val="000000" w:themeColor="text1"/>
          <w:kern w:val="0"/>
          <w:sz w:val="20"/>
          <w:szCs w:val="20"/>
          <w:lang w:eastAsia="en-PH"/>
          <w14:ligatures w14:val="none"/>
        </w:rPr>
        <w:t>Respondents of the Study</w:t>
      </w:r>
    </w:p>
    <w:p w14:paraId="40ABA149" w14:textId="77777777" w:rsidR="002B4F8E" w:rsidRPr="00DC7B1E" w:rsidRDefault="002B4F8E" w:rsidP="001B4BB5">
      <w:pPr>
        <w:spacing w:after="0" w:line="240" w:lineRule="auto"/>
        <w:ind w:firstLine="720"/>
        <w:rPr>
          <w:rFonts w:ascii="Tahoma" w:eastAsia="Times New Roman" w:hAnsi="Tahoma" w:cs="Tahoma"/>
          <w:color w:val="000000" w:themeColor="text1"/>
          <w:kern w:val="0"/>
          <w:sz w:val="20"/>
          <w:szCs w:val="20"/>
          <w:lang w:eastAsia="en-PH"/>
          <w14:ligatures w14:val="none"/>
        </w:rPr>
      </w:pPr>
      <w:r w:rsidRPr="00DC7B1E">
        <w:rPr>
          <w:rFonts w:ascii="Tahoma" w:hAnsi="Tahoma" w:cs="Tahoma"/>
          <w:sz w:val="20"/>
          <w:szCs w:val="20"/>
        </w:rPr>
        <w:t xml:space="preserve">The respondents of the study were mathematics teachers in Region VI who are currently enrolled in a graduate program in Mathematics. These respondents include both public and private school teachers who are pursuing advanced studies in mathematics education or related fields in the provinces of Antique, and </w:t>
      </w:r>
      <w:proofErr w:type="spellStart"/>
      <w:r w:rsidRPr="00DC7B1E">
        <w:rPr>
          <w:rFonts w:ascii="Tahoma" w:hAnsi="Tahoma" w:cs="Tahoma"/>
          <w:sz w:val="20"/>
          <w:szCs w:val="20"/>
        </w:rPr>
        <w:t>Guimaras</w:t>
      </w:r>
      <w:proofErr w:type="spellEnd"/>
      <w:r w:rsidRPr="00DC7B1E">
        <w:rPr>
          <w:rFonts w:ascii="Tahoma" w:hAnsi="Tahoma" w:cs="Tahoma"/>
          <w:sz w:val="20"/>
          <w:szCs w:val="20"/>
        </w:rPr>
        <w:t>. Their enrollment in graduate studies ensures that they have ongoing engagement with higher-level mathematical concepts, including proof, making them appropriate sources of data for understanding the challenges and strategies involved in addressing proof misconceptions. The study employs purposive sampling to ensure that only actively enrolled graduate students specializing in mathematics or mathematics education are included. This focus allows the study to capture the insights of practicing teachers who are simultaneously engaged in professional and academic development, thereby providing rich and relevant perspectives on their experiences with proof instruction and misconceptions.</w:t>
      </w:r>
    </w:p>
    <w:p w14:paraId="13574AE2"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p>
    <w:p w14:paraId="16E08005"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r w:rsidRPr="00DC7B1E">
        <w:rPr>
          <w:rFonts w:ascii="Tahoma" w:eastAsia="Times New Roman" w:hAnsi="Tahoma" w:cs="Tahoma"/>
          <w:b/>
          <w:bCs/>
          <w:color w:val="000000" w:themeColor="text1"/>
          <w:kern w:val="0"/>
          <w:sz w:val="20"/>
          <w:szCs w:val="20"/>
          <w:lang w:eastAsia="en-PH"/>
          <w14:ligatures w14:val="none"/>
        </w:rPr>
        <w:t>Data Gathering Instrument</w:t>
      </w:r>
    </w:p>
    <w:p w14:paraId="3D9BF0F8" w14:textId="77777777" w:rsidR="002B4F8E" w:rsidRPr="00DC7B1E" w:rsidRDefault="002B4F8E" w:rsidP="001B4BB5">
      <w:pPr>
        <w:spacing w:after="0" w:line="240" w:lineRule="auto"/>
        <w:ind w:firstLine="720"/>
        <w:rPr>
          <w:rFonts w:ascii="Tahoma" w:eastAsia="Times New Roman" w:hAnsi="Tahoma" w:cs="Tahoma"/>
          <w:color w:val="000000" w:themeColor="text1"/>
          <w:kern w:val="0"/>
          <w:sz w:val="20"/>
          <w:szCs w:val="20"/>
          <w:lang w:eastAsia="en-PH"/>
          <w14:ligatures w14:val="none"/>
        </w:rPr>
      </w:pPr>
      <w:r w:rsidRPr="00DC7B1E">
        <w:rPr>
          <w:rFonts w:ascii="Tahoma" w:eastAsia="Times New Roman" w:hAnsi="Tahoma" w:cs="Tahoma"/>
          <w:color w:val="000000" w:themeColor="text1"/>
          <w:kern w:val="0"/>
          <w:sz w:val="20"/>
          <w:szCs w:val="20"/>
          <w:lang w:eastAsia="en-PH"/>
          <w14:ligatures w14:val="none"/>
        </w:rPr>
        <w:t xml:space="preserve">The primary tool for data collection will be a structured questionnaire developed by the researcher based on literature, validated tools, and interviews with mathematics educators. The instrument is divided into three major parts. Part I collects respondents’ profiles, including their highest educational attainment, teaching position, years of teaching mathematics, Mathematics courses taken related to proof, access to instructional resources on proving, and the </w:t>
      </w:r>
      <w:r w:rsidRPr="00DC7B1E">
        <w:rPr>
          <w:rFonts w:ascii="Tahoma" w:eastAsia="Times New Roman" w:hAnsi="Tahoma" w:cs="Tahoma"/>
          <w:kern w:val="0"/>
          <w:sz w:val="20"/>
          <w:szCs w:val="20"/>
          <w:lang w:eastAsia="en-PH"/>
          <w14:ligatures w14:val="none"/>
        </w:rPr>
        <w:t>teaching modality used</w:t>
      </w:r>
      <w:r w:rsidRPr="00DC7B1E">
        <w:rPr>
          <w:rFonts w:ascii="Tahoma" w:eastAsia="Times New Roman" w:hAnsi="Tahoma" w:cs="Tahoma"/>
          <w:color w:val="000000" w:themeColor="text1"/>
          <w:kern w:val="0"/>
          <w:sz w:val="20"/>
          <w:szCs w:val="20"/>
          <w:lang w:eastAsia="en-PH"/>
          <w14:ligatures w14:val="none"/>
        </w:rPr>
        <w:t xml:space="preserve">. Part II consists of fifteen Likert-scale items intended to measure the level of challenges teachers encounter in proving in mathematics. These items cover conceptual, pedagogical, and curricular challenges. Part III is an open-ended focus on the strategies teachers use to provide mathematics instruction, including instructional approaches, feedback and remediation, resource-based strategies, and professional development initiatives. </w:t>
      </w:r>
    </w:p>
    <w:p w14:paraId="227839EE" w14:textId="77777777" w:rsidR="002B4F8E" w:rsidRPr="00DC7B1E" w:rsidRDefault="002B4F8E" w:rsidP="001B4BB5">
      <w:pPr>
        <w:spacing w:after="0" w:line="240" w:lineRule="auto"/>
        <w:rPr>
          <w:rFonts w:ascii="Tahoma" w:eastAsia="Times New Roman" w:hAnsi="Tahoma" w:cs="Tahoma"/>
          <w:color w:val="000000" w:themeColor="text1"/>
          <w:kern w:val="0"/>
          <w:sz w:val="20"/>
          <w:szCs w:val="20"/>
          <w:lang w:eastAsia="en-PH"/>
          <w14:ligatures w14:val="none"/>
        </w:rPr>
      </w:pPr>
    </w:p>
    <w:p w14:paraId="79531F26"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r w:rsidRPr="00DC7B1E">
        <w:rPr>
          <w:rFonts w:ascii="Tahoma" w:eastAsia="Times New Roman" w:hAnsi="Tahoma" w:cs="Tahoma"/>
          <w:b/>
          <w:bCs/>
          <w:color w:val="000000" w:themeColor="text1"/>
          <w:kern w:val="0"/>
          <w:sz w:val="20"/>
          <w:szCs w:val="20"/>
          <w:lang w:eastAsia="en-PH"/>
          <w14:ligatures w14:val="none"/>
        </w:rPr>
        <w:t>Validity and Reliability of the Instrument</w:t>
      </w:r>
    </w:p>
    <w:p w14:paraId="04DEDDC8" w14:textId="77777777" w:rsidR="002B4F8E" w:rsidRPr="00DC7B1E" w:rsidRDefault="002B4F8E" w:rsidP="001B4BB5">
      <w:pPr>
        <w:spacing w:after="0" w:line="240" w:lineRule="auto"/>
        <w:ind w:firstLine="720"/>
        <w:rPr>
          <w:rFonts w:ascii="Tahoma" w:eastAsia="Times New Roman" w:hAnsi="Tahoma" w:cs="Tahoma"/>
          <w:color w:val="000000" w:themeColor="text1"/>
          <w:kern w:val="0"/>
          <w:sz w:val="20"/>
          <w:szCs w:val="20"/>
          <w:lang w:eastAsia="en-PH"/>
          <w14:ligatures w14:val="none"/>
        </w:rPr>
      </w:pPr>
      <w:r w:rsidRPr="00DC7B1E">
        <w:rPr>
          <w:rFonts w:ascii="Tahoma" w:eastAsia="Times New Roman" w:hAnsi="Tahoma" w:cs="Tahoma"/>
          <w:color w:val="000000" w:themeColor="text1"/>
          <w:kern w:val="0"/>
          <w:sz w:val="20"/>
          <w:szCs w:val="20"/>
          <w:lang w:eastAsia="en-PH"/>
          <w14:ligatures w14:val="none"/>
        </w:rPr>
        <w:t xml:space="preserve">To ensure the instrument's quality, content validation was conducted with three to five experts in mathematics education, assessment, and educational research from Region VI SUCs. These experts will review the items for clarity, relevance, alignment with the study variables, and overall comprehensiveness. </w:t>
      </w:r>
    </w:p>
    <w:p w14:paraId="74EF0790" w14:textId="77777777" w:rsidR="002B4F8E" w:rsidRPr="00DC7B1E" w:rsidRDefault="002B4F8E" w:rsidP="001B4BB5">
      <w:pPr>
        <w:spacing w:after="0" w:line="240" w:lineRule="auto"/>
        <w:ind w:firstLine="720"/>
        <w:rPr>
          <w:rFonts w:ascii="Tahoma" w:eastAsia="Times New Roman" w:hAnsi="Tahoma" w:cs="Tahoma"/>
          <w:color w:val="000000" w:themeColor="text1"/>
          <w:kern w:val="0"/>
          <w:sz w:val="20"/>
          <w:szCs w:val="20"/>
          <w:lang w:eastAsia="en-PH"/>
          <w14:ligatures w14:val="none"/>
        </w:rPr>
      </w:pPr>
      <w:r w:rsidRPr="00DC7B1E">
        <w:rPr>
          <w:rFonts w:ascii="Tahoma" w:eastAsia="Times New Roman" w:hAnsi="Tahoma" w:cs="Tahoma"/>
          <w:color w:val="000000" w:themeColor="text1"/>
          <w:kern w:val="0"/>
          <w:sz w:val="20"/>
          <w:szCs w:val="20"/>
          <w:lang w:eastAsia="en-PH"/>
          <w14:ligatures w14:val="none"/>
        </w:rPr>
        <w:t>After incorporating the experts’ feedback, the instrument underwent pilot testing among 30 mathematics teachers from a comparable institution not included in the main study. The responses from the pilot test will be used to compute Cronbach’s alpha reliability coefficients for the “Challenges” section. A reliability coefficient of 0.856 justifies that the instrument was reliable. Items with low item-total correlation values or those identified as ambiguous will be revised or removed before the instrument’s final administration.</w:t>
      </w:r>
    </w:p>
    <w:p w14:paraId="11020B36" w14:textId="77777777" w:rsidR="002B4F8E" w:rsidRPr="00DC7B1E" w:rsidRDefault="002B4F8E" w:rsidP="001B4BB5">
      <w:pPr>
        <w:spacing w:after="0" w:line="240" w:lineRule="auto"/>
        <w:rPr>
          <w:rFonts w:ascii="Tahoma" w:eastAsia="Times New Roman" w:hAnsi="Tahoma" w:cs="Tahoma"/>
          <w:color w:val="000000" w:themeColor="text1"/>
          <w:kern w:val="0"/>
          <w:sz w:val="20"/>
          <w:szCs w:val="20"/>
          <w:lang w:eastAsia="en-PH"/>
          <w14:ligatures w14:val="none"/>
        </w:rPr>
      </w:pPr>
    </w:p>
    <w:p w14:paraId="1674DFAD"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r w:rsidRPr="00DC7B1E">
        <w:rPr>
          <w:rFonts w:ascii="Tahoma" w:eastAsia="Times New Roman" w:hAnsi="Tahoma" w:cs="Tahoma"/>
          <w:b/>
          <w:bCs/>
          <w:color w:val="000000" w:themeColor="text1"/>
          <w:kern w:val="0"/>
          <w:sz w:val="20"/>
          <w:szCs w:val="20"/>
          <w:lang w:eastAsia="en-PH"/>
          <w14:ligatures w14:val="none"/>
        </w:rPr>
        <w:t>Data Gathering Procedure</w:t>
      </w:r>
    </w:p>
    <w:p w14:paraId="1CB5A726" w14:textId="77777777" w:rsidR="002B4F8E" w:rsidRPr="00DC7B1E" w:rsidRDefault="002B4F8E" w:rsidP="001B4BB5">
      <w:pPr>
        <w:spacing w:after="0" w:line="240" w:lineRule="auto"/>
        <w:ind w:firstLine="720"/>
        <w:rPr>
          <w:rFonts w:ascii="Tahoma" w:eastAsia="Times New Roman" w:hAnsi="Tahoma" w:cs="Tahoma"/>
          <w:color w:val="000000" w:themeColor="text1"/>
          <w:kern w:val="0"/>
          <w:sz w:val="20"/>
          <w:szCs w:val="20"/>
          <w:lang w:eastAsia="en-PH"/>
          <w14:ligatures w14:val="none"/>
        </w:rPr>
      </w:pPr>
      <w:r w:rsidRPr="00DC7B1E">
        <w:rPr>
          <w:rFonts w:ascii="Tahoma" w:eastAsia="Times New Roman" w:hAnsi="Tahoma" w:cs="Tahoma"/>
          <w:color w:val="000000" w:themeColor="text1"/>
          <w:kern w:val="0"/>
          <w:sz w:val="20"/>
          <w:szCs w:val="20"/>
          <w:lang w:eastAsia="en-PH"/>
          <w14:ligatures w14:val="none"/>
        </w:rPr>
        <w:t xml:space="preserve">Before data collection begins, the researcher obtains approval from the graduate school offices of the selected SUCs in two (2) provinces in Region VI. After administrative permissions are granted, the researcher will administer the validated questionnaire in either printed form or via a secure online platform such as Google Forms, depending on the preferences and accessibility of the participating respondents. Each questionnaire will include an informed consent statement explaining the purpose of the study, confidentiality measures, and voluntary participation. Respondents will be given one to two weeks to complete the instrument, and follow-up reminders will be sent to maximize response rates. Upon retrieval of completed questionnaires, the researcher will encode, clean, and organize all the data, </w:t>
      </w:r>
      <w:r w:rsidRPr="00DC7B1E">
        <w:rPr>
          <w:rFonts w:ascii="Tahoma" w:eastAsia="Times New Roman" w:hAnsi="Tahoma" w:cs="Tahoma"/>
          <w:color w:val="000000" w:themeColor="text1"/>
          <w:kern w:val="0"/>
          <w:sz w:val="20"/>
          <w:szCs w:val="20"/>
          <w:lang w:eastAsia="en-PH"/>
          <w14:ligatures w14:val="none"/>
        </w:rPr>
        <w:lastRenderedPageBreak/>
        <w:t>excluding incomplete or inconsistent responses. The cleaned dataset will then undergo statistical analysis using appropriate descriptive and inferential methods.</w:t>
      </w:r>
    </w:p>
    <w:p w14:paraId="7FDA123A" w14:textId="77777777" w:rsidR="002B4F8E" w:rsidRPr="00DC7B1E" w:rsidRDefault="002B4F8E" w:rsidP="001B4BB5">
      <w:pPr>
        <w:spacing w:after="0" w:line="240" w:lineRule="auto"/>
        <w:rPr>
          <w:rFonts w:ascii="Tahoma" w:eastAsia="Times New Roman" w:hAnsi="Tahoma" w:cs="Tahoma"/>
          <w:color w:val="000000" w:themeColor="text1"/>
          <w:kern w:val="0"/>
          <w:sz w:val="20"/>
          <w:szCs w:val="20"/>
          <w:lang w:eastAsia="en-PH"/>
          <w14:ligatures w14:val="none"/>
        </w:rPr>
      </w:pPr>
    </w:p>
    <w:p w14:paraId="6BFA2877"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r w:rsidRPr="00DC7B1E">
        <w:rPr>
          <w:rFonts w:ascii="Tahoma" w:eastAsia="Times New Roman" w:hAnsi="Tahoma" w:cs="Tahoma"/>
          <w:b/>
          <w:bCs/>
          <w:color w:val="000000" w:themeColor="text1"/>
          <w:kern w:val="0"/>
          <w:sz w:val="20"/>
          <w:szCs w:val="20"/>
          <w:lang w:eastAsia="en-PH"/>
          <w14:ligatures w14:val="none"/>
        </w:rPr>
        <w:t>Statistical Tools</w:t>
      </w:r>
    </w:p>
    <w:p w14:paraId="76EF3E8F" w14:textId="77777777" w:rsidR="002B4F8E" w:rsidRPr="00DC7B1E" w:rsidRDefault="002B4F8E" w:rsidP="001B4BB5">
      <w:pPr>
        <w:spacing w:after="0" w:line="240" w:lineRule="auto"/>
        <w:ind w:firstLine="720"/>
        <w:rPr>
          <w:rFonts w:ascii="Tahoma" w:eastAsia="Times New Roman" w:hAnsi="Tahoma" w:cs="Tahoma"/>
          <w:color w:val="000000" w:themeColor="text1"/>
          <w:kern w:val="0"/>
          <w:sz w:val="20"/>
          <w:szCs w:val="20"/>
          <w:lang w:eastAsia="en-PH"/>
          <w14:ligatures w14:val="none"/>
        </w:rPr>
      </w:pPr>
      <w:r w:rsidRPr="00DC7B1E">
        <w:rPr>
          <w:rFonts w:ascii="Tahoma" w:eastAsia="Times New Roman" w:hAnsi="Tahoma" w:cs="Tahoma"/>
          <w:color w:val="000000" w:themeColor="text1"/>
          <w:kern w:val="0"/>
          <w:sz w:val="20"/>
          <w:szCs w:val="20"/>
          <w:lang w:eastAsia="en-PH"/>
          <w14:ligatures w14:val="none"/>
        </w:rPr>
        <w:t xml:space="preserve">To analyze the data, descriptive statistics such as frequency, percentage, mean, and standard deviation will be used to summarize the respondents’ profiles and determine the level of challenges and the strategies. For inferential statistics, nonparametric tests will be used, as they do not assume normality and are more suitable for ordinal data derived from Likert scales. The Kruskal-Wallis H test was employed to assess significant differences in profile variables, such as educational attainment, teaching position, years of teaching mathematics, Mathematics courses taken related to proof, and access to instructional resources regarding proving, while the Mann-Whitney U test was used to assess differences in teaching modality. All inferential tests will use a significance level of 0.05 to determine whether the observed differences or relationships are statistically significant. </w:t>
      </w:r>
    </w:p>
    <w:p w14:paraId="533FF25A" w14:textId="77777777" w:rsidR="002B4F8E" w:rsidRPr="00DC7B1E" w:rsidRDefault="002B4F8E" w:rsidP="001B4BB5">
      <w:pPr>
        <w:spacing w:after="0" w:line="240" w:lineRule="auto"/>
        <w:ind w:firstLine="720"/>
        <w:rPr>
          <w:rFonts w:ascii="Tahoma" w:hAnsi="Tahoma" w:cs="Tahoma"/>
          <w:sz w:val="20"/>
          <w:szCs w:val="20"/>
        </w:rPr>
      </w:pPr>
      <w:r w:rsidRPr="00DC7B1E">
        <w:rPr>
          <w:rFonts w:ascii="Tahoma" w:hAnsi="Tahoma" w:cs="Tahoma"/>
          <w:sz w:val="20"/>
          <w:szCs w:val="20"/>
        </w:rPr>
        <w:t>The qualitative data on teaching strategies will be analyzed using thematic analysis, following a systematic process of reading and familiarizing with teachers’ responses, generating initial codes from meaningful statements, clustering similar codes into broader themes, and refining these themes to accurately represent the strategies used in addressing proof misconceptions. The researcher will then interpret and describe each theme, supported by sample responses from participants, to present a clear picture of how teachers approach proof instruction. To ensure the credibility of the findings, procedures such as peer debriefing, member checking, and maintaining an audit trail will be observed. This process will enable the study to capture rich, authentic insights into the strategies teachers use to teach mathematical proofs.</w:t>
      </w:r>
    </w:p>
    <w:p w14:paraId="57415104" w14:textId="77777777" w:rsidR="002B4F8E" w:rsidRPr="00DC7B1E" w:rsidRDefault="002B4F8E" w:rsidP="001B4BB5">
      <w:pPr>
        <w:spacing w:after="0" w:line="240" w:lineRule="auto"/>
        <w:rPr>
          <w:rFonts w:ascii="Tahoma" w:hAnsi="Tahoma" w:cs="Tahoma"/>
          <w:sz w:val="20"/>
          <w:szCs w:val="20"/>
        </w:rPr>
      </w:pPr>
    </w:p>
    <w:p w14:paraId="7FCDFCFC" w14:textId="77777777" w:rsidR="002B4F8E" w:rsidRPr="00DC7B1E" w:rsidRDefault="002B4F8E" w:rsidP="001B4BB5">
      <w:pPr>
        <w:spacing w:after="0" w:line="240" w:lineRule="auto"/>
        <w:jc w:val="center"/>
        <w:rPr>
          <w:rFonts w:ascii="Tahoma" w:hAnsi="Tahoma" w:cs="Tahoma"/>
          <w:b/>
          <w:bCs/>
          <w:sz w:val="20"/>
          <w:szCs w:val="20"/>
        </w:rPr>
      </w:pPr>
    </w:p>
    <w:p w14:paraId="1C6F5D63" w14:textId="77777777" w:rsidR="002B4F8E" w:rsidRPr="00DC7B1E" w:rsidRDefault="002B4F8E" w:rsidP="001B4BB5">
      <w:pPr>
        <w:spacing w:after="0" w:line="240" w:lineRule="auto"/>
        <w:jc w:val="center"/>
        <w:rPr>
          <w:rFonts w:ascii="Tahoma" w:hAnsi="Tahoma" w:cs="Tahoma"/>
          <w:b/>
          <w:bCs/>
          <w:sz w:val="20"/>
          <w:szCs w:val="20"/>
        </w:rPr>
      </w:pPr>
    </w:p>
    <w:p w14:paraId="775E72F5" w14:textId="77777777" w:rsidR="002B4F8E" w:rsidRPr="00DC7B1E" w:rsidRDefault="002B4F8E" w:rsidP="001B4BB5">
      <w:pPr>
        <w:spacing w:after="0" w:line="240" w:lineRule="auto"/>
        <w:jc w:val="center"/>
        <w:rPr>
          <w:rFonts w:ascii="Tahoma" w:hAnsi="Tahoma" w:cs="Tahoma"/>
          <w:b/>
          <w:bCs/>
          <w:sz w:val="20"/>
          <w:szCs w:val="20"/>
        </w:rPr>
      </w:pPr>
    </w:p>
    <w:p w14:paraId="7D6D1297" w14:textId="77777777" w:rsidR="002B4F8E" w:rsidRPr="00DC7B1E" w:rsidRDefault="002B4F8E" w:rsidP="001B4BB5">
      <w:pPr>
        <w:spacing w:after="0" w:line="240" w:lineRule="auto"/>
        <w:jc w:val="center"/>
        <w:rPr>
          <w:rFonts w:ascii="Tahoma" w:hAnsi="Tahoma" w:cs="Tahoma"/>
          <w:b/>
          <w:bCs/>
          <w:sz w:val="20"/>
          <w:szCs w:val="20"/>
        </w:rPr>
      </w:pPr>
    </w:p>
    <w:p w14:paraId="5C6F3925" w14:textId="77777777" w:rsidR="002B4F8E" w:rsidRPr="00DC7B1E" w:rsidRDefault="002B4F8E" w:rsidP="001B4BB5">
      <w:pPr>
        <w:spacing w:after="0" w:line="240" w:lineRule="auto"/>
        <w:jc w:val="center"/>
        <w:rPr>
          <w:rFonts w:ascii="Tahoma" w:eastAsia="Times New Roman" w:hAnsi="Tahoma" w:cs="Tahoma"/>
          <w:b/>
          <w:bCs/>
          <w:color w:val="000000" w:themeColor="text1"/>
          <w:kern w:val="0"/>
          <w:sz w:val="20"/>
          <w:szCs w:val="20"/>
          <w:lang w:eastAsia="en-PH"/>
          <w14:ligatures w14:val="none"/>
        </w:rPr>
      </w:pPr>
      <w:r w:rsidRPr="00DC7B1E">
        <w:rPr>
          <w:rFonts w:ascii="Tahoma" w:hAnsi="Tahoma" w:cs="Tahoma"/>
          <w:b/>
          <w:bCs/>
          <w:sz w:val="20"/>
          <w:szCs w:val="20"/>
        </w:rPr>
        <w:t>RESULTS and DISCUSSIONS</w:t>
      </w:r>
    </w:p>
    <w:p w14:paraId="31F017E2"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p>
    <w:p w14:paraId="62D111F7" w14:textId="77777777" w:rsidR="002B4F8E" w:rsidRPr="00DC7B1E" w:rsidRDefault="002B4F8E" w:rsidP="001B4BB5">
      <w:pPr>
        <w:spacing w:after="0" w:line="240" w:lineRule="auto"/>
        <w:jc w:val="center"/>
        <w:rPr>
          <w:rFonts w:ascii="Tahoma" w:eastAsia="Times New Roman" w:hAnsi="Tahoma" w:cs="Tahoma"/>
          <w:b/>
          <w:bCs/>
          <w:kern w:val="0"/>
          <w:sz w:val="20"/>
          <w:szCs w:val="20"/>
          <w:lang w:eastAsia="en-PH"/>
          <w14:ligatures w14:val="none"/>
        </w:rPr>
      </w:pPr>
      <w:r w:rsidRPr="00DC7B1E">
        <w:rPr>
          <w:rFonts w:ascii="Tahoma" w:eastAsia="Times New Roman" w:hAnsi="Tahoma" w:cs="Tahoma"/>
          <w:b/>
          <w:bCs/>
          <w:kern w:val="0"/>
          <w:sz w:val="20"/>
          <w:szCs w:val="20"/>
          <w:lang w:eastAsia="en-PH"/>
          <w14:ligatures w14:val="none"/>
        </w:rPr>
        <w:t>Profile of the Respondents</w:t>
      </w:r>
    </w:p>
    <w:p w14:paraId="09AB1AE8"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p w14:paraId="0433F886" w14:textId="77777777" w:rsidR="002B4F8E" w:rsidRPr="00DC7B1E" w:rsidRDefault="002B4F8E" w:rsidP="001B4BB5">
      <w:pPr>
        <w:spacing w:after="0" w:line="240" w:lineRule="auto"/>
        <w:ind w:firstLine="567"/>
        <w:rPr>
          <w:rFonts w:ascii="Tahoma" w:hAnsi="Tahoma" w:cs="Tahoma"/>
          <w:sz w:val="20"/>
          <w:szCs w:val="20"/>
        </w:rPr>
      </w:pPr>
      <w:r w:rsidRPr="00DC7B1E">
        <w:rPr>
          <w:rFonts w:ascii="Tahoma" w:hAnsi="Tahoma" w:cs="Tahoma"/>
          <w:sz w:val="20"/>
          <w:szCs w:val="20"/>
        </w:rPr>
        <w:t>Table 1 presents the profile of the respondents regarding educational attainment, teaching position, years of teaching mathematics, mathematics courses taken related to proof, access to instructional resources, and the teaching modality used. The results indicate that the majority of respondents have pursued graduate-level education, with more than half having completed master’s units, followed by those holding a master’s degree. A smaller proportion have doctoral degrees or doctoral units, while only a few respondents hold a bachelor’s degree. Regarding teaching positions, most respondents hold Teacher I–III positions, followed by instructors and assistant professors, indicating that the sample is largely composed of classroom-based educators. Regarding teaching experience, a substantial number of respondents fall into the early-career (0–5 years) and mid-career (6–10 years) categories, while fewer have more than 10 years of teaching experience. Regarding courses related to proof, geometry emerged as the most frequently taken subject, followed by abstract algebra and number theory. Regarding access to instructional resources, most respondents reported moderate access, while a considerable number reported limited access, and fewer reported adequate access. Finally, the respondents were evenly divided between face-to-face and blended learning modalities, suggesting comparable exposure to traditional and technology-enhanced instructional environments.</w:t>
      </w:r>
    </w:p>
    <w:p w14:paraId="58D1CFAC" w14:textId="77777777" w:rsidR="002B4F8E" w:rsidRPr="00DC7B1E" w:rsidRDefault="002B4F8E" w:rsidP="001B4BB5">
      <w:pPr>
        <w:spacing w:after="0" w:line="240" w:lineRule="auto"/>
        <w:ind w:firstLine="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The predominance of respondents with graduate-level education suggests a strong academic foundation, which is critical for teaching abstract and conceptually demanding topics such as proof. However, the high proportion of teachers with only master’s units may indicate varying levels of confidence and depth of preparation in advanced proof techniques, as professional development in proof often continues through graduate studies (Hanna &amp; de Villiers, 2023; Weber, 2023). The dominance of Teacher I–III positions underscores that most respondents are actively engaged in classroom instruction, </w:t>
      </w:r>
      <w:r w:rsidRPr="00DC7B1E">
        <w:rPr>
          <w:rFonts w:ascii="Tahoma" w:eastAsia="Times New Roman" w:hAnsi="Tahoma" w:cs="Tahoma"/>
          <w:kern w:val="0"/>
          <w:sz w:val="20"/>
          <w:szCs w:val="20"/>
          <w:lang w:eastAsia="en-PH"/>
          <w14:ligatures w14:val="none"/>
        </w:rPr>
        <w:lastRenderedPageBreak/>
        <w:t>where practical constraints and diverse student abilities frequently shape instructional decisions regarding proof (Stylianides &amp; Stylianides, 2021).</w:t>
      </w:r>
    </w:p>
    <w:p w14:paraId="0418CCA9" w14:textId="77777777" w:rsidR="002B4F8E" w:rsidRPr="00DC7B1E" w:rsidRDefault="002B4F8E" w:rsidP="001B4BB5">
      <w:pPr>
        <w:spacing w:after="0" w:line="240" w:lineRule="auto"/>
        <w:ind w:firstLine="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The concentration of respondents in the early- and mid-career stages suggests that many are still developing their pedagogical expertise in teaching proofs. Research indicates that less experienced teachers often struggle to balance rigorous proof instruction with student comprehension and engagement, particularly when teaching deductive reasoning for the first time (Selden &amp; Selden, 2021; Hanna &amp; de Villiers, 2023). The strong representation of geometry as the primary course related to proofs reflects its traditional role in introducing formal proofs. However, the lower exposure to proof-based courses such as abstract algebra and number theory may limit teachers’ familiarity with diverse proof strategies, which are essential for developing flexible reasoning skills among students (Stylianides, 2022; Weber, 2023).</w:t>
      </w:r>
    </w:p>
    <w:p w14:paraId="46701456" w14:textId="77777777" w:rsidR="002B4F8E" w:rsidRPr="00DC7B1E" w:rsidRDefault="002B4F8E" w:rsidP="001B4BB5">
      <w:pPr>
        <w:spacing w:after="0" w:line="240" w:lineRule="auto"/>
        <w:ind w:firstLine="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The reported levels of access to instructional resources suggest potential limitations in implementing effective proof instruction. Teachers with limited or moderate access to resources may struggle to provide varied examples, visualizations, and student-centered proof activities, which are recommended in recent literature to support reasoning and understanding (Harel &amp; Soto, 2021; Stylianides et al., 2023). The equal distribution between face-to-face and blended learning modalities reflects current instructional trends and highlights the growing role of technology in mathematics education. While blended learning offers opportunities for enhanced visualization and flexible engagement with proofs, its effectiveness depends on teachers’ access to resources and their capacity to design meaningful proof-related tasks (Weber &amp; Mejía-Ramos, 2022; Inglis &amp; Mejía-Ramos, 2024).</w:t>
      </w:r>
    </w:p>
    <w:p w14:paraId="54C8EFC6"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p w14:paraId="3BA3522D"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Table 1. Profile of the respondents in terms of highest educational attainment, teaching position, years of teaching mathematics, Mathematics courses taken related to proof, access to instructional resources regarding proving, and teaching modality used.</w:t>
      </w:r>
    </w:p>
    <w:tbl>
      <w:tblPr>
        <w:tblW w:w="5000" w:type="pct"/>
        <w:tblLook w:val="04A0" w:firstRow="1" w:lastRow="0" w:firstColumn="1" w:lastColumn="0" w:noHBand="0" w:noVBand="1"/>
      </w:tblPr>
      <w:tblGrid>
        <w:gridCol w:w="4070"/>
        <w:gridCol w:w="2605"/>
        <w:gridCol w:w="1578"/>
        <w:gridCol w:w="1323"/>
      </w:tblGrid>
      <w:tr w:rsidR="002B4F8E" w:rsidRPr="00DC7B1E" w14:paraId="353D020F" w14:textId="77777777" w:rsidTr="00FF68C5">
        <w:trPr>
          <w:trHeight w:val="300"/>
        </w:trPr>
        <w:tc>
          <w:tcPr>
            <w:tcW w:w="3485" w:type="pct"/>
            <w:gridSpan w:val="2"/>
            <w:tcBorders>
              <w:top w:val="single" w:sz="4" w:space="0" w:color="auto"/>
              <w:left w:val="nil"/>
              <w:bottom w:val="nil"/>
              <w:right w:val="nil"/>
            </w:tcBorders>
            <w:shd w:val="clear" w:color="auto" w:fill="auto"/>
            <w:noWrap/>
            <w:vAlign w:val="bottom"/>
            <w:hideMark/>
          </w:tcPr>
          <w:p w14:paraId="03945A9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Profile</w:t>
            </w:r>
          </w:p>
        </w:tc>
        <w:tc>
          <w:tcPr>
            <w:tcW w:w="824" w:type="pct"/>
            <w:tcBorders>
              <w:top w:val="single" w:sz="4" w:space="0" w:color="auto"/>
              <w:left w:val="nil"/>
              <w:bottom w:val="nil"/>
              <w:right w:val="nil"/>
            </w:tcBorders>
            <w:shd w:val="clear" w:color="auto" w:fill="auto"/>
            <w:noWrap/>
            <w:vAlign w:val="bottom"/>
            <w:hideMark/>
          </w:tcPr>
          <w:p w14:paraId="6D654A2B"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Frequency</w:t>
            </w:r>
          </w:p>
        </w:tc>
        <w:tc>
          <w:tcPr>
            <w:tcW w:w="691" w:type="pct"/>
            <w:tcBorders>
              <w:top w:val="single" w:sz="4" w:space="0" w:color="auto"/>
              <w:left w:val="nil"/>
              <w:bottom w:val="nil"/>
              <w:right w:val="nil"/>
            </w:tcBorders>
            <w:shd w:val="clear" w:color="auto" w:fill="auto"/>
            <w:noWrap/>
            <w:vAlign w:val="bottom"/>
            <w:hideMark/>
          </w:tcPr>
          <w:p w14:paraId="61DB4D9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Percent</w:t>
            </w:r>
          </w:p>
        </w:tc>
      </w:tr>
      <w:tr w:rsidR="002B4F8E" w:rsidRPr="00DC7B1E" w14:paraId="38F78037" w14:textId="77777777" w:rsidTr="00FF68C5">
        <w:trPr>
          <w:trHeight w:val="300"/>
        </w:trPr>
        <w:tc>
          <w:tcPr>
            <w:tcW w:w="2125" w:type="pct"/>
            <w:tcBorders>
              <w:top w:val="single" w:sz="4" w:space="0" w:color="auto"/>
              <w:left w:val="nil"/>
              <w:bottom w:val="nil"/>
              <w:right w:val="nil"/>
            </w:tcBorders>
            <w:shd w:val="clear" w:color="auto" w:fill="auto"/>
            <w:noWrap/>
            <w:vAlign w:val="center"/>
            <w:hideMark/>
          </w:tcPr>
          <w:p w14:paraId="0084CF9F"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Highest Educational Attainment</w:t>
            </w:r>
          </w:p>
        </w:tc>
        <w:tc>
          <w:tcPr>
            <w:tcW w:w="1360" w:type="pct"/>
            <w:tcBorders>
              <w:top w:val="single" w:sz="4" w:space="0" w:color="auto"/>
              <w:left w:val="nil"/>
              <w:bottom w:val="nil"/>
              <w:right w:val="nil"/>
            </w:tcBorders>
            <w:shd w:val="clear" w:color="auto" w:fill="auto"/>
            <w:noWrap/>
            <w:vAlign w:val="center"/>
            <w:hideMark/>
          </w:tcPr>
          <w:p w14:paraId="021DB5E5"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Bachelor’s Degree</w:t>
            </w:r>
          </w:p>
        </w:tc>
        <w:tc>
          <w:tcPr>
            <w:tcW w:w="824" w:type="pct"/>
            <w:tcBorders>
              <w:top w:val="single" w:sz="4" w:space="0" w:color="auto"/>
              <w:left w:val="nil"/>
              <w:bottom w:val="nil"/>
              <w:right w:val="nil"/>
            </w:tcBorders>
            <w:shd w:val="clear" w:color="auto" w:fill="auto"/>
            <w:noWrap/>
            <w:hideMark/>
          </w:tcPr>
          <w:p w14:paraId="48D7CF5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3</w:t>
            </w:r>
          </w:p>
        </w:tc>
        <w:tc>
          <w:tcPr>
            <w:tcW w:w="691" w:type="pct"/>
            <w:tcBorders>
              <w:top w:val="single" w:sz="4" w:space="0" w:color="auto"/>
              <w:left w:val="nil"/>
              <w:bottom w:val="nil"/>
              <w:right w:val="nil"/>
            </w:tcBorders>
            <w:shd w:val="clear" w:color="auto" w:fill="auto"/>
            <w:noWrap/>
            <w:hideMark/>
          </w:tcPr>
          <w:p w14:paraId="1A39DD9D"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10.0</w:t>
            </w:r>
          </w:p>
        </w:tc>
      </w:tr>
      <w:tr w:rsidR="002B4F8E" w:rsidRPr="00DC7B1E" w14:paraId="138B6967" w14:textId="77777777" w:rsidTr="00FF68C5">
        <w:trPr>
          <w:trHeight w:val="300"/>
        </w:trPr>
        <w:tc>
          <w:tcPr>
            <w:tcW w:w="2125" w:type="pct"/>
            <w:tcBorders>
              <w:top w:val="nil"/>
              <w:left w:val="nil"/>
              <w:bottom w:val="nil"/>
              <w:right w:val="nil"/>
            </w:tcBorders>
            <w:shd w:val="clear" w:color="auto" w:fill="auto"/>
            <w:noWrap/>
            <w:vAlign w:val="bottom"/>
            <w:hideMark/>
          </w:tcPr>
          <w:p w14:paraId="09FE8FF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60" w:type="pct"/>
            <w:tcBorders>
              <w:top w:val="nil"/>
              <w:left w:val="nil"/>
              <w:bottom w:val="nil"/>
              <w:right w:val="nil"/>
            </w:tcBorders>
            <w:shd w:val="clear" w:color="auto" w:fill="auto"/>
            <w:noWrap/>
            <w:vAlign w:val="center"/>
            <w:hideMark/>
          </w:tcPr>
          <w:p w14:paraId="05E5528B"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With Master’s Units</w:t>
            </w:r>
          </w:p>
        </w:tc>
        <w:tc>
          <w:tcPr>
            <w:tcW w:w="824" w:type="pct"/>
            <w:tcBorders>
              <w:top w:val="nil"/>
              <w:left w:val="nil"/>
              <w:bottom w:val="nil"/>
              <w:right w:val="nil"/>
            </w:tcBorders>
            <w:shd w:val="clear" w:color="auto" w:fill="auto"/>
            <w:noWrap/>
            <w:hideMark/>
          </w:tcPr>
          <w:p w14:paraId="499C5C3D"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16</w:t>
            </w:r>
          </w:p>
        </w:tc>
        <w:tc>
          <w:tcPr>
            <w:tcW w:w="691" w:type="pct"/>
            <w:tcBorders>
              <w:top w:val="nil"/>
              <w:left w:val="nil"/>
              <w:bottom w:val="nil"/>
              <w:right w:val="nil"/>
            </w:tcBorders>
            <w:shd w:val="clear" w:color="auto" w:fill="auto"/>
            <w:noWrap/>
            <w:hideMark/>
          </w:tcPr>
          <w:p w14:paraId="0E8B5D6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53.3</w:t>
            </w:r>
          </w:p>
        </w:tc>
      </w:tr>
      <w:tr w:rsidR="002B4F8E" w:rsidRPr="00DC7B1E" w14:paraId="29F24873" w14:textId="77777777" w:rsidTr="00FF68C5">
        <w:trPr>
          <w:trHeight w:val="300"/>
        </w:trPr>
        <w:tc>
          <w:tcPr>
            <w:tcW w:w="2125" w:type="pct"/>
            <w:tcBorders>
              <w:top w:val="nil"/>
              <w:left w:val="nil"/>
              <w:bottom w:val="nil"/>
              <w:right w:val="nil"/>
            </w:tcBorders>
            <w:shd w:val="clear" w:color="auto" w:fill="auto"/>
            <w:noWrap/>
            <w:hideMark/>
          </w:tcPr>
          <w:p w14:paraId="6657493E"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60" w:type="pct"/>
            <w:tcBorders>
              <w:top w:val="nil"/>
              <w:left w:val="nil"/>
              <w:bottom w:val="nil"/>
              <w:right w:val="nil"/>
            </w:tcBorders>
            <w:shd w:val="clear" w:color="auto" w:fill="auto"/>
            <w:noWrap/>
            <w:vAlign w:val="center"/>
            <w:hideMark/>
          </w:tcPr>
          <w:p w14:paraId="3DA1AB89"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Master’s Degree</w:t>
            </w:r>
          </w:p>
        </w:tc>
        <w:tc>
          <w:tcPr>
            <w:tcW w:w="824" w:type="pct"/>
            <w:tcBorders>
              <w:top w:val="nil"/>
              <w:left w:val="nil"/>
              <w:bottom w:val="nil"/>
              <w:right w:val="nil"/>
            </w:tcBorders>
            <w:shd w:val="clear" w:color="auto" w:fill="auto"/>
            <w:noWrap/>
            <w:hideMark/>
          </w:tcPr>
          <w:p w14:paraId="7E3E82B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6</w:t>
            </w:r>
          </w:p>
        </w:tc>
        <w:tc>
          <w:tcPr>
            <w:tcW w:w="691" w:type="pct"/>
            <w:tcBorders>
              <w:top w:val="nil"/>
              <w:left w:val="nil"/>
              <w:bottom w:val="nil"/>
              <w:right w:val="nil"/>
            </w:tcBorders>
            <w:shd w:val="clear" w:color="auto" w:fill="auto"/>
            <w:noWrap/>
            <w:hideMark/>
          </w:tcPr>
          <w:p w14:paraId="3F292EB9"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20.0</w:t>
            </w:r>
          </w:p>
        </w:tc>
      </w:tr>
      <w:tr w:rsidR="002B4F8E" w:rsidRPr="00DC7B1E" w14:paraId="0F444DDE" w14:textId="77777777" w:rsidTr="00FF68C5">
        <w:trPr>
          <w:trHeight w:val="300"/>
        </w:trPr>
        <w:tc>
          <w:tcPr>
            <w:tcW w:w="2125" w:type="pct"/>
            <w:tcBorders>
              <w:top w:val="nil"/>
              <w:left w:val="nil"/>
              <w:bottom w:val="nil"/>
              <w:right w:val="nil"/>
            </w:tcBorders>
            <w:shd w:val="clear" w:color="auto" w:fill="auto"/>
            <w:noWrap/>
            <w:hideMark/>
          </w:tcPr>
          <w:p w14:paraId="4ED2241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60" w:type="pct"/>
            <w:tcBorders>
              <w:top w:val="nil"/>
              <w:left w:val="nil"/>
              <w:bottom w:val="nil"/>
              <w:right w:val="nil"/>
            </w:tcBorders>
            <w:shd w:val="clear" w:color="auto" w:fill="auto"/>
            <w:noWrap/>
            <w:vAlign w:val="center"/>
            <w:hideMark/>
          </w:tcPr>
          <w:p w14:paraId="6EBE742B"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With Doctoral Units</w:t>
            </w:r>
          </w:p>
        </w:tc>
        <w:tc>
          <w:tcPr>
            <w:tcW w:w="824" w:type="pct"/>
            <w:tcBorders>
              <w:top w:val="nil"/>
              <w:left w:val="nil"/>
              <w:bottom w:val="nil"/>
              <w:right w:val="nil"/>
            </w:tcBorders>
            <w:shd w:val="clear" w:color="auto" w:fill="auto"/>
            <w:noWrap/>
            <w:hideMark/>
          </w:tcPr>
          <w:p w14:paraId="1B7B8737"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2</w:t>
            </w:r>
          </w:p>
        </w:tc>
        <w:tc>
          <w:tcPr>
            <w:tcW w:w="691" w:type="pct"/>
            <w:tcBorders>
              <w:top w:val="nil"/>
              <w:left w:val="nil"/>
              <w:bottom w:val="nil"/>
              <w:right w:val="nil"/>
            </w:tcBorders>
            <w:shd w:val="clear" w:color="auto" w:fill="auto"/>
            <w:noWrap/>
            <w:hideMark/>
          </w:tcPr>
          <w:p w14:paraId="6CFF0A8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6.7</w:t>
            </w:r>
          </w:p>
        </w:tc>
      </w:tr>
      <w:tr w:rsidR="002B4F8E" w:rsidRPr="00DC7B1E" w14:paraId="53208B72" w14:textId="77777777" w:rsidTr="00FF68C5">
        <w:trPr>
          <w:trHeight w:val="300"/>
        </w:trPr>
        <w:tc>
          <w:tcPr>
            <w:tcW w:w="2125" w:type="pct"/>
            <w:tcBorders>
              <w:top w:val="nil"/>
              <w:left w:val="nil"/>
              <w:bottom w:val="nil"/>
              <w:right w:val="nil"/>
            </w:tcBorders>
            <w:shd w:val="clear" w:color="auto" w:fill="auto"/>
            <w:noWrap/>
            <w:hideMark/>
          </w:tcPr>
          <w:p w14:paraId="4A6BE95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60" w:type="pct"/>
            <w:tcBorders>
              <w:top w:val="nil"/>
              <w:left w:val="nil"/>
              <w:bottom w:val="nil"/>
              <w:right w:val="nil"/>
            </w:tcBorders>
            <w:shd w:val="clear" w:color="auto" w:fill="auto"/>
            <w:noWrap/>
            <w:vAlign w:val="center"/>
            <w:hideMark/>
          </w:tcPr>
          <w:p w14:paraId="28E337C0"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Doctoral Degree</w:t>
            </w:r>
          </w:p>
        </w:tc>
        <w:tc>
          <w:tcPr>
            <w:tcW w:w="824" w:type="pct"/>
            <w:tcBorders>
              <w:top w:val="nil"/>
              <w:left w:val="nil"/>
              <w:bottom w:val="nil"/>
              <w:right w:val="nil"/>
            </w:tcBorders>
            <w:shd w:val="clear" w:color="auto" w:fill="auto"/>
            <w:noWrap/>
            <w:hideMark/>
          </w:tcPr>
          <w:p w14:paraId="2FDE7A5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3</w:t>
            </w:r>
          </w:p>
        </w:tc>
        <w:tc>
          <w:tcPr>
            <w:tcW w:w="691" w:type="pct"/>
            <w:tcBorders>
              <w:top w:val="nil"/>
              <w:left w:val="nil"/>
              <w:bottom w:val="nil"/>
              <w:right w:val="nil"/>
            </w:tcBorders>
            <w:shd w:val="clear" w:color="auto" w:fill="auto"/>
            <w:noWrap/>
            <w:hideMark/>
          </w:tcPr>
          <w:p w14:paraId="05095C2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10.0</w:t>
            </w:r>
          </w:p>
        </w:tc>
      </w:tr>
      <w:tr w:rsidR="002B4F8E" w:rsidRPr="00DC7B1E" w14:paraId="5F12FFEE" w14:textId="77777777" w:rsidTr="00FF68C5">
        <w:trPr>
          <w:trHeight w:val="300"/>
        </w:trPr>
        <w:tc>
          <w:tcPr>
            <w:tcW w:w="2125" w:type="pct"/>
            <w:tcBorders>
              <w:top w:val="nil"/>
              <w:left w:val="nil"/>
              <w:bottom w:val="nil"/>
              <w:right w:val="nil"/>
            </w:tcBorders>
            <w:shd w:val="clear" w:color="auto" w:fill="auto"/>
            <w:noWrap/>
            <w:vAlign w:val="center"/>
            <w:hideMark/>
          </w:tcPr>
          <w:p w14:paraId="2292815D"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Teaching Position</w:t>
            </w:r>
          </w:p>
        </w:tc>
        <w:tc>
          <w:tcPr>
            <w:tcW w:w="1360" w:type="pct"/>
            <w:tcBorders>
              <w:top w:val="nil"/>
              <w:left w:val="nil"/>
              <w:bottom w:val="nil"/>
              <w:right w:val="nil"/>
            </w:tcBorders>
            <w:shd w:val="clear" w:color="auto" w:fill="auto"/>
            <w:noWrap/>
            <w:hideMark/>
          </w:tcPr>
          <w:p w14:paraId="6979844E"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Teacher I-III</w:t>
            </w:r>
          </w:p>
        </w:tc>
        <w:tc>
          <w:tcPr>
            <w:tcW w:w="824" w:type="pct"/>
            <w:tcBorders>
              <w:top w:val="nil"/>
              <w:left w:val="nil"/>
              <w:bottom w:val="nil"/>
              <w:right w:val="nil"/>
            </w:tcBorders>
            <w:shd w:val="clear" w:color="auto" w:fill="auto"/>
            <w:noWrap/>
            <w:hideMark/>
          </w:tcPr>
          <w:p w14:paraId="75D59506"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20</w:t>
            </w:r>
          </w:p>
        </w:tc>
        <w:tc>
          <w:tcPr>
            <w:tcW w:w="691" w:type="pct"/>
            <w:tcBorders>
              <w:top w:val="nil"/>
              <w:left w:val="nil"/>
              <w:bottom w:val="nil"/>
              <w:right w:val="nil"/>
            </w:tcBorders>
            <w:shd w:val="clear" w:color="auto" w:fill="auto"/>
            <w:noWrap/>
            <w:hideMark/>
          </w:tcPr>
          <w:p w14:paraId="1DC30E9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66.7</w:t>
            </w:r>
          </w:p>
        </w:tc>
      </w:tr>
      <w:tr w:rsidR="002B4F8E" w:rsidRPr="00DC7B1E" w14:paraId="563D1C71" w14:textId="77777777" w:rsidTr="00FF68C5">
        <w:trPr>
          <w:trHeight w:val="300"/>
        </w:trPr>
        <w:tc>
          <w:tcPr>
            <w:tcW w:w="2125" w:type="pct"/>
            <w:tcBorders>
              <w:top w:val="nil"/>
              <w:left w:val="nil"/>
              <w:bottom w:val="nil"/>
              <w:right w:val="nil"/>
            </w:tcBorders>
            <w:shd w:val="clear" w:color="auto" w:fill="auto"/>
            <w:noWrap/>
            <w:hideMark/>
          </w:tcPr>
          <w:p w14:paraId="76F1483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60" w:type="pct"/>
            <w:tcBorders>
              <w:top w:val="nil"/>
              <w:left w:val="nil"/>
              <w:bottom w:val="nil"/>
              <w:right w:val="nil"/>
            </w:tcBorders>
            <w:shd w:val="clear" w:color="auto" w:fill="auto"/>
            <w:noWrap/>
            <w:hideMark/>
          </w:tcPr>
          <w:p w14:paraId="216B6DDF"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Instructor I-III</w:t>
            </w:r>
          </w:p>
        </w:tc>
        <w:tc>
          <w:tcPr>
            <w:tcW w:w="824" w:type="pct"/>
            <w:tcBorders>
              <w:top w:val="nil"/>
              <w:left w:val="nil"/>
              <w:bottom w:val="nil"/>
              <w:right w:val="nil"/>
            </w:tcBorders>
            <w:shd w:val="clear" w:color="auto" w:fill="auto"/>
            <w:noWrap/>
            <w:hideMark/>
          </w:tcPr>
          <w:p w14:paraId="3162D768"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6</w:t>
            </w:r>
          </w:p>
        </w:tc>
        <w:tc>
          <w:tcPr>
            <w:tcW w:w="691" w:type="pct"/>
            <w:tcBorders>
              <w:top w:val="nil"/>
              <w:left w:val="nil"/>
              <w:bottom w:val="nil"/>
              <w:right w:val="nil"/>
            </w:tcBorders>
            <w:shd w:val="clear" w:color="auto" w:fill="auto"/>
            <w:noWrap/>
            <w:hideMark/>
          </w:tcPr>
          <w:p w14:paraId="37EE90FD"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20.0</w:t>
            </w:r>
          </w:p>
        </w:tc>
      </w:tr>
      <w:tr w:rsidR="002B4F8E" w:rsidRPr="00DC7B1E" w14:paraId="0AF7CB0E" w14:textId="77777777" w:rsidTr="00FF68C5">
        <w:trPr>
          <w:trHeight w:val="300"/>
        </w:trPr>
        <w:tc>
          <w:tcPr>
            <w:tcW w:w="2125" w:type="pct"/>
            <w:tcBorders>
              <w:top w:val="nil"/>
              <w:left w:val="nil"/>
              <w:bottom w:val="nil"/>
              <w:right w:val="nil"/>
            </w:tcBorders>
            <w:shd w:val="clear" w:color="auto" w:fill="auto"/>
            <w:noWrap/>
            <w:hideMark/>
          </w:tcPr>
          <w:p w14:paraId="0178EF6D"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60" w:type="pct"/>
            <w:tcBorders>
              <w:top w:val="nil"/>
              <w:left w:val="nil"/>
              <w:bottom w:val="nil"/>
              <w:right w:val="nil"/>
            </w:tcBorders>
            <w:shd w:val="clear" w:color="auto" w:fill="auto"/>
            <w:noWrap/>
            <w:hideMark/>
          </w:tcPr>
          <w:p w14:paraId="1785C9F2"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Assistant Professor</w:t>
            </w:r>
          </w:p>
        </w:tc>
        <w:tc>
          <w:tcPr>
            <w:tcW w:w="824" w:type="pct"/>
            <w:tcBorders>
              <w:top w:val="nil"/>
              <w:left w:val="nil"/>
              <w:bottom w:val="nil"/>
              <w:right w:val="nil"/>
            </w:tcBorders>
            <w:shd w:val="clear" w:color="auto" w:fill="auto"/>
            <w:noWrap/>
            <w:hideMark/>
          </w:tcPr>
          <w:p w14:paraId="02A0F5E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w:t>
            </w:r>
          </w:p>
        </w:tc>
        <w:tc>
          <w:tcPr>
            <w:tcW w:w="691" w:type="pct"/>
            <w:tcBorders>
              <w:top w:val="nil"/>
              <w:left w:val="nil"/>
              <w:bottom w:val="nil"/>
              <w:right w:val="nil"/>
            </w:tcBorders>
            <w:shd w:val="clear" w:color="auto" w:fill="auto"/>
            <w:noWrap/>
            <w:hideMark/>
          </w:tcPr>
          <w:p w14:paraId="740550C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13.3</w:t>
            </w:r>
          </w:p>
        </w:tc>
      </w:tr>
      <w:tr w:rsidR="002B4F8E" w:rsidRPr="00DC7B1E" w14:paraId="3C78BA58" w14:textId="77777777" w:rsidTr="00FF68C5">
        <w:trPr>
          <w:trHeight w:val="300"/>
        </w:trPr>
        <w:tc>
          <w:tcPr>
            <w:tcW w:w="2125" w:type="pct"/>
            <w:tcBorders>
              <w:top w:val="nil"/>
              <w:left w:val="nil"/>
              <w:bottom w:val="nil"/>
              <w:right w:val="nil"/>
            </w:tcBorders>
            <w:shd w:val="clear" w:color="auto" w:fill="auto"/>
            <w:noWrap/>
            <w:vAlign w:val="center"/>
            <w:hideMark/>
          </w:tcPr>
          <w:p w14:paraId="5F359D3E"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Years in teaching Math</w:t>
            </w:r>
          </w:p>
        </w:tc>
        <w:tc>
          <w:tcPr>
            <w:tcW w:w="1360" w:type="pct"/>
            <w:tcBorders>
              <w:top w:val="nil"/>
              <w:left w:val="nil"/>
              <w:bottom w:val="nil"/>
              <w:right w:val="nil"/>
            </w:tcBorders>
            <w:shd w:val="clear" w:color="auto" w:fill="auto"/>
            <w:noWrap/>
            <w:vAlign w:val="center"/>
            <w:hideMark/>
          </w:tcPr>
          <w:p w14:paraId="26DE4677"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0–5 years</w:t>
            </w:r>
          </w:p>
        </w:tc>
        <w:tc>
          <w:tcPr>
            <w:tcW w:w="824" w:type="pct"/>
            <w:tcBorders>
              <w:top w:val="nil"/>
              <w:left w:val="nil"/>
              <w:bottom w:val="nil"/>
              <w:right w:val="nil"/>
            </w:tcBorders>
            <w:shd w:val="clear" w:color="auto" w:fill="auto"/>
            <w:noWrap/>
            <w:hideMark/>
          </w:tcPr>
          <w:p w14:paraId="38420F2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12</w:t>
            </w:r>
          </w:p>
        </w:tc>
        <w:tc>
          <w:tcPr>
            <w:tcW w:w="691" w:type="pct"/>
            <w:tcBorders>
              <w:top w:val="nil"/>
              <w:left w:val="nil"/>
              <w:bottom w:val="nil"/>
              <w:right w:val="nil"/>
            </w:tcBorders>
            <w:shd w:val="clear" w:color="auto" w:fill="auto"/>
            <w:noWrap/>
            <w:hideMark/>
          </w:tcPr>
          <w:p w14:paraId="594B654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40.0</w:t>
            </w:r>
          </w:p>
        </w:tc>
      </w:tr>
      <w:tr w:rsidR="002B4F8E" w:rsidRPr="00DC7B1E" w14:paraId="2E37E414" w14:textId="77777777" w:rsidTr="00FF68C5">
        <w:trPr>
          <w:trHeight w:val="300"/>
        </w:trPr>
        <w:tc>
          <w:tcPr>
            <w:tcW w:w="2125" w:type="pct"/>
            <w:tcBorders>
              <w:top w:val="nil"/>
              <w:left w:val="nil"/>
              <w:bottom w:val="nil"/>
              <w:right w:val="nil"/>
            </w:tcBorders>
            <w:shd w:val="clear" w:color="auto" w:fill="auto"/>
            <w:noWrap/>
            <w:vAlign w:val="bottom"/>
            <w:hideMark/>
          </w:tcPr>
          <w:p w14:paraId="7E91973C"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60" w:type="pct"/>
            <w:tcBorders>
              <w:top w:val="nil"/>
              <w:left w:val="nil"/>
              <w:bottom w:val="nil"/>
              <w:right w:val="nil"/>
            </w:tcBorders>
            <w:shd w:val="clear" w:color="auto" w:fill="auto"/>
            <w:noWrap/>
            <w:vAlign w:val="center"/>
            <w:hideMark/>
          </w:tcPr>
          <w:p w14:paraId="3263CDC3"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6–10 years</w:t>
            </w:r>
          </w:p>
        </w:tc>
        <w:tc>
          <w:tcPr>
            <w:tcW w:w="824" w:type="pct"/>
            <w:tcBorders>
              <w:top w:val="nil"/>
              <w:left w:val="nil"/>
              <w:bottom w:val="nil"/>
              <w:right w:val="nil"/>
            </w:tcBorders>
            <w:shd w:val="clear" w:color="auto" w:fill="auto"/>
            <w:noWrap/>
            <w:hideMark/>
          </w:tcPr>
          <w:p w14:paraId="39D97A2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10</w:t>
            </w:r>
          </w:p>
        </w:tc>
        <w:tc>
          <w:tcPr>
            <w:tcW w:w="691" w:type="pct"/>
            <w:tcBorders>
              <w:top w:val="nil"/>
              <w:left w:val="nil"/>
              <w:bottom w:val="nil"/>
              <w:right w:val="nil"/>
            </w:tcBorders>
            <w:shd w:val="clear" w:color="auto" w:fill="auto"/>
            <w:noWrap/>
            <w:hideMark/>
          </w:tcPr>
          <w:p w14:paraId="672FC22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33.3</w:t>
            </w:r>
          </w:p>
        </w:tc>
      </w:tr>
      <w:tr w:rsidR="002B4F8E" w:rsidRPr="00DC7B1E" w14:paraId="538F44AC" w14:textId="77777777" w:rsidTr="00FF68C5">
        <w:trPr>
          <w:trHeight w:val="300"/>
        </w:trPr>
        <w:tc>
          <w:tcPr>
            <w:tcW w:w="2125" w:type="pct"/>
            <w:tcBorders>
              <w:top w:val="nil"/>
              <w:left w:val="nil"/>
              <w:bottom w:val="nil"/>
              <w:right w:val="nil"/>
            </w:tcBorders>
            <w:shd w:val="clear" w:color="auto" w:fill="auto"/>
            <w:noWrap/>
            <w:hideMark/>
          </w:tcPr>
          <w:p w14:paraId="3135968D"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60" w:type="pct"/>
            <w:tcBorders>
              <w:top w:val="nil"/>
              <w:left w:val="nil"/>
              <w:bottom w:val="nil"/>
              <w:right w:val="nil"/>
            </w:tcBorders>
            <w:shd w:val="clear" w:color="auto" w:fill="auto"/>
            <w:noWrap/>
            <w:vAlign w:val="center"/>
            <w:hideMark/>
          </w:tcPr>
          <w:p w14:paraId="6FDD7D68"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11–15 years</w:t>
            </w:r>
          </w:p>
        </w:tc>
        <w:tc>
          <w:tcPr>
            <w:tcW w:w="824" w:type="pct"/>
            <w:tcBorders>
              <w:top w:val="nil"/>
              <w:left w:val="nil"/>
              <w:bottom w:val="nil"/>
              <w:right w:val="nil"/>
            </w:tcBorders>
            <w:shd w:val="clear" w:color="auto" w:fill="auto"/>
            <w:noWrap/>
            <w:hideMark/>
          </w:tcPr>
          <w:p w14:paraId="1F20E4FC"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5</w:t>
            </w:r>
          </w:p>
        </w:tc>
        <w:tc>
          <w:tcPr>
            <w:tcW w:w="691" w:type="pct"/>
            <w:tcBorders>
              <w:top w:val="nil"/>
              <w:left w:val="nil"/>
              <w:bottom w:val="nil"/>
              <w:right w:val="nil"/>
            </w:tcBorders>
            <w:shd w:val="clear" w:color="auto" w:fill="auto"/>
            <w:noWrap/>
            <w:hideMark/>
          </w:tcPr>
          <w:p w14:paraId="4BFD6818"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16.7</w:t>
            </w:r>
          </w:p>
        </w:tc>
      </w:tr>
      <w:tr w:rsidR="002B4F8E" w:rsidRPr="00DC7B1E" w14:paraId="321577C3" w14:textId="77777777" w:rsidTr="00FF68C5">
        <w:trPr>
          <w:trHeight w:val="300"/>
        </w:trPr>
        <w:tc>
          <w:tcPr>
            <w:tcW w:w="2125" w:type="pct"/>
            <w:tcBorders>
              <w:top w:val="nil"/>
              <w:left w:val="nil"/>
              <w:bottom w:val="nil"/>
              <w:right w:val="nil"/>
            </w:tcBorders>
            <w:shd w:val="clear" w:color="auto" w:fill="auto"/>
            <w:noWrap/>
            <w:hideMark/>
          </w:tcPr>
          <w:p w14:paraId="3A4A602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60" w:type="pct"/>
            <w:tcBorders>
              <w:top w:val="nil"/>
              <w:left w:val="nil"/>
              <w:bottom w:val="nil"/>
              <w:right w:val="nil"/>
            </w:tcBorders>
            <w:shd w:val="clear" w:color="auto" w:fill="auto"/>
            <w:noWrap/>
            <w:vAlign w:val="center"/>
            <w:hideMark/>
          </w:tcPr>
          <w:p w14:paraId="5257F164"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16–20 years</w:t>
            </w:r>
          </w:p>
        </w:tc>
        <w:tc>
          <w:tcPr>
            <w:tcW w:w="824" w:type="pct"/>
            <w:tcBorders>
              <w:top w:val="nil"/>
              <w:left w:val="nil"/>
              <w:bottom w:val="nil"/>
              <w:right w:val="nil"/>
            </w:tcBorders>
            <w:shd w:val="clear" w:color="auto" w:fill="auto"/>
            <w:noWrap/>
            <w:hideMark/>
          </w:tcPr>
          <w:p w14:paraId="12D463C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3</w:t>
            </w:r>
          </w:p>
        </w:tc>
        <w:tc>
          <w:tcPr>
            <w:tcW w:w="691" w:type="pct"/>
            <w:tcBorders>
              <w:top w:val="nil"/>
              <w:left w:val="nil"/>
              <w:bottom w:val="nil"/>
              <w:right w:val="nil"/>
            </w:tcBorders>
            <w:shd w:val="clear" w:color="auto" w:fill="auto"/>
            <w:noWrap/>
            <w:hideMark/>
          </w:tcPr>
          <w:p w14:paraId="7904394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10.0</w:t>
            </w:r>
          </w:p>
        </w:tc>
      </w:tr>
      <w:tr w:rsidR="002B4F8E" w:rsidRPr="00DC7B1E" w14:paraId="4794D3B0" w14:textId="77777777" w:rsidTr="00FF68C5">
        <w:trPr>
          <w:trHeight w:val="300"/>
        </w:trPr>
        <w:tc>
          <w:tcPr>
            <w:tcW w:w="2125" w:type="pct"/>
            <w:tcBorders>
              <w:top w:val="nil"/>
              <w:left w:val="nil"/>
              <w:bottom w:val="nil"/>
              <w:right w:val="nil"/>
            </w:tcBorders>
            <w:shd w:val="clear" w:color="auto" w:fill="auto"/>
            <w:noWrap/>
            <w:vAlign w:val="center"/>
            <w:hideMark/>
          </w:tcPr>
          <w:p w14:paraId="7CA04522"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Courses taken related to proof</w:t>
            </w:r>
          </w:p>
        </w:tc>
        <w:tc>
          <w:tcPr>
            <w:tcW w:w="1360" w:type="pct"/>
            <w:tcBorders>
              <w:top w:val="nil"/>
              <w:left w:val="nil"/>
              <w:bottom w:val="nil"/>
              <w:right w:val="nil"/>
            </w:tcBorders>
            <w:shd w:val="clear" w:color="auto" w:fill="auto"/>
            <w:noWrap/>
            <w:vAlign w:val="center"/>
            <w:hideMark/>
          </w:tcPr>
          <w:p w14:paraId="2B892CA1"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Geometry</w:t>
            </w:r>
          </w:p>
        </w:tc>
        <w:tc>
          <w:tcPr>
            <w:tcW w:w="824" w:type="pct"/>
            <w:tcBorders>
              <w:top w:val="nil"/>
              <w:left w:val="nil"/>
              <w:bottom w:val="nil"/>
              <w:right w:val="nil"/>
            </w:tcBorders>
            <w:shd w:val="clear" w:color="auto" w:fill="auto"/>
            <w:noWrap/>
            <w:hideMark/>
          </w:tcPr>
          <w:p w14:paraId="4881D8F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13</w:t>
            </w:r>
          </w:p>
        </w:tc>
        <w:tc>
          <w:tcPr>
            <w:tcW w:w="691" w:type="pct"/>
            <w:tcBorders>
              <w:top w:val="nil"/>
              <w:left w:val="nil"/>
              <w:bottom w:val="nil"/>
              <w:right w:val="nil"/>
            </w:tcBorders>
            <w:shd w:val="clear" w:color="auto" w:fill="auto"/>
            <w:noWrap/>
            <w:hideMark/>
          </w:tcPr>
          <w:p w14:paraId="386CF8E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43.3</w:t>
            </w:r>
          </w:p>
        </w:tc>
      </w:tr>
      <w:tr w:rsidR="002B4F8E" w:rsidRPr="00DC7B1E" w14:paraId="159C8471" w14:textId="77777777" w:rsidTr="00FF68C5">
        <w:trPr>
          <w:trHeight w:val="300"/>
        </w:trPr>
        <w:tc>
          <w:tcPr>
            <w:tcW w:w="2125" w:type="pct"/>
            <w:tcBorders>
              <w:top w:val="nil"/>
              <w:left w:val="nil"/>
              <w:bottom w:val="nil"/>
              <w:right w:val="nil"/>
            </w:tcBorders>
            <w:shd w:val="clear" w:color="auto" w:fill="auto"/>
            <w:noWrap/>
            <w:vAlign w:val="bottom"/>
            <w:hideMark/>
          </w:tcPr>
          <w:p w14:paraId="3389DBC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60" w:type="pct"/>
            <w:tcBorders>
              <w:top w:val="nil"/>
              <w:left w:val="nil"/>
              <w:bottom w:val="nil"/>
              <w:right w:val="nil"/>
            </w:tcBorders>
            <w:shd w:val="clear" w:color="auto" w:fill="auto"/>
            <w:noWrap/>
            <w:vAlign w:val="center"/>
            <w:hideMark/>
          </w:tcPr>
          <w:p w14:paraId="4AC06CA1"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Number Theory</w:t>
            </w:r>
          </w:p>
        </w:tc>
        <w:tc>
          <w:tcPr>
            <w:tcW w:w="824" w:type="pct"/>
            <w:tcBorders>
              <w:top w:val="nil"/>
              <w:left w:val="nil"/>
              <w:bottom w:val="nil"/>
              <w:right w:val="nil"/>
            </w:tcBorders>
            <w:shd w:val="clear" w:color="auto" w:fill="auto"/>
            <w:noWrap/>
            <w:hideMark/>
          </w:tcPr>
          <w:p w14:paraId="53143D7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7</w:t>
            </w:r>
          </w:p>
        </w:tc>
        <w:tc>
          <w:tcPr>
            <w:tcW w:w="691" w:type="pct"/>
            <w:tcBorders>
              <w:top w:val="nil"/>
              <w:left w:val="nil"/>
              <w:bottom w:val="nil"/>
              <w:right w:val="nil"/>
            </w:tcBorders>
            <w:shd w:val="clear" w:color="auto" w:fill="auto"/>
            <w:noWrap/>
            <w:hideMark/>
          </w:tcPr>
          <w:p w14:paraId="4A8619E7"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23.3</w:t>
            </w:r>
          </w:p>
        </w:tc>
      </w:tr>
      <w:tr w:rsidR="002B4F8E" w:rsidRPr="00DC7B1E" w14:paraId="602DB9FD" w14:textId="77777777" w:rsidTr="00FF68C5">
        <w:trPr>
          <w:trHeight w:val="300"/>
        </w:trPr>
        <w:tc>
          <w:tcPr>
            <w:tcW w:w="2125" w:type="pct"/>
            <w:tcBorders>
              <w:top w:val="nil"/>
              <w:left w:val="nil"/>
              <w:bottom w:val="nil"/>
              <w:right w:val="nil"/>
            </w:tcBorders>
            <w:shd w:val="clear" w:color="auto" w:fill="auto"/>
            <w:noWrap/>
            <w:hideMark/>
          </w:tcPr>
          <w:p w14:paraId="3091AE8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60" w:type="pct"/>
            <w:tcBorders>
              <w:top w:val="nil"/>
              <w:left w:val="nil"/>
              <w:bottom w:val="nil"/>
              <w:right w:val="nil"/>
            </w:tcBorders>
            <w:shd w:val="clear" w:color="auto" w:fill="auto"/>
            <w:noWrap/>
            <w:vAlign w:val="center"/>
            <w:hideMark/>
          </w:tcPr>
          <w:p w14:paraId="5FE06154"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Abstract Algebra</w:t>
            </w:r>
          </w:p>
        </w:tc>
        <w:tc>
          <w:tcPr>
            <w:tcW w:w="824" w:type="pct"/>
            <w:tcBorders>
              <w:top w:val="nil"/>
              <w:left w:val="nil"/>
              <w:bottom w:val="nil"/>
              <w:right w:val="nil"/>
            </w:tcBorders>
            <w:shd w:val="clear" w:color="auto" w:fill="auto"/>
            <w:noWrap/>
            <w:hideMark/>
          </w:tcPr>
          <w:p w14:paraId="3E02C4E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10</w:t>
            </w:r>
          </w:p>
        </w:tc>
        <w:tc>
          <w:tcPr>
            <w:tcW w:w="691" w:type="pct"/>
            <w:tcBorders>
              <w:top w:val="nil"/>
              <w:left w:val="nil"/>
              <w:bottom w:val="nil"/>
              <w:right w:val="nil"/>
            </w:tcBorders>
            <w:shd w:val="clear" w:color="auto" w:fill="auto"/>
            <w:noWrap/>
            <w:hideMark/>
          </w:tcPr>
          <w:p w14:paraId="0B47E52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33.3</w:t>
            </w:r>
          </w:p>
        </w:tc>
      </w:tr>
      <w:tr w:rsidR="002B4F8E" w:rsidRPr="00DC7B1E" w14:paraId="156194CE" w14:textId="77777777" w:rsidTr="00FF68C5">
        <w:trPr>
          <w:trHeight w:val="300"/>
        </w:trPr>
        <w:tc>
          <w:tcPr>
            <w:tcW w:w="2125" w:type="pct"/>
            <w:tcBorders>
              <w:top w:val="nil"/>
              <w:left w:val="nil"/>
              <w:bottom w:val="nil"/>
              <w:right w:val="nil"/>
            </w:tcBorders>
            <w:shd w:val="clear" w:color="auto" w:fill="auto"/>
            <w:noWrap/>
            <w:vAlign w:val="center"/>
            <w:hideMark/>
          </w:tcPr>
          <w:p w14:paraId="5545160C"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Access to instructional resources</w:t>
            </w:r>
          </w:p>
        </w:tc>
        <w:tc>
          <w:tcPr>
            <w:tcW w:w="1360" w:type="pct"/>
            <w:tcBorders>
              <w:top w:val="nil"/>
              <w:left w:val="nil"/>
              <w:bottom w:val="nil"/>
              <w:right w:val="nil"/>
            </w:tcBorders>
            <w:shd w:val="clear" w:color="auto" w:fill="auto"/>
            <w:vAlign w:val="center"/>
            <w:hideMark/>
          </w:tcPr>
          <w:p w14:paraId="566B9CDB"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Limited</w:t>
            </w:r>
          </w:p>
        </w:tc>
        <w:tc>
          <w:tcPr>
            <w:tcW w:w="824" w:type="pct"/>
            <w:tcBorders>
              <w:top w:val="nil"/>
              <w:left w:val="nil"/>
              <w:bottom w:val="nil"/>
              <w:right w:val="nil"/>
            </w:tcBorders>
            <w:shd w:val="clear" w:color="auto" w:fill="auto"/>
            <w:noWrap/>
            <w:hideMark/>
          </w:tcPr>
          <w:p w14:paraId="796D56D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9</w:t>
            </w:r>
          </w:p>
        </w:tc>
        <w:tc>
          <w:tcPr>
            <w:tcW w:w="691" w:type="pct"/>
            <w:tcBorders>
              <w:top w:val="nil"/>
              <w:left w:val="nil"/>
              <w:bottom w:val="nil"/>
              <w:right w:val="nil"/>
            </w:tcBorders>
            <w:shd w:val="clear" w:color="auto" w:fill="auto"/>
            <w:noWrap/>
            <w:hideMark/>
          </w:tcPr>
          <w:p w14:paraId="72AA96A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30.0</w:t>
            </w:r>
          </w:p>
        </w:tc>
      </w:tr>
      <w:tr w:rsidR="002B4F8E" w:rsidRPr="00DC7B1E" w14:paraId="587A3296" w14:textId="77777777" w:rsidTr="00FF68C5">
        <w:trPr>
          <w:trHeight w:val="300"/>
        </w:trPr>
        <w:tc>
          <w:tcPr>
            <w:tcW w:w="2125" w:type="pct"/>
            <w:tcBorders>
              <w:top w:val="nil"/>
              <w:left w:val="nil"/>
              <w:bottom w:val="nil"/>
              <w:right w:val="nil"/>
            </w:tcBorders>
            <w:shd w:val="clear" w:color="auto" w:fill="auto"/>
            <w:noWrap/>
            <w:vAlign w:val="bottom"/>
            <w:hideMark/>
          </w:tcPr>
          <w:p w14:paraId="5B964F1E"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60" w:type="pct"/>
            <w:tcBorders>
              <w:top w:val="nil"/>
              <w:left w:val="nil"/>
              <w:bottom w:val="nil"/>
              <w:right w:val="nil"/>
            </w:tcBorders>
            <w:shd w:val="clear" w:color="auto" w:fill="auto"/>
            <w:vAlign w:val="center"/>
            <w:hideMark/>
          </w:tcPr>
          <w:p w14:paraId="30661927"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Moderate</w:t>
            </w:r>
          </w:p>
        </w:tc>
        <w:tc>
          <w:tcPr>
            <w:tcW w:w="824" w:type="pct"/>
            <w:tcBorders>
              <w:top w:val="nil"/>
              <w:left w:val="nil"/>
              <w:bottom w:val="nil"/>
              <w:right w:val="nil"/>
            </w:tcBorders>
            <w:shd w:val="clear" w:color="auto" w:fill="auto"/>
            <w:noWrap/>
            <w:hideMark/>
          </w:tcPr>
          <w:p w14:paraId="57DFAC2E"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14</w:t>
            </w:r>
          </w:p>
        </w:tc>
        <w:tc>
          <w:tcPr>
            <w:tcW w:w="691" w:type="pct"/>
            <w:tcBorders>
              <w:top w:val="nil"/>
              <w:left w:val="nil"/>
              <w:bottom w:val="nil"/>
              <w:right w:val="nil"/>
            </w:tcBorders>
            <w:shd w:val="clear" w:color="auto" w:fill="auto"/>
            <w:noWrap/>
            <w:hideMark/>
          </w:tcPr>
          <w:p w14:paraId="3ADD57B3"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46.7</w:t>
            </w:r>
          </w:p>
        </w:tc>
      </w:tr>
      <w:tr w:rsidR="002B4F8E" w:rsidRPr="00DC7B1E" w14:paraId="78C94C19" w14:textId="77777777" w:rsidTr="00FF68C5">
        <w:trPr>
          <w:trHeight w:val="300"/>
        </w:trPr>
        <w:tc>
          <w:tcPr>
            <w:tcW w:w="2125" w:type="pct"/>
            <w:tcBorders>
              <w:top w:val="nil"/>
              <w:left w:val="nil"/>
              <w:bottom w:val="nil"/>
              <w:right w:val="nil"/>
            </w:tcBorders>
            <w:shd w:val="clear" w:color="auto" w:fill="auto"/>
            <w:noWrap/>
            <w:hideMark/>
          </w:tcPr>
          <w:p w14:paraId="62F3860C"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60" w:type="pct"/>
            <w:tcBorders>
              <w:top w:val="nil"/>
              <w:left w:val="nil"/>
              <w:bottom w:val="nil"/>
              <w:right w:val="nil"/>
            </w:tcBorders>
            <w:shd w:val="clear" w:color="auto" w:fill="auto"/>
            <w:vAlign w:val="center"/>
            <w:hideMark/>
          </w:tcPr>
          <w:p w14:paraId="336A673B"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Adequate</w:t>
            </w:r>
          </w:p>
        </w:tc>
        <w:tc>
          <w:tcPr>
            <w:tcW w:w="824" w:type="pct"/>
            <w:tcBorders>
              <w:top w:val="nil"/>
              <w:left w:val="nil"/>
              <w:bottom w:val="nil"/>
              <w:right w:val="nil"/>
            </w:tcBorders>
            <w:shd w:val="clear" w:color="auto" w:fill="auto"/>
            <w:noWrap/>
            <w:hideMark/>
          </w:tcPr>
          <w:p w14:paraId="1407195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7</w:t>
            </w:r>
          </w:p>
        </w:tc>
        <w:tc>
          <w:tcPr>
            <w:tcW w:w="691" w:type="pct"/>
            <w:tcBorders>
              <w:top w:val="nil"/>
              <w:left w:val="nil"/>
              <w:bottom w:val="nil"/>
              <w:right w:val="nil"/>
            </w:tcBorders>
            <w:shd w:val="clear" w:color="auto" w:fill="auto"/>
            <w:noWrap/>
            <w:hideMark/>
          </w:tcPr>
          <w:p w14:paraId="6F64602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23.3</w:t>
            </w:r>
          </w:p>
        </w:tc>
      </w:tr>
      <w:tr w:rsidR="002B4F8E" w:rsidRPr="00DC7B1E" w14:paraId="2A69C02A" w14:textId="77777777" w:rsidTr="00FF68C5">
        <w:trPr>
          <w:trHeight w:val="300"/>
        </w:trPr>
        <w:tc>
          <w:tcPr>
            <w:tcW w:w="2125" w:type="pct"/>
            <w:tcBorders>
              <w:top w:val="nil"/>
              <w:left w:val="nil"/>
              <w:bottom w:val="nil"/>
              <w:right w:val="nil"/>
            </w:tcBorders>
            <w:shd w:val="clear" w:color="auto" w:fill="auto"/>
            <w:noWrap/>
            <w:vAlign w:val="center"/>
            <w:hideMark/>
          </w:tcPr>
          <w:p w14:paraId="5D794135"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Teaching Modality Used</w:t>
            </w:r>
          </w:p>
        </w:tc>
        <w:tc>
          <w:tcPr>
            <w:tcW w:w="1360" w:type="pct"/>
            <w:tcBorders>
              <w:top w:val="nil"/>
              <w:left w:val="nil"/>
              <w:bottom w:val="nil"/>
              <w:right w:val="nil"/>
            </w:tcBorders>
            <w:shd w:val="clear" w:color="auto" w:fill="auto"/>
            <w:noWrap/>
            <w:hideMark/>
          </w:tcPr>
          <w:p w14:paraId="0FC77E46"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Face to face</w:t>
            </w:r>
          </w:p>
        </w:tc>
        <w:tc>
          <w:tcPr>
            <w:tcW w:w="824" w:type="pct"/>
            <w:tcBorders>
              <w:top w:val="nil"/>
              <w:left w:val="nil"/>
              <w:bottom w:val="nil"/>
              <w:right w:val="nil"/>
            </w:tcBorders>
            <w:shd w:val="clear" w:color="auto" w:fill="auto"/>
            <w:noWrap/>
            <w:hideMark/>
          </w:tcPr>
          <w:p w14:paraId="73440C1B"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15</w:t>
            </w:r>
          </w:p>
        </w:tc>
        <w:tc>
          <w:tcPr>
            <w:tcW w:w="691" w:type="pct"/>
            <w:tcBorders>
              <w:top w:val="nil"/>
              <w:left w:val="nil"/>
              <w:bottom w:val="nil"/>
              <w:right w:val="nil"/>
            </w:tcBorders>
            <w:shd w:val="clear" w:color="auto" w:fill="auto"/>
            <w:noWrap/>
            <w:hideMark/>
          </w:tcPr>
          <w:p w14:paraId="14916F5B"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50.0</w:t>
            </w:r>
          </w:p>
        </w:tc>
      </w:tr>
      <w:tr w:rsidR="002B4F8E" w:rsidRPr="00DC7B1E" w14:paraId="266F7295" w14:textId="77777777" w:rsidTr="00FF68C5">
        <w:trPr>
          <w:trHeight w:val="300"/>
        </w:trPr>
        <w:tc>
          <w:tcPr>
            <w:tcW w:w="2125" w:type="pct"/>
            <w:tcBorders>
              <w:top w:val="nil"/>
              <w:left w:val="nil"/>
              <w:bottom w:val="single" w:sz="4" w:space="0" w:color="auto"/>
              <w:right w:val="nil"/>
            </w:tcBorders>
            <w:shd w:val="clear" w:color="auto" w:fill="auto"/>
            <w:noWrap/>
            <w:hideMark/>
          </w:tcPr>
          <w:p w14:paraId="35FDD763"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 </w:t>
            </w:r>
          </w:p>
        </w:tc>
        <w:tc>
          <w:tcPr>
            <w:tcW w:w="1360" w:type="pct"/>
            <w:tcBorders>
              <w:top w:val="nil"/>
              <w:left w:val="nil"/>
              <w:bottom w:val="single" w:sz="4" w:space="0" w:color="auto"/>
              <w:right w:val="nil"/>
            </w:tcBorders>
            <w:shd w:val="clear" w:color="auto" w:fill="auto"/>
            <w:noWrap/>
            <w:hideMark/>
          </w:tcPr>
          <w:p w14:paraId="663CB96B"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Blended learning</w:t>
            </w:r>
          </w:p>
        </w:tc>
        <w:tc>
          <w:tcPr>
            <w:tcW w:w="824" w:type="pct"/>
            <w:tcBorders>
              <w:top w:val="nil"/>
              <w:left w:val="nil"/>
              <w:bottom w:val="single" w:sz="4" w:space="0" w:color="auto"/>
              <w:right w:val="nil"/>
            </w:tcBorders>
            <w:shd w:val="clear" w:color="auto" w:fill="auto"/>
            <w:noWrap/>
            <w:hideMark/>
          </w:tcPr>
          <w:p w14:paraId="42A23083"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15</w:t>
            </w:r>
          </w:p>
        </w:tc>
        <w:tc>
          <w:tcPr>
            <w:tcW w:w="691" w:type="pct"/>
            <w:tcBorders>
              <w:top w:val="nil"/>
              <w:left w:val="nil"/>
              <w:bottom w:val="single" w:sz="4" w:space="0" w:color="auto"/>
              <w:right w:val="nil"/>
            </w:tcBorders>
            <w:shd w:val="clear" w:color="auto" w:fill="auto"/>
            <w:noWrap/>
            <w:hideMark/>
          </w:tcPr>
          <w:p w14:paraId="632BE7FB"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50.0</w:t>
            </w:r>
          </w:p>
        </w:tc>
      </w:tr>
      <w:tr w:rsidR="002B4F8E" w:rsidRPr="00DC7B1E" w14:paraId="5E4DAC25" w14:textId="77777777" w:rsidTr="00FF68C5">
        <w:trPr>
          <w:trHeight w:val="300"/>
        </w:trPr>
        <w:tc>
          <w:tcPr>
            <w:tcW w:w="3485" w:type="pct"/>
            <w:gridSpan w:val="2"/>
            <w:tcBorders>
              <w:top w:val="nil"/>
              <w:left w:val="nil"/>
              <w:bottom w:val="single" w:sz="4" w:space="0" w:color="auto"/>
              <w:right w:val="nil"/>
            </w:tcBorders>
            <w:shd w:val="clear" w:color="auto" w:fill="auto"/>
            <w:noWrap/>
            <w:hideMark/>
          </w:tcPr>
          <w:p w14:paraId="1C8B9546"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Total</w:t>
            </w:r>
          </w:p>
        </w:tc>
        <w:tc>
          <w:tcPr>
            <w:tcW w:w="824" w:type="pct"/>
            <w:tcBorders>
              <w:top w:val="nil"/>
              <w:left w:val="nil"/>
              <w:bottom w:val="single" w:sz="4" w:space="0" w:color="auto"/>
              <w:right w:val="nil"/>
            </w:tcBorders>
            <w:shd w:val="clear" w:color="auto" w:fill="auto"/>
            <w:noWrap/>
            <w:hideMark/>
          </w:tcPr>
          <w:p w14:paraId="31EA5B6C"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30</w:t>
            </w:r>
          </w:p>
        </w:tc>
        <w:tc>
          <w:tcPr>
            <w:tcW w:w="691" w:type="pct"/>
            <w:tcBorders>
              <w:top w:val="nil"/>
              <w:left w:val="nil"/>
              <w:bottom w:val="single" w:sz="4" w:space="0" w:color="auto"/>
              <w:right w:val="nil"/>
            </w:tcBorders>
            <w:shd w:val="clear" w:color="auto" w:fill="auto"/>
            <w:noWrap/>
            <w:hideMark/>
          </w:tcPr>
          <w:p w14:paraId="06C21288"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100.0</w:t>
            </w:r>
          </w:p>
        </w:tc>
      </w:tr>
    </w:tbl>
    <w:p w14:paraId="64D1DEE1"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p w14:paraId="62605CF7" w14:textId="77777777" w:rsidR="002B4F8E" w:rsidRPr="00DC7B1E" w:rsidRDefault="002B4F8E" w:rsidP="001B4BB5">
      <w:pPr>
        <w:spacing w:after="0" w:line="240" w:lineRule="auto"/>
        <w:jc w:val="center"/>
        <w:rPr>
          <w:rFonts w:ascii="Tahoma" w:eastAsia="Times New Roman" w:hAnsi="Tahoma" w:cs="Tahoma"/>
          <w:b/>
          <w:bCs/>
          <w:kern w:val="0"/>
          <w:sz w:val="20"/>
          <w:szCs w:val="20"/>
          <w:lang w:eastAsia="en-PH"/>
          <w14:ligatures w14:val="none"/>
        </w:rPr>
      </w:pPr>
      <w:r w:rsidRPr="00DC7B1E">
        <w:rPr>
          <w:rFonts w:ascii="Tahoma" w:eastAsia="Times New Roman" w:hAnsi="Tahoma" w:cs="Tahoma"/>
          <w:b/>
          <w:bCs/>
          <w:kern w:val="0"/>
          <w:sz w:val="20"/>
          <w:szCs w:val="20"/>
          <w:lang w:eastAsia="en-PH"/>
          <w14:ligatures w14:val="none"/>
        </w:rPr>
        <w:t>Challenges in Addressing Proof in Mathematics</w:t>
      </w:r>
    </w:p>
    <w:p w14:paraId="25DB59E8" w14:textId="77777777" w:rsidR="002B4F8E" w:rsidRPr="00DC7B1E" w:rsidRDefault="002B4F8E" w:rsidP="001B4BB5">
      <w:pPr>
        <w:spacing w:after="0" w:line="240" w:lineRule="auto"/>
        <w:ind w:firstLine="567"/>
        <w:rPr>
          <w:rFonts w:ascii="Tahoma" w:hAnsi="Tahoma" w:cs="Tahoma"/>
          <w:sz w:val="20"/>
          <w:szCs w:val="20"/>
        </w:rPr>
      </w:pPr>
      <w:r w:rsidRPr="00DC7B1E">
        <w:rPr>
          <w:rFonts w:ascii="Tahoma" w:hAnsi="Tahoma" w:cs="Tahoma"/>
          <w:sz w:val="20"/>
          <w:szCs w:val="20"/>
        </w:rPr>
        <w:lastRenderedPageBreak/>
        <w:t xml:space="preserve">Table 2 presents the level of challenges in addressing proof in Mathematics when taken as a whole. The results show that </w:t>
      </w:r>
      <w:r w:rsidRPr="00DC7B1E">
        <w:rPr>
          <w:rStyle w:val="Strong"/>
          <w:rFonts w:ascii="Tahoma" w:hAnsi="Tahoma" w:cs="Tahoma"/>
          <w:sz w:val="20"/>
          <w:szCs w:val="20"/>
        </w:rPr>
        <w:t>all 15 indicators received very high mean ratings, ranging from 4.23 to 4.80, with an overall mean of 4.45, indicating</w:t>
      </w:r>
      <w:r w:rsidRPr="00DC7B1E">
        <w:rPr>
          <w:rFonts w:ascii="Tahoma" w:hAnsi="Tahoma" w:cs="Tahoma"/>
          <w:sz w:val="20"/>
          <w:szCs w:val="20"/>
        </w:rPr>
        <w:t xml:space="preserve"> </w:t>
      </w:r>
      <w:r w:rsidRPr="00DC7B1E">
        <w:rPr>
          <w:rStyle w:val="Emphasis"/>
          <w:rFonts w:ascii="Tahoma" w:hAnsi="Tahoma" w:cs="Tahoma"/>
          <w:sz w:val="20"/>
          <w:szCs w:val="20"/>
        </w:rPr>
        <w:t>Very High</w:t>
      </w:r>
      <w:r w:rsidRPr="00DC7B1E">
        <w:rPr>
          <w:rFonts w:ascii="Tahoma" w:hAnsi="Tahoma" w:cs="Tahoma"/>
          <w:sz w:val="20"/>
          <w:szCs w:val="20"/>
        </w:rPr>
        <w:t>. Among the highest-rated challenges is students’ tendency to treat examples or visual illustrations as complete proofs, which obtained the highest mean. Other indicators with very high means include students’ difficulty in following the logical flow and structure of proofs, lack of foundational concepts and prior knowledge, reliance on memorization rather than analytical reasoning, and low motivation when dealing with abstract proof tasks. Structural and curricular concerns were likewise rated very high, including limited instructional time, insufficient teaching materials, an inadequate focus on proof in the curriculum, and assessment tools that fail to capture students’ true understanding. Additionally, challenges related to curriculum alignment—such as broad or ambiguous competencies, limited exposure to proof in earlier grades, and expectations that exceed students’ readiness—were consistently rated very high. The findings indicate that challenges in teaching and learning mathematical proof are pervasive, severe, and experienced across cognitive, instructional, and structural dimensions.</w:t>
      </w:r>
    </w:p>
    <w:p w14:paraId="6B14DB84" w14:textId="77777777" w:rsidR="002B4F8E" w:rsidRPr="00DC7B1E" w:rsidRDefault="002B4F8E" w:rsidP="001B4BB5">
      <w:pPr>
        <w:spacing w:after="0" w:line="240" w:lineRule="auto"/>
        <w:ind w:firstLine="567"/>
        <w:rPr>
          <w:rFonts w:ascii="Tahoma" w:eastAsia="Times New Roman" w:hAnsi="Tahoma" w:cs="Tahoma"/>
          <w:kern w:val="0"/>
          <w:sz w:val="20"/>
          <w:szCs w:val="20"/>
          <w:lang w:eastAsia="en-PH"/>
          <w14:ligatures w14:val="none"/>
        </w:rPr>
      </w:pPr>
      <w:r w:rsidRPr="00DC7B1E">
        <w:rPr>
          <w:rFonts w:ascii="Tahoma" w:hAnsi="Tahoma" w:cs="Tahoma"/>
          <w:sz w:val="20"/>
          <w:szCs w:val="20"/>
        </w:rPr>
        <w:t>The very high challenge levels reported in Table 2 strongly align with the qualitative findings, confirming that difficulties in teaching mathematical proof are persistent and multidimensional. Both data sources reveal that students commonly misunderstand proof by treating examples as complete arguments, struggle with logical flow and deductive reasoning, and lack sufficient foundational knowledge and early exposure to proof (Stylianides, 2022; Stylianides &amp; Stylianides, 2021; Weber &amp; Mejía-Ramos, 2022). Affective factors such as low motivation, anxiety, and disengagement further compound these cognitive difficulties, limiting students’ persistence and engagement in proof-related tasks (Di Martino &amp; Zan, 2022; Goldin et al., 2021). In addition, structural constraints—including limited instructional time, inadequate resources, and ineffective assessment tools—consistently hinder effective proof instruction (Mejía-Ramos et al., 2022; Stylianides et al., 2023). The strong convergence of quantitative and qualitative evidence strengthens the credibility of the findings through triangulation and highlights the need for curriculum refinement, improved instructional resources, and sustained professional development that emphasize proof as a reasoning-centered and developmentally appropriate mathematical practice (Hanna &amp; de Villiers, 2023; Weber, 2023).</w:t>
      </w:r>
    </w:p>
    <w:p w14:paraId="1A3646AD"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Table 2. Level of challenges in addressing proof in Mathematics when taken as a whole.</w:t>
      </w:r>
    </w:p>
    <w:tbl>
      <w:tblPr>
        <w:tblW w:w="9498" w:type="dxa"/>
        <w:tblLook w:val="04A0" w:firstRow="1" w:lastRow="0" w:firstColumn="1" w:lastColumn="0" w:noHBand="0" w:noVBand="1"/>
      </w:tblPr>
      <w:tblGrid>
        <w:gridCol w:w="7456"/>
        <w:gridCol w:w="747"/>
        <w:gridCol w:w="1295"/>
      </w:tblGrid>
      <w:tr w:rsidR="002B4F8E" w:rsidRPr="00DC7B1E" w14:paraId="6DD5C960" w14:textId="77777777" w:rsidTr="00FF68C5">
        <w:trPr>
          <w:trHeight w:val="300"/>
        </w:trPr>
        <w:tc>
          <w:tcPr>
            <w:tcW w:w="7456" w:type="dxa"/>
            <w:tcBorders>
              <w:top w:val="single" w:sz="4" w:space="0" w:color="auto"/>
              <w:left w:val="nil"/>
              <w:bottom w:val="nil"/>
              <w:right w:val="nil"/>
            </w:tcBorders>
            <w:shd w:val="clear" w:color="auto" w:fill="auto"/>
            <w:noWrap/>
            <w:vAlign w:val="center"/>
            <w:hideMark/>
          </w:tcPr>
          <w:p w14:paraId="2F4207BB"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Particulars</w:t>
            </w:r>
          </w:p>
        </w:tc>
        <w:tc>
          <w:tcPr>
            <w:tcW w:w="747" w:type="dxa"/>
            <w:tcBorders>
              <w:top w:val="single" w:sz="4" w:space="0" w:color="auto"/>
              <w:left w:val="nil"/>
              <w:bottom w:val="nil"/>
              <w:right w:val="nil"/>
            </w:tcBorders>
            <w:shd w:val="clear" w:color="auto" w:fill="auto"/>
            <w:noWrap/>
            <w:vAlign w:val="center"/>
            <w:hideMark/>
          </w:tcPr>
          <w:p w14:paraId="132F633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mean</w:t>
            </w:r>
          </w:p>
        </w:tc>
        <w:tc>
          <w:tcPr>
            <w:tcW w:w="1295" w:type="dxa"/>
            <w:tcBorders>
              <w:top w:val="single" w:sz="4" w:space="0" w:color="auto"/>
              <w:left w:val="nil"/>
              <w:bottom w:val="nil"/>
              <w:right w:val="nil"/>
            </w:tcBorders>
            <w:shd w:val="clear" w:color="auto" w:fill="auto"/>
            <w:noWrap/>
            <w:vAlign w:val="center"/>
            <w:hideMark/>
          </w:tcPr>
          <w:p w14:paraId="1BFDACA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description</w:t>
            </w:r>
          </w:p>
        </w:tc>
      </w:tr>
      <w:tr w:rsidR="002B4F8E" w:rsidRPr="00DC7B1E" w14:paraId="3229EFE0" w14:textId="77777777" w:rsidTr="00FF68C5">
        <w:trPr>
          <w:trHeight w:val="300"/>
        </w:trPr>
        <w:tc>
          <w:tcPr>
            <w:tcW w:w="7456" w:type="dxa"/>
            <w:tcBorders>
              <w:top w:val="single" w:sz="4" w:space="0" w:color="auto"/>
              <w:left w:val="nil"/>
              <w:bottom w:val="nil"/>
              <w:right w:val="nil"/>
            </w:tcBorders>
            <w:shd w:val="clear" w:color="auto" w:fill="auto"/>
            <w:noWrap/>
            <w:vAlign w:val="center"/>
            <w:hideMark/>
          </w:tcPr>
          <w:p w14:paraId="3D9B5CFD"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Students have difficulty following the logical flow and structure required in constructing mathematical proofs.</w:t>
            </w:r>
          </w:p>
        </w:tc>
        <w:tc>
          <w:tcPr>
            <w:tcW w:w="747" w:type="dxa"/>
            <w:tcBorders>
              <w:top w:val="single" w:sz="4" w:space="0" w:color="auto"/>
              <w:left w:val="nil"/>
              <w:bottom w:val="nil"/>
              <w:right w:val="nil"/>
            </w:tcBorders>
            <w:shd w:val="clear" w:color="auto" w:fill="auto"/>
            <w:noWrap/>
            <w:vAlign w:val="center"/>
            <w:hideMark/>
          </w:tcPr>
          <w:p w14:paraId="0C4B2C28"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4.27</w:t>
            </w:r>
          </w:p>
        </w:tc>
        <w:tc>
          <w:tcPr>
            <w:tcW w:w="1295" w:type="dxa"/>
            <w:tcBorders>
              <w:top w:val="single" w:sz="4" w:space="0" w:color="auto"/>
              <w:left w:val="nil"/>
              <w:bottom w:val="nil"/>
              <w:right w:val="nil"/>
            </w:tcBorders>
            <w:shd w:val="clear" w:color="auto" w:fill="auto"/>
            <w:noWrap/>
            <w:vAlign w:val="center"/>
            <w:hideMark/>
          </w:tcPr>
          <w:p w14:paraId="3AE9B0A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30D2AA95" w14:textId="77777777" w:rsidTr="00FF68C5">
        <w:trPr>
          <w:trHeight w:val="300"/>
        </w:trPr>
        <w:tc>
          <w:tcPr>
            <w:tcW w:w="7456" w:type="dxa"/>
            <w:tcBorders>
              <w:top w:val="nil"/>
              <w:left w:val="nil"/>
              <w:bottom w:val="nil"/>
              <w:right w:val="nil"/>
            </w:tcBorders>
            <w:shd w:val="clear" w:color="auto" w:fill="auto"/>
            <w:noWrap/>
            <w:vAlign w:val="center"/>
            <w:hideMark/>
          </w:tcPr>
          <w:p w14:paraId="0DE4209F"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Students often treat examples or visual illustrations as if they were complete proofs.</w:t>
            </w:r>
          </w:p>
        </w:tc>
        <w:tc>
          <w:tcPr>
            <w:tcW w:w="747" w:type="dxa"/>
            <w:tcBorders>
              <w:top w:val="nil"/>
              <w:left w:val="nil"/>
              <w:bottom w:val="nil"/>
              <w:right w:val="nil"/>
            </w:tcBorders>
            <w:shd w:val="clear" w:color="auto" w:fill="auto"/>
            <w:noWrap/>
            <w:vAlign w:val="center"/>
            <w:hideMark/>
          </w:tcPr>
          <w:p w14:paraId="03C428BD"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4.80</w:t>
            </w:r>
          </w:p>
        </w:tc>
        <w:tc>
          <w:tcPr>
            <w:tcW w:w="1295" w:type="dxa"/>
            <w:tcBorders>
              <w:top w:val="nil"/>
              <w:left w:val="nil"/>
              <w:bottom w:val="nil"/>
              <w:right w:val="nil"/>
            </w:tcBorders>
            <w:shd w:val="clear" w:color="auto" w:fill="auto"/>
            <w:noWrap/>
            <w:vAlign w:val="center"/>
            <w:hideMark/>
          </w:tcPr>
          <w:p w14:paraId="175B9E4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062C704C" w14:textId="77777777" w:rsidTr="00FF68C5">
        <w:trPr>
          <w:trHeight w:val="300"/>
        </w:trPr>
        <w:tc>
          <w:tcPr>
            <w:tcW w:w="7456" w:type="dxa"/>
            <w:tcBorders>
              <w:top w:val="nil"/>
              <w:left w:val="nil"/>
              <w:bottom w:val="nil"/>
              <w:right w:val="nil"/>
            </w:tcBorders>
            <w:shd w:val="clear" w:color="auto" w:fill="auto"/>
            <w:noWrap/>
            <w:vAlign w:val="center"/>
            <w:hideMark/>
          </w:tcPr>
          <w:p w14:paraId="1CE6EBD9"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Students struggle to recognize and differentiate the premises, assumptions, and conclusions within a proof.</w:t>
            </w:r>
          </w:p>
        </w:tc>
        <w:tc>
          <w:tcPr>
            <w:tcW w:w="747" w:type="dxa"/>
            <w:tcBorders>
              <w:top w:val="nil"/>
              <w:left w:val="nil"/>
              <w:bottom w:val="nil"/>
              <w:right w:val="nil"/>
            </w:tcBorders>
            <w:shd w:val="clear" w:color="auto" w:fill="auto"/>
            <w:noWrap/>
            <w:vAlign w:val="center"/>
            <w:hideMark/>
          </w:tcPr>
          <w:p w14:paraId="61F2B5E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4.23</w:t>
            </w:r>
          </w:p>
        </w:tc>
        <w:tc>
          <w:tcPr>
            <w:tcW w:w="1295" w:type="dxa"/>
            <w:tcBorders>
              <w:top w:val="nil"/>
              <w:left w:val="nil"/>
              <w:bottom w:val="nil"/>
              <w:right w:val="nil"/>
            </w:tcBorders>
            <w:shd w:val="clear" w:color="auto" w:fill="auto"/>
            <w:noWrap/>
            <w:vAlign w:val="center"/>
            <w:hideMark/>
          </w:tcPr>
          <w:p w14:paraId="37384E9B"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10941DDA" w14:textId="77777777" w:rsidTr="00FF68C5">
        <w:trPr>
          <w:trHeight w:val="300"/>
        </w:trPr>
        <w:tc>
          <w:tcPr>
            <w:tcW w:w="7456" w:type="dxa"/>
            <w:tcBorders>
              <w:top w:val="nil"/>
              <w:left w:val="nil"/>
              <w:bottom w:val="nil"/>
              <w:right w:val="nil"/>
            </w:tcBorders>
            <w:shd w:val="clear" w:color="auto" w:fill="auto"/>
            <w:noWrap/>
            <w:vAlign w:val="center"/>
            <w:hideMark/>
          </w:tcPr>
          <w:p w14:paraId="71DCBADE"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Students lack the foundational concepts and prior knowledge needed to begin constructing meaningful proofs.</w:t>
            </w:r>
          </w:p>
        </w:tc>
        <w:tc>
          <w:tcPr>
            <w:tcW w:w="747" w:type="dxa"/>
            <w:tcBorders>
              <w:top w:val="nil"/>
              <w:left w:val="nil"/>
              <w:bottom w:val="nil"/>
              <w:right w:val="nil"/>
            </w:tcBorders>
            <w:shd w:val="clear" w:color="auto" w:fill="auto"/>
            <w:noWrap/>
            <w:vAlign w:val="center"/>
            <w:hideMark/>
          </w:tcPr>
          <w:p w14:paraId="3BF9DDB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4.40</w:t>
            </w:r>
          </w:p>
        </w:tc>
        <w:tc>
          <w:tcPr>
            <w:tcW w:w="1295" w:type="dxa"/>
            <w:tcBorders>
              <w:top w:val="nil"/>
              <w:left w:val="nil"/>
              <w:bottom w:val="nil"/>
              <w:right w:val="nil"/>
            </w:tcBorders>
            <w:shd w:val="clear" w:color="auto" w:fill="auto"/>
            <w:noWrap/>
            <w:vAlign w:val="center"/>
            <w:hideMark/>
          </w:tcPr>
          <w:p w14:paraId="7BBCAF0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6780150E" w14:textId="77777777" w:rsidTr="00FF68C5">
        <w:trPr>
          <w:trHeight w:val="300"/>
        </w:trPr>
        <w:tc>
          <w:tcPr>
            <w:tcW w:w="7456" w:type="dxa"/>
            <w:tcBorders>
              <w:top w:val="nil"/>
              <w:left w:val="nil"/>
              <w:bottom w:val="nil"/>
              <w:right w:val="nil"/>
            </w:tcBorders>
            <w:shd w:val="clear" w:color="auto" w:fill="auto"/>
            <w:noWrap/>
            <w:vAlign w:val="center"/>
            <w:hideMark/>
          </w:tcPr>
          <w:p w14:paraId="1D49FA8E"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Students frequently fail to distinguish valid deductive reasoning from flawed or incorrect arguments.</w:t>
            </w:r>
          </w:p>
        </w:tc>
        <w:tc>
          <w:tcPr>
            <w:tcW w:w="747" w:type="dxa"/>
            <w:tcBorders>
              <w:top w:val="nil"/>
              <w:left w:val="nil"/>
              <w:bottom w:val="nil"/>
              <w:right w:val="nil"/>
            </w:tcBorders>
            <w:shd w:val="clear" w:color="auto" w:fill="auto"/>
            <w:noWrap/>
            <w:vAlign w:val="center"/>
            <w:hideMark/>
          </w:tcPr>
          <w:p w14:paraId="3A1DE29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4.37</w:t>
            </w:r>
          </w:p>
        </w:tc>
        <w:tc>
          <w:tcPr>
            <w:tcW w:w="1295" w:type="dxa"/>
            <w:tcBorders>
              <w:top w:val="nil"/>
              <w:left w:val="nil"/>
              <w:bottom w:val="nil"/>
              <w:right w:val="nil"/>
            </w:tcBorders>
            <w:shd w:val="clear" w:color="auto" w:fill="auto"/>
            <w:noWrap/>
            <w:vAlign w:val="center"/>
            <w:hideMark/>
          </w:tcPr>
          <w:p w14:paraId="2789AB5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54EC7B23" w14:textId="77777777" w:rsidTr="00FF68C5">
        <w:trPr>
          <w:trHeight w:val="300"/>
        </w:trPr>
        <w:tc>
          <w:tcPr>
            <w:tcW w:w="7456" w:type="dxa"/>
            <w:tcBorders>
              <w:top w:val="nil"/>
              <w:left w:val="nil"/>
              <w:bottom w:val="nil"/>
              <w:right w:val="nil"/>
            </w:tcBorders>
            <w:shd w:val="clear" w:color="auto" w:fill="auto"/>
            <w:noWrap/>
            <w:vAlign w:val="center"/>
            <w:hideMark/>
          </w:tcPr>
          <w:p w14:paraId="37B4A71C"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Identifying students’ misconceptions about proofs early in the learning process is challenging.</w:t>
            </w:r>
          </w:p>
        </w:tc>
        <w:tc>
          <w:tcPr>
            <w:tcW w:w="747" w:type="dxa"/>
            <w:tcBorders>
              <w:top w:val="nil"/>
              <w:left w:val="nil"/>
              <w:bottom w:val="nil"/>
              <w:right w:val="nil"/>
            </w:tcBorders>
            <w:shd w:val="clear" w:color="auto" w:fill="auto"/>
            <w:noWrap/>
            <w:vAlign w:val="center"/>
            <w:hideMark/>
          </w:tcPr>
          <w:p w14:paraId="287B9BA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4.30</w:t>
            </w:r>
          </w:p>
        </w:tc>
        <w:tc>
          <w:tcPr>
            <w:tcW w:w="1295" w:type="dxa"/>
            <w:tcBorders>
              <w:top w:val="nil"/>
              <w:left w:val="nil"/>
              <w:bottom w:val="nil"/>
              <w:right w:val="nil"/>
            </w:tcBorders>
            <w:shd w:val="clear" w:color="auto" w:fill="auto"/>
            <w:noWrap/>
            <w:vAlign w:val="center"/>
            <w:hideMark/>
          </w:tcPr>
          <w:p w14:paraId="290F8EF8"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20935F2A" w14:textId="77777777" w:rsidTr="00FF68C5">
        <w:trPr>
          <w:trHeight w:val="300"/>
        </w:trPr>
        <w:tc>
          <w:tcPr>
            <w:tcW w:w="7456" w:type="dxa"/>
            <w:tcBorders>
              <w:top w:val="nil"/>
              <w:left w:val="nil"/>
              <w:bottom w:val="nil"/>
              <w:right w:val="nil"/>
            </w:tcBorders>
            <w:shd w:val="clear" w:color="auto" w:fill="auto"/>
            <w:noWrap/>
            <w:vAlign w:val="center"/>
            <w:hideMark/>
          </w:tcPr>
          <w:p w14:paraId="0F3CCCA7"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Many students rely heavily on memorization rather than engage in analytical or logical reasoning.</w:t>
            </w:r>
          </w:p>
        </w:tc>
        <w:tc>
          <w:tcPr>
            <w:tcW w:w="747" w:type="dxa"/>
            <w:tcBorders>
              <w:top w:val="nil"/>
              <w:left w:val="nil"/>
              <w:bottom w:val="nil"/>
              <w:right w:val="nil"/>
            </w:tcBorders>
            <w:shd w:val="clear" w:color="auto" w:fill="auto"/>
            <w:noWrap/>
            <w:vAlign w:val="center"/>
            <w:hideMark/>
          </w:tcPr>
          <w:p w14:paraId="2A83DB77"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4.47</w:t>
            </w:r>
          </w:p>
        </w:tc>
        <w:tc>
          <w:tcPr>
            <w:tcW w:w="1295" w:type="dxa"/>
            <w:tcBorders>
              <w:top w:val="nil"/>
              <w:left w:val="nil"/>
              <w:bottom w:val="nil"/>
              <w:right w:val="nil"/>
            </w:tcBorders>
            <w:shd w:val="clear" w:color="auto" w:fill="auto"/>
            <w:noWrap/>
            <w:vAlign w:val="center"/>
            <w:hideMark/>
          </w:tcPr>
          <w:p w14:paraId="1F8731E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50AB4CD3" w14:textId="77777777" w:rsidTr="00FF68C5">
        <w:trPr>
          <w:trHeight w:val="300"/>
        </w:trPr>
        <w:tc>
          <w:tcPr>
            <w:tcW w:w="7456" w:type="dxa"/>
            <w:tcBorders>
              <w:top w:val="nil"/>
              <w:left w:val="nil"/>
              <w:bottom w:val="nil"/>
              <w:right w:val="nil"/>
            </w:tcBorders>
            <w:shd w:val="clear" w:color="auto" w:fill="auto"/>
            <w:noWrap/>
            <w:vAlign w:val="center"/>
            <w:hideMark/>
          </w:tcPr>
          <w:p w14:paraId="50B690B8"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Students exhibit low interest or motivation when lessons involve abstract or complex proof tasks.</w:t>
            </w:r>
          </w:p>
        </w:tc>
        <w:tc>
          <w:tcPr>
            <w:tcW w:w="747" w:type="dxa"/>
            <w:tcBorders>
              <w:top w:val="nil"/>
              <w:left w:val="nil"/>
              <w:bottom w:val="nil"/>
              <w:right w:val="nil"/>
            </w:tcBorders>
            <w:shd w:val="clear" w:color="auto" w:fill="auto"/>
            <w:noWrap/>
            <w:vAlign w:val="center"/>
            <w:hideMark/>
          </w:tcPr>
          <w:p w14:paraId="06DAC11B"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4.43</w:t>
            </w:r>
          </w:p>
        </w:tc>
        <w:tc>
          <w:tcPr>
            <w:tcW w:w="1295" w:type="dxa"/>
            <w:tcBorders>
              <w:top w:val="nil"/>
              <w:left w:val="nil"/>
              <w:bottom w:val="nil"/>
              <w:right w:val="nil"/>
            </w:tcBorders>
            <w:shd w:val="clear" w:color="auto" w:fill="auto"/>
            <w:noWrap/>
            <w:vAlign w:val="center"/>
            <w:hideMark/>
          </w:tcPr>
          <w:p w14:paraId="112EEF9E"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6930EE72" w14:textId="77777777" w:rsidTr="00FF68C5">
        <w:trPr>
          <w:trHeight w:val="300"/>
        </w:trPr>
        <w:tc>
          <w:tcPr>
            <w:tcW w:w="7456" w:type="dxa"/>
            <w:tcBorders>
              <w:top w:val="nil"/>
              <w:left w:val="nil"/>
              <w:bottom w:val="nil"/>
              <w:right w:val="nil"/>
            </w:tcBorders>
            <w:shd w:val="clear" w:color="auto" w:fill="auto"/>
            <w:noWrap/>
            <w:vAlign w:val="center"/>
            <w:hideMark/>
          </w:tcPr>
          <w:p w14:paraId="56AF1EFB"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Limited instructional time restricts teachers from adequately developing students’ problem-solving skills.</w:t>
            </w:r>
          </w:p>
        </w:tc>
        <w:tc>
          <w:tcPr>
            <w:tcW w:w="747" w:type="dxa"/>
            <w:tcBorders>
              <w:top w:val="nil"/>
              <w:left w:val="nil"/>
              <w:bottom w:val="nil"/>
              <w:right w:val="nil"/>
            </w:tcBorders>
            <w:shd w:val="clear" w:color="auto" w:fill="auto"/>
            <w:noWrap/>
            <w:vAlign w:val="center"/>
            <w:hideMark/>
          </w:tcPr>
          <w:p w14:paraId="17446558"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4.37</w:t>
            </w:r>
          </w:p>
        </w:tc>
        <w:tc>
          <w:tcPr>
            <w:tcW w:w="1295" w:type="dxa"/>
            <w:tcBorders>
              <w:top w:val="nil"/>
              <w:left w:val="nil"/>
              <w:bottom w:val="nil"/>
              <w:right w:val="nil"/>
            </w:tcBorders>
            <w:shd w:val="clear" w:color="auto" w:fill="auto"/>
            <w:noWrap/>
            <w:vAlign w:val="center"/>
            <w:hideMark/>
          </w:tcPr>
          <w:p w14:paraId="35F0927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77324EF9" w14:textId="77777777" w:rsidTr="00FF68C5">
        <w:trPr>
          <w:trHeight w:val="300"/>
        </w:trPr>
        <w:tc>
          <w:tcPr>
            <w:tcW w:w="7456" w:type="dxa"/>
            <w:tcBorders>
              <w:top w:val="nil"/>
              <w:left w:val="nil"/>
              <w:bottom w:val="nil"/>
              <w:right w:val="nil"/>
            </w:tcBorders>
            <w:shd w:val="clear" w:color="auto" w:fill="auto"/>
            <w:noWrap/>
            <w:vAlign w:val="center"/>
            <w:hideMark/>
          </w:tcPr>
          <w:p w14:paraId="1538833A"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The absence of sufficient teaching materials and resources makes proof instruction more difficult.</w:t>
            </w:r>
          </w:p>
        </w:tc>
        <w:tc>
          <w:tcPr>
            <w:tcW w:w="747" w:type="dxa"/>
            <w:tcBorders>
              <w:top w:val="nil"/>
              <w:left w:val="nil"/>
              <w:bottom w:val="nil"/>
              <w:right w:val="nil"/>
            </w:tcBorders>
            <w:shd w:val="clear" w:color="auto" w:fill="auto"/>
            <w:noWrap/>
            <w:vAlign w:val="center"/>
            <w:hideMark/>
          </w:tcPr>
          <w:p w14:paraId="340F0C8E"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4.43</w:t>
            </w:r>
          </w:p>
        </w:tc>
        <w:tc>
          <w:tcPr>
            <w:tcW w:w="1295" w:type="dxa"/>
            <w:tcBorders>
              <w:top w:val="nil"/>
              <w:left w:val="nil"/>
              <w:bottom w:val="nil"/>
              <w:right w:val="nil"/>
            </w:tcBorders>
            <w:shd w:val="clear" w:color="auto" w:fill="auto"/>
            <w:noWrap/>
            <w:vAlign w:val="center"/>
            <w:hideMark/>
          </w:tcPr>
          <w:p w14:paraId="40617E2D"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3F1425DF" w14:textId="77777777" w:rsidTr="00FF68C5">
        <w:trPr>
          <w:trHeight w:val="300"/>
        </w:trPr>
        <w:tc>
          <w:tcPr>
            <w:tcW w:w="7456" w:type="dxa"/>
            <w:tcBorders>
              <w:top w:val="nil"/>
              <w:left w:val="nil"/>
              <w:bottom w:val="nil"/>
              <w:right w:val="nil"/>
            </w:tcBorders>
            <w:shd w:val="clear" w:color="auto" w:fill="auto"/>
            <w:noWrap/>
            <w:vAlign w:val="center"/>
            <w:hideMark/>
          </w:tcPr>
          <w:p w14:paraId="600CA35C"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The curriculum does not allocate enough focus or depth to the teaching of proof and reasoning.</w:t>
            </w:r>
          </w:p>
        </w:tc>
        <w:tc>
          <w:tcPr>
            <w:tcW w:w="747" w:type="dxa"/>
            <w:tcBorders>
              <w:top w:val="nil"/>
              <w:left w:val="nil"/>
              <w:bottom w:val="nil"/>
              <w:right w:val="nil"/>
            </w:tcBorders>
            <w:shd w:val="clear" w:color="auto" w:fill="auto"/>
            <w:noWrap/>
            <w:vAlign w:val="center"/>
            <w:hideMark/>
          </w:tcPr>
          <w:p w14:paraId="5FE3F8D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4.33</w:t>
            </w:r>
          </w:p>
        </w:tc>
        <w:tc>
          <w:tcPr>
            <w:tcW w:w="1295" w:type="dxa"/>
            <w:tcBorders>
              <w:top w:val="nil"/>
              <w:left w:val="nil"/>
              <w:bottom w:val="nil"/>
              <w:right w:val="nil"/>
            </w:tcBorders>
            <w:shd w:val="clear" w:color="auto" w:fill="auto"/>
            <w:noWrap/>
            <w:vAlign w:val="center"/>
            <w:hideMark/>
          </w:tcPr>
          <w:p w14:paraId="47CDD93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1C4B1ED0" w14:textId="77777777" w:rsidTr="00FF68C5">
        <w:trPr>
          <w:trHeight w:val="300"/>
        </w:trPr>
        <w:tc>
          <w:tcPr>
            <w:tcW w:w="7456" w:type="dxa"/>
            <w:tcBorders>
              <w:top w:val="nil"/>
              <w:left w:val="nil"/>
              <w:bottom w:val="nil"/>
              <w:right w:val="nil"/>
            </w:tcBorders>
            <w:shd w:val="clear" w:color="auto" w:fill="auto"/>
            <w:noWrap/>
            <w:vAlign w:val="center"/>
            <w:hideMark/>
          </w:tcPr>
          <w:p w14:paraId="02FDA9A4"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 xml:space="preserve">Existing assessment tools are ineffective at evaluating students’ actual </w:t>
            </w:r>
            <w:r w:rsidRPr="00DC7B1E">
              <w:rPr>
                <w:rFonts w:ascii="Tahoma" w:eastAsia="Times New Roman" w:hAnsi="Tahoma" w:cs="Tahoma"/>
                <w:color w:val="000000"/>
                <w:kern w:val="0"/>
                <w:sz w:val="20"/>
                <w:szCs w:val="20"/>
                <w:lang w:eastAsia="en-PH"/>
                <w14:ligatures w14:val="none"/>
              </w:rPr>
              <w:lastRenderedPageBreak/>
              <w:t>understanding of proofs.</w:t>
            </w:r>
          </w:p>
        </w:tc>
        <w:tc>
          <w:tcPr>
            <w:tcW w:w="747" w:type="dxa"/>
            <w:tcBorders>
              <w:top w:val="nil"/>
              <w:left w:val="nil"/>
              <w:bottom w:val="nil"/>
              <w:right w:val="nil"/>
            </w:tcBorders>
            <w:shd w:val="clear" w:color="auto" w:fill="auto"/>
            <w:noWrap/>
            <w:vAlign w:val="center"/>
            <w:hideMark/>
          </w:tcPr>
          <w:p w14:paraId="5861B2F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lastRenderedPageBreak/>
              <w:t>4.23</w:t>
            </w:r>
          </w:p>
        </w:tc>
        <w:tc>
          <w:tcPr>
            <w:tcW w:w="1295" w:type="dxa"/>
            <w:tcBorders>
              <w:top w:val="nil"/>
              <w:left w:val="nil"/>
              <w:bottom w:val="nil"/>
              <w:right w:val="nil"/>
            </w:tcBorders>
            <w:shd w:val="clear" w:color="auto" w:fill="auto"/>
            <w:noWrap/>
            <w:vAlign w:val="center"/>
            <w:hideMark/>
          </w:tcPr>
          <w:p w14:paraId="371ADADD"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62C58A1A" w14:textId="77777777" w:rsidTr="00FF68C5">
        <w:trPr>
          <w:trHeight w:val="300"/>
        </w:trPr>
        <w:tc>
          <w:tcPr>
            <w:tcW w:w="7456" w:type="dxa"/>
            <w:tcBorders>
              <w:top w:val="nil"/>
              <w:left w:val="nil"/>
              <w:bottom w:val="nil"/>
              <w:right w:val="nil"/>
            </w:tcBorders>
            <w:shd w:val="clear" w:color="auto" w:fill="auto"/>
            <w:noWrap/>
            <w:vAlign w:val="center"/>
            <w:hideMark/>
          </w:tcPr>
          <w:p w14:paraId="08E9D2D4"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lastRenderedPageBreak/>
              <w:t>Students reach secondary levels with minimal exposure to proof-based tasks in earlier grades.</w:t>
            </w:r>
          </w:p>
        </w:tc>
        <w:tc>
          <w:tcPr>
            <w:tcW w:w="747" w:type="dxa"/>
            <w:tcBorders>
              <w:top w:val="nil"/>
              <w:left w:val="nil"/>
              <w:bottom w:val="nil"/>
              <w:right w:val="nil"/>
            </w:tcBorders>
            <w:shd w:val="clear" w:color="auto" w:fill="auto"/>
            <w:noWrap/>
            <w:vAlign w:val="center"/>
            <w:hideMark/>
          </w:tcPr>
          <w:p w14:paraId="0D49CA83"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4.43</w:t>
            </w:r>
          </w:p>
        </w:tc>
        <w:tc>
          <w:tcPr>
            <w:tcW w:w="1295" w:type="dxa"/>
            <w:tcBorders>
              <w:top w:val="nil"/>
              <w:left w:val="nil"/>
              <w:bottom w:val="nil"/>
              <w:right w:val="nil"/>
            </w:tcBorders>
            <w:shd w:val="clear" w:color="auto" w:fill="auto"/>
            <w:noWrap/>
            <w:vAlign w:val="center"/>
            <w:hideMark/>
          </w:tcPr>
          <w:p w14:paraId="62EABF9B"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4B2FB714" w14:textId="77777777" w:rsidTr="00FF68C5">
        <w:trPr>
          <w:trHeight w:val="300"/>
        </w:trPr>
        <w:tc>
          <w:tcPr>
            <w:tcW w:w="7456" w:type="dxa"/>
            <w:tcBorders>
              <w:top w:val="nil"/>
              <w:left w:val="nil"/>
              <w:bottom w:val="nil"/>
              <w:right w:val="nil"/>
            </w:tcBorders>
            <w:shd w:val="clear" w:color="auto" w:fill="auto"/>
            <w:noWrap/>
            <w:vAlign w:val="center"/>
            <w:hideMark/>
          </w:tcPr>
          <w:p w14:paraId="4F4FFDC2"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Competencies related to proof are written broadly or ambiguously, making them difficult to teach effectively.</w:t>
            </w:r>
          </w:p>
        </w:tc>
        <w:tc>
          <w:tcPr>
            <w:tcW w:w="747" w:type="dxa"/>
            <w:tcBorders>
              <w:top w:val="nil"/>
              <w:left w:val="nil"/>
              <w:bottom w:val="nil"/>
              <w:right w:val="nil"/>
            </w:tcBorders>
            <w:shd w:val="clear" w:color="auto" w:fill="auto"/>
            <w:noWrap/>
            <w:vAlign w:val="center"/>
            <w:hideMark/>
          </w:tcPr>
          <w:p w14:paraId="4AC6CE0C"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4.33</w:t>
            </w:r>
          </w:p>
        </w:tc>
        <w:tc>
          <w:tcPr>
            <w:tcW w:w="1295" w:type="dxa"/>
            <w:tcBorders>
              <w:top w:val="nil"/>
              <w:left w:val="nil"/>
              <w:bottom w:val="nil"/>
              <w:right w:val="nil"/>
            </w:tcBorders>
            <w:shd w:val="clear" w:color="auto" w:fill="auto"/>
            <w:noWrap/>
            <w:vAlign w:val="center"/>
            <w:hideMark/>
          </w:tcPr>
          <w:p w14:paraId="47DB82A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42C7E9AD" w14:textId="77777777" w:rsidTr="00FF68C5">
        <w:trPr>
          <w:trHeight w:val="300"/>
        </w:trPr>
        <w:tc>
          <w:tcPr>
            <w:tcW w:w="7456" w:type="dxa"/>
            <w:tcBorders>
              <w:top w:val="nil"/>
              <w:left w:val="nil"/>
              <w:bottom w:val="single" w:sz="4" w:space="0" w:color="auto"/>
              <w:right w:val="nil"/>
            </w:tcBorders>
            <w:shd w:val="clear" w:color="auto" w:fill="auto"/>
            <w:noWrap/>
            <w:vAlign w:val="center"/>
            <w:hideMark/>
          </w:tcPr>
          <w:p w14:paraId="008F4A85"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Curriculum expectations regarding proof often exceed the current readiness level of most students.</w:t>
            </w:r>
          </w:p>
        </w:tc>
        <w:tc>
          <w:tcPr>
            <w:tcW w:w="747" w:type="dxa"/>
            <w:tcBorders>
              <w:top w:val="nil"/>
              <w:left w:val="nil"/>
              <w:bottom w:val="single" w:sz="4" w:space="0" w:color="auto"/>
              <w:right w:val="nil"/>
            </w:tcBorders>
            <w:shd w:val="clear" w:color="auto" w:fill="auto"/>
            <w:noWrap/>
            <w:vAlign w:val="center"/>
            <w:hideMark/>
          </w:tcPr>
          <w:p w14:paraId="142A720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4.40</w:t>
            </w:r>
          </w:p>
        </w:tc>
        <w:tc>
          <w:tcPr>
            <w:tcW w:w="1295" w:type="dxa"/>
            <w:tcBorders>
              <w:top w:val="nil"/>
              <w:left w:val="nil"/>
              <w:bottom w:val="single" w:sz="4" w:space="0" w:color="auto"/>
              <w:right w:val="nil"/>
            </w:tcBorders>
            <w:shd w:val="clear" w:color="auto" w:fill="auto"/>
            <w:noWrap/>
            <w:vAlign w:val="center"/>
            <w:hideMark/>
          </w:tcPr>
          <w:p w14:paraId="3B65931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311AED81" w14:textId="77777777" w:rsidTr="00FF68C5">
        <w:trPr>
          <w:trHeight w:val="300"/>
        </w:trPr>
        <w:tc>
          <w:tcPr>
            <w:tcW w:w="7456" w:type="dxa"/>
            <w:tcBorders>
              <w:top w:val="nil"/>
              <w:left w:val="nil"/>
              <w:bottom w:val="single" w:sz="4" w:space="0" w:color="auto"/>
              <w:right w:val="nil"/>
            </w:tcBorders>
            <w:shd w:val="clear" w:color="auto" w:fill="auto"/>
            <w:noWrap/>
            <w:vAlign w:val="center"/>
            <w:hideMark/>
          </w:tcPr>
          <w:p w14:paraId="0A5C62A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Total</w:t>
            </w:r>
          </w:p>
        </w:tc>
        <w:tc>
          <w:tcPr>
            <w:tcW w:w="747" w:type="dxa"/>
            <w:tcBorders>
              <w:top w:val="nil"/>
              <w:left w:val="nil"/>
              <w:bottom w:val="single" w:sz="4" w:space="0" w:color="auto"/>
              <w:right w:val="nil"/>
            </w:tcBorders>
            <w:shd w:val="clear" w:color="auto" w:fill="auto"/>
            <w:noWrap/>
            <w:vAlign w:val="center"/>
            <w:hideMark/>
          </w:tcPr>
          <w:p w14:paraId="15404043"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4.45</w:t>
            </w:r>
          </w:p>
        </w:tc>
        <w:tc>
          <w:tcPr>
            <w:tcW w:w="1295" w:type="dxa"/>
            <w:tcBorders>
              <w:top w:val="nil"/>
              <w:left w:val="nil"/>
              <w:bottom w:val="single" w:sz="4" w:space="0" w:color="auto"/>
              <w:right w:val="nil"/>
            </w:tcBorders>
            <w:shd w:val="clear" w:color="auto" w:fill="auto"/>
            <w:noWrap/>
            <w:vAlign w:val="center"/>
            <w:hideMark/>
          </w:tcPr>
          <w:p w14:paraId="5CEDFD4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bl>
    <w:p w14:paraId="71163DBC"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p w14:paraId="7D4B4742" w14:textId="77777777" w:rsidR="002B4F8E" w:rsidRPr="00DC7B1E" w:rsidRDefault="002B4F8E" w:rsidP="001B4BB5">
      <w:pPr>
        <w:spacing w:after="0" w:line="240" w:lineRule="auto"/>
        <w:ind w:firstLine="567"/>
        <w:rPr>
          <w:rFonts w:ascii="Tahoma" w:hAnsi="Tahoma" w:cs="Tahoma"/>
          <w:sz w:val="20"/>
          <w:szCs w:val="20"/>
        </w:rPr>
      </w:pPr>
      <w:r w:rsidRPr="00DC7B1E">
        <w:rPr>
          <w:rFonts w:ascii="Tahoma" w:hAnsi="Tahoma" w:cs="Tahoma"/>
          <w:sz w:val="20"/>
          <w:szCs w:val="20"/>
        </w:rPr>
        <w:t xml:space="preserve">Table 3 presents the level of challenges in addressing proof in Mathematics when classified according to respondents’ profile variables. The results indicate that </w:t>
      </w:r>
      <w:r w:rsidRPr="00DC7B1E">
        <w:rPr>
          <w:rStyle w:val="Strong"/>
          <w:rFonts w:ascii="Tahoma" w:hAnsi="Tahoma" w:cs="Tahoma"/>
          <w:sz w:val="20"/>
          <w:szCs w:val="20"/>
        </w:rPr>
        <w:t>all profile categories obtained very high mean ratings</w:t>
      </w:r>
      <w:r w:rsidRPr="00DC7B1E">
        <w:rPr>
          <w:rFonts w:ascii="Tahoma" w:hAnsi="Tahoma" w:cs="Tahoma"/>
          <w:sz w:val="20"/>
          <w:szCs w:val="20"/>
        </w:rPr>
        <w:t xml:space="preserve">, with overall mean values ranging from 4.30 to 4.78 and an overall mean of 4.45, described as </w:t>
      </w:r>
      <w:r w:rsidRPr="00DC7B1E">
        <w:rPr>
          <w:rStyle w:val="Emphasis"/>
          <w:rFonts w:ascii="Tahoma" w:hAnsi="Tahoma" w:cs="Tahoma"/>
          <w:sz w:val="20"/>
          <w:szCs w:val="20"/>
        </w:rPr>
        <w:t>Very High</w:t>
      </w:r>
      <w:r w:rsidRPr="00DC7B1E">
        <w:rPr>
          <w:rFonts w:ascii="Tahoma" w:hAnsi="Tahoma" w:cs="Tahoma"/>
          <w:sz w:val="20"/>
          <w:szCs w:val="20"/>
        </w:rPr>
        <w:t>. When grouped by highest educational attainment, respondents across all levels—from bachelor’s degree holders to doctoral degree holders—reported very high levels of challenge, with the highest mean observed among doctoral degree holders. Regarding teaching positions, Teacher I–III, Instructor I–III, and Assistant Professor respondents all reported similarly high challenge levels. Across years of teaching mathematics, respondents in all experience brackets reported very high levels of challenge, with slightly higher means among those with 6–10 and 16–20 years of teaching experience. Regarding courses related to proof, those who took abstract algebra reported higher challenge levels than those who took geometry or number theory. Regarding access to instructional resources, all groups reported very high challenges, with respondents who reported adequate access reporting the highest mean. Finally, both face-to-face and blended learning yielded very high challenge ratings, with face-to-face instruction showing a slightly higher mean.</w:t>
      </w:r>
    </w:p>
    <w:p w14:paraId="4BF9B9D1" w14:textId="77777777" w:rsidR="002B4F8E" w:rsidRPr="00DC7B1E" w:rsidRDefault="002B4F8E" w:rsidP="001B4BB5">
      <w:pPr>
        <w:spacing w:after="0" w:line="240" w:lineRule="auto"/>
        <w:ind w:firstLine="567"/>
        <w:rPr>
          <w:rFonts w:ascii="Tahoma" w:hAnsi="Tahoma" w:cs="Tahoma"/>
          <w:sz w:val="20"/>
          <w:szCs w:val="20"/>
        </w:rPr>
      </w:pPr>
    </w:p>
    <w:p w14:paraId="465A7718" w14:textId="77777777" w:rsidR="002B4F8E" w:rsidRPr="00DC7B1E" w:rsidRDefault="002B4F8E" w:rsidP="001B4BB5">
      <w:pPr>
        <w:spacing w:after="0" w:line="240" w:lineRule="auto"/>
        <w:ind w:firstLine="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The challenges in addressing mathematical proof remain very high across all respondent profiles, regardless of educational attainment, teaching position, years of experience, access to resources, or teaching modality. This uniformity indicates that difficulties in proof instruction are systemic rather than individual, reinforcing qualitative findings that teachers consistently struggle with students’ weak deductive reasoning, limited foundational knowledge, misconceptions about proof, and negative affective responses. The persistence of very high challenge levels even among highly qualified and experienced teachers suggests that advanced content knowledge alone is insufficient to overcome the instructional complexities of teaching proof, particularly when students are underprepared for rigorous reasoning tasks (Stylianides &amp; Stylianides, 2021; Hanna &amp; de Villiers, 2023).</w:t>
      </w:r>
    </w:p>
    <w:p w14:paraId="1797AA57" w14:textId="77777777" w:rsidR="002B4F8E" w:rsidRPr="00DC7B1E" w:rsidRDefault="002B4F8E" w:rsidP="001B4BB5">
      <w:pPr>
        <w:spacing w:after="0" w:line="240" w:lineRule="auto"/>
        <w:ind w:firstLine="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The triangulation of quantitative and qualitative findings further highlights that structural and curricular conditions play a central role in shaping these challenges. High challenge levels across different courses, resource access levels, and teaching modalities align with qualitative reports that limited instructional time, misaligned curriculum expectations, and inadequately designed instructional materials hinder effective proof instruction. Moreover, the consistency of challenges across face-to-face and blended learning contexts suggests that instructional modality does not fundamentally resolve issues related to reasoning, language, and engagement. Together, these findings underscore the need for systemic interventions—such as curriculum refinement, reasoning-focused instructional materials, and sustained professional development—to support teachers in implementing proof instruction as a coherent, developmentally appropriate, and reasoning-centered mathematical practice (Stylianides et al., 2023; Weber, 2023).</w:t>
      </w:r>
    </w:p>
    <w:p w14:paraId="306E7E2F"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p w14:paraId="19EB9BDB"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Table 3. Level of challenges in addressing proof in Mathematics when classified according to the aforementioned profile</w:t>
      </w:r>
    </w:p>
    <w:tbl>
      <w:tblPr>
        <w:tblW w:w="5000" w:type="pct"/>
        <w:tblLook w:val="04A0" w:firstRow="1" w:lastRow="0" w:firstColumn="1" w:lastColumn="0" w:noHBand="0" w:noVBand="1"/>
      </w:tblPr>
      <w:tblGrid>
        <w:gridCol w:w="4029"/>
        <w:gridCol w:w="2580"/>
        <w:gridCol w:w="1339"/>
        <w:gridCol w:w="1628"/>
      </w:tblGrid>
      <w:tr w:rsidR="002B4F8E" w:rsidRPr="00DC7B1E" w14:paraId="2975E492" w14:textId="77777777" w:rsidTr="00FF68C5">
        <w:trPr>
          <w:trHeight w:val="300"/>
        </w:trPr>
        <w:tc>
          <w:tcPr>
            <w:tcW w:w="3451" w:type="pct"/>
            <w:gridSpan w:val="2"/>
            <w:tcBorders>
              <w:top w:val="single" w:sz="4" w:space="0" w:color="auto"/>
              <w:left w:val="nil"/>
              <w:bottom w:val="nil"/>
              <w:right w:val="nil"/>
            </w:tcBorders>
            <w:shd w:val="clear" w:color="auto" w:fill="auto"/>
            <w:noWrap/>
            <w:vAlign w:val="bottom"/>
            <w:hideMark/>
          </w:tcPr>
          <w:p w14:paraId="7EC6DEAC"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Profile</w:t>
            </w:r>
          </w:p>
        </w:tc>
        <w:tc>
          <w:tcPr>
            <w:tcW w:w="699" w:type="pct"/>
            <w:tcBorders>
              <w:top w:val="single" w:sz="4" w:space="0" w:color="auto"/>
              <w:left w:val="nil"/>
              <w:bottom w:val="nil"/>
              <w:right w:val="nil"/>
            </w:tcBorders>
            <w:shd w:val="clear" w:color="auto" w:fill="auto"/>
            <w:noWrap/>
            <w:vAlign w:val="center"/>
            <w:hideMark/>
          </w:tcPr>
          <w:p w14:paraId="2E595C9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mean</w:t>
            </w:r>
          </w:p>
        </w:tc>
        <w:tc>
          <w:tcPr>
            <w:tcW w:w="850" w:type="pct"/>
            <w:tcBorders>
              <w:top w:val="single" w:sz="4" w:space="0" w:color="auto"/>
              <w:left w:val="nil"/>
              <w:bottom w:val="nil"/>
              <w:right w:val="nil"/>
            </w:tcBorders>
            <w:shd w:val="clear" w:color="auto" w:fill="auto"/>
            <w:noWrap/>
            <w:vAlign w:val="center"/>
            <w:hideMark/>
          </w:tcPr>
          <w:p w14:paraId="3541696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description</w:t>
            </w:r>
          </w:p>
        </w:tc>
      </w:tr>
      <w:tr w:rsidR="002B4F8E" w:rsidRPr="00DC7B1E" w14:paraId="3DA62D60" w14:textId="77777777" w:rsidTr="00FF68C5">
        <w:trPr>
          <w:trHeight w:val="300"/>
        </w:trPr>
        <w:tc>
          <w:tcPr>
            <w:tcW w:w="2104" w:type="pct"/>
            <w:tcBorders>
              <w:top w:val="single" w:sz="4" w:space="0" w:color="auto"/>
              <w:left w:val="nil"/>
              <w:bottom w:val="nil"/>
              <w:right w:val="nil"/>
            </w:tcBorders>
            <w:shd w:val="clear" w:color="auto" w:fill="auto"/>
            <w:noWrap/>
            <w:vAlign w:val="center"/>
            <w:hideMark/>
          </w:tcPr>
          <w:p w14:paraId="2ACE7F72"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Highest Educational Attainment</w:t>
            </w:r>
          </w:p>
        </w:tc>
        <w:tc>
          <w:tcPr>
            <w:tcW w:w="1347" w:type="pct"/>
            <w:tcBorders>
              <w:top w:val="single" w:sz="4" w:space="0" w:color="auto"/>
              <w:left w:val="nil"/>
              <w:bottom w:val="nil"/>
              <w:right w:val="nil"/>
            </w:tcBorders>
            <w:shd w:val="clear" w:color="auto" w:fill="auto"/>
            <w:noWrap/>
            <w:vAlign w:val="center"/>
            <w:hideMark/>
          </w:tcPr>
          <w:p w14:paraId="4EFBFA0D"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Bachelor’s Degree</w:t>
            </w:r>
          </w:p>
        </w:tc>
        <w:tc>
          <w:tcPr>
            <w:tcW w:w="699" w:type="pct"/>
            <w:tcBorders>
              <w:top w:val="single" w:sz="4" w:space="0" w:color="auto"/>
              <w:left w:val="nil"/>
              <w:bottom w:val="nil"/>
              <w:right w:val="nil"/>
            </w:tcBorders>
            <w:shd w:val="clear" w:color="auto" w:fill="auto"/>
            <w:noWrap/>
            <w:vAlign w:val="center"/>
            <w:hideMark/>
          </w:tcPr>
          <w:p w14:paraId="33B4A30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4.51</w:t>
            </w:r>
          </w:p>
        </w:tc>
        <w:tc>
          <w:tcPr>
            <w:tcW w:w="850" w:type="pct"/>
            <w:tcBorders>
              <w:top w:val="single" w:sz="4" w:space="0" w:color="auto"/>
              <w:left w:val="nil"/>
              <w:bottom w:val="nil"/>
              <w:right w:val="nil"/>
            </w:tcBorders>
            <w:shd w:val="clear" w:color="auto" w:fill="auto"/>
            <w:noWrap/>
            <w:vAlign w:val="center"/>
            <w:hideMark/>
          </w:tcPr>
          <w:p w14:paraId="33E0443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445C269B" w14:textId="77777777" w:rsidTr="00FF68C5">
        <w:trPr>
          <w:trHeight w:val="300"/>
        </w:trPr>
        <w:tc>
          <w:tcPr>
            <w:tcW w:w="2104" w:type="pct"/>
            <w:tcBorders>
              <w:top w:val="nil"/>
              <w:left w:val="nil"/>
              <w:bottom w:val="nil"/>
              <w:right w:val="nil"/>
            </w:tcBorders>
            <w:shd w:val="clear" w:color="auto" w:fill="auto"/>
            <w:noWrap/>
            <w:vAlign w:val="bottom"/>
            <w:hideMark/>
          </w:tcPr>
          <w:p w14:paraId="2B27A09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47" w:type="pct"/>
            <w:tcBorders>
              <w:top w:val="nil"/>
              <w:left w:val="nil"/>
              <w:bottom w:val="nil"/>
              <w:right w:val="nil"/>
            </w:tcBorders>
            <w:shd w:val="clear" w:color="auto" w:fill="auto"/>
            <w:noWrap/>
            <w:vAlign w:val="center"/>
            <w:hideMark/>
          </w:tcPr>
          <w:p w14:paraId="2A482C67"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With Master’s Units</w:t>
            </w:r>
          </w:p>
        </w:tc>
        <w:tc>
          <w:tcPr>
            <w:tcW w:w="699" w:type="pct"/>
            <w:tcBorders>
              <w:top w:val="nil"/>
              <w:left w:val="nil"/>
              <w:bottom w:val="nil"/>
              <w:right w:val="nil"/>
            </w:tcBorders>
            <w:shd w:val="clear" w:color="auto" w:fill="auto"/>
            <w:noWrap/>
            <w:vAlign w:val="center"/>
            <w:hideMark/>
          </w:tcPr>
          <w:p w14:paraId="2DDC2EB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4.44</w:t>
            </w:r>
          </w:p>
        </w:tc>
        <w:tc>
          <w:tcPr>
            <w:tcW w:w="850" w:type="pct"/>
            <w:tcBorders>
              <w:top w:val="nil"/>
              <w:left w:val="nil"/>
              <w:bottom w:val="nil"/>
              <w:right w:val="nil"/>
            </w:tcBorders>
            <w:shd w:val="clear" w:color="auto" w:fill="auto"/>
            <w:noWrap/>
            <w:vAlign w:val="center"/>
            <w:hideMark/>
          </w:tcPr>
          <w:p w14:paraId="72F88D93"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07F2E7F8" w14:textId="77777777" w:rsidTr="00FF68C5">
        <w:trPr>
          <w:trHeight w:val="300"/>
        </w:trPr>
        <w:tc>
          <w:tcPr>
            <w:tcW w:w="2104" w:type="pct"/>
            <w:tcBorders>
              <w:top w:val="nil"/>
              <w:left w:val="nil"/>
              <w:bottom w:val="nil"/>
              <w:right w:val="nil"/>
            </w:tcBorders>
            <w:shd w:val="clear" w:color="auto" w:fill="auto"/>
            <w:noWrap/>
            <w:hideMark/>
          </w:tcPr>
          <w:p w14:paraId="1E41D8DC"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47" w:type="pct"/>
            <w:tcBorders>
              <w:top w:val="nil"/>
              <w:left w:val="nil"/>
              <w:bottom w:val="nil"/>
              <w:right w:val="nil"/>
            </w:tcBorders>
            <w:shd w:val="clear" w:color="auto" w:fill="auto"/>
            <w:noWrap/>
            <w:vAlign w:val="center"/>
            <w:hideMark/>
          </w:tcPr>
          <w:p w14:paraId="5F292D83"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Master’s Degree</w:t>
            </w:r>
          </w:p>
        </w:tc>
        <w:tc>
          <w:tcPr>
            <w:tcW w:w="699" w:type="pct"/>
            <w:tcBorders>
              <w:top w:val="nil"/>
              <w:left w:val="nil"/>
              <w:bottom w:val="nil"/>
              <w:right w:val="nil"/>
            </w:tcBorders>
            <w:shd w:val="clear" w:color="auto" w:fill="auto"/>
            <w:noWrap/>
            <w:vAlign w:val="center"/>
            <w:hideMark/>
          </w:tcPr>
          <w:p w14:paraId="49C3E04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4.37</w:t>
            </w:r>
          </w:p>
        </w:tc>
        <w:tc>
          <w:tcPr>
            <w:tcW w:w="850" w:type="pct"/>
            <w:tcBorders>
              <w:top w:val="nil"/>
              <w:left w:val="nil"/>
              <w:bottom w:val="nil"/>
              <w:right w:val="nil"/>
            </w:tcBorders>
            <w:shd w:val="clear" w:color="auto" w:fill="auto"/>
            <w:noWrap/>
            <w:vAlign w:val="center"/>
            <w:hideMark/>
          </w:tcPr>
          <w:p w14:paraId="7A7F7D3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04DC1DA7" w14:textId="77777777" w:rsidTr="00FF68C5">
        <w:trPr>
          <w:trHeight w:val="300"/>
        </w:trPr>
        <w:tc>
          <w:tcPr>
            <w:tcW w:w="2104" w:type="pct"/>
            <w:tcBorders>
              <w:top w:val="nil"/>
              <w:left w:val="nil"/>
              <w:bottom w:val="nil"/>
              <w:right w:val="nil"/>
            </w:tcBorders>
            <w:shd w:val="clear" w:color="auto" w:fill="auto"/>
            <w:noWrap/>
            <w:hideMark/>
          </w:tcPr>
          <w:p w14:paraId="0CB9D1DD"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47" w:type="pct"/>
            <w:tcBorders>
              <w:top w:val="nil"/>
              <w:left w:val="nil"/>
              <w:bottom w:val="nil"/>
              <w:right w:val="nil"/>
            </w:tcBorders>
            <w:shd w:val="clear" w:color="auto" w:fill="auto"/>
            <w:noWrap/>
            <w:vAlign w:val="center"/>
            <w:hideMark/>
          </w:tcPr>
          <w:p w14:paraId="4FB4CAAD"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With Doctoral Units</w:t>
            </w:r>
          </w:p>
        </w:tc>
        <w:tc>
          <w:tcPr>
            <w:tcW w:w="699" w:type="pct"/>
            <w:tcBorders>
              <w:top w:val="nil"/>
              <w:left w:val="nil"/>
              <w:bottom w:val="nil"/>
              <w:right w:val="nil"/>
            </w:tcBorders>
            <w:shd w:val="clear" w:color="auto" w:fill="auto"/>
            <w:noWrap/>
            <w:vAlign w:val="center"/>
            <w:hideMark/>
          </w:tcPr>
          <w:p w14:paraId="65D01BF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4.77</w:t>
            </w:r>
          </w:p>
        </w:tc>
        <w:tc>
          <w:tcPr>
            <w:tcW w:w="850" w:type="pct"/>
            <w:tcBorders>
              <w:top w:val="nil"/>
              <w:left w:val="nil"/>
              <w:bottom w:val="nil"/>
              <w:right w:val="nil"/>
            </w:tcBorders>
            <w:shd w:val="clear" w:color="auto" w:fill="auto"/>
            <w:noWrap/>
            <w:vAlign w:val="center"/>
            <w:hideMark/>
          </w:tcPr>
          <w:p w14:paraId="7BCD0F97"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26C9D649" w14:textId="77777777" w:rsidTr="00FF68C5">
        <w:trPr>
          <w:trHeight w:val="300"/>
        </w:trPr>
        <w:tc>
          <w:tcPr>
            <w:tcW w:w="2104" w:type="pct"/>
            <w:tcBorders>
              <w:top w:val="nil"/>
              <w:left w:val="nil"/>
              <w:bottom w:val="nil"/>
              <w:right w:val="nil"/>
            </w:tcBorders>
            <w:shd w:val="clear" w:color="auto" w:fill="auto"/>
            <w:noWrap/>
            <w:hideMark/>
          </w:tcPr>
          <w:p w14:paraId="0B6A44A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47" w:type="pct"/>
            <w:tcBorders>
              <w:top w:val="nil"/>
              <w:left w:val="nil"/>
              <w:bottom w:val="nil"/>
              <w:right w:val="nil"/>
            </w:tcBorders>
            <w:shd w:val="clear" w:color="auto" w:fill="auto"/>
            <w:noWrap/>
            <w:vAlign w:val="center"/>
            <w:hideMark/>
          </w:tcPr>
          <w:p w14:paraId="06D83188"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Doctoral Degree</w:t>
            </w:r>
          </w:p>
        </w:tc>
        <w:tc>
          <w:tcPr>
            <w:tcW w:w="699" w:type="pct"/>
            <w:tcBorders>
              <w:top w:val="nil"/>
              <w:left w:val="nil"/>
              <w:bottom w:val="nil"/>
              <w:right w:val="nil"/>
            </w:tcBorders>
            <w:shd w:val="clear" w:color="auto" w:fill="auto"/>
            <w:noWrap/>
            <w:vAlign w:val="center"/>
            <w:hideMark/>
          </w:tcPr>
          <w:p w14:paraId="2EF0DBBD"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4.44</w:t>
            </w:r>
          </w:p>
        </w:tc>
        <w:tc>
          <w:tcPr>
            <w:tcW w:w="850" w:type="pct"/>
            <w:tcBorders>
              <w:top w:val="nil"/>
              <w:left w:val="nil"/>
              <w:bottom w:val="nil"/>
              <w:right w:val="nil"/>
            </w:tcBorders>
            <w:shd w:val="clear" w:color="auto" w:fill="auto"/>
            <w:noWrap/>
            <w:vAlign w:val="center"/>
            <w:hideMark/>
          </w:tcPr>
          <w:p w14:paraId="692AB76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21620F54" w14:textId="77777777" w:rsidTr="00FF68C5">
        <w:trPr>
          <w:trHeight w:val="300"/>
        </w:trPr>
        <w:tc>
          <w:tcPr>
            <w:tcW w:w="2104" w:type="pct"/>
            <w:tcBorders>
              <w:top w:val="nil"/>
              <w:left w:val="nil"/>
              <w:bottom w:val="nil"/>
              <w:right w:val="nil"/>
            </w:tcBorders>
            <w:shd w:val="clear" w:color="auto" w:fill="auto"/>
            <w:noWrap/>
            <w:vAlign w:val="center"/>
            <w:hideMark/>
          </w:tcPr>
          <w:p w14:paraId="282E8464"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Teaching Position</w:t>
            </w:r>
          </w:p>
        </w:tc>
        <w:tc>
          <w:tcPr>
            <w:tcW w:w="1347" w:type="pct"/>
            <w:tcBorders>
              <w:top w:val="nil"/>
              <w:left w:val="nil"/>
              <w:bottom w:val="nil"/>
              <w:right w:val="nil"/>
            </w:tcBorders>
            <w:shd w:val="clear" w:color="auto" w:fill="auto"/>
            <w:noWrap/>
            <w:hideMark/>
          </w:tcPr>
          <w:p w14:paraId="1B99A9F3"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Teacher I-III</w:t>
            </w:r>
          </w:p>
        </w:tc>
        <w:tc>
          <w:tcPr>
            <w:tcW w:w="699" w:type="pct"/>
            <w:tcBorders>
              <w:top w:val="nil"/>
              <w:left w:val="nil"/>
              <w:bottom w:val="nil"/>
              <w:right w:val="nil"/>
            </w:tcBorders>
            <w:shd w:val="clear" w:color="auto" w:fill="auto"/>
            <w:noWrap/>
            <w:vAlign w:val="center"/>
            <w:hideMark/>
          </w:tcPr>
          <w:p w14:paraId="71199CE6"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4.45</w:t>
            </w:r>
          </w:p>
        </w:tc>
        <w:tc>
          <w:tcPr>
            <w:tcW w:w="850" w:type="pct"/>
            <w:tcBorders>
              <w:top w:val="nil"/>
              <w:left w:val="nil"/>
              <w:bottom w:val="nil"/>
              <w:right w:val="nil"/>
            </w:tcBorders>
            <w:shd w:val="clear" w:color="auto" w:fill="auto"/>
            <w:noWrap/>
            <w:vAlign w:val="center"/>
            <w:hideMark/>
          </w:tcPr>
          <w:p w14:paraId="7EA52AA6"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6D4765AD" w14:textId="77777777" w:rsidTr="00FF68C5">
        <w:trPr>
          <w:trHeight w:val="300"/>
        </w:trPr>
        <w:tc>
          <w:tcPr>
            <w:tcW w:w="2104" w:type="pct"/>
            <w:tcBorders>
              <w:top w:val="nil"/>
              <w:left w:val="nil"/>
              <w:bottom w:val="nil"/>
              <w:right w:val="nil"/>
            </w:tcBorders>
            <w:shd w:val="clear" w:color="auto" w:fill="auto"/>
            <w:noWrap/>
            <w:hideMark/>
          </w:tcPr>
          <w:p w14:paraId="49F2C81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47" w:type="pct"/>
            <w:tcBorders>
              <w:top w:val="nil"/>
              <w:left w:val="nil"/>
              <w:bottom w:val="nil"/>
              <w:right w:val="nil"/>
            </w:tcBorders>
            <w:shd w:val="clear" w:color="auto" w:fill="auto"/>
            <w:noWrap/>
            <w:hideMark/>
          </w:tcPr>
          <w:p w14:paraId="01F29ACF"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Instructor I-III</w:t>
            </w:r>
          </w:p>
        </w:tc>
        <w:tc>
          <w:tcPr>
            <w:tcW w:w="699" w:type="pct"/>
            <w:tcBorders>
              <w:top w:val="nil"/>
              <w:left w:val="nil"/>
              <w:bottom w:val="nil"/>
              <w:right w:val="nil"/>
            </w:tcBorders>
            <w:shd w:val="clear" w:color="auto" w:fill="auto"/>
            <w:noWrap/>
            <w:vAlign w:val="center"/>
            <w:hideMark/>
          </w:tcPr>
          <w:p w14:paraId="5329AE1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4.44</w:t>
            </w:r>
          </w:p>
        </w:tc>
        <w:tc>
          <w:tcPr>
            <w:tcW w:w="850" w:type="pct"/>
            <w:tcBorders>
              <w:top w:val="nil"/>
              <w:left w:val="nil"/>
              <w:bottom w:val="nil"/>
              <w:right w:val="nil"/>
            </w:tcBorders>
            <w:shd w:val="clear" w:color="auto" w:fill="auto"/>
            <w:noWrap/>
            <w:vAlign w:val="center"/>
            <w:hideMark/>
          </w:tcPr>
          <w:p w14:paraId="0109BA9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622E6EC4" w14:textId="77777777" w:rsidTr="00FF68C5">
        <w:trPr>
          <w:trHeight w:val="300"/>
        </w:trPr>
        <w:tc>
          <w:tcPr>
            <w:tcW w:w="2104" w:type="pct"/>
            <w:tcBorders>
              <w:top w:val="nil"/>
              <w:left w:val="nil"/>
              <w:bottom w:val="nil"/>
              <w:right w:val="nil"/>
            </w:tcBorders>
            <w:shd w:val="clear" w:color="auto" w:fill="auto"/>
            <w:noWrap/>
            <w:hideMark/>
          </w:tcPr>
          <w:p w14:paraId="67149A9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47" w:type="pct"/>
            <w:tcBorders>
              <w:top w:val="nil"/>
              <w:left w:val="nil"/>
              <w:bottom w:val="nil"/>
              <w:right w:val="nil"/>
            </w:tcBorders>
            <w:shd w:val="clear" w:color="auto" w:fill="auto"/>
            <w:noWrap/>
            <w:hideMark/>
          </w:tcPr>
          <w:p w14:paraId="1C7BFBF6"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Assistant Professor</w:t>
            </w:r>
          </w:p>
        </w:tc>
        <w:tc>
          <w:tcPr>
            <w:tcW w:w="699" w:type="pct"/>
            <w:tcBorders>
              <w:top w:val="nil"/>
              <w:left w:val="nil"/>
              <w:bottom w:val="nil"/>
              <w:right w:val="nil"/>
            </w:tcBorders>
            <w:shd w:val="clear" w:color="auto" w:fill="auto"/>
            <w:noWrap/>
            <w:vAlign w:val="center"/>
            <w:hideMark/>
          </w:tcPr>
          <w:p w14:paraId="5B7DC31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4.44</w:t>
            </w:r>
          </w:p>
        </w:tc>
        <w:tc>
          <w:tcPr>
            <w:tcW w:w="850" w:type="pct"/>
            <w:tcBorders>
              <w:top w:val="nil"/>
              <w:left w:val="nil"/>
              <w:bottom w:val="nil"/>
              <w:right w:val="nil"/>
            </w:tcBorders>
            <w:shd w:val="clear" w:color="auto" w:fill="auto"/>
            <w:noWrap/>
            <w:vAlign w:val="center"/>
            <w:hideMark/>
          </w:tcPr>
          <w:p w14:paraId="02B12D9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3D9ACC11" w14:textId="77777777" w:rsidTr="00FF68C5">
        <w:trPr>
          <w:trHeight w:val="300"/>
        </w:trPr>
        <w:tc>
          <w:tcPr>
            <w:tcW w:w="2104" w:type="pct"/>
            <w:tcBorders>
              <w:top w:val="nil"/>
              <w:left w:val="nil"/>
              <w:bottom w:val="nil"/>
              <w:right w:val="nil"/>
            </w:tcBorders>
            <w:shd w:val="clear" w:color="auto" w:fill="auto"/>
            <w:noWrap/>
            <w:vAlign w:val="center"/>
            <w:hideMark/>
          </w:tcPr>
          <w:p w14:paraId="2A5C338B"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Years in teaching Math</w:t>
            </w:r>
          </w:p>
        </w:tc>
        <w:tc>
          <w:tcPr>
            <w:tcW w:w="1347" w:type="pct"/>
            <w:tcBorders>
              <w:top w:val="nil"/>
              <w:left w:val="nil"/>
              <w:bottom w:val="nil"/>
              <w:right w:val="nil"/>
            </w:tcBorders>
            <w:shd w:val="clear" w:color="auto" w:fill="auto"/>
            <w:noWrap/>
            <w:vAlign w:val="center"/>
            <w:hideMark/>
          </w:tcPr>
          <w:p w14:paraId="2E3219EA"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0–5 years</w:t>
            </w:r>
          </w:p>
        </w:tc>
        <w:tc>
          <w:tcPr>
            <w:tcW w:w="699" w:type="pct"/>
            <w:tcBorders>
              <w:top w:val="nil"/>
              <w:left w:val="nil"/>
              <w:bottom w:val="nil"/>
              <w:right w:val="nil"/>
            </w:tcBorders>
            <w:shd w:val="clear" w:color="auto" w:fill="auto"/>
            <w:noWrap/>
            <w:vAlign w:val="center"/>
            <w:hideMark/>
          </w:tcPr>
          <w:p w14:paraId="5318E53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4.32</w:t>
            </w:r>
          </w:p>
        </w:tc>
        <w:tc>
          <w:tcPr>
            <w:tcW w:w="850" w:type="pct"/>
            <w:tcBorders>
              <w:top w:val="nil"/>
              <w:left w:val="nil"/>
              <w:bottom w:val="nil"/>
              <w:right w:val="nil"/>
            </w:tcBorders>
            <w:shd w:val="clear" w:color="auto" w:fill="auto"/>
            <w:noWrap/>
            <w:vAlign w:val="center"/>
            <w:hideMark/>
          </w:tcPr>
          <w:p w14:paraId="7D1F8769"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6282D806" w14:textId="77777777" w:rsidTr="00FF68C5">
        <w:trPr>
          <w:trHeight w:val="300"/>
        </w:trPr>
        <w:tc>
          <w:tcPr>
            <w:tcW w:w="2104" w:type="pct"/>
            <w:tcBorders>
              <w:top w:val="nil"/>
              <w:left w:val="nil"/>
              <w:bottom w:val="nil"/>
              <w:right w:val="nil"/>
            </w:tcBorders>
            <w:shd w:val="clear" w:color="auto" w:fill="auto"/>
            <w:noWrap/>
            <w:vAlign w:val="bottom"/>
            <w:hideMark/>
          </w:tcPr>
          <w:p w14:paraId="76938B0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47" w:type="pct"/>
            <w:tcBorders>
              <w:top w:val="nil"/>
              <w:left w:val="nil"/>
              <w:bottom w:val="nil"/>
              <w:right w:val="nil"/>
            </w:tcBorders>
            <w:shd w:val="clear" w:color="auto" w:fill="auto"/>
            <w:noWrap/>
            <w:vAlign w:val="center"/>
            <w:hideMark/>
          </w:tcPr>
          <w:p w14:paraId="1548959C"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6–10 years</w:t>
            </w:r>
          </w:p>
        </w:tc>
        <w:tc>
          <w:tcPr>
            <w:tcW w:w="699" w:type="pct"/>
            <w:tcBorders>
              <w:top w:val="nil"/>
              <w:left w:val="nil"/>
              <w:bottom w:val="nil"/>
              <w:right w:val="nil"/>
            </w:tcBorders>
            <w:shd w:val="clear" w:color="auto" w:fill="auto"/>
            <w:noWrap/>
            <w:vAlign w:val="center"/>
            <w:hideMark/>
          </w:tcPr>
          <w:p w14:paraId="1CA0390C"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4.60</w:t>
            </w:r>
          </w:p>
        </w:tc>
        <w:tc>
          <w:tcPr>
            <w:tcW w:w="850" w:type="pct"/>
            <w:tcBorders>
              <w:top w:val="nil"/>
              <w:left w:val="nil"/>
              <w:bottom w:val="nil"/>
              <w:right w:val="nil"/>
            </w:tcBorders>
            <w:shd w:val="clear" w:color="auto" w:fill="auto"/>
            <w:noWrap/>
            <w:vAlign w:val="center"/>
            <w:hideMark/>
          </w:tcPr>
          <w:p w14:paraId="49B93DC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0BAA639A" w14:textId="77777777" w:rsidTr="00FF68C5">
        <w:trPr>
          <w:trHeight w:val="300"/>
        </w:trPr>
        <w:tc>
          <w:tcPr>
            <w:tcW w:w="2104" w:type="pct"/>
            <w:tcBorders>
              <w:top w:val="nil"/>
              <w:left w:val="nil"/>
              <w:bottom w:val="nil"/>
              <w:right w:val="nil"/>
            </w:tcBorders>
            <w:shd w:val="clear" w:color="auto" w:fill="auto"/>
            <w:noWrap/>
            <w:hideMark/>
          </w:tcPr>
          <w:p w14:paraId="50A63FE3"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47" w:type="pct"/>
            <w:tcBorders>
              <w:top w:val="nil"/>
              <w:left w:val="nil"/>
              <w:bottom w:val="nil"/>
              <w:right w:val="nil"/>
            </w:tcBorders>
            <w:shd w:val="clear" w:color="auto" w:fill="auto"/>
            <w:noWrap/>
            <w:vAlign w:val="center"/>
            <w:hideMark/>
          </w:tcPr>
          <w:p w14:paraId="14EDBBE9"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11–15 years</w:t>
            </w:r>
          </w:p>
        </w:tc>
        <w:tc>
          <w:tcPr>
            <w:tcW w:w="699" w:type="pct"/>
            <w:tcBorders>
              <w:top w:val="nil"/>
              <w:left w:val="nil"/>
              <w:bottom w:val="nil"/>
              <w:right w:val="nil"/>
            </w:tcBorders>
            <w:shd w:val="clear" w:color="auto" w:fill="auto"/>
            <w:noWrap/>
            <w:vAlign w:val="center"/>
            <w:hideMark/>
          </w:tcPr>
          <w:p w14:paraId="7F4EA85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4.33</w:t>
            </w:r>
          </w:p>
        </w:tc>
        <w:tc>
          <w:tcPr>
            <w:tcW w:w="850" w:type="pct"/>
            <w:tcBorders>
              <w:top w:val="nil"/>
              <w:left w:val="nil"/>
              <w:bottom w:val="nil"/>
              <w:right w:val="nil"/>
            </w:tcBorders>
            <w:shd w:val="clear" w:color="auto" w:fill="auto"/>
            <w:noWrap/>
            <w:vAlign w:val="center"/>
            <w:hideMark/>
          </w:tcPr>
          <w:p w14:paraId="079C20FE"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470EC7F1" w14:textId="77777777" w:rsidTr="00FF68C5">
        <w:trPr>
          <w:trHeight w:val="300"/>
        </w:trPr>
        <w:tc>
          <w:tcPr>
            <w:tcW w:w="2104" w:type="pct"/>
            <w:tcBorders>
              <w:top w:val="nil"/>
              <w:left w:val="nil"/>
              <w:bottom w:val="nil"/>
              <w:right w:val="nil"/>
            </w:tcBorders>
            <w:shd w:val="clear" w:color="auto" w:fill="auto"/>
            <w:noWrap/>
            <w:hideMark/>
          </w:tcPr>
          <w:p w14:paraId="22BBCEA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47" w:type="pct"/>
            <w:tcBorders>
              <w:top w:val="nil"/>
              <w:left w:val="nil"/>
              <w:bottom w:val="nil"/>
              <w:right w:val="nil"/>
            </w:tcBorders>
            <w:shd w:val="clear" w:color="auto" w:fill="auto"/>
            <w:noWrap/>
            <w:vAlign w:val="center"/>
            <w:hideMark/>
          </w:tcPr>
          <w:p w14:paraId="19F4CAD8"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16–20 years</w:t>
            </w:r>
          </w:p>
        </w:tc>
        <w:tc>
          <w:tcPr>
            <w:tcW w:w="699" w:type="pct"/>
            <w:tcBorders>
              <w:top w:val="nil"/>
              <w:left w:val="nil"/>
              <w:bottom w:val="nil"/>
              <w:right w:val="nil"/>
            </w:tcBorders>
            <w:shd w:val="clear" w:color="auto" w:fill="auto"/>
            <w:noWrap/>
            <w:vAlign w:val="center"/>
            <w:hideMark/>
          </w:tcPr>
          <w:p w14:paraId="5F168DF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4.69</w:t>
            </w:r>
          </w:p>
        </w:tc>
        <w:tc>
          <w:tcPr>
            <w:tcW w:w="850" w:type="pct"/>
            <w:tcBorders>
              <w:top w:val="nil"/>
              <w:left w:val="nil"/>
              <w:bottom w:val="nil"/>
              <w:right w:val="nil"/>
            </w:tcBorders>
            <w:shd w:val="clear" w:color="auto" w:fill="auto"/>
            <w:noWrap/>
            <w:vAlign w:val="center"/>
            <w:hideMark/>
          </w:tcPr>
          <w:p w14:paraId="7F504FB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0DD1A273" w14:textId="77777777" w:rsidTr="00FF68C5">
        <w:trPr>
          <w:trHeight w:val="300"/>
        </w:trPr>
        <w:tc>
          <w:tcPr>
            <w:tcW w:w="2104" w:type="pct"/>
            <w:tcBorders>
              <w:top w:val="nil"/>
              <w:left w:val="nil"/>
              <w:bottom w:val="nil"/>
              <w:right w:val="nil"/>
            </w:tcBorders>
            <w:shd w:val="clear" w:color="auto" w:fill="auto"/>
            <w:noWrap/>
            <w:vAlign w:val="center"/>
            <w:hideMark/>
          </w:tcPr>
          <w:p w14:paraId="1D1945B0"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Courses taken related to proof</w:t>
            </w:r>
          </w:p>
        </w:tc>
        <w:tc>
          <w:tcPr>
            <w:tcW w:w="1347" w:type="pct"/>
            <w:tcBorders>
              <w:top w:val="nil"/>
              <w:left w:val="nil"/>
              <w:bottom w:val="nil"/>
              <w:right w:val="nil"/>
            </w:tcBorders>
            <w:shd w:val="clear" w:color="auto" w:fill="auto"/>
            <w:noWrap/>
            <w:vAlign w:val="center"/>
            <w:hideMark/>
          </w:tcPr>
          <w:p w14:paraId="6D93424F"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Geometry</w:t>
            </w:r>
          </w:p>
        </w:tc>
        <w:tc>
          <w:tcPr>
            <w:tcW w:w="699" w:type="pct"/>
            <w:tcBorders>
              <w:top w:val="nil"/>
              <w:left w:val="nil"/>
              <w:bottom w:val="nil"/>
              <w:right w:val="nil"/>
            </w:tcBorders>
            <w:shd w:val="clear" w:color="auto" w:fill="auto"/>
            <w:noWrap/>
            <w:vAlign w:val="center"/>
            <w:hideMark/>
          </w:tcPr>
          <w:p w14:paraId="4563B49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4.39</w:t>
            </w:r>
          </w:p>
        </w:tc>
        <w:tc>
          <w:tcPr>
            <w:tcW w:w="850" w:type="pct"/>
            <w:tcBorders>
              <w:top w:val="nil"/>
              <w:left w:val="nil"/>
              <w:bottom w:val="nil"/>
              <w:right w:val="nil"/>
            </w:tcBorders>
            <w:shd w:val="clear" w:color="auto" w:fill="auto"/>
            <w:noWrap/>
            <w:vAlign w:val="center"/>
            <w:hideMark/>
          </w:tcPr>
          <w:p w14:paraId="1D13708D"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71070493" w14:textId="77777777" w:rsidTr="00FF68C5">
        <w:trPr>
          <w:trHeight w:val="300"/>
        </w:trPr>
        <w:tc>
          <w:tcPr>
            <w:tcW w:w="2104" w:type="pct"/>
            <w:tcBorders>
              <w:top w:val="nil"/>
              <w:left w:val="nil"/>
              <w:bottom w:val="nil"/>
              <w:right w:val="nil"/>
            </w:tcBorders>
            <w:shd w:val="clear" w:color="auto" w:fill="auto"/>
            <w:noWrap/>
            <w:vAlign w:val="bottom"/>
            <w:hideMark/>
          </w:tcPr>
          <w:p w14:paraId="3E51C55B"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47" w:type="pct"/>
            <w:tcBorders>
              <w:top w:val="nil"/>
              <w:left w:val="nil"/>
              <w:bottom w:val="nil"/>
              <w:right w:val="nil"/>
            </w:tcBorders>
            <w:shd w:val="clear" w:color="auto" w:fill="auto"/>
            <w:noWrap/>
            <w:vAlign w:val="center"/>
            <w:hideMark/>
          </w:tcPr>
          <w:p w14:paraId="620D1B02"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Number Theory</w:t>
            </w:r>
          </w:p>
        </w:tc>
        <w:tc>
          <w:tcPr>
            <w:tcW w:w="699" w:type="pct"/>
            <w:tcBorders>
              <w:top w:val="nil"/>
              <w:left w:val="nil"/>
              <w:bottom w:val="nil"/>
              <w:right w:val="nil"/>
            </w:tcBorders>
            <w:shd w:val="clear" w:color="auto" w:fill="auto"/>
            <w:noWrap/>
            <w:vAlign w:val="center"/>
            <w:hideMark/>
          </w:tcPr>
          <w:p w14:paraId="2BD20B99"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4.32</w:t>
            </w:r>
          </w:p>
        </w:tc>
        <w:tc>
          <w:tcPr>
            <w:tcW w:w="850" w:type="pct"/>
            <w:tcBorders>
              <w:top w:val="nil"/>
              <w:left w:val="nil"/>
              <w:bottom w:val="nil"/>
              <w:right w:val="nil"/>
            </w:tcBorders>
            <w:shd w:val="clear" w:color="auto" w:fill="auto"/>
            <w:noWrap/>
            <w:vAlign w:val="center"/>
            <w:hideMark/>
          </w:tcPr>
          <w:p w14:paraId="3413A75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790A492C" w14:textId="77777777" w:rsidTr="00FF68C5">
        <w:trPr>
          <w:trHeight w:val="300"/>
        </w:trPr>
        <w:tc>
          <w:tcPr>
            <w:tcW w:w="2104" w:type="pct"/>
            <w:tcBorders>
              <w:top w:val="nil"/>
              <w:left w:val="nil"/>
              <w:bottom w:val="nil"/>
              <w:right w:val="nil"/>
            </w:tcBorders>
            <w:shd w:val="clear" w:color="auto" w:fill="auto"/>
            <w:noWrap/>
            <w:hideMark/>
          </w:tcPr>
          <w:p w14:paraId="35476B0C"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47" w:type="pct"/>
            <w:tcBorders>
              <w:top w:val="nil"/>
              <w:left w:val="nil"/>
              <w:bottom w:val="nil"/>
              <w:right w:val="nil"/>
            </w:tcBorders>
            <w:shd w:val="clear" w:color="auto" w:fill="auto"/>
            <w:noWrap/>
            <w:vAlign w:val="center"/>
            <w:hideMark/>
          </w:tcPr>
          <w:p w14:paraId="0FE277B7"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Abstract Algebra</w:t>
            </w:r>
          </w:p>
        </w:tc>
        <w:tc>
          <w:tcPr>
            <w:tcW w:w="699" w:type="pct"/>
            <w:tcBorders>
              <w:top w:val="nil"/>
              <w:left w:val="nil"/>
              <w:bottom w:val="nil"/>
              <w:right w:val="nil"/>
            </w:tcBorders>
            <w:shd w:val="clear" w:color="auto" w:fill="auto"/>
            <w:noWrap/>
            <w:vAlign w:val="center"/>
            <w:hideMark/>
          </w:tcPr>
          <w:p w14:paraId="7E175E79"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4.57</w:t>
            </w:r>
          </w:p>
        </w:tc>
        <w:tc>
          <w:tcPr>
            <w:tcW w:w="850" w:type="pct"/>
            <w:tcBorders>
              <w:top w:val="nil"/>
              <w:left w:val="nil"/>
              <w:bottom w:val="nil"/>
              <w:right w:val="nil"/>
            </w:tcBorders>
            <w:shd w:val="clear" w:color="auto" w:fill="auto"/>
            <w:noWrap/>
            <w:vAlign w:val="center"/>
            <w:hideMark/>
          </w:tcPr>
          <w:p w14:paraId="61905499"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2EB9008A" w14:textId="77777777" w:rsidTr="00FF68C5">
        <w:trPr>
          <w:trHeight w:val="300"/>
        </w:trPr>
        <w:tc>
          <w:tcPr>
            <w:tcW w:w="2104" w:type="pct"/>
            <w:tcBorders>
              <w:top w:val="nil"/>
              <w:left w:val="nil"/>
              <w:bottom w:val="nil"/>
              <w:right w:val="nil"/>
            </w:tcBorders>
            <w:shd w:val="clear" w:color="auto" w:fill="auto"/>
            <w:noWrap/>
            <w:vAlign w:val="center"/>
            <w:hideMark/>
          </w:tcPr>
          <w:p w14:paraId="1AA603CA"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Access to instructional resources</w:t>
            </w:r>
          </w:p>
        </w:tc>
        <w:tc>
          <w:tcPr>
            <w:tcW w:w="1347" w:type="pct"/>
            <w:tcBorders>
              <w:top w:val="nil"/>
              <w:left w:val="nil"/>
              <w:bottom w:val="nil"/>
              <w:right w:val="nil"/>
            </w:tcBorders>
            <w:shd w:val="clear" w:color="auto" w:fill="auto"/>
            <w:vAlign w:val="center"/>
            <w:hideMark/>
          </w:tcPr>
          <w:p w14:paraId="6DEC17F3"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Limited</w:t>
            </w:r>
          </w:p>
        </w:tc>
        <w:tc>
          <w:tcPr>
            <w:tcW w:w="699" w:type="pct"/>
            <w:tcBorders>
              <w:top w:val="nil"/>
              <w:left w:val="nil"/>
              <w:bottom w:val="nil"/>
              <w:right w:val="nil"/>
            </w:tcBorders>
            <w:shd w:val="clear" w:color="auto" w:fill="auto"/>
            <w:noWrap/>
            <w:vAlign w:val="center"/>
            <w:hideMark/>
          </w:tcPr>
          <w:p w14:paraId="155FAEA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4.41</w:t>
            </w:r>
          </w:p>
        </w:tc>
        <w:tc>
          <w:tcPr>
            <w:tcW w:w="850" w:type="pct"/>
            <w:tcBorders>
              <w:top w:val="nil"/>
              <w:left w:val="nil"/>
              <w:bottom w:val="nil"/>
              <w:right w:val="nil"/>
            </w:tcBorders>
            <w:shd w:val="clear" w:color="auto" w:fill="auto"/>
            <w:noWrap/>
            <w:vAlign w:val="center"/>
            <w:hideMark/>
          </w:tcPr>
          <w:p w14:paraId="12BB18F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21B8D043" w14:textId="77777777" w:rsidTr="00FF68C5">
        <w:trPr>
          <w:trHeight w:val="300"/>
        </w:trPr>
        <w:tc>
          <w:tcPr>
            <w:tcW w:w="2104" w:type="pct"/>
            <w:tcBorders>
              <w:top w:val="nil"/>
              <w:left w:val="nil"/>
              <w:bottom w:val="nil"/>
              <w:right w:val="nil"/>
            </w:tcBorders>
            <w:shd w:val="clear" w:color="auto" w:fill="auto"/>
            <w:noWrap/>
            <w:vAlign w:val="bottom"/>
            <w:hideMark/>
          </w:tcPr>
          <w:p w14:paraId="0A5674F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47" w:type="pct"/>
            <w:tcBorders>
              <w:top w:val="nil"/>
              <w:left w:val="nil"/>
              <w:bottom w:val="nil"/>
              <w:right w:val="nil"/>
            </w:tcBorders>
            <w:shd w:val="clear" w:color="auto" w:fill="auto"/>
            <w:vAlign w:val="center"/>
            <w:hideMark/>
          </w:tcPr>
          <w:p w14:paraId="31D10DFB"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Moderate</w:t>
            </w:r>
          </w:p>
        </w:tc>
        <w:tc>
          <w:tcPr>
            <w:tcW w:w="699" w:type="pct"/>
            <w:tcBorders>
              <w:top w:val="nil"/>
              <w:left w:val="nil"/>
              <w:bottom w:val="nil"/>
              <w:right w:val="nil"/>
            </w:tcBorders>
            <w:shd w:val="clear" w:color="auto" w:fill="auto"/>
            <w:noWrap/>
            <w:vAlign w:val="center"/>
            <w:hideMark/>
          </w:tcPr>
          <w:p w14:paraId="3C121426"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4.32</w:t>
            </w:r>
          </w:p>
        </w:tc>
        <w:tc>
          <w:tcPr>
            <w:tcW w:w="850" w:type="pct"/>
            <w:tcBorders>
              <w:top w:val="nil"/>
              <w:left w:val="nil"/>
              <w:bottom w:val="nil"/>
              <w:right w:val="nil"/>
            </w:tcBorders>
            <w:shd w:val="clear" w:color="auto" w:fill="auto"/>
            <w:noWrap/>
            <w:vAlign w:val="center"/>
            <w:hideMark/>
          </w:tcPr>
          <w:p w14:paraId="1C9BD7F7"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4A7E703F" w14:textId="77777777" w:rsidTr="00FF68C5">
        <w:trPr>
          <w:trHeight w:val="300"/>
        </w:trPr>
        <w:tc>
          <w:tcPr>
            <w:tcW w:w="2104" w:type="pct"/>
            <w:tcBorders>
              <w:top w:val="nil"/>
              <w:left w:val="nil"/>
              <w:bottom w:val="nil"/>
              <w:right w:val="nil"/>
            </w:tcBorders>
            <w:shd w:val="clear" w:color="auto" w:fill="auto"/>
            <w:noWrap/>
            <w:hideMark/>
          </w:tcPr>
          <w:p w14:paraId="4A1A504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47" w:type="pct"/>
            <w:tcBorders>
              <w:top w:val="nil"/>
              <w:left w:val="nil"/>
              <w:bottom w:val="nil"/>
              <w:right w:val="nil"/>
            </w:tcBorders>
            <w:shd w:val="clear" w:color="auto" w:fill="auto"/>
            <w:vAlign w:val="center"/>
            <w:hideMark/>
          </w:tcPr>
          <w:p w14:paraId="6E86F854"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Adequate</w:t>
            </w:r>
          </w:p>
        </w:tc>
        <w:tc>
          <w:tcPr>
            <w:tcW w:w="699" w:type="pct"/>
            <w:tcBorders>
              <w:top w:val="nil"/>
              <w:left w:val="nil"/>
              <w:bottom w:val="nil"/>
              <w:right w:val="nil"/>
            </w:tcBorders>
            <w:shd w:val="clear" w:color="auto" w:fill="auto"/>
            <w:noWrap/>
            <w:vAlign w:val="center"/>
            <w:hideMark/>
          </w:tcPr>
          <w:p w14:paraId="4AF1995D"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4.78</w:t>
            </w:r>
          </w:p>
        </w:tc>
        <w:tc>
          <w:tcPr>
            <w:tcW w:w="850" w:type="pct"/>
            <w:tcBorders>
              <w:top w:val="nil"/>
              <w:left w:val="nil"/>
              <w:bottom w:val="nil"/>
              <w:right w:val="nil"/>
            </w:tcBorders>
            <w:shd w:val="clear" w:color="auto" w:fill="auto"/>
            <w:noWrap/>
            <w:vAlign w:val="center"/>
            <w:hideMark/>
          </w:tcPr>
          <w:p w14:paraId="31955F86"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4E6447B9" w14:textId="77777777" w:rsidTr="00FF68C5">
        <w:trPr>
          <w:trHeight w:val="300"/>
        </w:trPr>
        <w:tc>
          <w:tcPr>
            <w:tcW w:w="2104" w:type="pct"/>
            <w:tcBorders>
              <w:top w:val="nil"/>
              <w:left w:val="nil"/>
              <w:bottom w:val="nil"/>
              <w:right w:val="nil"/>
            </w:tcBorders>
            <w:shd w:val="clear" w:color="auto" w:fill="auto"/>
            <w:noWrap/>
            <w:vAlign w:val="center"/>
            <w:hideMark/>
          </w:tcPr>
          <w:p w14:paraId="6FA4EF2F"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Teaching Modality Used</w:t>
            </w:r>
          </w:p>
        </w:tc>
        <w:tc>
          <w:tcPr>
            <w:tcW w:w="1347" w:type="pct"/>
            <w:tcBorders>
              <w:top w:val="nil"/>
              <w:left w:val="nil"/>
              <w:bottom w:val="nil"/>
              <w:right w:val="nil"/>
            </w:tcBorders>
            <w:shd w:val="clear" w:color="auto" w:fill="auto"/>
            <w:noWrap/>
            <w:hideMark/>
          </w:tcPr>
          <w:p w14:paraId="2578D729"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Face to face</w:t>
            </w:r>
          </w:p>
        </w:tc>
        <w:tc>
          <w:tcPr>
            <w:tcW w:w="699" w:type="pct"/>
            <w:tcBorders>
              <w:top w:val="nil"/>
              <w:left w:val="nil"/>
              <w:bottom w:val="nil"/>
              <w:right w:val="nil"/>
            </w:tcBorders>
            <w:shd w:val="clear" w:color="auto" w:fill="auto"/>
            <w:noWrap/>
            <w:vAlign w:val="center"/>
            <w:hideMark/>
          </w:tcPr>
          <w:p w14:paraId="27E307C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4.61</w:t>
            </w:r>
          </w:p>
        </w:tc>
        <w:tc>
          <w:tcPr>
            <w:tcW w:w="850" w:type="pct"/>
            <w:tcBorders>
              <w:top w:val="nil"/>
              <w:left w:val="nil"/>
              <w:bottom w:val="nil"/>
              <w:right w:val="nil"/>
            </w:tcBorders>
            <w:shd w:val="clear" w:color="auto" w:fill="auto"/>
            <w:noWrap/>
            <w:vAlign w:val="center"/>
            <w:hideMark/>
          </w:tcPr>
          <w:p w14:paraId="4BAD320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3E169A53" w14:textId="77777777" w:rsidTr="00FF68C5">
        <w:trPr>
          <w:trHeight w:val="300"/>
        </w:trPr>
        <w:tc>
          <w:tcPr>
            <w:tcW w:w="2104" w:type="pct"/>
            <w:tcBorders>
              <w:top w:val="nil"/>
              <w:left w:val="nil"/>
              <w:bottom w:val="single" w:sz="4" w:space="0" w:color="auto"/>
              <w:right w:val="nil"/>
            </w:tcBorders>
            <w:shd w:val="clear" w:color="auto" w:fill="auto"/>
            <w:noWrap/>
            <w:hideMark/>
          </w:tcPr>
          <w:p w14:paraId="78206B9B"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 </w:t>
            </w:r>
          </w:p>
        </w:tc>
        <w:tc>
          <w:tcPr>
            <w:tcW w:w="1347" w:type="pct"/>
            <w:tcBorders>
              <w:top w:val="nil"/>
              <w:left w:val="nil"/>
              <w:bottom w:val="single" w:sz="4" w:space="0" w:color="auto"/>
              <w:right w:val="nil"/>
            </w:tcBorders>
            <w:shd w:val="clear" w:color="auto" w:fill="auto"/>
            <w:noWrap/>
            <w:hideMark/>
          </w:tcPr>
          <w:p w14:paraId="0ECD0CA0"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Blended learning</w:t>
            </w:r>
          </w:p>
        </w:tc>
        <w:tc>
          <w:tcPr>
            <w:tcW w:w="699" w:type="pct"/>
            <w:tcBorders>
              <w:top w:val="nil"/>
              <w:left w:val="nil"/>
              <w:bottom w:val="single" w:sz="4" w:space="0" w:color="auto"/>
              <w:right w:val="nil"/>
            </w:tcBorders>
            <w:shd w:val="clear" w:color="auto" w:fill="auto"/>
            <w:noWrap/>
            <w:vAlign w:val="center"/>
            <w:hideMark/>
          </w:tcPr>
          <w:p w14:paraId="6B6A1E9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4.30</w:t>
            </w:r>
          </w:p>
        </w:tc>
        <w:tc>
          <w:tcPr>
            <w:tcW w:w="850" w:type="pct"/>
            <w:tcBorders>
              <w:top w:val="nil"/>
              <w:left w:val="nil"/>
              <w:bottom w:val="single" w:sz="4" w:space="0" w:color="auto"/>
              <w:right w:val="nil"/>
            </w:tcBorders>
            <w:shd w:val="clear" w:color="auto" w:fill="auto"/>
            <w:noWrap/>
            <w:vAlign w:val="center"/>
            <w:hideMark/>
          </w:tcPr>
          <w:p w14:paraId="61240667"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31F0F246" w14:textId="77777777" w:rsidTr="00FF68C5">
        <w:trPr>
          <w:trHeight w:val="300"/>
        </w:trPr>
        <w:tc>
          <w:tcPr>
            <w:tcW w:w="3451" w:type="pct"/>
            <w:gridSpan w:val="2"/>
            <w:tcBorders>
              <w:top w:val="nil"/>
              <w:left w:val="nil"/>
              <w:bottom w:val="single" w:sz="4" w:space="0" w:color="auto"/>
              <w:right w:val="nil"/>
            </w:tcBorders>
            <w:shd w:val="clear" w:color="auto" w:fill="auto"/>
            <w:noWrap/>
            <w:hideMark/>
          </w:tcPr>
          <w:p w14:paraId="042B342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Total</w:t>
            </w:r>
          </w:p>
        </w:tc>
        <w:tc>
          <w:tcPr>
            <w:tcW w:w="699" w:type="pct"/>
            <w:tcBorders>
              <w:top w:val="nil"/>
              <w:left w:val="nil"/>
              <w:bottom w:val="single" w:sz="4" w:space="0" w:color="auto"/>
              <w:right w:val="nil"/>
            </w:tcBorders>
            <w:shd w:val="clear" w:color="auto" w:fill="auto"/>
            <w:noWrap/>
            <w:vAlign w:val="center"/>
            <w:hideMark/>
          </w:tcPr>
          <w:p w14:paraId="087B7E87"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4.45</w:t>
            </w:r>
          </w:p>
        </w:tc>
        <w:tc>
          <w:tcPr>
            <w:tcW w:w="850" w:type="pct"/>
            <w:tcBorders>
              <w:top w:val="nil"/>
              <w:left w:val="nil"/>
              <w:bottom w:val="single" w:sz="4" w:space="0" w:color="auto"/>
              <w:right w:val="nil"/>
            </w:tcBorders>
            <w:shd w:val="clear" w:color="auto" w:fill="auto"/>
            <w:noWrap/>
            <w:vAlign w:val="center"/>
            <w:hideMark/>
          </w:tcPr>
          <w:p w14:paraId="04B1BEC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bl>
    <w:p w14:paraId="038B2553"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p w14:paraId="0C2395FB"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p w14:paraId="4C3D73D5" w14:textId="77777777" w:rsidR="002B4F8E" w:rsidRPr="00DC7B1E" w:rsidRDefault="002B4F8E" w:rsidP="001B4BB5">
      <w:pPr>
        <w:pStyle w:val="Heading2"/>
        <w:spacing w:before="0" w:line="240" w:lineRule="auto"/>
        <w:jc w:val="center"/>
        <w:rPr>
          <w:rStyle w:val="Strong"/>
          <w:rFonts w:ascii="Tahoma" w:hAnsi="Tahoma" w:cs="Tahoma"/>
          <w:color w:val="000000" w:themeColor="text1"/>
          <w:sz w:val="20"/>
          <w:szCs w:val="20"/>
        </w:rPr>
      </w:pPr>
      <w:r w:rsidRPr="00DC7B1E">
        <w:rPr>
          <w:rStyle w:val="Strong"/>
          <w:rFonts w:ascii="Tahoma" w:hAnsi="Tahoma" w:cs="Tahoma"/>
          <w:color w:val="000000" w:themeColor="text1"/>
          <w:sz w:val="20"/>
          <w:szCs w:val="20"/>
        </w:rPr>
        <w:t>Strategies in Teaching Mathematical Proof</w:t>
      </w:r>
    </w:p>
    <w:p w14:paraId="6C918E50" w14:textId="77777777" w:rsidR="002B4F8E" w:rsidRPr="00DC7B1E" w:rsidRDefault="002B4F8E" w:rsidP="001B4BB5">
      <w:pPr>
        <w:spacing w:after="0" w:line="240" w:lineRule="auto"/>
        <w:rPr>
          <w:rFonts w:ascii="Tahoma" w:hAnsi="Tahoma" w:cs="Tahoma"/>
          <w:sz w:val="20"/>
          <w:szCs w:val="20"/>
        </w:rPr>
      </w:pPr>
    </w:p>
    <w:p w14:paraId="270D8E65" w14:textId="77777777" w:rsidR="002B4F8E" w:rsidRPr="00DC7B1E" w:rsidRDefault="002B4F8E" w:rsidP="001B4BB5">
      <w:pPr>
        <w:pStyle w:val="Heading3"/>
        <w:spacing w:before="0" w:line="240" w:lineRule="auto"/>
        <w:rPr>
          <w:rFonts w:ascii="Tahoma" w:hAnsi="Tahoma" w:cs="Tahoma"/>
          <w:color w:val="000000" w:themeColor="text1"/>
          <w:sz w:val="20"/>
          <w:szCs w:val="20"/>
        </w:rPr>
      </w:pPr>
      <w:r w:rsidRPr="00DC7B1E">
        <w:rPr>
          <w:rStyle w:val="Strong"/>
          <w:rFonts w:ascii="Tahoma" w:hAnsi="Tahoma" w:cs="Tahoma"/>
          <w:color w:val="000000" w:themeColor="text1"/>
          <w:sz w:val="20"/>
          <w:szCs w:val="20"/>
        </w:rPr>
        <w:t>1. Use of Multiple Proof Techniques</w:t>
      </w:r>
    </w:p>
    <w:p w14:paraId="4E1C91EE" w14:textId="77777777" w:rsidR="002B4F8E" w:rsidRPr="00DC7B1E" w:rsidRDefault="002B4F8E" w:rsidP="001B4BB5">
      <w:pPr>
        <w:pStyle w:val="NormalWeb"/>
        <w:spacing w:after="0" w:line="240" w:lineRule="auto"/>
        <w:ind w:firstLine="720"/>
        <w:rPr>
          <w:rFonts w:ascii="Tahoma" w:hAnsi="Tahoma" w:cs="Tahoma"/>
          <w:color w:val="000000" w:themeColor="text1"/>
          <w:sz w:val="20"/>
          <w:szCs w:val="20"/>
        </w:rPr>
      </w:pPr>
      <w:r w:rsidRPr="00DC7B1E">
        <w:rPr>
          <w:rFonts w:ascii="Tahoma" w:hAnsi="Tahoma" w:cs="Tahoma"/>
          <w:color w:val="000000" w:themeColor="text1"/>
          <w:sz w:val="20"/>
          <w:szCs w:val="20"/>
        </w:rPr>
        <w:t xml:space="preserve">Teachers reported employing a variety of </w:t>
      </w:r>
      <w:r w:rsidRPr="00DC7B1E">
        <w:rPr>
          <w:rStyle w:val="Strong"/>
          <w:rFonts w:ascii="Tahoma" w:hAnsi="Tahoma" w:cs="Tahoma"/>
          <w:color w:val="000000" w:themeColor="text1"/>
          <w:sz w:val="20"/>
          <w:szCs w:val="20"/>
        </w:rPr>
        <w:t>proof methods</w:t>
      </w:r>
      <w:r w:rsidRPr="00DC7B1E">
        <w:rPr>
          <w:rFonts w:ascii="Tahoma" w:hAnsi="Tahoma" w:cs="Tahoma"/>
          <w:color w:val="000000" w:themeColor="text1"/>
          <w:sz w:val="20"/>
          <w:szCs w:val="20"/>
        </w:rPr>
        <w:t>, including direct proof, proof by contradiction, contrapositive, proof by cases, counterexample, and mathematical induction. The use of mathematical induction was particularly emphasized for statements involving natural numbers. Research supports exposing students to multiple proof strategies, as it enhances flexibility in reasoning and helps students understand the nature of mathematical argumentation (Weber, 2023; Hanna &amp; de Villiers, 2023).</w:t>
      </w:r>
    </w:p>
    <w:p w14:paraId="39173E1D" w14:textId="77777777" w:rsidR="002B4F8E" w:rsidRPr="00DC7B1E" w:rsidRDefault="002B4F8E" w:rsidP="001B4BB5">
      <w:pPr>
        <w:pStyle w:val="Heading3"/>
        <w:spacing w:before="0" w:line="240" w:lineRule="auto"/>
        <w:rPr>
          <w:rFonts w:ascii="Tahoma" w:hAnsi="Tahoma" w:cs="Tahoma"/>
          <w:color w:val="000000" w:themeColor="text1"/>
          <w:sz w:val="20"/>
          <w:szCs w:val="20"/>
        </w:rPr>
      </w:pPr>
      <w:r w:rsidRPr="00DC7B1E">
        <w:rPr>
          <w:rStyle w:val="Strong"/>
          <w:rFonts w:ascii="Tahoma" w:hAnsi="Tahoma" w:cs="Tahoma"/>
          <w:color w:val="000000" w:themeColor="text1"/>
          <w:sz w:val="20"/>
          <w:szCs w:val="20"/>
        </w:rPr>
        <w:t>2. Step-by-Step Scaffolding and Structured Proof Formats</w:t>
      </w:r>
    </w:p>
    <w:p w14:paraId="4BB6B288" w14:textId="77777777" w:rsidR="002B4F8E" w:rsidRPr="00DC7B1E" w:rsidRDefault="002B4F8E" w:rsidP="001B4BB5">
      <w:pPr>
        <w:pStyle w:val="NormalWeb"/>
        <w:spacing w:after="0" w:line="240" w:lineRule="auto"/>
        <w:ind w:firstLine="720"/>
        <w:rPr>
          <w:rFonts w:ascii="Tahoma" w:hAnsi="Tahoma" w:cs="Tahoma"/>
          <w:color w:val="000000" w:themeColor="text1"/>
          <w:sz w:val="20"/>
          <w:szCs w:val="20"/>
        </w:rPr>
      </w:pPr>
      <w:r w:rsidRPr="00DC7B1E">
        <w:rPr>
          <w:rFonts w:ascii="Tahoma" w:hAnsi="Tahoma" w:cs="Tahoma"/>
          <w:color w:val="000000" w:themeColor="text1"/>
          <w:sz w:val="20"/>
          <w:szCs w:val="20"/>
        </w:rPr>
        <w:t xml:space="preserve">A widely used strategy involves </w:t>
      </w:r>
      <w:r w:rsidRPr="00DC7B1E">
        <w:rPr>
          <w:rStyle w:val="Strong"/>
          <w:rFonts w:ascii="Tahoma" w:hAnsi="Tahoma" w:cs="Tahoma"/>
          <w:color w:val="000000" w:themeColor="text1"/>
          <w:sz w:val="20"/>
          <w:szCs w:val="20"/>
        </w:rPr>
        <w:t>breaking proofs into smaller, manageable steps</w:t>
      </w:r>
      <w:r w:rsidRPr="00DC7B1E">
        <w:rPr>
          <w:rFonts w:ascii="Tahoma" w:hAnsi="Tahoma" w:cs="Tahoma"/>
          <w:color w:val="000000" w:themeColor="text1"/>
          <w:sz w:val="20"/>
          <w:szCs w:val="20"/>
        </w:rPr>
        <w:t>. Teachers utilized step-by-step explanations, two-column proofs, and sentence-form proofs to support students’ understanding and organization of reasoning. These scaffolded approaches align with recent findings that structured representations help students maintain logical flow and reduce cognitive overload during proof construction (Stylianides &amp; Stylianides, 2021; Selden &amp; Selden, 2021).</w:t>
      </w:r>
    </w:p>
    <w:p w14:paraId="3AEBD6A3" w14:textId="77777777" w:rsidR="002B4F8E" w:rsidRPr="00DC7B1E" w:rsidRDefault="002B4F8E" w:rsidP="001B4BB5">
      <w:pPr>
        <w:pStyle w:val="NormalWeb"/>
        <w:spacing w:after="0" w:line="240" w:lineRule="auto"/>
        <w:ind w:firstLine="720"/>
        <w:rPr>
          <w:rFonts w:ascii="Tahoma" w:hAnsi="Tahoma" w:cs="Tahoma"/>
          <w:color w:val="000000" w:themeColor="text1"/>
          <w:sz w:val="20"/>
          <w:szCs w:val="20"/>
        </w:rPr>
      </w:pPr>
    </w:p>
    <w:p w14:paraId="0495ECC8" w14:textId="77777777" w:rsidR="002B4F8E" w:rsidRPr="00DC7B1E" w:rsidRDefault="002B4F8E" w:rsidP="001B4BB5">
      <w:pPr>
        <w:pStyle w:val="Heading3"/>
        <w:spacing w:before="0" w:line="240" w:lineRule="auto"/>
        <w:rPr>
          <w:rFonts w:ascii="Tahoma" w:hAnsi="Tahoma" w:cs="Tahoma"/>
          <w:color w:val="000000" w:themeColor="text1"/>
          <w:sz w:val="20"/>
          <w:szCs w:val="20"/>
        </w:rPr>
      </w:pPr>
      <w:r w:rsidRPr="00DC7B1E">
        <w:rPr>
          <w:rStyle w:val="Strong"/>
          <w:rFonts w:ascii="Tahoma" w:hAnsi="Tahoma" w:cs="Tahoma"/>
          <w:color w:val="000000" w:themeColor="text1"/>
          <w:sz w:val="20"/>
          <w:szCs w:val="20"/>
        </w:rPr>
        <w:t>3. Emphasis on Reasoning, Justification, and Metacognitive Awareness</w:t>
      </w:r>
    </w:p>
    <w:p w14:paraId="06A965AA" w14:textId="77777777" w:rsidR="002B4F8E" w:rsidRPr="00DC7B1E" w:rsidRDefault="002B4F8E" w:rsidP="001B4BB5">
      <w:pPr>
        <w:pStyle w:val="NormalWeb"/>
        <w:spacing w:after="0" w:line="240" w:lineRule="auto"/>
        <w:ind w:firstLine="720"/>
        <w:rPr>
          <w:rFonts w:ascii="Tahoma" w:hAnsi="Tahoma" w:cs="Tahoma"/>
          <w:color w:val="000000" w:themeColor="text1"/>
          <w:sz w:val="20"/>
          <w:szCs w:val="20"/>
        </w:rPr>
      </w:pPr>
      <w:r w:rsidRPr="00DC7B1E">
        <w:rPr>
          <w:rFonts w:ascii="Tahoma" w:hAnsi="Tahoma" w:cs="Tahoma"/>
          <w:color w:val="000000" w:themeColor="text1"/>
          <w:sz w:val="20"/>
          <w:szCs w:val="20"/>
        </w:rPr>
        <w:t xml:space="preserve">Teachers emphasized encouraging students to </w:t>
      </w:r>
      <w:r w:rsidRPr="00DC7B1E">
        <w:rPr>
          <w:rStyle w:val="Strong"/>
          <w:rFonts w:ascii="Tahoma" w:hAnsi="Tahoma" w:cs="Tahoma"/>
          <w:color w:val="000000" w:themeColor="text1"/>
          <w:sz w:val="20"/>
          <w:szCs w:val="20"/>
        </w:rPr>
        <w:t>justify every step</w:t>
      </w:r>
      <w:r w:rsidRPr="00DC7B1E">
        <w:rPr>
          <w:rFonts w:ascii="Tahoma" w:hAnsi="Tahoma" w:cs="Tahoma"/>
          <w:color w:val="000000" w:themeColor="text1"/>
          <w:sz w:val="20"/>
          <w:szCs w:val="20"/>
        </w:rPr>
        <w:t xml:space="preserve"> and explain their reasoning orally and in writing. Guided questioning was used to direct students toward logical connections, while feedback focused on reasoning rather than final answers. Helping students identify the </w:t>
      </w:r>
      <w:r w:rsidRPr="00DC7B1E">
        <w:rPr>
          <w:rStyle w:val="Strong"/>
          <w:rFonts w:ascii="Tahoma" w:hAnsi="Tahoma" w:cs="Tahoma"/>
          <w:color w:val="000000" w:themeColor="text1"/>
          <w:sz w:val="20"/>
          <w:szCs w:val="20"/>
        </w:rPr>
        <w:t>main goal or structure of a proof</w:t>
      </w:r>
      <w:r w:rsidRPr="00DC7B1E">
        <w:rPr>
          <w:rFonts w:ascii="Tahoma" w:hAnsi="Tahoma" w:cs="Tahoma"/>
          <w:color w:val="000000" w:themeColor="text1"/>
          <w:sz w:val="20"/>
          <w:szCs w:val="20"/>
        </w:rPr>
        <w:t xml:space="preserve"> before working on details reflects metacognitive strategies shown to improve proof comprehension (Inglis, Alcock, &amp; Simpson, 2022; Mejía-Ramos &amp; Inglis, 2023).</w:t>
      </w:r>
    </w:p>
    <w:p w14:paraId="2BADD64B" w14:textId="77777777" w:rsidR="002B4F8E" w:rsidRPr="00DC7B1E" w:rsidRDefault="002B4F8E" w:rsidP="001B4BB5">
      <w:pPr>
        <w:pStyle w:val="NormalWeb"/>
        <w:spacing w:after="0" w:line="240" w:lineRule="auto"/>
        <w:ind w:firstLine="720"/>
        <w:rPr>
          <w:rFonts w:ascii="Tahoma" w:hAnsi="Tahoma" w:cs="Tahoma"/>
          <w:color w:val="000000" w:themeColor="text1"/>
          <w:sz w:val="20"/>
          <w:szCs w:val="20"/>
        </w:rPr>
      </w:pPr>
    </w:p>
    <w:p w14:paraId="4702C32D" w14:textId="77777777" w:rsidR="002B4F8E" w:rsidRPr="00DC7B1E" w:rsidRDefault="002B4F8E" w:rsidP="001B4BB5">
      <w:pPr>
        <w:pStyle w:val="Heading3"/>
        <w:spacing w:before="0" w:line="240" w:lineRule="auto"/>
        <w:rPr>
          <w:rFonts w:ascii="Tahoma" w:hAnsi="Tahoma" w:cs="Tahoma"/>
          <w:color w:val="000000" w:themeColor="text1"/>
          <w:sz w:val="20"/>
          <w:szCs w:val="20"/>
        </w:rPr>
      </w:pPr>
      <w:r w:rsidRPr="00DC7B1E">
        <w:rPr>
          <w:rStyle w:val="Strong"/>
          <w:rFonts w:ascii="Tahoma" w:hAnsi="Tahoma" w:cs="Tahoma"/>
          <w:color w:val="000000" w:themeColor="text1"/>
          <w:sz w:val="20"/>
          <w:szCs w:val="20"/>
        </w:rPr>
        <w:t>4. Constructivist and Collaborative Learning Approaches</w:t>
      </w:r>
    </w:p>
    <w:p w14:paraId="50067D92" w14:textId="77777777" w:rsidR="002B4F8E" w:rsidRPr="00DC7B1E" w:rsidRDefault="002B4F8E" w:rsidP="001B4BB5">
      <w:pPr>
        <w:pStyle w:val="NormalWeb"/>
        <w:spacing w:after="0" w:line="240" w:lineRule="auto"/>
        <w:ind w:firstLine="720"/>
        <w:rPr>
          <w:rFonts w:ascii="Tahoma" w:hAnsi="Tahoma" w:cs="Tahoma"/>
          <w:color w:val="000000" w:themeColor="text1"/>
          <w:sz w:val="20"/>
          <w:szCs w:val="20"/>
        </w:rPr>
      </w:pPr>
      <w:r w:rsidRPr="00DC7B1E">
        <w:rPr>
          <w:rFonts w:ascii="Tahoma" w:hAnsi="Tahoma" w:cs="Tahoma"/>
          <w:color w:val="000000" w:themeColor="text1"/>
          <w:sz w:val="20"/>
          <w:szCs w:val="20"/>
        </w:rPr>
        <w:t xml:space="preserve">Many teachers adopted </w:t>
      </w:r>
      <w:r w:rsidRPr="00DC7B1E">
        <w:rPr>
          <w:rStyle w:val="Strong"/>
          <w:rFonts w:ascii="Tahoma" w:hAnsi="Tahoma" w:cs="Tahoma"/>
          <w:color w:val="000000" w:themeColor="text1"/>
          <w:sz w:val="20"/>
          <w:szCs w:val="20"/>
        </w:rPr>
        <w:t>constructivist strategies</w:t>
      </w:r>
      <w:r w:rsidRPr="00DC7B1E">
        <w:rPr>
          <w:rFonts w:ascii="Tahoma" w:hAnsi="Tahoma" w:cs="Tahoma"/>
          <w:color w:val="000000" w:themeColor="text1"/>
          <w:sz w:val="20"/>
          <w:szCs w:val="20"/>
        </w:rPr>
        <w:t>, allowing students to build proofs based on prior knowledge and experiences. Collaborative activities, such as pair and group work, enabled students to discuss and challenge each other’s reasoning. Research indicates that social interaction and collaborative reasoning play an important role in developing proof competence (Harel &amp; Soto, 2021; Weber, 2023).</w:t>
      </w:r>
    </w:p>
    <w:p w14:paraId="240C3D48" w14:textId="77777777" w:rsidR="002B4F8E" w:rsidRPr="00DC7B1E" w:rsidRDefault="002B4F8E" w:rsidP="001B4BB5">
      <w:pPr>
        <w:pStyle w:val="NormalWeb"/>
        <w:spacing w:after="0" w:line="240" w:lineRule="auto"/>
        <w:ind w:firstLine="720"/>
        <w:rPr>
          <w:rFonts w:ascii="Tahoma" w:hAnsi="Tahoma" w:cs="Tahoma"/>
          <w:color w:val="000000" w:themeColor="text1"/>
          <w:sz w:val="20"/>
          <w:szCs w:val="20"/>
        </w:rPr>
      </w:pPr>
    </w:p>
    <w:p w14:paraId="0497B493" w14:textId="77777777" w:rsidR="002B4F8E" w:rsidRPr="00DC7B1E" w:rsidRDefault="002B4F8E" w:rsidP="001B4BB5">
      <w:pPr>
        <w:pStyle w:val="Heading3"/>
        <w:spacing w:before="0" w:line="240" w:lineRule="auto"/>
        <w:rPr>
          <w:rFonts w:ascii="Tahoma" w:hAnsi="Tahoma" w:cs="Tahoma"/>
          <w:color w:val="000000" w:themeColor="text1"/>
          <w:sz w:val="20"/>
          <w:szCs w:val="20"/>
        </w:rPr>
      </w:pPr>
      <w:r w:rsidRPr="00DC7B1E">
        <w:rPr>
          <w:rStyle w:val="Strong"/>
          <w:rFonts w:ascii="Tahoma" w:hAnsi="Tahoma" w:cs="Tahoma"/>
          <w:color w:val="000000" w:themeColor="text1"/>
          <w:sz w:val="20"/>
          <w:szCs w:val="20"/>
        </w:rPr>
        <w:t>5. Strategies for Reducing Anxiety and Increasing Engagement</w:t>
      </w:r>
    </w:p>
    <w:p w14:paraId="4AF70E78" w14:textId="77777777" w:rsidR="002B4F8E" w:rsidRPr="00DC7B1E" w:rsidRDefault="002B4F8E" w:rsidP="001B4BB5">
      <w:pPr>
        <w:pStyle w:val="NormalWeb"/>
        <w:spacing w:after="0" w:line="240" w:lineRule="auto"/>
        <w:ind w:firstLine="567"/>
        <w:rPr>
          <w:rFonts w:ascii="Tahoma" w:hAnsi="Tahoma" w:cs="Tahoma"/>
          <w:color w:val="000000" w:themeColor="text1"/>
          <w:sz w:val="20"/>
          <w:szCs w:val="20"/>
        </w:rPr>
      </w:pPr>
      <w:r w:rsidRPr="00DC7B1E">
        <w:rPr>
          <w:rFonts w:ascii="Tahoma" w:hAnsi="Tahoma" w:cs="Tahoma"/>
          <w:color w:val="000000" w:themeColor="text1"/>
          <w:sz w:val="20"/>
          <w:szCs w:val="20"/>
        </w:rPr>
        <w:t>To address affective challenges, teachers used informal explanations, real-life applications, and simple examples to make proofs more accessible. Gradually increasing the difficulty of proofs helped build students’ confidence and persistence. Teachers also used incorrect proofs as learning opportunities and integrated proof activities regularly to familiarize students with the proving process. These strategies are supported by recent studies emphasizing the role of affect-sensitive and progressive instruction in proof learning (Di Martino &amp; Zan, 2022; Hanna &amp; de Villiers, 2023).</w:t>
      </w:r>
    </w:p>
    <w:p w14:paraId="02F2EBBD" w14:textId="77777777" w:rsidR="002B4F8E" w:rsidRPr="00DC7B1E" w:rsidRDefault="002B4F8E" w:rsidP="001B4BB5">
      <w:pPr>
        <w:spacing w:after="0" w:line="240" w:lineRule="auto"/>
        <w:ind w:firstLine="567"/>
        <w:rPr>
          <w:rFonts w:ascii="Tahoma" w:hAnsi="Tahoma" w:cs="Tahoma"/>
          <w:sz w:val="20"/>
          <w:szCs w:val="20"/>
        </w:rPr>
      </w:pPr>
      <w:r w:rsidRPr="00DC7B1E">
        <w:rPr>
          <w:rFonts w:ascii="Tahoma" w:hAnsi="Tahoma" w:cs="Tahoma"/>
          <w:sz w:val="20"/>
          <w:szCs w:val="20"/>
        </w:rPr>
        <w:t xml:space="preserve">Table 4 presents differences in the level of challenges encountered by teachers in addressing mathematical proof, grouped by selected profile variables. The results of the Kruskal–Wallis and Mann–Whitney U tests show that </w:t>
      </w:r>
      <w:r w:rsidRPr="00DC7B1E">
        <w:rPr>
          <w:rStyle w:val="Strong"/>
          <w:rFonts w:ascii="Tahoma" w:hAnsi="Tahoma" w:cs="Tahoma"/>
          <w:sz w:val="20"/>
          <w:szCs w:val="20"/>
        </w:rPr>
        <w:t>no statistically significant differences</w:t>
      </w:r>
      <w:r w:rsidRPr="00DC7B1E">
        <w:rPr>
          <w:rFonts w:ascii="Tahoma" w:hAnsi="Tahoma" w:cs="Tahoma"/>
          <w:sz w:val="20"/>
          <w:szCs w:val="20"/>
        </w:rPr>
        <w:t xml:space="preserve"> were found across all profile variables, including highest educational attainment, teaching position, years of teaching mathematics, courses taken related to proof, access to instructional resources, and teaching modality used, as all computed p-values exceeded the 0.05 level of significance. Consequently, the </w:t>
      </w:r>
      <w:r w:rsidRPr="00DC7B1E">
        <w:rPr>
          <w:rStyle w:val="Strong"/>
          <w:rFonts w:ascii="Tahoma" w:hAnsi="Tahoma" w:cs="Tahoma"/>
          <w:sz w:val="20"/>
          <w:szCs w:val="20"/>
        </w:rPr>
        <w:t>null hypothesis that there is no significant difference in the level of challenges encountered by teachers across profile variables is accepted</w:t>
      </w:r>
      <w:r w:rsidRPr="00DC7B1E">
        <w:rPr>
          <w:rFonts w:ascii="Tahoma" w:hAnsi="Tahoma" w:cs="Tahoma"/>
          <w:sz w:val="20"/>
          <w:szCs w:val="20"/>
        </w:rPr>
        <w:t xml:space="preserve"> for all comparisons. This indicates that teachers experience similar levels of challenge in teaching mathematical proof regardless of their academic qualifications, professional roles, teaching experience, content background, resource access, or instructional modality.</w:t>
      </w:r>
    </w:p>
    <w:p w14:paraId="3C4A527B" w14:textId="77777777" w:rsidR="002B4F8E" w:rsidRPr="00DC7B1E" w:rsidRDefault="002B4F8E" w:rsidP="001B4BB5">
      <w:pPr>
        <w:spacing w:after="0" w:line="240" w:lineRule="auto"/>
        <w:ind w:firstLine="567"/>
        <w:rPr>
          <w:rFonts w:ascii="Tahoma" w:eastAsia="Times New Roman" w:hAnsi="Tahoma" w:cs="Tahoma"/>
          <w:kern w:val="0"/>
          <w:sz w:val="20"/>
          <w:szCs w:val="20"/>
          <w:lang w:eastAsia="en-PH"/>
          <w14:ligatures w14:val="none"/>
        </w:rPr>
      </w:pPr>
      <w:r w:rsidRPr="00DC7B1E">
        <w:rPr>
          <w:rFonts w:ascii="Tahoma" w:hAnsi="Tahoma" w:cs="Tahoma"/>
          <w:sz w:val="20"/>
          <w:szCs w:val="20"/>
        </w:rPr>
        <w:t xml:space="preserve">The absence of significant differences across profile groups reinforces the qualitative findings that challenges in teaching mathematical proof are </w:t>
      </w:r>
      <w:r w:rsidRPr="00DC7B1E">
        <w:rPr>
          <w:rStyle w:val="Strong"/>
          <w:rFonts w:ascii="Tahoma" w:hAnsi="Tahoma" w:cs="Tahoma"/>
          <w:sz w:val="20"/>
          <w:szCs w:val="20"/>
        </w:rPr>
        <w:t>systemic and pervasive</w:t>
      </w:r>
      <w:r w:rsidRPr="00DC7B1E">
        <w:rPr>
          <w:rFonts w:ascii="Tahoma" w:hAnsi="Tahoma" w:cs="Tahoma"/>
          <w:sz w:val="20"/>
          <w:szCs w:val="20"/>
        </w:rPr>
        <w:t xml:space="preserve">, rather than dependent on individual teacher characteristics. Interview data revealed that teachers across varying backgrounds consistently reported difficulties related to students’ weak deductive reasoning, misconceptions about proof, lack of foundational knowledge, affective barriers, and curricular constraints. The acceptance of the null hypothesis supports the view that advanced degrees, longer teaching experience, or greater access to resources do not necessarily mitigate these challenges, a finding echoed in recent literature emphasizing that proof instruction requires specialized pedagogical support beyond content expertise alone (Stylianides &amp; Stylianides, 2021; Hanna &amp; de Villiers, 2023). Moreover, the lack of significant difference between face-to-face and blended learning modalities triangulates with qualitative evidence that instructional modality does not fundamentally alter students’ reasoning difficulties unless accompanied by deliberate, reasoning-centered instructional design (Weber &amp; Mejía-Ramos, 2022; Inglis &amp; Mejía-Ramos, 2024). Overall, the convergence of quantitative and qualitative results underscores the need for </w:t>
      </w:r>
      <w:r w:rsidRPr="00DC7B1E">
        <w:rPr>
          <w:rStyle w:val="Strong"/>
          <w:rFonts w:ascii="Tahoma" w:hAnsi="Tahoma" w:cs="Tahoma"/>
          <w:sz w:val="20"/>
          <w:szCs w:val="20"/>
        </w:rPr>
        <w:t>system-wide interventions</w:t>
      </w:r>
      <w:r w:rsidRPr="00DC7B1E">
        <w:rPr>
          <w:rFonts w:ascii="Tahoma" w:hAnsi="Tahoma" w:cs="Tahoma"/>
          <w:sz w:val="20"/>
          <w:szCs w:val="20"/>
        </w:rPr>
        <w:t>, including curriculum alignment, assessment reform, and sustained professional development, to address the enduring challenges of teaching mathematical proof as a coherent and developmentally appropriate practice (Stylianides et al., 2023; Weber, 2023).</w:t>
      </w:r>
    </w:p>
    <w:p w14:paraId="0A4B0198"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p w14:paraId="7A88E494"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p w14:paraId="70B60317"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Table 4. Differences in the level of challenges encountered by teachers when classified according to the respondents’ aforementioned profile</w:t>
      </w:r>
    </w:p>
    <w:tbl>
      <w:tblPr>
        <w:tblW w:w="5149" w:type="pct"/>
        <w:tblLook w:val="04A0" w:firstRow="1" w:lastRow="0" w:firstColumn="1" w:lastColumn="0" w:noHBand="0" w:noVBand="1"/>
      </w:tblPr>
      <w:tblGrid>
        <w:gridCol w:w="3176"/>
        <w:gridCol w:w="15"/>
        <w:gridCol w:w="1886"/>
        <w:gridCol w:w="158"/>
        <w:gridCol w:w="1146"/>
        <w:gridCol w:w="20"/>
        <w:gridCol w:w="949"/>
        <w:gridCol w:w="945"/>
        <w:gridCol w:w="1566"/>
      </w:tblGrid>
      <w:tr w:rsidR="002B4F8E" w:rsidRPr="00DC7B1E" w14:paraId="5F3C2CBE" w14:textId="77777777" w:rsidTr="00FF68C5">
        <w:trPr>
          <w:trHeight w:val="300"/>
        </w:trPr>
        <w:tc>
          <w:tcPr>
            <w:tcW w:w="2655" w:type="pct"/>
            <w:gridSpan w:val="4"/>
            <w:tcBorders>
              <w:top w:val="single" w:sz="4" w:space="0" w:color="auto"/>
              <w:left w:val="nil"/>
              <w:bottom w:val="nil"/>
              <w:right w:val="nil"/>
            </w:tcBorders>
            <w:shd w:val="clear" w:color="auto" w:fill="auto"/>
            <w:noWrap/>
            <w:vAlign w:val="bottom"/>
            <w:hideMark/>
          </w:tcPr>
          <w:p w14:paraId="11A176FB"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Profile</w:t>
            </w:r>
          </w:p>
        </w:tc>
        <w:tc>
          <w:tcPr>
            <w:tcW w:w="591" w:type="pct"/>
            <w:gridSpan w:val="2"/>
            <w:tcBorders>
              <w:top w:val="single" w:sz="4" w:space="0" w:color="auto"/>
              <w:left w:val="nil"/>
              <w:bottom w:val="nil"/>
              <w:right w:val="nil"/>
            </w:tcBorders>
            <w:shd w:val="clear" w:color="auto" w:fill="auto"/>
            <w:noWrap/>
            <w:vAlign w:val="center"/>
            <w:hideMark/>
          </w:tcPr>
          <w:p w14:paraId="7A5E24C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mean rank</w:t>
            </w:r>
          </w:p>
        </w:tc>
        <w:tc>
          <w:tcPr>
            <w:tcW w:w="480" w:type="pct"/>
            <w:tcBorders>
              <w:top w:val="single" w:sz="4" w:space="0" w:color="auto"/>
              <w:left w:val="nil"/>
              <w:bottom w:val="nil"/>
              <w:right w:val="nil"/>
            </w:tcBorders>
            <w:shd w:val="clear" w:color="auto" w:fill="auto"/>
            <w:noWrap/>
            <w:vAlign w:val="center"/>
            <w:hideMark/>
          </w:tcPr>
          <w:p w14:paraId="08B56C2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H-value</w:t>
            </w:r>
          </w:p>
        </w:tc>
        <w:tc>
          <w:tcPr>
            <w:tcW w:w="479" w:type="pct"/>
            <w:tcBorders>
              <w:top w:val="single" w:sz="4" w:space="0" w:color="auto"/>
              <w:left w:val="nil"/>
              <w:bottom w:val="nil"/>
              <w:right w:val="nil"/>
            </w:tcBorders>
            <w:shd w:val="clear" w:color="auto" w:fill="auto"/>
            <w:noWrap/>
            <w:vAlign w:val="center"/>
            <w:hideMark/>
          </w:tcPr>
          <w:p w14:paraId="33025B26"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p-value</w:t>
            </w:r>
          </w:p>
        </w:tc>
        <w:tc>
          <w:tcPr>
            <w:tcW w:w="794" w:type="pct"/>
            <w:tcBorders>
              <w:top w:val="single" w:sz="4" w:space="0" w:color="auto"/>
              <w:left w:val="nil"/>
              <w:bottom w:val="nil"/>
              <w:right w:val="nil"/>
            </w:tcBorders>
            <w:shd w:val="clear" w:color="auto" w:fill="auto"/>
            <w:noWrap/>
            <w:vAlign w:val="center"/>
            <w:hideMark/>
          </w:tcPr>
          <w:p w14:paraId="7C6F91E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remarks</w:t>
            </w:r>
          </w:p>
        </w:tc>
      </w:tr>
      <w:tr w:rsidR="002B4F8E" w:rsidRPr="00DC7B1E" w14:paraId="71B5D7DF" w14:textId="77777777" w:rsidTr="00FF68C5">
        <w:trPr>
          <w:trHeight w:val="300"/>
        </w:trPr>
        <w:tc>
          <w:tcPr>
            <w:tcW w:w="1611" w:type="pct"/>
            <w:tcBorders>
              <w:top w:val="single" w:sz="4" w:space="0" w:color="auto"/>
              <w:left w:val="nil"/>
              <w:bottom w:val="nil"/>
              <w:right w:val="nil"/>
            </w:tcBorders>
            <w:shd w:val="clear" w:color="auto" w:fill="auto"/>
            <w:noWrap/>
            <w:vAlign w:val="center"/>
            <w:hideMark/>
          </w:tcPr>
          <w:p w14:paraId="228D644B"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Highest Educational Attainment</w:t>
            </w:r>
          </w:p>
        </w:tc>
        <w:tc>
          <w:tcPr>
            <w:tcW w:w="1044" w:type="pct"/>
            <w:gridSpan w:val="3"/>
            <w:tcBorders>
              <w:top w:val="single" w:sz="4" w:space="0" w:color="auto"/>
              <w:left w:val="nil"/>
              <w:bottom w:val="nil"/>
              <w:right w:val="nil"/>
            </w:tcBorders>
            <w:shd w:val="clear" w:color="auto" w:fill="auto"/>
            <w:noWrap/>
            <w:vAlign w:val="center"/>
            <w:hideMark/>
          </w:tcPr>
          <w:p w14:paraId="254D60F9"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Bachelor’s Degree</w:t>
            </w:r>
          </w:p>
        </w:tc>
        <w:tc>
          <w:tcPr>
            <w:tcW w:w="591" w:type="pct"/>
            <w:gridSpan w:val="2"/>
            <w:tcBorders>
              <w:top w:val="single" w:sz="4" w:space="0" w:color="auto"/>
              <w:left w:val="nil"/>
              <w:bottom w:val="nil"/>
              <w:right w:val="nil"/>
            </w:tcBorders>
            <w:shd w:val="clear" w:color="auto" w:fill="auto"/>
            <w:noWrap/>
            <w:vAlign w:val="center"/>
            <w:hideMark/>
          </w:tcPr>
          <w:p w14:paraId="248DEE2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11.83</w:t>
            </w:r>
          </w:p>
        </w:tc>
        <w:tc>
          <w:tcPr>
            <w:tcW w:w="480" w:type="pct"/>
            <w:tcBorders>
              <w:top w:val="single" w:sz="4" w:space="0" w:color="auto"/>
              <w:left w:val="nil"/>
              <w:bottom w:val="nil"/>
              <w:right w:val="nil"/>
            </w:tcBorders>
            <w:shd w:val="clear" w:color="auto" w:fill="auto"/>
            <w:noWrap/>
            <w:vAlign w:val="center"/>
            <w:hideMark/>
          </w:tcPr>
          <w:p w14:paraId="73F507E8"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3.740</w:t>
            </w:r>
          </w:p>
        </w:tc>
        <w:tc>
          <w:tcPr>
            <w:tcW w:w="479" w:type="pct"/>
            <w:tcBorders>
              <w:top w:val="single" w:sz="4" w:space="0" w:color="auto"/>
              <w:left w:val="nil"/>
              <w:bottom w:val="nil"/>
              <w:right w:val="nil"/>
            </w:tcBorders>
            <w:shd w:val="clear" w:color="auto" w:fill="auto"/>
            <w:noWrap/>
            <w:vAlign w:val="center"/>
            <w:hideMark/>
          </w:tcPr>
          <w:p w14:paraId="1A3D37A9"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0.442</w:t>
            </w:r>
          </w:p>
        </w:tc>
        <w:tc>
          <w:tcPr>
            <w:tcW w:w="794" w:type="pct"/>
            <w:tcBorders>
              <w:top w:val="single" w:sz="4" w:space="0" w:color="auto"/>
              <w:left w:val="nil"/>
              <w:bottom w:val="nil"/>
              <w:right w:val="nil"/>
            </w:tcBorders>
            <w:shd w:val="clear" w:color="auto" w:fill="auto"/>
            <w:noWrap/>
            <w:vAlign w:val="center"/>
            <w:hideMark/>
          </w:tcPr>
          <w:p w14:paraId="398D02EC"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Not significant</w:t>
            </w:r>
          </w:p>
        </w:tc>
      </w:tr>
      <w:tr w:rsidR="002B4F8E" w:rsidRPr="00DC7B1E" w14:paraId="5E4EEDBF" w14:textId="77777777" w:rsidTr="00FF68C5">
        <w:trPr>
          <w:trHeight w:val="300"/>
        </w:trPr>
        <w:tc>
          <w:tcPr>
            <w:tcW w:w="1611" w:type="pct"/>
            <w:tcBorders>
              <w:top w:val="nil"/>
              <w:left w:val="nil"/>
              <w:bottom w:val="nil"/>
              <w:right w:val="nil"/>
            </w:tcBorders>
            <w:shd w:val="clear" w:color="auto" w:fill="auto"/>
            <w:noWrap/>
            <w:vAlign w:val="bottom"/>
            <w:hideMark/>
          </w:tcPr>
          <w:p w14:paraId="6827726E"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044" w:type="pct"/>
            <w:gridSpan w:val="3"/>
            <w:tcBorders>
              <w:top w:val="nil"/>
              <w:left w:val="nil"/>
              <w:bottom w:val="nil"/>
              <w:right w:val="nil"/>
            </w:tcBorders>
            <w:shd w:val="clear" w:color="auto" w:fill="auto"/>
            <w:noWrap/>
            <w:vAlign w:val="center"/>
            <w:hideMark/>
          </w:tcPr>
          <w:p w14:paraId="4C5DDFDE"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With Master’s Units</w:t>
            </w:r>
          </w:p>
        </w:tc>
        <w:tc>
          <w:tcPr>
            <w:tcW w:w="591" w:type="pct"/>
            <w:gridSpan w:val="2"/>
            <w:tcBorders>
              <w:top w:val="nil"/>
              <w:left w:val="nil"/>
              <w:bottom w:val="nil"/>
              <w:right w:val="nil"/>
            </w:tcBorders>
            <w:shd w:val="clear" w:color="auto" w:fill="auto"/>
            <w:noWrap/>
            <w:vAlign w:val="center"/>
            <w:hideMark/>
          </w:tcPr>
          <w:p w14:paraId="486235CB"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17.53</w:t>
            </w:r>
          </w:p>
        </w:tc>
        <w:tc>
          <w:tcPr>
            <w:tcW w:w="480" w:type="pct"/>
            <w:tcBorders>
              <w:top w:val="nil"/>
              <w:left w:val="nil"/>
              <w:bottom w:val="nil"/>
              <w:right w:val="nil"/>
            </w:tcBorders>
            <w:shd w:val="clear" w:color="auto" w:fill="auto"/>
            <w:noWrap/>
            <w:vAlign w:val="bottom"/>
            <w:hideMark/>
          </w:tcPr>
          <w:p w14:paraId="7AB68708"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479" w:type="pct"/>
            <w:tcBorders>
              <w:top w:val="nil"/>
              <w:left w:val="nil"/>
              <w:bottom w:val="nil"/>
              <w:right w:val="nil"/>
            </w:tcBorders>
            <w:shd w:val="clear" w:color="auto" w:fill="auto"/>
            <w:noWrap/>
            <w:vAlign w:val="bottom"/>
            <w:hideMark/>
          </w:tcPr>
          <w:p w14:paraId="47673963"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tc>
        <w:tc>
          <w:tcPr>
            <w:tcW w:w="794" w:type="pct"/>
            <w:tcBorders>
              <w:top w:val="nil"/>
              <w:left w:val="nil"/>
              <w:bottom w:val="nil"/>
              <w:right w:val="nil"/>
            </w:tcBorders>
            <w:shd w:val="clear" w:color="auto" w:fill="auto"/>
            <w:noWrap/>
            <w:vAlign w:val="bottom"/>
            <w:hideMark/>
          </w:tcPr>
          <w:p w14:paraId="5E1171FD"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tc>
      </w:tr>
      <w:tr w:rsidR="002B4F8E" w:rsidRPr="00DC7B1E" w14:paraId="0184F667" w14:textId="77777777" w:rsidTr="00FF68C5">
        <w:trPr>
          <w:trHeight w:val="300"/>
        </w:trPr>
        <w:tc>
          <w:tcPr>
            <w:tcW w:w="1611" w:type="pct"/>
            <w:tcBorders>
              <w:top w:val="nil"/>
              <w:left w:val="nil"/>
              <w:bottom w:val="nil"/>
              <w:right w:val="nil"/>
            </w:tcBorders>
            <w:shd w:val="clear" w:color="auto" w:fill="auto"/>
            <w:noWrap/>
            <w:hideMark/>
          </w:tcPr>
          <w:p w14:paraId="15039560"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tc>
        <w:tc>
          <w:tcPr>
            <w:tcW w:w="1044" w:type="pct"/>
            <w:gridSpan w:val="3"/>
            <w:tcBorders>
              <w:top w:val="nil"/>
              <w:left w:val="nil"/>
              <w:bottom w:val="nil"/>
              <w:right w:val="nil"/>
            </w:tcBorders>
            <w:shd w:val="clear" w:color="auto" w:fill="auto"/>
            <w:noWrap/>
            <w:vAlign w:val="center"/>
            <w:hideMark/>
          </w:tcPr>
          <w:p w14:paraId="4586474F"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Master’s Degree</w:t>
            </w:r>
          </w:p>
        </w:tc>
        <w:tc>
          <w:tcPr>
            <w:tcW w:w="591" w:type="pct"/>
            <w:gridSpan w:val="2"/>
            <w:tcBorders>
              <w:top w:val="nil"/>
              <w:left w:val="nil"/>
              <w:bottom w:val="nil"/>
              <w:right w:val="nil"/>
            </w:tcBorders>
            <w:shd w:val="clear" w:color="auto" w:fill="auto"/>
            <w:noWrap/>
            <w:vAlign w:val="center"/>
            <w:hideMark/>
          </w:tcPr>
          <w:p w14:paraId="4B6A8DD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16.08</w:t>
            </w:r>
          </w:p>
        </w:tc>
        <w:tc>
          <w:tcPr>
            <w:tcW w:w="480" w:type="pct"/>
            <w:tcBorders>
              <w:top w:val="nil"/>
              <w:left w:val="nil"/>
              <w:bottom w:val="nil"/>
              <w:right w:val="nil"/>
            </w:tcBorders>
            <w:shd w:val="clear" w:color="auto" w:fill="auto"/>
            <w:noWrap/>
            <w:vAlign w:val="bottom"/>
            <w:hideMark/>
          </w:tcPr>
          <w:p w14:paraId="51CF8F4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479" w:type="pct"/>
            <w:tcBorders>
              <w:top w:val="nil"/>
              <w:left w:val="nil"/>
              <w:bottom w:val="nil"/>
              <w:right w:val="nil"/>
            </w:tcBorders>
            <w:shd w:val="clear" w:color="auto" w:fill="auto"/>
            <w:noWrap/>
            <w:vAlign w:val="bottom"/>
            <w:hideMark/>
          </w:tcPr>
          <w:p w14:paraId="22B75B8D"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tc>
        <w:tc>
          <w:tcPr>
            <w:tcW w:w="794" w:type="pct"/>
            <w:tcBorders>
              <w:top w:val="nil"/>
              <w:left w:val="nil"/>
              <w:bottom w:val="nil"/>
              <w:right w:val="nil"/>
            </w:tcBorders>
            <w:shd w:val="clear" w:color="auto" w:fill="auto"/>
            <w:noWrap/>
            <w:vAlign w:val="bottom"/>
            <w:hideMark/>
          </w:tcPr>
          <w:p w14:paraId="6F3FE6C5"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tc>
      </w:tr>
      <w:tr w:rsidR="002B4F8E" w:rsidRPr="00DC7B1E" w14:paraId="7BA94551" w14:textId="77777777" w:rsidTr="00FF68C5">
        <w:trPr>
          <w:trHeight w:val="300"/>
        </w:trPr>
        <w:tc>
          <w:tcPr>
            <w:tcW w:w="1611" w:type="pct"/>
            <w:tcBorders>
              <w:top w:val="nil"/>
              <w:left w:val="nil"/>
              <w:bottom w:val="nil"/>
              <w:right w:val="nil"/>
            </w:tcBorders>
            <w:shd w:val="clear" w:color="auto" w:fill="auto"/>
            <w:noWrap/>
            <w:hideMark/>
          </w:tcPr>
          <w:p w14:paraId="64ED7102"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tc>
        <w:tc>
          <w:tcPr>
            <w:tcW w:w="1044" w:type="pct"/>
            <w:gridSpan w:val="3"/>
            <w:tcBorders>
              <w:top w:val="nil"/>
              <w:left w:val="nil"/>
              <w:bottom w:val="nil"/>
              <w:right w:val="nil"/>
            </w:tcBorders>
            <w:shd w:val="clear" w:color="auto" w:fill="auto"/>
            <w:noWrap/>
            <w:vAlign w:val="center"/>
            <w:hideMark/>
          </w:tcPr>
          <w:p w14:paraId="04153E49"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With Doctoral Units</w:t>
            </w:r>
          </w:p>
        </w:tc>
        <w:tc>
          <w:tcPr>
            <w:tcW w:w="591" w:type="pct"/>
            <w:gridSpan w:val="2"/>
            <w:tcBorders>
              <w:top w:val="nil"/>
              <w:left w:val="nil"/>
              <w:bottom w:val="nil"/>
              <w:right w:val="nil"/>
            </w:tcBorders>
            <w:shd w:val="clear" w:color="auto" w:fill="auto"/>
            <w:noWrap/>
            <w:vAlign w:val="center"/>
            <w:hideMark/>
          </w:tcPr>
          <w:p w14:paraId="3E032C5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6.50</w:t>
            </w:r>
          </w:p>
        </w:tc>
        <w:tc>
          <w:tcPr>
            <w:tcW w:w="480" w:type="pct"/>
            <w:tcBorders>
              <w:top w:val="nil"/>
              <w:left w:val="nil"/>
              <w:bottom w:val="nil"/>
              <w:right w:val="nil"/>
            </w:tcBorders>
            <w:shd w:val="clear" w:color="auto" w:fill="auto"/>
            <w:noWrap/>
            <w:vAlign w:val="bottom"/>
            <w:hideMark/>
          </w:tcPr>
          <w:p w14:paraId="1AC8094D"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479" w:type="pct"/>
            <w:tcBorders>
              <w:top w:val="nil"/>
              <w:left w:val="nil"/>
              <w:bottom w:val="nil"/>
              <w:right w:val="nil"/>
            </w:tcBorders>
            <w:shd w:val="clear" w:color="auto" w:fill="auto"/>
            <w:noWrap/>
            <w:vAlign w:val="bottom"/>
            <w:hideMark/>
          </w:tcPr>
          <w:p w14:paraId="07199BB4"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tc>
        <w:tc>
          <w:tcPr>
            <w:tcW w:w="794" w:type="pct"/>
            <w:tcBorders>
              <w:top w:val="nil"/>
              <w:left w:val="nil"/>
              <w:bottom w:val="nil"/>
              <w:right w:val="nil"/>
            </w:tcBorders>
            <w:shd w:val="clear" w:color="auto" w:fill="auto"/>
            <w:noWrap/>
            <w:vAlign w:val="bottom"/>
            <w:hideMark/>
          </w:tcPr>
          <w:p w14:paraId="7C76FBDD"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tc>
      </w:tr>
      <w:tr w:rsidR="002B4F8E" w:rsidRPr="00DC7B1E" w14:paraId="4A203E42" w14:textId="77777777" w:rsidTr="00FF68C5">
        <w:trPr>
          <w:trHeight w:val="300"/>
        </w:trPr>
        <w:tc>
          <w:tcPr>
            <w:tcW w:w="1611" w:type="pct"/>
            <w:tcBorders>
              <w:top w:val="nil"/>
              <w:left w:val="nil"/>
              <w:bottom w:val="nil"/>
              <w:right w:val="nil"/>
            </w:tcBorders>
            <w:shd w:val="clear" w:color="auto" w:fill="auto"/>
            <w:noWrap/>
            <w:hideMark/>
          </w:tcPr>
          <w:p w14:paraId="27D53455"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tc>
        <w:tc>
          <w:tcPr>
            <w:tcW w:w="1044" w:type="pct"/>
            <w:gridSpan w:val="3"/>
            <w:tcBorders>
              <w:top w:val="nil"/>
              <w:left w:val="nil"/>
              <w:bottom w:val="nil"/>
              <w:right w:val="nil"/>
            </w:tcBorders>
            <w:shd w:val="clear" w:color="auto" w:fill="auto"/>
            <w:noWrap/>
            <w:vAlign w:val="center"/>
            <w:hideMark/>
          </w:tcPr>
          <w:p w14:paraId="394556C1"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Doctoral Degree</w:t>
            </w:r>
          </w:p>
        </w:tc>
        <w:tc>
          <w:tcPr>
            <w:tcW w:w="591" w:type="pct"/>
            <w:gridSpan w:val="2"/>
            <w:tcBorders>
              <w:top w:val="nil"/>
              <w:left w:val="nil"/>
              <w:bottom w:val="nil"/>
              <w:right w:val="nil"/>
            </w:tcBorders>
            <w:shd w:val="clear" w:color="auto" w:fill="auto"/>
            <w:noWrap/>
            <w:vAlign w:val="center"/>
            <w:hideMark/>
          </w:tcPr>
          <w:p w14:paraId="341DF498"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13.17</w:t>
            </w:r>
          </w:p>
        </w:tc>
        <w:tc>
          <w:tcPr>
            <w:tcW w:w="480" w:type="pct"/>
            <w:tcBorders>
              <w:top w:val="nil"/>
              <w:left w:val="nil"/>
              <w:bottom w:val="nil"/>
              <w:right w:val="nil"/>
            </w:tcBorders>
            <w:shd w:val="clear" w:color="auto" w:fill="auto"/>
            <w:noWrap/>
            <w:vAlign w:val="bottom"/>
            <w:hideMark/>
          </w:tcPr>
          <w:p w14:paraId="7C3D33D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479" w:type="pct"/>
            <w:tcBorders>
              <w:top w:val="nil"/>
              <w:left w:val="nil"/>
              <w:bottom w:val="nil"/>
              <w:right w:val="nil"/>
            </w:tcBorders>
            <w:shd w:val="clear" w:color="auto" w:fill="auto"/>
            <w:noWrap/>
            <w:vAlign w:val="bottom"/>
            <w:hideMark/>
          </w:tcPr>
          <w:p w14:paraId="52F9FFDD"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tc>
        <w:tc>
          <w:tcPr>
            <w:tcW w:w="794" w:type="pct"/>
            <w:tcBorders>
              <w:top w:val="nil"/>
              <w:left w:val="nil"/>
              <w:bottom w:val="nil"/>
              <w:right w:val="nil"/>
            </w:tcBorders>
            <w:shd w:val="clear" w:color="auto" w:fill="auto"/>
            <w:noWrap/>
            <w:vAlign w:val="bottom"/>
            <w:hideMark/>
          </w:tcPr>
          <w:p w14:paraId="5BD9B5CC"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tc>
      </w:tr>
      <w:tr w:rsidR="002B4F8E" w:rsidRPr="00DC7B1E" w14:paraId="7C1AC372" w14:textId="77777777" w:rsidTr="00FF68C5">
        <w:trPr>
          <w:trHeight w:val="300"/>
        </w:trPr>
        <w:tc>
          <w:tcPr>
            <w:tcW w:w="1611" w:type="pct"/>
            <w:tcBorders>
              <w:top w:val="nil"/>
              <w:left w:val="nil"/>
              <w:bottom w:val="nil"/>
              <w:right w:val="nil"/>
            </w:tcBorders>
            <w:shd w:val="clear" w:color="auto" w:fill="auto"/>
            <w:noWrap/>
            <w:vAlign w:val="center"/>
            <w:hideMark/>
          </w:tcPr>
          <w:p w14:paraId="52013A13"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Teaching Position</w:t>
            </w:r>
          </w:p>
        </w:tc>
        <w:tc>
          <w:tcPr>
            <w:tcW w:w="1044" w:type="pct"/>
            <w:gridSpan w:val="3"/>
            <w:tcBorders>
              <w:top w:val="nil"/>
              <w:left w:val="nil"/>
              <w:bottom w:val="nil"/>
              <w:right w:val="nil"/>
            </w:tcBorders>
            <w:shd w:val="clear" w:color="auto" w:fill="auto"/>
            <w:noWrap/>
            <w:hideMark/>
          </w:tcPr>
          <w:p w14:paraId="141DCB6A"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Teacher I-III</w:t>
            </w:r>
          </w:p>
        </w:tc>
        <w:tc>
          <w:tcPr>
            <w:tcW w:w="591" w:type="pct"/>
            <w:gridSpan w:val="2"/>
            <w:tcBorders>
              <w:top w:val="nil"/>
              <w:left w:val="nil"/>
              <w:bottom w:val="nil"/>
              <w:right w:val="nil"/>
            </w:tcBorders>
            <w:shd w:val="clear" w:color="auto" w:fill="auto"/>
            <w:noWrap/>
            <w:vAlign w:val="center"/>
            <w:hideMark/>
          </w:tcPr>
          <w:p w14:paraId="5611532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14.92</w:t>
            </w:r>
          </w:p>
        </w:tc>
        <w:tc>
          <w:tcPr>
            <w:tcW w:w="480" w:type="pct"/>
            <w:tcBorders>
              <w:top w:val="nil"/>
              <w:left w:val="nil"/>
              <w:bottom w:val="nil"/>
              <w:right w:val="nil"/>
            </w:tcBorders>
            <w:shd w:val="clear" w:color="auto" w:fill="auto"/>
            <w:noWrap/>
            <w:vAlign w:val="center"/>
            <w:hideMark/>
          </w:tcPr>
          <w:p w14:paraId="71B11C5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8.633</w:t>
            </w:r>
          </w:p>
        </w:tc>
        <w:tc>
          <w:tcPr>
            <w:tcW w:w="479" w:type="pct"/>
            <w:tcBorders>
              <w:top w:val="nil"/>
              <w:left w:val="nil"/>
              <w:bottom w:val="nil"/>
              <w:right w:val="nil"/>
            </w:tcBorders>
            <w:shd w:val="clear" w:color="auto" w:fill="auto"/>
            <w:noWrap/>
            <w:vAlign w:val="center"/>
            <w:hideMark/>
          </w:tcPr>
          <w:p w14:paraId="3298655C"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0.280</w:t>
            </w:r>
          </w:p>
        </w:tc>
        <w:tc>
          <w:tcPr>
            <w:tcW w:w="794" w:type="pct"/>
            <w:tcBorders>
              <w:top w:val="nil"/>
              <w:left w:val="nil"/>
              <w:bottom w:val="nil"/>
              <w:right w:val="nil"/>
            </w:tcBorders>
            <w:shd w:val="clear" w:color="auto" w:fill="auto"/>
            <w:noWrap/>
            <w:vAlign w:val="center"/>
            <w:hideMark/>
          </w:tcPr>
          <w:p w14:paraId="1B753FBC"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Not significant</w:t>
            </w:r>
          </w:p>
        </w:tc>
      </w:tr>
      <w:tr w:rsidR="002B4F8E" w:rsidRPr="00DC7B1E" w14:paraId="4F3098DD" w14:textId="77777777" w:rsidTr="00FF68C5">
        <w:trPr>
          <w:trHeight w:val="360"/>
        </w:trPr>
        <w:tc>
          <w:tcPr>
            <w:tcW w:w="1611" w:type="pct"/>
            <w:tcBorders>
              <w:top w:val="nil"/>
              <w:left w:val="nil"/>
              <w:bottom w:val="nil"/>
              <w:right w:val="nil"/>
            </w:tcBorders>
            <w:shd w:val="clear" w:color="auto" w:fill="auto"/>
            <w:noWrap/>
            <w:hideMark/>
          </w:tcPr>
          <w:p w14:paraId="29C8D67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044" w:type="pct"/>
            <w:gridSpan w:val="3"/>
            <w:tcBorders>
              <w:top w:val="nil"/>
              <w:left w:val="nil"/>
              <w:bottom w:val="nil"/>
              <w:right w:val="nil"/>
            </w:tcBorders>
            <w:shd w:val="clear" w:color="auto" w:fill="auto"/>
            <w:noWrap/>
            <w:hideMark/>
          </w:tcPr>
          <w:p w14:paraId="18D7616E"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Instructor I-III</w:t>
            </w:r>
          </w:p>
        </w:tc>
        <w:tc>
          <w:tcPr>
            <w:tcW w:w="591" w:type="pct"/>
            <w:gridSpan w:val="2"/>
            <w:tcBorders>
              <w:top w:val="nil"/>
              <w:left w:val="nil"/>
              <w:bottom w:val="nil"/>
              <w:right w:val="nil"/>
            </w:tcBorders>
            <w:shd w:val="clear" w:color="auto" w:fill="auto"/>
            <w:noWrap/>
            <w:vAlign w:val="center"/>
            <w:hideMark/>
          </w:tcPr>
          <w:p w14:paraId="19C16B2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14.40</w:t>
            </w:r>
          </w:p>
        </w:tc>
        <w:tc>
          <w:tcPr>
            <w:tcW w:w="480" w:type="pct"/>
            <w:tcBorders>
              <w:top w:val="nil"/>
              <w:left w:val="nil"/>
              <w:bottom w:val="nil"/>
              <w:right w:val="nil"/>
            </w:tcBorders>
            <w:shd w:val="clear" w:color="auto" w:fill="auto"/>
            <w:noWrap/>
            <w:vAlign w:val="center"/>
            <w:hideMark/>
          </w:tcPr>
          <w:p w14:paraId="2C38F88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479" w:type="pct"/>
            <w:tcBorders>
              <w:top w:val="nil"/>
              <w:left w:val="nil"/>
              <w:bottom w:val="nil"/>
              <w:right w:val="nil"/>
            </w:tcBorders>
            <w:shd w:val="clear" w:color="auto" w:fill="auto"/>
            <w:noWrap/>
            <w:vAlign w:val="center"/>
            <w:hideMark/>
          </w:tcPr>
          <w:p w14:paraId="20A458AC"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c>
          <w:tcPr>
            <w:tcW w:w="794" w:type="pct"/>
            <w:tcBorders>
              <w:top w:val="nil"/>
              <w:left w:val="nil"/>
              <w:bottom w:val="nil"/>
              <w:right w:val="nil"/>
            </w:tcBorders>
            <w:shd w:val="clear" w:color="auto" w:fill="auto"/>
            <w:noWrap/>
            <w:vAlign w:val="center"/>
            <w:hideMark/>
          </w:tcPr>
          <w:p w14:paraId="5BEA8657"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r>
      <w:tr w:rsidR="002B4F8E" w:rsidRPr="00DC7B1E" w14:paraId="57E10904" w14:textId="77777777" w:rsidTr="00FF68C5">
        <w:trPr>
          <w:trHeight w:val="300"/>
        </w:trPr>
        <w:tc>
          <w:tcPr>
            <w:tcW w:w="1611" w:type="pct"/>
            <w:tcBorders>
              <w:top w:val="nil"/>
              <w:left w:val="nil"/>
              <w:bottom w:val="nil"/>
              <w:right w:val="nil"/>
            </w:tcBorders>
            <w:shd w:val="clear" w:color="auto" w:fill="auto"/>
            <w:noWrap/>
            <w:hideMark/>
          </w:tcPr>
          <w:p w14:paraId="16652749"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c>
          <w:tcPr>
            <w:tcW w:w="1044" w:type="pct"/>
            <w:gridSpan w:val="3"/>
            <w:tcBorders>
              <w:top w:val="nil"/>
              <w:left w:val="nil"/>
              <w:bottom w:val="nil"/>
              <w:right w:val="nil"/>
            </w:tcBorders>
            <w:shd w:val="clear" w:color="auto" w:fill="auto"/>
            <w:noWrap/>
            <w:hideMark/>
          </w:tcPr>
          <w:p w14:paraId="41A0DC8F"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Assistant Professor</w:t>
            </w:r>
          </w:p>
        </w:tc>
        <w:tc>
          <w:tcPr>
            <w:tcW w:w="591" w:type="pct"/>
            <w:gridSpan w:val="2"/>
            <w:tcBorders>
              <w:top w:val="nil"/>
              <w:left w:val="nil"/>
              <w:bottom w:val="nil"/>
              <w:right w:val="nil"/>
            </w:tcBorders>
            <w:shd w:val="clear" w:color="auto" w:fill="auto"/>
            <w:noWrap/>
            <w:vAlign w:val="center"/>
            <w:hideMark/>
          </w:tcPr>
          <w:p w14:paraId="533A26E6"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12.75</w:t>
            </w:r>
          </w:p>
        </w:tc>
        <w:tc>
          <w:tcPr>
            <w:tcW w:w="480" w:type="pct"/>
            <w:tcBorders>
              <w:top w:val="nil"/>
              <w:left w:val="nil"/>
              <w:bottom w:val="nil"/>
              <w:right w:val="nil"/>
            </w:tcBorders>
            <w:shd w:val="clear" w:color="auto" w:fill="auto"/>
            <w:noWrap/>
            <w:vAlign w:val="center"/>
            <w:hideMark/>
          </w:tcPr>
          <w:p w14:paraId="78F3344C"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479" w:type="pct"/>
            <w:tcBorders>
              <w:top w:val="nil"/>
              <w:left w:val="nil"/>
              <w:bottom w:val="nil"/>
              <w:right w:val="nil"/>
            </w:tcBorders>
            <w:shd w:val="clear" w:color="auto" w:fill="auto"/>
            <w:noWrap/>
            <w:vAlign w:val="center"/>
            <w:hideMark/>
          </w:tcPr>
          <w:p w14:paraId="252A3349"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c>
          <w:tcPr>
            <w:tcW w:w="794" w:type="pct"/>
            <w:tcBorders>
              <w:top w:val="nil"/>
              <w:left w:val="nil"/>
              <w:bottom w:val="nil"/>
              <w:right w:val="nil"/>
            </w:tcBorders>
            <w:shd w:val="clear" w:color="auto" w:fill="auto"/>
            <w:noWrap/>
            <w:vAlign w:val="center"/>
            <w:hideMark/>
          </w:tcPr>
          <w:p w14:paraId="5EFE2BBE"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r>
      <w:tr w:rsidR="002B4F8E" w:rsidRPr="00DC7B1E" w14:paraId="5141734B" w14:textId="77777777" w:rsidTr="00FF68C5">
        <w:trPr>
          <w:trHeight w:val="300"/>
        </w:trPr>
        <w:tc>
          <w:tcPr>
            <w:tcW w:w="1611" w:type="pct"/>
            <w:tcBorders>
              <w:top w:val="nil"/>
              <w:left w:val="nil"/>
              <w:bottom w:val="nil"/>
              <w:right w:val="nil"/>
            </w:tcBorders>
            <w:shd w:val="clear" w:color="auto" w:fill="auto"/>
            <w:noWrap/>
            <w:vAlign w:val="center"/>
            <w:hideMark/>
          </w:tcPr>
          <w:p w14:paraId="6F23B4FE"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Years in teaching Math</w:t>
            </w:r>
          </w:p>
        </w:tc>
        <w:tc>
          <w:tcPr>
            <w:tcW w:w="1044" w:type="pct"/>
            <w:gridSpan w:val="3"/>
            <w:tcBorders>
              <w:top w:val="nil"/>
              <w:left w:val="nil"/>
              <w:bottom w:val="nil"/>
              <w:right w:val="nil"/>
            </w:tcBorders>
            <w:shd w:val="clear" w:color="auto" w:fill="auto"/>
            <w:noWrap/>
            <w:vAlign w:val="center"/>
            <w:hideMark/>
          </w:tcPr>
          <w:p w14:paraId="47E36C9C"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0–5 years</w:t>
            </w:r>
          </w:p>
        </w:tc>
        <w:tc>
          <w:tcPr>
            <w:tcW w:w="591" w:type="pct"/>
            <w:gridSpan w:val="2"/>
            <w:tcBorders>
              <w:top w:val="nil"/>
              <w:left w:val="nil"/>
              <w:bottom w:val="nil"/>
              <w:right w:val="nil"/>
            </w:tcBorders>
            <w:shd w:val="clear" w:color="auto" w:fill="auto"/>
            <w:noWrap/>
            <w:vAlign w:val="center"/>
            <w:hideMark/>
          </w:tcPr>
          <w:p w14:paraId="7ACA6BB8"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17.54</w:t>
            </w:r>
          </w:p>
        </w:tc>
        <w:tc>
          <w:tcPr>
            <w:tcW w:w="480" w:type="pct"/>
            <w:tcBorders>
              <w:top w:val="nil"/>
              <w:left w:val="nil"/>
              <w:bottom w:val="nil"/>
              <w:right w:val="nil"/>
            </w:tcBorders>
            <w:shd w:val="clear" w:color="auto" w:fill="auto"/>
            <w:noWrap/>
            <w:vAlign w:val="center"/>
            <w:hideMark/>
          </w:tcPr>
          <w:p w14:paraId="429363E3"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2.956</w:t>
            </w:r>
          </w:p>
        </w:tc>
        <w:tc>
          <w:tcPr>
            <w:tcW w:w="479" w:type="pct"/>
            <w:tcBorders>
              <w:top w:val="nil"/>
              <w:left w:val="nil"/>
              <w:bottom w:val="nil"/>
              <w:right w:val="nil"/>
            </w:tcBorders>
            <w:shd w:val="clear" w:color="auto" w:fill="auto"/>
            <w:noWrap/>
            <w:vAlign w:val="center"/>
            <w:hideMark/>
          </w:tcPr>
          <w:p w14:paraId="2B6BC0A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0.398</w:t>
            </w:r>
          </w:p>
        </w:tc>
        <w:tc>
          <w:tcPr>
            <w:tcW w:w="794" w:type="pct"/>
            <w:tcBorders>
              <w:top w:val="nil"/>
              <w:left w:val="nil"/>
              <w:bottom w:val="nil"/>
              <w:right w:val="nil"/>
            </w:tcBorders>
            <w:shd w:val="clear" w:color="auto" w:fill="auto"/>
            <w:noWrap/>
            <w:vAlign w:val="center"/>
            <w:hideMark/>
          </w:tcPr>
          <w:p w14:paraId="5FC986B3"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Not significant</w:t>
            </w:r>
          </w:p>
        </w:tc>
      </w:tr>
      <w:tr w:rsidR="002B4F8E" w:rsidRPr="00DC7B1E" w14:paraId="372C62D8" w14:textId="77777777" w:rsidTr="00FF68C5">
        <w:trPr>
          <w:trHeight w:val="300"/>
        </w:trPr>
        <w:tc>
          <w:tcPr>
            <w:tcW w:w="1611" w:type="pct"/>
            <w:tcBorders>
              <w:top w:val="nil"/>
              <w:left w:val="nil"/>
              <w:bottom w:val="nil"/>
              <w:right w:val="nil"/>
            </w:tcBorders>
            <w:shd w:val="clear" w:color="auto" w:fill="auto"/>
            <w:noWrap/>
            <w:vAlign w:val="bottom"/>
            <w:hideMark/>
          </w:tcPr>
          <w:p w14:paraId="56F0DE29"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044" w:type="pct"/>
            <w:gridSpan w:val="3"/>
            <w:tcBorders>
              <w:top w:val="nil"/>
              <w:left w:val="nil"/>
              <w:bottom w:val="nil"/>
              <w:right w:val="nil"/>
            </w:tcBorders>
            <w:shd w:val="clear" w:color="auto" w:fill="auto"/>
            <w:noWrap/>
            <w:vAlign w:val="center"/>
            <w:hideMark/>
          </w:tcPr>
          <w:p w14:paraId="7187A388"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6–10 years</w:t>
            </w:r>
          </w:p>
        </w:tc>
        <w:tc>
          <w:tcPr>
            <w:tcW w:w="591" w:type="pct"/>
            <w:gridSpan w:val="2"/>
            <w:tcBorders>
              <w:top w:val="nil"/>
              <w:left w:val="nil"/>
              <w:bottom w:val="nil"/>
              <w:right w:val="nil"/>
            </w:tcBorders>
            <w:shd w:val="clear" w:color="auto" w:fill="auto"/>
            <w:noWrap/>
            <w:vAlign w:val="center"/>
            <w:hideMark/>
          </w:tcPr>
          <w:p w14:paraId="7B999409"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15.35</w:t>
            </w:r>
          </w:p>
        </w:tc>
        <w:tc>
          <w:tcPr>
            <w:tcW w:w="480" w:type="pct"/>
            <w:tcBorders>
              <w:top w:val="nil"/>
              <w:left w:val="nil"/>
              <w:bottom w:val="nil"/>
              <w:right w:val="nil"/>
            </w:tcBorders>
            <w:shd w:val="clear" w:color="auto" w:fill="auto"/>
            <w:noWrap/>
            <w:vAlign w:val="center"/>
            <w:hideMark/>
          </w:tcPr>
          <w:p w14:paraId="4DD1126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479" w:type="pct"/>
            <w:tcBorders>
              <w:top w:val="nil"/>
              <w:left w:val="nil"/>
              <w:bottom w:val="nil"/>
              <w:right w:val="nil"/>
            </w:tcBorders>
            <w:shd w:val="clear" w:color="auto" w:fill="auto"/>
            <w:noWrap/>
            <w:vAlign w:val="center"/>
            <w:hideMark/>
          </w:tcPr>
          <w:p w14:paraId="68BB0FD8"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c>
          <w:tcPr>
            <w:tcW w:w="794" w:type="pct"/>
            <w:tcBorders>
              <w:top w:val="nil"/>
              <w:left w:val="nil"/>
              <w:bottom w:val="nil"/>
              <w:right w:val="nil"/>
            </w:tcBorders>
            <w:shd w:val="clear" w:color="auto" w:fill="auto"/>
            <w:noWrap/>
            <w:vAlign w:val="center"/>
            <w:hideMark/>
          </w:tcPr>
          <w:p w14:paraId="6B5BADEE"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r>
      <w:tr w:rsidR="002B4F8E" w:rsidRPr="00DC7B1E" w14:paraId="170B07EB" w14:textId="77777777" w:rsidTr="00FF68C5">
        <w:trPr>
          <w:trHeight w:val="300"/>
        </w:trPr>
        <w:tc>
          <w:tcPr>
            <w:tcW w:w="1611" w:type="pct"/>
            <w:tcBorders>
              <w:top w:val="nil"/>
              <w:left w:val="nil"/>
              <w:bottom w:val="nil"/>
              <w:right w:val="nil"/>
            </w:tcBorders>
            <w:shd w:val="clear" w:color="auto" w:fill="auto"/>
            <w:noWrap/>
            <w:hideMark/>
          </w:tcPr>
          <w:p w14:paraId="3CD8DB26"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c>
          <w:tcPr>
            <w:tcW w:w="1044" w:type="pct"/>
            <w:gridSpan w:val="3"/>
            <w:tcBorders>
              <w:top w:val="nil"/>
              <w:left w:val="nil"/>
              <w:bottom w:val="nil"/>
              <w:right w:val="nil"/>
            </w:tcBorders>
            <w:shd w:val="clear" w:color="auto" w:fill="auto"/>
            <w:noWrap/>
            <w:vAlign w:val="center"/>
            <w:hideMark/>
          </w:tcPr>
          <w:p w14:paraId="665C231C"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11–15 years</w:t>
            </w:r>
          </w:p>
        </w:tc>
        <w:tc>
          <w:tcPr>
            <w:tcW w:w="591" w:type="pct"/>
            <w:gridSpan w:val="2"/>
            <w:tcBorders>
              <w:top w:val="nil"/>
              <w:left w:val="nil"/>
              <w:bottom w:val="nil"/>
              <w:right w:val="nil"/>
            </w:tcBorders>
            <w:shd w:val="clear" w:color="auto" w:fill="auto"/>
            <w:noWrap/>
            <w:vAlign w:val="center"/>
            <w:hideMark/>
          </w:tcPr>
          <w:p w14:paraId="77BBCEF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15.50</w:t>
            </w:r>
          </w:p>
        </w:tc>
        <w:tc>
          <w:tcPr>
            <w:tcW w:w="480" w:type="pct"/>
            <w:tcBorders>
              <w:top w:val="nil"/>
              <w:left w:val="nil"/>
              <w:bottom w:val="nil"/>
              <w:right w:val="nil"/>
            </w:tcBorders>
            <w:shd w:val="clear" w:color="auto" w:fill="auto"/>
            <w:noWrap/>
            <w:vAlign w:val="center"/>
            <w:hideMark/>
          </w:tcPr>
          <w:p w14:paraId="7B01071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479" w:type="pct"/>
            <w:tcBorders>
              <w:top w:val="nil"/>
              <w:left w:val="nil"/>
              <w:bottom w:val="nil"/>
              <w:right w:val="nil"/>
            </w:tcBorders>
            <w:shd w:val="clear" w:color="auto" w:fill="auto"/>
            <w:noWrap/>
            <w:vAlign w:val="center"/>
            <w:hideMark/>
          </w:tcPr>
          <w:p w14:paraId="71790FE2"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c>
          <w:tcPr>
            <w:tcW w:w="794" w:type="pct"/>
            <w:tcBorders>
              <w:top w:val="nil"/>
              <w:left w:val="nil"/>
              <w:bottom w:val="nil"/>
              <w:right w:val="nil"/>
            </w:tcBorders>
            <w:shd w:val="clear" w:color="auto" w:fill="auto"/>
            <w:noWrap/>
            <w:vAlign w:val="center"/>
            <w:hideMark/>
          </w:tcPr>
          <w:p w14:paraId="4C6342EB"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r>
      <w:tr w:rsidR="002B4F8E" w:rsidRPr="00DC7B1E" w14:paraId="009C0A39" w14:textId="77777777" w:rsidTr="00FF68C5">
        <w:trPr>
          <w:trHeight w:val="300"/>
        </w:trPr>
        <w:tc>
          <w:tcPr>
            <w:tcW w:w="1611" w:type="pct"/>
            <w:tcBorders>
              <w:top w:val="nil"/>
              <w:left w:val="nil"/>
              <w:bottom w:val="nil"/>
              <w:right w:val="nil"/>
            </w:tcBorders>
            <w:shd w:val="clear" w:color="auto" w:fill="auto"/>
            <w:noWrap/>
            <w:hideMark/>
          </w:tcPr>
          <w:p w14:paraId="1D3B6DFB"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c>
          <w:tcPr>
            <w:tcW w:w="1044" w:type="pct"/>
            <w:gridSpan w:val="3"/>
            <w:tcBorders>
              <w:top w:val="nil"/>
              <w:left w:val="nil"/>
              <w:bottom w:val="nil"/>
              <w:right w:val="nil"/>
            </w:tcBorders>
            <w:shd w:val="clear" w:color="auto" w:fill="auto"/>
            <w:noWrap/>
            <w:vAlign w:val="center"/>
            <w:hideMark/>
          </w:tcPr>
          <w:p w14:paraId="0BF70516"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16–20 years</w:t>
            </w:r>
          </w:p>
        </w:tc>
        <w:tc>
          <w:tcPr>
            <w:tcW w:w="591" w:type="pct"/>
            <w:gridSpan w:val="2"/>
            <w:tcBorders>
              <w:top w:val="nil"/>
              <w:left w:val="nil"/>
              <w:bottom w:val="nil"/>
              <w:right w:val="nil"/>
            </w:tcBorders>
            <w:shd w:val="clear" w:color="auto" w:fill="auto"/>
            <w:noWrap/>
            <w:vAlign w:val="center"/>
            <w:hideMark/>
          </w:tcPr>
          <w:p w14:paraId="1E8ADABC"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7.83</w:t>
            </w:r>
          </w:p>
        </w:tc>
        <w:tc>
          <w:tcPr>
            <w:tcW w:w="480" w:type="pct"/>
            <w:tcBorders>
              <w:top w:val="nil"/>
              <w:left w:val="nil"/>
              <w:bottom w:val="nil"/>
              <w:right w:val="nil"/>
            </w:tcBorders>
            <w:shd w:val="clear" w:color="auto" w:fill="auto"/>
            <w:noWrap/>
            <w:vAlign w:val="center"/>
            <w:hideMark/>
          </w:tcPr>
          <w:p w14:paraId="4FF62B8C"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479" w:type="pct"/>
            <w:tcBorders>
              <w:top w:val="nil"/>
              <w:left w:val="nil"/>
              <w:bottom w:val="nil"/>
              <w:right w:val="nil"/>
            </w:tcBorders>
            <w:shd w:val="clear" w:color="auto" w:fill="auto"/>
            <w:noWrap/>
            <w:vAlign w:val="center"/>
            <w:hideMark/>
          </w:tcPr>
          <w:p w14:paraId="31F17E1D"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c>
          <w:tcPr>
            <w:tcW w:w="794" w:type="pct"/>
            <w:tcBorders>
              <w:top w:val="nil"/>
              <w:left w:val="nil"/>
              <w:bottom w:val="nil"/>
              <w:right w:val="nil"/>
            </w:tcBorders>
            <w:shd w:val="clear" w:color="auto" w:fill="auto"/>
            <w:noWrap/>
            <w:vAlign w:val="center"/>
            <w:hideMark/>
          </w:tcPr>
          <w:p w14:paraId="187FF9BA"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r>
      <w:tr w:rsidR="002B4F8E" w:rsidRPr="00DC7B1E" w14:paraId="7CC0AFFB" w14:textId="77777777" w:rsidTr="00FF68C5">
        <w:trPr>
          <w:trHeight w:val="300"/>
        </w:trPr>
        <w:tc>
          <w:tcPr>
            <w:tcW w:w="1611" w:type="pct"/>
            <w:tcBorders>
              <w:top w:val="nil"/>
              <w:left w:val="nil"/>
              <w:bottom w:val="nil"/>
              <w:right w:val="nil"/>
            </w:tcBorders>
            <w:shd w:val="clear" w:color="auto" w:fill="auto"/>
            <w:noWrap/>
            <w:vAlign w:val="center"/>
            <w:hideMark/>
          </w:tcPr>
          <w:p w14:paraId="7D40E247"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Courses taken related to proof</w:t>
            </w:r>
          </w:p>
        </w:tc>
        <w:tc>
          <w:tcPr>
            <w:tcW w:w="1044" w:type="pct"/>
            <w:gridSpan w:val="3"/>
            <w:tcBorders>
              <w:top w:val="nil"/>
              <w:left w:val="nil"/>
              <w:bottom w:val="nil"/>
              <w:right w:val="nil"/>
            </w:tcBorders>
            <w:shd w:val="clear" w:color="auto" w:fill="auto"/>
            <w:noWrap/>
            <w:vAlign w:val="center"/>
            <w:hideMark/>
          </w:tcPr>
          <w:p w14:paraId="3D35B920"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Geometry</w:t>
            </w:r>
          </w:p>
        </w:tc>
        <w:tc>
          <w:tcPr>
            <w:tcW w:w="591" w:type="pct"/>
            <w:gridSpan w:val="2"/>
            <w:tcBorders>
              <w:top w:val="nil"/>
              <w:left w:val="nil"/>
              <w:bottom w:val="nil"/>
              <w:right w:val="nil"/>
            </w:tcBorders>
            <w:shd w:val="clear" w:color="auto" w:fill="auto"/>
            <w:noWrap/>
            <w:vAlign w:val="center"/>
            <w:hideMark/>
          </w:tcPr>
          <w:p w14:paraId="510BE54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15.50</w:t>
            </w:r>
          </w:p>
        </w:tc>
        <w:tc>
          <w:tcPr>
            <w:tcW w:w="480" w:type="pct"/>
            <w:tcBorders>
              <w:top w:val="nil"/>
              <w:left w:val="nil"/>
              <w:bottom w:val="nil"/>
              <w:right w:val="nil"/>
            </w:tcBorders>
            <w:shd w:val="clear" w:color="auto" w:fill="auto"/>
            <w:noWrap/>
            <w:vAlign w:val="center"/>
            <w:hideMark/>
          </w:tcPr>
          <w:p w14:paraId="5066C647"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0.746</w:t>
            </w:r>
          </w:p>
        </w:tc>
        <w:tc>
          <w:tcPr>
            <w:tcW w:w="479" w:type="pct"/>
            <w:tcBorders>
              <w:top w:val="nil"/>
              <w:left w:val="nil"/>
              <w:bottom w:val="nil"/>
              <w:right w:val="nil"/>
            </w:tcBorders>
            <w:shd w:val="clear" w:color="auto" w:fill="auto"/>
            <w:noWrap/>
            <w:vAlign w:val="center"/>
            <w:hideMark/>
          </w:tcPr>
          <w:p w14:paraId="11D17F9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0.862</w:t>
            </w:r>
          </w:p>
        </w:tc>
        <w:tc>
          <w:tcPr>
            <w:tcW w:w="794" w:type="pct"/>
            <w:tcBorders>
              <w:top w:val="nil"/>
              <w:left w:val="nil"/>
              <w:bottom w:val="nil"/>
              <w:right w:val="nil"/>
            </w:tcBorders>
            <w:shd w:val="clear" w:color="auto" w:fill="auto"/>
            <w:noWrap/>
            <w:vAlign w:val="center"/>
            <w:hideMark/>
          </w:tcPr>
          <w:p w14:paraId="2D17952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Not significant</w:t>
            </w:r>
          </w:p>
        </w:tc>
      </w:tr>
      <w:tr w:rsidR="002B4F8E" w:rsidRPr="00DC7B1E" w14:paraId="77ED0F0C" w14:textId="77777777" w:rsidTr="00FF68C5">
        <w:trPr>
          <w:trHeight w:val="360"/>
        </w:trPr>
        <w:tc>
          <w:tcPr>
            <w:tcW w:w="1611" w:type="pct"/>
            <w:tcBorders>
              <w:top w:val="nil"/>
              <w:left w:val="nil"/>
              <w:bottom w:val="nil"/>
              <w:right w:val="nil"/>
            </w:tcBorders>
            <w:shd w:val="clear" w:color="auto" w:fill="auto"/>
            <w:noWrap/>
            <w:vAlign w:val="bottom"/>
            <w:hideMark/>
          </w:tcPr>
          <w:p w14:paraId="072C3BB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044" w:type="pct"/>
            <w:gridSpan w:val="3"/>
            <w:tcBorders>
              <w:top w:val="nil"/>
              <w:left w:val="nil"/>
              <w:bottom w:val="nil"/>
              <w:right w:val="nil"/>
            </w:tcBorders>
            <w:shd w:val="clear" w:color="auto" w:fill="auto"/>
            <w:noWrap/>
            <w:vAlign w:val="center"/>
            <w:hideMark/>
          </w:tcPr>
          <w:p w14:paraId="46FB2442"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Number Theory</w:t>
            </w:r>
          </w:p>
        </w:tc>
        <w:tc>
          <w:tcPr>
            <w:tcW w:w="591" w:type="pct"/>
            <w:gridSpan w:val="2"/>
            <w:tcBorders>
              <w:top w:val="nil"/>
              <w:left w:val="nil"/>
              <w:bottom w:val="nil"/>
              <w:right w:val="nil"/>
            </w:tcBorders>
            <w:shd w:val="clear" w:color="auto" w:fill="auto"/>
            <w:noWrap/>
            <w:vAlign w:val="center"/>
            <w:hideMark/>
          </w:tcPr>
          <w:p w14:paraId="2BAAD6D6"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18.41</w:t>
            </w:r>
          </w:p>
        </w:tc>
        <w:tc>
          <w:tcPr>
            <w:tcW w:w="480" w:type="pct"/>
            <w:tcBorders>
              <w:top w:val="nil"/>
              <w:left w:val="nil"/>
              <w:bottom w:val="nil"/>
              <w:right w:val="nil"/>
            </w:tcBorders>
            <w:shd w:val="clear" w:color="auto" w:fill="auto"/>
            <w:noWrap/>
            <w:vAlign w:val="center"/>
            <w:hideMark/>
          </w:tcPr>
          <w:p w14:paraId="5400A7E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479" w:type="pct"/>
            <w:tcBorders>
              <w:top w:val="nil"/>
              <w:left w:val="nil"/>
              <w:bottom w:val="nil"/>
              <w:right w:val="nil"/>
            </w:tcBorders>
            <w:shd w:val="clear" w:color="auto" w:fill="auto"/>
            <w:noWrap/>
            <w:vAlign w:val="center"/>
            <w:hideMark/>
          </w:tcPr>
          <w:p w14:paraId="38374DA6"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c>
          <w:tcPr>
            <w:tcW w:w="794" w:type="pct"/>
            <w:tcBorders>
              <w:top w:val="nil"/>
              <w:left w:val="nil"/>
              <w:bottom w:val="nil"/>
              <w:right w:val="nil"/>
            </w:tcBorders>
            <w:shd w:val="clear" w:color="auto" w:fill="auto"/>
            <w:noWrap/>
            <w:vAlign w:val="center"/>
            <w:hideMark/>
          </w:tcPr>
          <w:p w14:paraId="3CAA9A45"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r>
      <w:tr w:rsidR="002B4F8E" w:rsidRPr="00DC7B1E" w14:paraId="0F55E4B9" w14:textId="77777777" w:rsidTr="00FF68C5">
        <w:trPr>
          <w:trHeight w:val="300"/>
        </w:trPr>
        <w:tc>
          <w:tcPr>
            <w:tcW w:w="1611" w:type="pct"/>
            <w:tcBorders>
              <w:top w:val="nil"/>
              <w:left w:val="nil"/>
              <w:bottom w:val="nil"/>
              <w:right w:val="nil"/>
            </w:tcBorders>
            <w:shd w:val="clear" w:color="auto" w:fill="auto"/>
            <w:noWrap/>
            <w:hideMark/>
          </w:tcPr>
          <w:p w14:paraId="5C673239"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c>
          <w:tcPr>
            <w:tcW w:w="1044" w:type="pct"/>
            <w:gridSpan w:val="3"/>
            <w:tcBorders>
              <w:top w:val="nil"/>
              <w:left w:val="nil"/>
              <w:bottom w:val="nil"/>
              <w:right w:val="nil"/>
            </w:tcBorders>
            <w:shd w:val="clear" w:color="auto" w:fill="auto"/>
            <w:noWrap/>
            <w:vAlign w:val="center"/>
            <w:hideMark/>
          </w:tcPr>
          <w:p w14:paraId="7DFEA013"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Abstract Algebra</w:t>
            </w:r>
          </w:p>
        </w:tc>
        <w:tc>
          <w:tcPr>
            <w:tcW w:w="591" w:type="pct"/>
            <w:gridSpan w:val="2"/>
            <w:tcBorders>
              <w:top w:val="nil"/>
              <w:left w:val="nil"/>
              <w:bottom w:val="nil"/>
              <w:right w:val="nil"/>
            </w:tcBorders>
            <w:shd w:val="clear" w:color="auto" w:fill="auto"/>
            <w:noWrap/>
            <w:vAlign w:val="center"/>
            <w:hideMark/>
          </w:tcPr>
          <w:p w14:paraId="2C50044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15.50</w:t>
            </w:r>
          </w:p>
        </w:tc>
        <w:tc>
          <w:tcPr>
            <w:tcW w:w="480" w:type="pct"/>
            <w:tcBorders>
              <w:top w:val="nil"/>
              <w:left w:val="nil"/>
              <w:bottom w:val="nil"/>
              <w:right w:val="nil"/>
            </w:tcBorders>
            <w:shd w:val="clear" w:color="auto" w:fill="auto"/>
            <w:noWrap/>
            <w:vAlign w:val="center"/>
            <w:hideMark/>
          </w:tcPr>
          <w:p w14:paraId="14C09F37"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479" w:type="pct"/>
            <w:tcBorders>
              <w:top w:val="nil"/>
              <w:left w:val="nil"/>
              <w:bottom w:val="nil"/>
              <w:right w:val="nil"/>
            </w:tcBorders>
            <w:shd w:val="clear" w:color="auto" w:fill="auto"/>
            <w:noWrap/>
            <w:vAlign w:val="center"/>
            <w:hideMark/>
          </w:tcPr>
          <w:p w14:paraId="3CA8B3C8"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c>
          <w:tcPr>
            <w:tcW w:w="794" w:type="pct"/>
            <w:tcBorders>
              <w:top w:val="nil"/>
              <w:left w:val="nil"/>
              <w:bottom w:val="nil"/>
              <w:right w:val="nil"/>
            </w:tcBorders>
            <w:shd w:val="clear" w:color="auto" w:fill="auto"/>
            <w:noWrap/>
            <w:vAlign w:val="center"/>
            <w:hideMark/>
          </w:tcPr>
          <w:p w14:paraId="2F05DF57"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r>
      <w:tr w:rsidR="002B4F8E" w:rsidRPr="00DC7B1E" w14:paraId="67F26843" w14:textId="77777777" w:rsidTr="00FF68C5">
        <w:trPr>
          <w:trHeight w:val="300"/>
        </w:trPr>
        <w:tc>
          <w:tcPr>
            <w:tcW w:w="1611" w:type="pct"/>
            <w:tcBorders>
              <w:top w:val="nil"/>
              <w:left w:val="nil"/>
              <w:bottom w:val="nil"/>
              <w:right w:val="nil"/>
            </w:tcBorders>
            <w:shd w:val="clear" w:color="auto" w:fill="auto"/>
            <w:noWrap/>
            <w:vAlign w:val="center"/>
            <w:hideMark/>
          </w:tcPr>
          <w:p w14:paraId="6D34580F"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Access to instructional resources</w:t>
            </w:r>
          </w:p>
        </w:tc>
        <w:tc>
          <w:tcPr>
            <w:tcW w:w="1044" w:type="pct"/>
            <w:gridSpan w:val="3"/>
            <w:tcBorders>
              <w:top w:val="nil"/>
              <w:left w:val="nil"/>
              <w:bottom w:val="nil"/>
              <w:right w:val="nil"/>
            </w:tcBorders>
            <w:shd w:val="clear" w:color="auto" w:fill="auto"/>
            <w:vAlign w:val="center"/>
            <w:hideMark/>
          </w:tcPr>
          <w:p w14:paraId="0C2322E6"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Limited</w:t>
            </w:r>
          </w:p>
        </w:tc>
        <w:tc>
          <w:tcPr>
            <w:tcW w:w="591" w:type="pct"/>
            <w:gridSpan w:val="2"/>
            <w:tcBorders>
              <w:top w:val="nil"/>
              <w:left w:val="nil"/>
              <w:bottom w:val="nil"/>
              <w:right w:val="nil"/>
            </w:tcBorders>
            <w:shd w:val="clear" w:color="auto" w:fill="auto"/>
            <w:noWrap/>
            <w:vAlign w:val="center"/>
            <w:hideMark/>
          </w:tcPr>
          <w:p w14:paraId="3AFE975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15.28</w:t>
            </w:r>
          </w:p>
        </w:tc>
        <w:tc>
          <w:tcPr>
            <w:tcW w:w="480" w:type="pct"/>
            <w:tcBorders>
              <w:top w:val="nil"/>
              <w:left w:val="nil"/>
              <w:bottom w:val="nil"/>
              <w:right w:val="nil"/>
            </w:tcBorders>
            <w:shd w:val="clear" w:color="auto" w:fill="auto"/>
            <w:noWrap/>
            <w:vAlign w:val="center"/>
            <w:hideMark/>
          </w:tcPr>
          <w:p w14:paraId="53FFB606"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2.469</w:t>
            </w:r>
          </w:p>
        </w:tc>
        <w:tc>
          <w:tcPr>
            <w:tcW w:w="479" w:type="pct"/>
            <w:tcBorders>
              <w:top w:val="nil"/>
              <w:left w:val="nil"/>
              <w:bottom w:val="nil"/>
              <w:right w:val="nil"/>
            </w:tcBorders>
            <w:shd w:val="clear" w:color="auto" w:fill="auto"/>
            <w:noWrap/>
            <w:vAlign w:val="center"/>
            <w:hideMark/>
          </w:tcPr>
          <w:p w14:paraId="13F6D57B"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0.291</w:t>
            </w:r>
          </w:p>
        </w:tc>
        <w:tc>
          <w:tcPr>
            <w:tcW w:w="794" w:type="pct"/>
            <w:tcBorders>
              <w:top w:val="nil"/>
              <w:left w:val="nil"/>
              <w:bottom w:val="nil"/>
              <w:right w:val="nil"/>
            </w:tcBorders>
            <w:shd w:val="clear" w:color="auto" w:fill="auto"/>
            <w:noWrap/>
            <w:vAlign w:val="center"/>
            <w:hideMark/>
          </w:tcPr>
          <w:p w14:paraId="7F68863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Not significant</w:t>
            </w:r>
          </w:p>
        </w:tc>
      </w:tr>
      <w:tr w:rsidR="002B4F8E" w:rsidRPr="00DC7B1E" w14:paraId="315E334A" w14:textId="77777777" w:rsidTr="00FF68C5">
        <w:trPr>
          <w:trHeight w:val="300"/>
        </w:trPr>
        <w:tc>
          <w:tcPr>
            <w:tcW w:w="1611" w:type="pct"/>
            <w:tcBorders>
              <w:top w:val="nil"/>
              <w:left w:val="nil"/>
              <w:bottom w:val="nil"/>
              <w:right w:val="nil"/>
            </w:tcBorders>
            <w:shd w:val="clear" w:color="auto" w:fill="auto"/>
            <w:noWrap/>
            <w:vAlign w:val="bottom"/>
            <w:hideMark/>
          </w:tcPr>
          <w:p w14:paraId="5996C2A8"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044" w:type="pct"/>
            <w:gridSpan w:val="3"/>
            <w:tcBorders>
              <w:top w:val="nil"/>
              <w:left w:val="nil"/>
              <w:bottom w:val="nil"/>
              <w:right w:val="nil"/>
            </w:tcBorders>
            <w:shd w:val="clear" w:color="auto" w:fill="auto"/>
            <w:vAlign w:val="center"/>
            <w:hideMark/>
          </w:tcPr>
          <w:p w14:paraId="07B68B97"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Moderate</w:t>
            </w:r>
          </w:p>
        </w:tc>
        <w:tc>
          <w:tcPr>
            <w:tcW w:w="591" w:type="pct"/>
            <w:gridSpan w:val="2"/>
            <w:tcBorders>
              <w:top w:val="nil"/>
              <w:left w:val="nil"/>
              <w:bottom w:val="nil"/>
              <w:right w:val="nil"/>
            </w:tcBorders>
            <w:shd w:val="clear" w:color="auto" w:fill="auto"/>
            <w:noWrap/>
            <w:vAlign w:val="center"/>
            <w:hideMark/>
          </w:tcPr>
          <w:p w14:paraId="0115CA3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17.71</w:t>
            </w:r>
          </w:p>
        </w:tc>
        <w:tc>
          <w:tcPr>
            <w:tcW w:w="480" w:type="pct"/>
            <w:tcBorders>
              <w:top w:val="nil"/>
              <w:left w:val="nil"/>
              <w:bottom w:val="nil"/>
              <w:right w:val="nil"/>
            </w:tcBorders>
            <w:shd w:val="clear" w:color="auto" w:fill="auto"/>
            <w:noWrap/>
            <w:vAlign w:val="center"/>
            <w:hideMark/>
          </w:tcPr>
          <w:p w14:paraId="3BFA855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479" w:type="pct"/>
            <w:tcBorders>
              <w:top w:val="nil"/>
              <w:left w:val="nil"/>
              <w:bottom w:val="nil"/>
              <w:right w:val="nil"/>
            </w:tcBorders>
            <w:shd w:val="clear" w:color="auto" w:fill="auto"/>
            <w:noWrap/>
            <w:vAlign w:val="center"/>
            <w:hideMark/>
          </w:tcPr>
          <w:p w14:paraId="14D9C4F5"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c>
          <w:tcPr>
            <w:tcW w:w="794" w:type="pct"/>
            <w:tcBorders>
              <w:top w:val="nil"/>
              <w:left w:val="nil"/>
              <w:bottom w:val="nil"/>
              <w:right w:val="nil"/>
            </w:tcBorders>
            <w:shd w:val="clear" w:color="auto" w:fill="auto"/>
            <w:noWrap/>
            <w:vAlign w:val="center"/>
            <w:hideMark/>
          </w:tcPr>
          <w:p w14:paraId="016596FE"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r>
      <w:tr w:rsidR="002B4F8E" w:rsidRPr="00DC7B1E" w14:paraId="311BBA3D" w14:textId="77777777" w:rsidTr="00FF68C5">
        <w:trPr>
          <w:trHeight w:val="300"/>
        </w:trPr>
        <w:tc>
          <w:tcPr>
            <w:tcW w:w="1611" w:type="pct"/>
            <w:tcBorders>
              <w:top w:val="nil"/>
              <w:left w:val="nil"/>
              <w:bottom w:val="single" w:sz="4" w:space="0" w:color="auto"/>
              <w:right w:val="nil"/>
            </w:tcBorders>
            <w:shd w:val="clear" w:color="auto" w:fill="auto"/>
            <w:noWrap/>
            <w:hideMark/>
          </w:tcPr>
          <w:p w14:paraId="05E26D63"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 </w:t>
            </w:r>
          </w:p>
        </w:tc>
        <w:tc>
          <w:tcPr>
            <w:tcW w:w="1044" w:type="pct"/>
            <w:gridSpan w:val="3"/>
            <w:tcBorders>
              <w:top w:val="nil"/>
              <w:left w:val="nil"/>
              <w:bottom w:val="single" w:sz="4" w:space="0" w:color="auto"/>
              <w:right w:val="nil"/>
            </w:tcBorders>
            <w:shd w:val="clear" w:color="auto" w:fill="auto"/>
            <w:vAlign w:val="center"/>
            <w:hideMark/>
          </w:tcPr>
          <w:p w14:paraId="5A8B233A"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Adequate</w:t>
            </w:r>
          </w:p>
        </w:tc>
        <w:tc>
          <w:tcPr>
            <w:tcW w:w="591" w:type="pct"/>
            <w:gridSpan w:val="2"/>
            <w:tcBorders>
              <w:top w:val="nil"/>
              <w:left w:val="nil"/>
              <w:bottom w:val="single" w:sz="4" w:space="0" w:color="auto"/>
              <w:right w:val="nil"/>
            </w:tcBorders>
            <w:shd w:val="clear" w:color="auto" w:fill="auto"/>
            <w:noWrap/>
            <w:vAlign w:val="center"/>
            <w:hideMark/>
          </w:tcPr>
          <w:p w14:paraId="26D3495E"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11.36</w:t>
            </w:r>
          </w:p>
        </w:tc>
        <w:tc>
          <w:tcPr>
            <w:tcW w:w="480" w:type="pct"/>
            <w:tcBorders>
              <w:top w:val="nil"/>
              <w:left w:val="nil"/>
              <w:bottom w:val="single" w:sz="4" w:space="0" w:color="auto"/>
              <w:right w:val="nil"/>
            </w:tcBorders>
            <w:shd w:val="clear" w:color="auto" w:fill="auto"/>
            <w:noWrap/>
            <w:vAlign w:val="center"/>
            <w:hideMark/>
          </w:tcPr>
          <w:p w14:paraId="12B25C7D"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 </w:t>
            </w:r>
          </w:p>
        </w:tc>
        <w:tc>
          <w:tcPr>
            <w:tcW w:w="479" w:type="pct"/>
            <w:tcBorders>
              <w:top w:val="nil"/>
              <w:left w:val="nil"/>
              <w:bottom w:val="single" w:sz="4" w:space="0" w:color="auto"/>
              <w:right w:val="nil"/>
            </w:tcBorders>
            <w:shd w:val="clear" w:color="auto" w:fill="auto"/>
            <w:noWrap/>
            <w:vAlign w:val="center"/>
            <w:hideMark/>
          </w:tcPr>
          <w:p w14:paraId="5F92E9D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 </w:t>
            </w:r>
          </w:p>
        </w:tc>
        <w:tc>
          <w:tcPr>
            <w:tcW w:w="794" w:type="pct"/>
            <w:tcBorders>
              <w:top w:val="nil"/>
              <w:left w:val="nil"/>
              <w:bottom w:val="single" w:sz="4" w:space="0" w:color="auto"/>
              <w:right w:val="nil"/>
            </w:tcBorders>
            <w:shd w:val="clear" w:color="auto" w:fill="auto"/>
            <w:noWrap/>
            <w:vAlign w:val="center"/>
            <w:hideMark/>
          </w:tcPr>
          <w:p w14:paraId="2222EE46"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 </w:t>
            </w:r>
          </w:p>
        </w:tc>
      </w:tr>
      <w:tr w:rsidR="002B4F8E" w:rsidRPr="00DC7B1E" w14:paraId="124DB8E7" w14:textId="77777777" w:rsidTr="00FF68C5">
        <w:trPr>
          <w:trHeight w:val="300"/>
        </w:trPr>
        <w:tc>
          <w:tcPr>
            <w:tcW w:w="2574" w:type="pct"/>
            <w:gridSpan w:val="3"/>
            <w:tcBorders>
              <w:top w:val="single" w:sz="4" w:space="0" w:color="auto"/>
              <w:left w:val="nil"/>
              <w:bottom w:val="nil"/>
              <w:right w:val="nil"/>
            </w:tcBorders>
            <w:shd w:val="clear" w:color="auto" w:fill="auto"/>
            <w:noWrap/>
            <w:vAlign w:val="bottom"/>
            <w:hideMark/>
          </w:tcPr>
          <w:p w14:paraId="0FC48297"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Profile</w:t>
            </w:r>
          </w:p>
        </w:tc>
        <w:tc>
          <w:tcPr>
            <w:tcW w:w="661" w:type="pct"/>
            <w:gridSpan w:val="2"/>
            <w:tcBorders>
              <w:top w:val="single" w:sz="4" w:space="0" w:color="auto"/>
              <w:left w:val="nil"/>
              <w:bottom w:val="nil"/>
              <w:right w:val="nil"/>
            </w:tcBorders>
            <w:shd w:val="clear" w:color="auto" w:fill="auto"/>
            <w:noWrap/>
            <w:vAlign w:val="center"/>
            <w:hideMark/>
          </w:tcPr>
          <w:p w14:paraId="00D298D3"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mean rank</w:t>
            </w:r>
          </w:p>
        </w:tc>
        <w:tc>
          <w:tcPr>
            <w:tcW w:w="491" w:type="pct"/>
            <w:gridSpan w:val="2"/>
            <w:tcBorders>
              <w:top w:val="single" w:sz="4" w:space="0" w:color="auto"/>
              <w:left w:val="nil"/>
              <w:bottom w:val="nil"/>
              <w:right w:val="nil"/>
            </w:tcBorders>
            <w:shd w:val="clear" w:color="auto" w:fill="auto"/>
            <w:noWrap/>
            <w:vAlign w:val="center"/>
            <w:hideMark/>
          </w:tcPr>
          <w:p w14:paraId="2A3D927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U-value</w:t>
            </w:r>
          </w:p>
        </w:tc>
        <w:tc>
          <w:tcPr>
            <w:tcW w:w="454" w:type="pct"/>
            <w:tcBorders>
              <w:top w:val="single" w:sz="4" w:space="0" w:color="auto"/>
              <w:left w:val="nil"/>
              <w:bottom w:val="nil"/>
              <w:right w:val="nil"/>
            </w:tcBorders>
            <w:shd w:val="clear" w:color="auto" w:fill="auto"/>
            <w:noWrap/>
            <w:vAlign w:val="center"/>
            <w:hideMark/>
          </w:tcPr>
          <w:p w14:paraId="1727F74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p-value</w:t>
            </w:r>
          </w:p>
        </w:tc>
        <w:tc>
          <w:tcPr>
            <w:tcW w:w="819" w:type="pct"/>
            <w:tcBorders>
              <w:top w:val="single" w:sz="4" w:space="0" w:color="auto"/>
              <w:left w:val="nil"/>
              <w:bottom w:val="nil"/>
              <w:right w:val="nil"/>
            </w:tcBorders>
            <w:shd w:val="clear" w:color="auto" w:fill="auto"/>
            <w:noWrap/>
            <w:vAlign w:val="center"/>
            <w:hideMark/>
          </w:tcPr>
          <w:p w14:paraId="7347532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remarks</w:t>
            </w:r>
          </w:p>
        </w:tc>
      </w:tr>
      <w:tr w:rsidR="002B4F8E" w:rsidRPr="00DC7B1E" w14:paraId="082CC741" w14:textId="77777777" w:rsidTr="00FF68C5">
        <w:trPr>
          <w:trHeight w:val="300"/>
        </w:trPr>
        <w:tc>
          <w:tcPr>
            <w:tcW w:w="1618" w:type="pct"/>
            <w:gridSpan w:val="2"/>
            <w:tcBorders>
              <w:top w:val="single" w:sz="4" w:space="0" w:color="auto"/>
              <w:left w:val="nil"/>
              <w:bottom w:val="nil"/>
              <w:right w:val="nil"/>
            </w:tcBorders>
            <w:shd w:val="clear" w:color="auto" w:fill="auto"/>
            <w:noWrap/>
            <w:vAlign w:val="center"/>
            <w:hideMark/>
          </w:tcPr>
          <w:p w14:paraId="4ABB3AED"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Teaching Modality Used</w:t>
            </w:r>
          </w:p>
        </w:tc>
        <w:tc>
          <w:tcPr>
            <w:tcW w:w="957" w:type="pct"/>
            <w:tcBorders>
              <w:top w:val="single" w:sz="4" w:space="0" w:color="auto"/>
              <w:left w:val="nil"/>
              <w:bottom w:val="nil"/>
              <w:right w:val="nil"/>
            </w:tcBorders>
            <w:shd w:val="clear" w:color="auto" w:fill="auto"/>
            <w:noWrap/>
            <w:hideMark/>
          </w:tcPr>
          <w:p w14:paraId="0BD07B1B"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Face to face</w:t>
            </w:r>
          </w:p>
        </w:tc>
        <w:tc>
          <w:tcPr>
            <w:tcW w:w="661" w:type="pct"/>
            <w:gridSpan w:val="2"/>
            <w:tcBorders>
              <w:top w:val="single" w:sz="4" w:space="0" w:color="auto"/>
              <w:left w:val="nil"/>
              <w:bottom w:val="nil"/>
              <w:right w:val="nil"/>
            </w:tcBorders>
            <w:shd w:val="clear" w:color="auto" w:fill="auto"/>
            <w:noWrap/>
            <w:vAlign w:val="center"/>
            <w:hideMark/>
          </w:tcPr>
          <w:p w14:paraId="580F6897"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13.10</w:t>
            </w:r>
          </w:p>
        </w:tc>
        <w:tc>
          <w:tcPr>
            <w:tcW w:w="491" w:type="pct"/>
            <w:gridSpan w:val="2"/>
            <w:tcBorders>
              <w:top w:val="single" w:sz="4" w:space="0" w:color="auto"/>
              <w:left w:val="nil"/>
              <w:bottom w:val="nil"/>
              <w:right w:val="nil"/>
            </w:tcBorders>
            <w:shd w:val="clear" w:color="auto" w:fill="auto"/>
            <w:noWrap/>
            <w:vAlign w:val="center"/>
            <w:hideMark/>
          </w:tcPr>
          <w:p w14:paraId="622C420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76.500</w:t>
            </w:r>
          </w:p>
        </w:tc>
        <w:tc>
          <w:tcPr>
            <w:tcW w:w="454" w:type="pct"/>
            <w:tcBorders>
              <w:top w:val="single" w:sz="4" w:space="0" w:color="auto"/>
              <w:left w:val="nil"/>
              <w:bottom w:val="nil"/>
              <w:right w:val="nil"/>
            </w:tcBorders>
            <w:shd w:val="clear" w:color="auto" w:fill="auto"/>
            <w:noWrap/>
            <w:vAlign w:val="center"/>
            <w:hideMark/>
          </w:tcPr>
          <w:p w14:paraId="56ED998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0.137</w:t>
            </w:r>
          </w:p>
        </w:tc>
        <w:tc>
          <w:tcPr>
            <w:tcW w:w="819" w:type="pct"/>
            <w:tcBorders>
              <w:top w:val="single" w:sz="4" w:space="0" w:color="auto"/>
              <w:left w:val="nil"/>
              <w:bottom w:val="nil"/>
              <w:right w:val="nil"/>
            </w:tcBorders>
            <w:shd w:val="clear" w:color="auto" w:fill="auto"/>
            <w:noWrap/>
            <w:vAlign w:val="center"/>
            <w:hideMark/>
          </w:tcPr>
          <w:p w14:paraId="74269B9D"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Not significant</w:t>
            </w:r>
          </w:p>
        </w:tc>
      </w:tr>
      <w:tr w:rsidR="002B4F8E" w:rsidRPr="00DC7B1E" w14:paraId="16103B19" w14:textId="77777777" w:rsidTr="00FF68C5">
        <w:trPr>
          <w:trHeight w:val="300"/>
        </w:trPr>
        <w:tc>
          <w:tcPr>
            <w:tcW w:w="1618" w:type="pct"/>
            <w:gridSpan w:val="2"/>
            <w:tcBorders>
              <w:top w:val="nil"/>
              <w:left w:val="nil"/>
              <w:bottom w:val="single" w:sz="4" w:space="0" w:color="auto"/>
              <w:right w:val="nil"/>
            </w:tcBorders>
            <w:shd w:val="clear" w:color="auto" w:fill="auto"/>
            <w:noWrap/>
            <w:hideMark/>
          </w:tcPr>
          <w:p w14:paraId="38E4CDC6"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 </w:t>
            </w:r>
          </w:p>
        </w:tc>
        <w:tc>
          <w:tcPr>
            <w:tcW w:w="957" w:type="pct"/>
            <w:tcBorders>
              <w:top w:val="nil"/>
              <w:left w:val="nil"/>
              <w:bottom w:val="single" w:sz="4" w:space="0" w:color="auto"/>
              <w:right w:val="nil"/>
            </w:tcBorders>
            <w:shd w:val="clear" w:color="auto" w:fill="auto"/>
            <w:noWrap/>
            <w:hideMark/>
          </w:tcPr>
          <w:p w14:paraId="3CB6F182"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Blended learning</w:t>
            </w:r>
          </w:p>
        </w:tc>
        <w:tc>
          <w:tcPr>
            <w:tcW w:w="661" w:type="pct"/>
            <w:gridSpan w:val="2"/>
            <w:tcBorders>
              <w:top w:val="nil"/>
              <w:left w:val="nil"/>
              <w:bottom w:val="single" w:sz="4" w:space="0" w:color="auto"/>
              <w:right w:val="nil"/>
            </w:tcBorders>
            <w:shd w:val="clear" w:color="auto" w:fill="auto"/>
            <w:noWrap/>
            <w:vAlign w:val="center"/>
            <w:hideMark/>
          </w:tcPr>
          <w:p w14:paraId="515BD42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17.90</w:t>
            </w:r>
          </w:p>
        </w:tc>
        <w:tc>
          <w:tcPr>
            <w:tcW w:w="491" w:type="pct"/>
            <w:gridSpan w:val="2"/>
            <w:tcBorders>
              <w:top w:val="nil"/>
              <w:left w:val="nil"/>
              <w:bottom w:val="single" w:sz="4" w:space="0" w:color="auto"/>
              <w:right w:val="nil"/>
            </w:tcBorders>
            <w:shd w:val="clear" w:color="auto" w:fill="auto"/>
            <w:noWrap/>
            <w:vAlign w:val="center"/>
            <w:hideMark/>
          </w:tcPr>
          <w:p w14:paraId="4AE5CFE7"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 </w:t>
            </w:r>
          </w:p>
        </w:tc>
        <w:tc>
          <w:tcPr>
            <w:tcW w:w="454" w:type="pct"/>
            <w:tcBorders>
              <w:top w:val="nil"/>
              <w:left w:val="nil"/>
              <w:bottom w:val="single" w:sz="4" w:space="0" w:color="auto"/>
              <w:right w:val="nil"/>
            </w:tcBorders>
            <w:shd w:val="clear" w:color="auto" w:fill="auto"/>
            <w:noWrap/>
            <w:vAlign w:val="center"/>
            <w:hideMark/>
          </w:tcPr>
          <w:p w14:paraId="6D65A98E"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 </w:t>
            </w:r>
          </w:p>
        </w:tc>
        <w:tc>
          <w:tcPr>
            <w:tcW w:w="819" w:type="pct"/>
            <w:tcBorders>
              <w:top w:val="nil"/>
              <w:left w:val="nil"/>
              <w:bottom w:val="single" w:sz="4" w:space="0" w:color="auto"/>
              <w:right w:val="nil"/>
            </w:tcBorders>
            <w:shd w:val="clear" w:color="auto" w:fill="auto"/>
            <w:noWrap/>
            <w:vAlign w:val="center"/>
            <w:hideMark/>
          </w:tcPr>
          <w:p w14:paraId="7026A837"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 </w:t>
            </w:r>
          </w:p>
        </w:tc>
      </w:tr>
    </w:tbl>
    <w:p w14:paraId="07B7DDF7"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p>
    <w:p w14:paraId="33CB02D4"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p>
    <w:p w14:paraId="0E385E67"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r w:rsidRPr="00DC7B1E">
        <w:rPr>
          <w:rFonts w:ascii="Tahoma" w:eastAsia="Times New Roman" w:hAnsi="Tahoma" w:cs="Tahoma"/>
          <w:b/>
          <w:bCs/>
          <w:color w:val="000000" w:themeColor="text1"/>
          <w:kern w:val="0"/>
          <w:sz w:val="20"/>
          <w:szCs w:val="20"/>
          <w:lang w:eastAsia="en-PH"/>
          <w14:ligatures w14:val="none"/>
        </w:rPr>
        <w:t>Conclusions</w:t>
      </w:r>
    </w:p>
    <w:p w14:paraId="238A51AA"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p>
    <w:p w14:paraId="0C6B9BBC" w14:textId="77777777" w:rsidR="002B4F8E" w:rsidRPr="00DC7B1E" w:rsidRDefault="002B4F8E" w:rsidP="001B4BB5">
      <w:pPr>
        <w:pStyle w:val="ListParagraph"/>
        <w:numPr>
          <w:ilvl w:val="0"/>
          <w:numId w:val="5"/>
        </w:numPr>
        <w:spacing w:after="0" w:line="240" w:lineRule="auto"/>
        <w:ind w:left="714" w:hanging="357"/>
        <w:rPr>
          <w:rFonts w:ascii="Tahoma" w:eastAsia="Times New Roman" w:hAnsi="Tahoma" w:cs="Tahoma"/>
          <w:color w:val="000000" w:themeColor="text1"/>
          <w:kern w:val="0"/>
          <w:sz w:val="20"/>
          <w:szCs w:val="20"/>
          <w:lang w:eastAsia="en-PH"/>
          <w14:ligatures w14:val="none"/>
        </w:rPr>
      </w:pPr>
      <w:r w:rsidRPr="00DC7B1E">
        <w:rPr>
          <w:rFonts w:ascii="Tahoma" w:hAnsi="Tahoma" w:cs="Tahoma"/>
          <w:sz w:val="20"/>
          <w:szCs w:val="20"/>
        </w:rPr>
        <w:t>The respondents are predominantly graduate-educated mathematics teachers occupying classroom-based positions, mostly in the early to mid-stages of their teaching careers, with proof exposure largely in Geometry, moderate access to instructional resources, and equal use of face-to-face and blended teaching modalities.</w:t>
      </w:r>
    </w:p>
    <w:p w14:paraId="17423EE3" w14:textId="77777777" w:rsidR="002B4F8E" w:rsidRPr="00DC7B1E" w:rsidRDefault="002B4F8E" w:rsidP="001B4BB5">
      <w:pPr>
        <w:pStyle w:val="ListParagraph"/>
        <w:numPr>
          <w:ilvl w:val="0"/>
          <w:numId w:val="5"/>
        </w:numPr>
        <w:spacing w:after="0" w:line="240" w:lineRule="auto"/>
        <w:ind w:left="714" w:hanging="357"/>
        <w:rPr>
          <w:rFonts w:ascii="Tahoma" w:eastAsia="Times New Roman" w:hAnsi="Tahoma" w:cs="Tahoma"/>
          <w:color w:val="000000" w:themeColor="text1"/>
          <w:kern w:val="0"/>
          <w:sz w:val="20"/>
          <w:szCs w:val="20"/>
          <w:lang w:eastAsia="en-PH"/>
          <w14:ligatures w14:val="none"/>
        </w:rPr>
      </w:pPr>
      <w:r w:rsidRPr="00DC7B1E">
        <w:rPr>
          <w:rFonts w:ascii="Tahoma" w:hAnsi="Tahoma" w:cs="Tahoma"/>
          <w:sz w:val="20"/>
          <w:szCs w:val="20"/>
        </w:rPr>
        <w:t xml:space="preserve">Teachers experience a </w:t>
      </w:r>
      <w:r w:rsidRPr="00DC7B1E">
        <w:rPr>
          <w:rStyle w:val="Strong"/>
          <w:rFonts w:ascii="Tahoma" w:hAnsi="Tahoma" w:cs="Tahoma"/>
          <w:sz w:val="20"/>
          <w:szCs w:val="20"/>
        </w:rPr>
        <w:t>very high level of challenges</w:t>
      </w:r>
      <w:r w:rsidRPr="00DC7B1E">
        <w:rPr>
          <w:rFonts w:ascii="Tahoma" w:hAnsi="Tahoma" w:cs="Tahoma"/>
          <w:sz w:val="20"/>
          <w:szCs w:val="20"/>
        </w:rPr>
        <w:t xml:space="preserve"> in addressing mathematical proof across all profile categories, indicating that difficulties related to reasoning, misconceptions, motivation, curriculum, and resources are pervasive and systemic.</w:t>
      </w:r>
    </w:p>
    <w:p w14:paraId="637337CB" w14:textId="77777777" w:rsidR="002B4F8E" w:rsidRPr="00DC7B1E" w:rsidRDefault="002B4F8E" w:rsidP="001B4BB5">
      <w:pPr>
        <w:pStyle w:val="ListParagraph"/>
        <w:numPr>
          <w:ilvl w:val="0"/>
          <w:numId w:val="5"/>
        </w:numPr>
        <w:spacing w:after="0" w:line="240" w:lineRule="auto"/>
        <w:ind w:left="714" w:hanging="357"/>
        <w:rPr>
          <w:rFonts w:ascii="Tahoma" w:eastAsia="Times New Roman" w:hAnsi="Tahoma" w:cs="Tahoma"/>
          <w:color w:val="000000" w:themeColor="text1"/>
          <w:kern w:val="0"/>
          <w:sz w:val="20"/>
          <w:szCs w:val="20"/>
          <w:lang w:eastAsia="en-PH"/>
          <w14:ligatures w14:val="none"/>
        </w:rPr>
      </w:pPr>
      <w:r w:rsidRPr="00DC7B1E">
        <w:rPr>
          <w:rFonts w:ascii="Tahoma" w:hAnsi="Tahoma" w:cs="Tahoma"/>
          <w:sz w:val="20"/>
          <w:szCs w:val="20"/>
        </w:rPr>
        <w:t>Teachers address proof-related challenges by employing multiple proof techniques, structured and scaffolded instruction, guided questioning, collaborative and constructivist approaches, and strategies that emphasize reasoning, justification, and student engagement.</w:t>
      </w:r>
    </w:p>
    <w:p w14:paraId="563062D4" w14:textId="77777777" w:rsidR="002B4F8E" w:rsidRPr="00DC7B1E" w:rsidRDefault="002B4F8E" w:rsidP="001B4BB5">
      <w:pPr>
        <w:pStyle w:val="ListParagraph"/>
        <w:numPr>
          <w:ilvl w:val="0"/>
          <w:numId w:val="5"/>
        </w:numPr>
        <w:spacing w:after="0" w:line="240" w:lineRule="auto"/>
        <w:ind w:left="714" w:hanging="357"/>
        <w:rPr>
          <w:rFonts w:ascii="Tahoma" w:eastAsia="Times New Roman" w:hAnsi="Tahoma" w:cs="Tahoma"/>
          <w:color w:val="000000" w:themeColor="text1"/>
          <w:kern w:val="0"/>
          <w:sz w:val="20"/>
          <w:szCs w:val="20"/>
          <w:lang w:eastAsia="en-PH"/>
          <w14:ligatures w14:val="none"/>
        </w:rPr>
      </w:pPr>
      <w:r w:rsidRPr="00DC7B1E">
        <w:rPr>
          <w:rFonts w:ascii="Tahoma" w:hAnsi="Tahoma" w:cs="Tahoma"/>
          <w:sz w:val="20"/>
          <w:szCs w:val="20"/>
        </w:rPr>
        <w:t xml:space="preserve">There are </w:t>
      </w:r>
      <w:r w:rsidRPr="00DC7B1E">
        <w:rPr>
          <w:rStyle w:val="Strong"/>
          <w:rFonts w:ascii="Tahoma" w:hAnsi="Tahoma" w:cs="Tahoma"/>
          <w:sz w:val="20"/>
          <w:szCs w:val="20"/>
        </w:rPr>
        <w:t>no significant differences</w:t>
      </w:r>
      <w:r w:rsidRPr="00DC7B1E">
        <w:rPr>
          <w:rFonts w:ascii="Tahoma" w:hAnsi="Tahoma" w:cs="Tahoma"/>
          <w:sz w:val="20"/>
          <w:szCs w:val="20"/>
        </w:rPr>
        <w:t xml:space="preserve"> in the level of challenges encountered by teachers when grouped according to their profile variables, confirming that proof-related difficulties are experienced uniformly regardless of teachers’ background or instructional context.</w:t>
      </w:r>
    </w:p>
    <w:p w14:paraId="194C3111"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p>
    <w:p w14:paraId="1B0308AF"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r w:rsidRPr="00DC7B1E">
        <w:rPr>
          <w:rFonts w:ascii="Tahoma" w:eastAsia="Times New Roman" w:hAnsi="Tahoma" w:cs="Tahoma"/>
          <w:b/>
          <w:bCs/>
          <w:color w:val="000000" w:themeColor="text1"/>
          <w:kern w:val="0"/>
          <w:sz w:val="20"/>
          <w:szCs w:val="20"/>
          <w:lang w:eastAsia="en-PH"/>
          <w14:ligatures w14:val="none"/>
        </w:rPr>
        <w:t>Recommendations</w:t>
      </w:r>
    </w:p>
    <w:p w14:paraId="5E70DB31"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p>
    <w:p w14:paraId="2A95DACB" w14:textId="77777777" w:rsidR="002B4F8E" w:rsidRPr="00DC7B1E" w:rsidRDefault="002B4F8E" w:rsidP="001B4BB5">
      <w:pPr>
        <w:pStyle w:val="ListParagraph"/>
        <w:numPr>
          <w:ilvl w:val="0"/>
          <w:numId w:val="6"/>
        </w:numPr>
        <w:spacing w:after="0" w:line="240" w:lineRule="auto"/>
        <w:rPr>
          <w:rFonts w:ascii="Tahoma" w:eastAsia="Times New Roman" w:hAnsi="Tahoma" w:cs="Tahoma"/>
          <w:color w:val="000000" w:themeColor="text1"/>
          <w:kern w:val="0"/>
          <w:sz w:val="20"/>
          <w:szCs w:val="20"/>
          <w:lang w:eastAsia="en-PH"/>
          <w14:ligatures w14:val="none"/>
        </w:rPr>
      </w:pPr>
      <w:r w:rsidRPr="00DC7B1E">
        <w:rPr>
          <w:rFonts w:ascii="Tahoma" w:hAnsi="Tahoma" w:cs="Tahoma"/>
          <w:sz w:val="20"/>
          <w:szCs w:val="20"/>
        </w:rPr>
        <w:t>Mathematics curricula should be refined to introduce proof progressively across grade levels, with explicit emphasis on logical reasoning, justification, and proof structure rather than treating proof as an isolated or advanced topic.</w:t>
      </w:r>
    </w:p>
    <w:p w14:paraId="51F7581D" w14:textId="77777777" w:rsidR="002B4F8E" w:rsidRPr="00DC7B1E" w:rsidRDefault="002B4F8E" w:rsidP="001B4BB5">
      <w:pPr>
        <w:pStyle w:val="ListParagraph"/>
        <w:numPr>
          <w:ilvl w:val="0"/>
          <w:numId w:val="6"/>
        </w:numPr>
        <w:spacing w:after="0" w:line="240" w:lineRule="auto"/>
        <w:rPr>
          <w:rFonts w:ascii="Tahoma" w:eastAsia="Times New Roman" w:hAnsi="Tahoma" w:cs="Tahoma"/>
          <w:color w:val="000000" w:themeColor="text1"/>
          <w:kern w:val="0"/>
          <w:sz w:val="20"/>
          <w:szCs w:val="20"/>
          <w:lang w:eastAsia="en-PH"/>
          <w14:ligatures w14:val="none"/>
        </w:rPr>
      </w:pPr>
      <w:r w:rsidRPr="00DC7B1E">
        <w:rPr>
          <w:rFonts w:ascii="Tahoma" w:hAnsi="Tahoma" w:cs="Tahoma"/>
          <w:sz w:val="20"/>
          <w:szCs w:val="20"/>
        </w:rPr>
        <w:t>Schools should provide sustained professional development programs focused on teaching mathematical proof, particularly on scaffolding deductive reasoning, addressing common student misconceptions, and managing affective barriers such as anxiety and low motivation.</w:t>
      </w:r>
    </w:p>
    <w:p w14:paraId="18FC3D7C" w14:textId="77777777" w:rsidR="002B4F8E" w:rsidRPr="00DC7B1E" w:rsidRDefault="002B4F8E" w:rsidP="001B4BB5">
      <w:pPr>
        <w:pStyle w:val="ListParagraph"/>
        <w:numPr>
          <w:ilvl w:val="0"/>
          <w:numId w:val="6"/>
        </w:numPr>
        <w:spacing w:after="0" w:line="240" w:lineRule="auto"/>
        <w:rPr>
          <w:rFonts w:ascii="Tahoma" w:eastAsia="Times New Roman" w:hAnsi="Tahoma" w:cs="Tahoma"/>
          <w:color w:val="000000" w:themeColor="text1"/>
          <w:kern w:val="0"/>
          <w:sz w:val="20"/>
          <w:szCs w:val="20"/>
          <w:lang w:eastAsia="en-PH"/>
          <w14:ligatures w14:val="none"/>
        </w:rPr>
      </w:pPr>
      <w:r w:rsidRPr="00DC7B1E">
        <w:rPr>
          <w:rFonts w:ascii="Tahoma" w:hAnsi="Tahoma" w:cs="Tahoma"/>
          <w:sz w:val="20"/>
          <w:szCs w:val="20"/>
        </w:rPr>
        <w:t>Teachers are encouraged to consistently implement scaffolded and reasoning-centered instructional strategies—such as step-by-step proofs, multiple proof methods, guided questioning, and collaborative learning—to strengthen students’ conceptual understanding of proof.</w:t>
      </w:r>
    </w:p>
    <w:p w14:paraId="1FCF7592" w14:textId="77777777" w:rsidR="002B4F8E" w:rsidRPr="00DC7B1E" w:rsidRDefault="002B4F8E" w:rsidP="001B4BB5">
      <w:pPr>
        <w:pStyle w:val="ListParagraph"/>
        <w:numPr>
          <w:ilvl w:val="0"/>
          <w:numId w:val="6"/>
        </w:numPr>
        <w:spacing w:after="0" w:line="240" w:lineRule="auto"/>
        <w:rPr>
          <w:rFonts w:ascii="Tahoma" w:eastAsia="Times New Roman" w:hAnsi="Tahoma" w:cs="Tahoma"/>
          <w:color w:val="000000" w:themeColor="text1"/>
          <w:kern w:val="0"/>
          <w:sz w:val="20"/>
          <w:szCs w:val="20"/>
          <w:lang w:eastAsia="en-PH"/>
          <w14:ligatures w14:val="none"/>
        </w:rPr>
      </w:pPr>
      <w:r w:rsidRPr="00DC7B1E">
        <w:rPr>
          <w:rFonts w:ascii="Tahoma" w:hAnsi="Tahoma" w:cs="Tahoma"/>
          <w:sz w:val="20"/>
          <w:szCs w:val="20"/>
        </w:rPr>
        <w:t>High-quality, proof-focused instructional resources should be developed and made accessible, emphasizing proof construction, explanation, and evaluation rather than memorization of completed proofs.</w:t>
      </w:r>
    </w:p>
    <w:p w14:paraId="74DE2C5D" w14:textId="77777777" w:rsidR="002B4F8E" w:rsidRPr="00DC7B1E" w:rsidRDefault="002B4F8E" w:rsidP="001B4BB5">
      <w:pPr>
        <w:pStyle w:val="ListParagraph"/>
        <w:numPr>
          <w:ilvl w:val="0"/>
          <w:numId w:val="6"/>
        </w:numPr>
        <w:spacing w:after="0" w:line="240" w:lineRule="auto"/>
        <w:rPr>
          <w:rFonts w:ascii="Tahoma" w:eastAsia="Times New Roman" w:hAnsi="Tahoma" w:cs="Tahoma"/>
          <w:color w:val="000000" w:themeColor="text1"/>
          <w:kern w:val="0"/>
          <w:sz w:val="20"/>
          <w:szCs w:val="20"/>
          <w:lang w:eastAsia="en-PH"/>
          <w14:ligatures w14:val="none"/>
        </w:rPr>
      </w:pPr>
      <w:r w:rsidRPr="00DC7B1E">
        <w:rPr>
          <w:rFonts w:ascii="Tahoma" w:hAnsi="Tahoma" w:cs="Tahoma"/>
          <w:sz w:val="20"/>
          <w:szCs w:val="20"/>
        </w:rPr>
        <w:t>Further studies should explore intervention-based and longitudinal approaches to determine the effectiveness of specific instructional strategies in improving students’ proof competence across different educational levels and contexts.</w:t>
      </w:r>
    </w:p>
    <w:p w14:paraId="0A58F32F"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p>
    <w:p w14:paraId="12EB3495"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r w:rsidRPr="00DC7B1E">
        <w:rPr>
          <w:rFonts w:ascii="Tahoma" w:eastAsia="Times New Roman" w:hAnsi="Tahoma" w:cs="Tahoma"/>
          <w:b/>
          <w:bCs/>
          <w:color w:val="000000" w:themeColor="text1"/>
          <w:kern w:val="0"/>
          <w:sz w:val="20"/>
          <w:szCs w:val="20"/>
          <w:lang w:eastAsia="en-PH"/>
          <w14:ligatures w14:val="none"/>
        </w:rPr>
        <w:t>References</w:t>
      </w:r>
    </w:p>
    <w:p w14:paraId="644CFC63"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p>
    <w:p w14:paraId="787B4E02"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Almeida, D. (2020). Why prove the obvious? Students’ difficulties in understanding the role of proof in mathematics. </w:t>
      </w:r>
      <w:r w:rsidRPr="00DC7B1E">
        <w:rPr>
          <w:rFonts w:ascii="Tahoma" w:eastAsia="Times New Roman" w:hAnsi="Tahoma" w:cs="Tahoma"/>
          <w:i/>
          <w:iCs/>
          <w:kern w:val="0"/>
          <w:sz w:val="20"/>
          <w:szCs w:val="20"/>
          <w:lang w:eastAsia="en-PH"/>
          <w14:ligatures w14:val="none"/>
        </w:rPr>
        <w:t>Journal of Mathematical Behavior, 59</w:t>
      </w:r>
      <w:r w:rsidRPr="00DC7B1E">
        <w:rPr>
          <w:rFonts w:ascii="Tahoma" w:eastAsia="Times New Roman" w:hAnsi="Tahoma" w:cs="Tahoma"/>
          <w:kern w:val="0"/>
          <w:sz w:val="20"/>
          <w:szCs w:val="20"/>
          <w:lang w:eastAsia="en-PH"/>
          <w14:ligatures w14:val="none"/>
        </w:rPr>
        <w:t>, 100783.</w:t>
      </w:r>
    </w:p>
    <w:p w14:paraId="2D6CA015"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lastRenderedPageBreak/>
        <w:t xml:space="preserve">Belay, A. M. (2024). Exploring students’ difficulties in learning mathematical proof techniques (MPT) at Debark University, Ethiopia. </w:t>
      </w:r>
      <w:r w:rsidRPr="00DC7B1E">
        <w:rPr>
          <w:rFonts w:ascii="Tahoma" w:eastAsia="Times New Roman" w:hAnsi="Tahoma" w:cs="Tahoma"/>
          <w:i/>
          <w:iCs/>
          <w:kern w:val="0"/>
          <w:sz w:val="20"/>
          <w:szCs w:val="20"/>
          <w:lang w:eastAsia="en-PH"/>
          <w14:ligatures w14:val="none"/>
        </w:rPr>
        <w:t>Journal of Culture and Values in Education</w:t>
      </w:r>
      <w:r w:rsidRPr="00DC7B1E">
        <w:rPr>
          <w:rFonts w:ascii="Tahoma" w:eastAsia="Times New Roman" w:hAnsi="Tahoma" w:cs="Tahoma"/>
          <w:kern w:val="0"/>
          <w:sz w:val="20"/>
          <w:szCs w:val="20"/>
          <w:lang w:eastAsia="en-PH"/>
          <w14:ligatures w14:val="none"/>
        </w:rPr>
        <w:t>.</w:t>
      </w:r>
    </w:p>
    <w:p w14:paraId="3B461B1F"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Boesen, J., </w:t>
      </w:r>
      <w:proofErr w:type="spellStart"/>
      <w:r w:rsidRPr="00DC7B1E">
        <w:rPr>
          <w:rFonts w:ascii="Tahoma" w:eastAsia="Times New Roman" w:hAnsi="Tahoma" w:cs="Tahoma"/>
          <w:kern w:val="0"/>
          <w:sz w:val="20"/>
          <w:szCs w:val="20"/>
          <w:lang w:eastAsia="en-PH"/>
          <w14:ligatures w14:val="none"/>
        </w:rPr>
        <w:t>Lithner</w:t>
      </w:r>
      <w:proofErr w:type="spellEnd"/>
      <w:r w:rsidRPr="00DC7B1E">
        <w:rPr>
          <w:rFonts w:ascii="Tahoma" w:eastAsia="Times New Roman" w:hAnsi="Tahoma" w:cs="Tahoma"/>
          <w:kern w:val="0"/>
          <w:sz w:val="20"/>
          <w:szCs w:val="20"/>
          <w:lang w:eastAsia="en-PH"/>
          <w14:ligatures w14:val="none"/>
        </w:rPr>
        <w:t xml:space="preserve">, J., &amp; Palm, T. (2021). The importance of reasoning requirements for mathematical tasks: A study of students’ difficulties with proof. </w:t>
      </w:r>
      <w:r w:rsidRPr="00DC7B1E">
        <w:rPr>
          <w:rFonts w:ascii="Tahoma" w:eastAsia="Times New Roman" w:hAnsi="Tahoma" w:cs="Tahoma"/>
          <w:i/>
          <w:iCs/>
          <w:kern w:val="0"/>
          <w:sz w:val="20"/>
          <w:szCs w:val="20"/>
          <w:lang w:eastAsia="en-PH"/>
          <w14:ligatures w14:val="none"/>
        </w:rPr>
        <w:t>Educational Studies in Mathematics, 106</w:t>
      </w:r>
      <w:r w:rsidRPr="00DC7B1E">
        <w:rPr>
          <w:rFonts w:ascii="Tahoma" w:eastAsia="Times New Roman" w:hAnsi="Tahoma" w:cs="Tahoma"/>
          <w:kern w:val="0"/>
          <w:sz w:val="20"/>
          <w:szCs w:val="20"/>
          <w:lang w:eastAsia="en-PH"/>
          <w14:ligatures w14:val="none"/>
        </w:rPr>
        <w:t>(3), 329–348.</w:t>
      </w:r>
    </w:p>
    <w:p w14:paraId="0B8B57C5"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Creswell, J. W., &amp; Creswell, J. D. (2023). </w:t>
      </w:r>
      <w:r w:rsidRPr="00DC7B1E">
        <w:rPr>
          <w:rFonts w:ascii="Tahoma" w:eastAsia="Times New Roman" w:hAnsi="Tahoma" w:cs="Tahoma"/>
          <w:i/>
          <w:iCs/>
          <w:kern w:val="0"/>
          <w:sz w:val="20"/>
          <w:szCs w:val="20"/>
          <w:lang w:eastAsia="en-PH"/>
          <w14:ligatures w14:val="none"/>
        </w:rPr>
        <w:t xml:space="preserve">Research design: </w:t>
      </w:r>
      <w:proofErr w:type="gramStart"/>
      <w:r w:rsidRPr="00DC7B1E">
        <w:rPr>
          <w:rFonts w:ascii="Tahoma" w:eastAsia="Times New Roman" w:hAnsi="Tahoma" w:cs="Tahoma"/>
          <w:i/>
          <w:iCs/>
          <w:kern w:val="0"/>
          <w:sz w:val="20"/>
          <w:szCs w:val="20"/>
          <w:lang w:eastAsia="en-PH"/>
          <w14:ligatures w14:val="none"/>
        </w:rPr>
        <w:t>Qualitative, quantitative, and mixed methods approaches</w:t>
      </w:r>
      <w:proofErr w:type="gramEnd"/>
      <w:r w:rsidRPr="00DC7B1E">
        <w:rPr>
          <w:rFonts w:ascii="Tahoma" w:eastAsia="Times New Roman" w:hAnsi="Tahoma" w:cs="Tahoma"/>
          <w:kern w:val="0"/>
          <w:sz w:val="20"/>
          <w:szCs w:val="20"/>
          <w:lang w:eastAsia="en-PH"/>
          <w14:ligatures w14:val="none"/>
        </w:rPr>
        <w:t xml:space="preserve"> (6th ed.). SAGE Publications.</w:t>
      </w:r>
    </w:p>
    <w:p w14:paraId="7BB2DC6E"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DeJarnette, A. F., &amp; González, G. (2022). Teachers’ perspectives on students’ proof difficulties in secondary mathematics. </w:t>
      </w:r>
      <w:r w:rsidRPr="00DC7B1E">
        <w:rPr>
          <w:rFonts w:ascii="Tahoma" w:eastAsia="Times New Roman" w:hAnsi="Tahoma" w:cs="Tahoma"/>
          <w:i/>
          <w:iCs/>
          <w:kern w:val="0"/>
          <w:sz w:val="20"/>
          <w:szCs w:val="20"/>
          <w:lang w:eastAsia="en-PH"/>
          <w14:ligatures w14:val="none"/>
        </w:rPr>
        <w:t>Mathematics Teacher Education and Development, 24</w:t>
      </w:r>
      <w:r w:rsidRPr="00DC7B1E">
        <w:rPr>
          <w:rFonts w:ascii="Tahoma" w:eastAsia="Times New Roman" w:hAnsi="Tahoma" w:cs="Tahoma"/>
          <w:kern w:val="0"/>
          <w:sz w:val="20"/>
          <w:szCs w:val="20"/>
          <w:lang w:eastAsia="en-PH"/>
          <w14:ligatures w14:val="none"/>
        </w:rPr>
        <w:t>(1), 45–66.</w:t>
      </w:r>
    </w:p>
    <w:p w14:paraId="17BF6D30"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Di Martino, P., &amp; Zan, R. (2022). Attitude toward mathematics and proof: Beliefs, emotions, and classroom practices. </w:t>
      </w:r>
      <w:r w:rsidRPr="00DC7B1E">
        <w:rPr>
          <w:rFonts w:ascii="Tahoma" w:eastAsia="Times New Roman" w:hAnsi="Tahoma" w:cs="Tahoma"/>
          <w:i/>
          <w:iCs/>
          <w:kern w:val="0"/>
          <w:sz w:val="20"/>
          <w:szCs w:val="20"/>
          <w:lang w:eastAsia="en-PH"/>
          <w14:ligatures w14:val="none"/>
        </w:rPr>
        <w:t>Educational Studies in Mathematics, 110</w:t>
      </w:r>
      <w:r w:rsidRPr="00DC7B1E">
        <w:rPr>
          <w:rFonts w:ascii="Tahoma" w:eastAsia="Times New Roman" w:hAnsi="Tahoma" w:cs="Tahoma"/>
          <w:kern w:val="0"/>
          <w:sz w:val="20"/>
          <w:szCs w:val="20"/>
          <w:lang w:eastAsia="en-PH"/>
          <w14:ligatures w14:val="none"/>
        </w:rPr>
        <w:t>(2), 245–263.</w:t>
      </w:r>
    </w:p>
    <w:p w14:paraId="25CC7C6B"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Goldin, G. A., Epstein, Y. M., &amp; Schorr, R. Y. (2021). Affective pathways and mathematical reasoning: The role of beliefs and emotions in proof. </w:t>
      </w:r>
      <w:r w:rsidRPr="00DC7B1E">
        <w:rPr>
          <w:rFonts w:ascii="Tahoma" w:eastAsia="Times New Roman" w:hAnsi="Tahoma" w:cs="Tahoma"/>
          <w:i/>
          <w:iCs/>
          <w:kern w:val="0"/>
          <w:sz w:val="20"/>
          <w:szCs w:val="20"/>
          <w:lang w:eastAsia="en-PH"/>
          <w14:ligatures w14:val="none"/>
        </w:rPr>
        <w:t>Mathematical Thinking and Learning, 23</w:t>
      </w:r>
      <w:r w:rsidRPr="00DC7B1E">
        <w:rPr>
          <w:rFonts w:ascii="Tahoma" w:eastAsia="Times New Roman" w:hAnsi="Tahoma" w:cs="Tahoma"/>
          <w:kern w:val="0"/>
          <w:sz w:val="20"/>
          <w:szCs w:val="20"/>
          <w:lang w:eastAsia="en-PH"/>
          <w14:ligatures w14:val="none"/>
        </w:rPr>
        <w:t>(3), 189–210.</w:t>
      </w:r>
    </w:p>
    <w:p w14:paraId="30CDCE44"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Hanna, G., &amp; de Villiers, M. (2023). </w:t>
      </w:r>
      <w:r w:rsidRPr="00DC7B1E">
        <w:rPr>
          <w:rFonts w:ascii="Tahoma" w:eastAsia="Times New Roman" w:hAnsi="Tahoma" w:cs="Tahoma"/>
          <w:i/>
          <w:iCs/>
          <w:kern w:val="0"/>
          <w:sz w:val="20"/>
          <w:szCs w:val="20"/>
          <w:lang w:eastAsia="en-PH"/>
          <w14:ligatures w14:val="none"/>
        </w:rPr>
        <w:t>Proof and proving in mathematics education: New developments and directions</w:t>
      </w:r>
      <w:r w:rsidRPr="00DC7B1E">
        <w:rPr>
          <w:rFonts w:ascii="Tahoma" w:eastAsia="Times New Roman" w:hAnsi="Tahoma" w:cs="Tahoma"/>
          <w:kern w:val="0"/>
          <w:sz w:val="20"/>
          <w:szCs w:val="20"/>
          <w:lang w:eastAsia="en-PH"/>
          <w14:ligatures w14:val="none"/>
        </w:rPr>
        <w:t>. Springer.</w:t>
      </w:r>
    </w:p>
    <w:p w14:paraId="626EE5C9"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Harel, G., &amp; Soto, J. (2021). Principles for learning and teaching mathematical proof. </w:t>
      </w:r>
      <w:r w:rsidRPr="00DC7B1E">
        <w:rPr>
          <w:rFonts w:ascii="Tahoma" w:eastAsia="Times New Roman" w:hAnsi="Tahoma" w:cs="Tahoma"/>
          <w:i/>
          <w:iCs/>
          <w:kern w:val="0"/>
          <w:sz w:val="20"/>
          <w:szCs w:val="20"/>
          <w:lang w:eastAsia="en-PH"/>
          <w14:ligatures w14:val="none"/>
        </w:rPr>
        <w:t>ZDM–Mathematics Education, 53</w:t>
      </w:r>
      <w:r w:rsidRPr="00DC7B1E">
        <w:rPr>
          <w:rFonts w:ascii="Tahoma" w:eastAsia="Times New Roman" w:hAnsi="Tahoma" w:cs="Tahoma"/>
          <w:kern w:val="0"/>
          <w:sz w:val="20"/>
          <w:szCs w:val="20"/>
          <w:lang w:eastAsia="en-PH"/>
          <w14:ligatures w14:val="none"/>
        </w:rPr>
        <w:t>(5), 1009–1022.</w:t>
      </w:r>
    </w:p>
    <w:p w14:paraId="53723D1D"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Hummer, A., et al. (2025). Students’ common errors in geometric proving: Hindering mathematical understanding. </w:t>
      </w:r>
      <w:r w:rsidRPr="00DC7B1E">
        <w:rPr>
          <w:rFonts w:ascii="Tahoma" w:eastAsia="Times New Roman" w:hAnsi="Tahoma" w:cs="Tahoma"/>
          <w:i/>
          <w:iCs/>
          <w:kern w:val="0"/>
          <w:sz w:val="20"/>
          <w:szCs w:val="20"/>
          <w:lang w:eastAsia="en-PH"/>
          <w14:ligatures w14:val="none"/>
        </w:rPr>
        <w:t>International Journal of Fundamental and Multidisciplinary Research</w:t>
      </w:r>
      <w:r w:rsidRPr="00DC7B1E">
        <w:rPr>
          <w:rFonts w:ascii="Tahoma" w:eastAsia="Times New Roman" w:hAnsi="Tahoma" w:cs="Tahoma"/>
          <w:kern w:val="0"/>
          <w:sz w:val="20"/>
          <w:szCs w:val="20"/>
          <w:lang w:eastAsia="en-PH"/>
          <w14:ligatures w14:val="none"/>
        </w:rPr>
        <w:t>.</w:t>
      </w:r>
    </w:p>
    <w:p w14:paraId="609F6D5B"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Inglis, M., Alcock, L., &amp; Simpson, A. (2022). Teaching proof comprehension: From structure to meaning. </w:t>
      </w:r>
      <w:r w:rsidRPr="00DC7B1E">
        <w:rPr>
          <w:rFonts w:ascii="Tahoma" w:eastAsia="Times New Roman" w:hAnsi="Tahoma" w:cs="Tahoma"/>
          <w:i/>
          <w:iCs/>
          <w:kern w:val="0"/>
          <w:sz w:val="20"/>
          <w:szCs w:val="20"/>
          <w:lang w:eastAsia="en-PH"/>
          <w14:ligatures w14:val="none"/>
        </w:rPr>
        <w:t>Journal of Mathematical Behavior, 66</w:t>
      </w:r>
      <w:r w:rsidRPr="00DC7B1E">
        <w:rPr>
          <w:rFonts w:ascii="Tahoma" w:eastAsia="Times New Roman" w:hAnsi="Tahoma" w:cs="Tahoma"/>
          <w:kern w:val="0"/>
          <w:sz w:val="20"/>
          <w:szCs w:val="20"/>
          <w:lang w:eastAsia="en-PH"/>
          <w14:ligatures w14:val="none"/>
        </w:rPr>
        <w:t>, 100955.</w:t>
      </w:r>
    </w:p>
    <w:p w14:paraId="5F332482"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Inglis, M., &amp; Mejía-Ramos, J. P. (2024). Technology, visualization, and proof comprehension in advanced mathematics. </w:t>
      </w:r>
      <w:r w:rsidRPr="00DC7B1E">
        <w:rPr>
          <w:rFonts w:ascii="Tahoma" w:eastAsia="Times New Roman" w:hAnsi="Tahoma" w:cs="Tahoma"/>
          <w:i/>
          <w:iCs/>
          <w:kern w:val="0"/>
          <w:sz w:val="20"/>
          <w:szCs w:val="20"/>
          <w:lang w:eastAsia="en-PH"/>
          <w14:ligatures w14:val="none"/>
        </w:rPr>
        <w:t>Educational Studies in Mathematics, 115</w:t>
      </w:r>
      <w:r w:rsidRPr="00DC7B1E">
        <w:rPr>
          <w:rFonts w:ascii="Tahoma" w:eastAsia="Times New Roman" w:hAnsi="Tahoma" w:cs="Tahoma"/>
          <w:kern w:val="0"/>
          <w:sz w:val="20"/>
          <w:szCs w:val="20"/>
          <w:lang w:eastAsia="en-PH"/>
          <w14:ligatures w14:val="none"/>
        </w:rPr>
        <w:t>(1), 1–20.</w:t>
      </w:r>
    </w:p>
    <w:p w14:paraId="480C7102"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Jones, K., &amp; Brodie, K. (2023). Making mathematical reasoning explicit: Teacher moves that support students’ proof development. </w:t>
      </w:r>
      <w:r w:rsidRPr="00DC7B1E">
        <w:rPr>
          <w:rFonts w:ascii="Tahoma" w:eastAsia="Times New Roman" w:hAnsi="Tahoma" w:cs="Tahoma"/>
          <w:i/>
          <w:iCs/>
          <w:kern w:val="0"/>
          <w:sz w:val="20"/>
          <w:szCs w:val="20"/>
          <w:lang w:eastAsia="en-PH"/>
          <w14:ligatures w14:val="none"/>
        </w:rPr>
        <w:t>International Journal of STEM Education, 10</w:t>
      </w:r>
      <w:r w:rsidRPr="00DC7B1E">
        <w:rPr>
          <w:rFonts w:ascii="Tahoma" w:eastAsia="Times New Roman" w:hAnsi="Tahoma" w:cs="Tahoma"/>
          <w:kern w:val="0"/>
          <w:sz w:val="20"/>
          <w:szCs w:val="20"/>
          <w:lang w:eastAsia="en-PH"/>
          <w14:ligatures w14:val="none"/>
        </w:rPr>
        <w:t>(12), 1–15.</w:t>
      </w:r>
    </w:p>
    <w:p w14:paraId="20583524"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proofErr w:type="spellStart"/>
      <w:r w:rsidRPr="00DC7B1E">
        <w:rPr>
          <w:rFonts w:ascii="Tahoma" w:eastAsia="Times New Roman" w:hAnsi="Tahoma" w:cs="Tahoma"/>
          <w:kern w:val="0"/>
          <w:sz w:val="20"/>
          <w:szCs w:val="20"/>
          <w:lang w:eastAsia="en-PH"/>
          <w14:ligatures w14:val="none"/>
        </w:rPr>
        <w:t>Karalı</w:t>
      </w:r>
      <w:proofErr w:type="spellEnd"/>
      <w:r w:rsidRPr="00DC7B1E">
        <w:rPr>
          <w:rFonts w:ascii="Tahoma" w:eastAsia="Times New Roman" w:hAnsi="Tahoma" w:cs="Tahoma"/>
          <w:kern w:val="0"/>
          <w:sz w:val="20"/>
          <w:szCs w:val="20"/>
          <w:lang w:eastAsia="en-PH"/>
          <w14:ligatures w14:val="none"/>
        </w:rPr>
        <w:t xml:space="preserve">, Y. (2022). Difficulties classroom teachers encounter in teaching mathematics: A phenomenological study. </w:t>
      </w:r>
      <w:r w:rsidRPr="00DC7B1E">
        <w:rPr>
          <w:rFonts w:ascii="Tahoma" w:eastAsia="Times New Roman" w:hAnsi="Tahoma" w:cs="Tahoma"/>
          <w:i/>
          <w:iCs/>
          <w:kern w:val="0"/>
          <w:sz w:val="20"/>
          <w:szCs w:val="20"/>
          <w:lang w:eastAsia="en-PH"/>
          <w14:ligatures w14:val="none"/>
        </w:rPr>
        <w:t>International Journal of Progressive Education, 18</w:t>
      </w:r>
      <w:r w:rsidRPr="00DC7B1E">
        <w:rPr>
          <w:rFonts w:ascii="Tahoma" w:eastAsia="Times New Roman" w:hAnsi="Tahoma" w:cs="Tahoma"/>
          <w:kern w:val="0"/>
          <w:sz w:val="20"/>
          <w:szCs w:val="20"/>
          <w:lang w:eastAsia="en-PH"/>
          <w14:ligatures w14:val="none"/>
        </w:rPr>
        <w:t>(5).</w:t>
      </w:r>
    </w:p>
    <w:p w14:paraId="72FB70A1"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Klock, H., &amp; Godino, J. (2021). Teachers’ knowledge and beliefs about mathematical proof: Implications for instruction. </w:t>
      </w:r>
      <w:r w:rsidRPr="00DC7B1E">
        <w:rPr>
          <w:rFonts w:ascii="Tahoma" w:eastAsia="Times New Roman" w:hAnsi="Tahoma" w:cs="Tahoma"/>
          <w:i/>
          <w:iCs/>
          <w:kern w:val="0"/>
          <w:sz w:val="20"/>
          <w:szCs w:val="20"/>
          <w:lang w:eastAsia="en-PH"/>
          <w14:ligatures w14:val="none"/>
        </w:rPr>
        <w:t>Journal of Mathematical Teacher Education, 24</w:t>
      </w:r>
      <w:r w:rsidRPr="00DC7B1E">
        <w:rPr>
          <w:rFonts w:ascii="Tahoma" w:eastAsia="Times New Roman" w:hAnsi="Tahoma" w:cs="Tahoma"/>
          <w:kern w:val="0"/>
          <w:sz w:val="20"/>
          <w:szCs w:val="20"/>
          <w:lang w:eastAsia="en-PH"/>
          <w14:ligatures w14:val="none"/>
        </w:rPr>
        <w:t>(4), 341–366.</w:t>
      </w:r>
    </w:p>
    <w:p w14:paraId="331CC66D"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Lai, Y., &amp; Weber, K. (2020). An examination of how expert mathematics teachers diagnose and respond to students’ proof-related difficulties. </w:t>
      </w:r>
      <w:r w:rsidRPr="00DC7B1E">
        <w:rPr>
          <w:rFonts w:ascii="Tahoma" w:eastAsia="Times New Roman" w:hAnsi="Tahoma" w:cs="Tahoma"/>
          <w:i/>
          <w:iCs/>
          <w:kern w:val="0"/>
          <w:sz w:val="20"/>
          <w:szCs w:val="20"/>
          <w:lang w:eastAsia="en-PH"/>
          <w14:ligatures w14:val="none"/>
        </w:rPr>
        <w:t>Journal for Research in Mathematics Education, 51</w:t>
      </w:r>
      <w:r w:rsidRPr="00DC7B1E">
        <w:rPr>
          <w:rFonts w:ascii="Tahoma" w:eastAsia="Times New Roman" w:hAnsi="Tahoma" w:cs="Tahoma"/>
          <w:kern w:val="0"/>
          <w:sz w:val="20"/>
          <w:szCs w:val="20"/>
          <w:lang w:eastAsia="en-PH"/>
          <w14:ligatures w14:val="none"/>
        </w:rPr>
        <w:t>(3), 303–335.</w:t>
      </w:r>
    </w:p>
    <w:p w14:paraId="71F519D6"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Mejía-Ramos, J. P., &amp; Inglis, M. (2023). Assessing understanding of proof: Advances and challenges. </w:t>
      </w:r>
      <w:r w:rsidRPr="00DC7B1E">
        <w:rPr>
          <w:rFonts w:ascii="Tahoma" w:eastAsia="Times New Roman" w:hAnsi="Tahoma" w:cs="Tahoma"/>
          <w:i/>
          <w:iCs/>
          <w:kern w:val="0"/>
          <w:sz w:val="20"/>
          <w:szCs w:val="20"/>
          <w:lang w:eastAsia="en-PH"/>
          <w14:ligatures w14:val="none"/>
        </w:rPr>
        <w:t>Mathematical Thinking and Learning, 25</w:t>
      </w:r>
      <w:r w:rsidRPr="00DC7B1E">
        <w:rPr>
          <w:rFonts w:ascii="Tahoma" w:eastAsia="Times New Roman" w:hAnsi="Tahoma" w:cs="Tahoma"/>
          <w:kern w:val="0"/>
          <w:sz w:val="20"/>
          <w:szCs w:val="20"/>
          <w:lang w:eastAsia="en-PH"/>
          <w14:ligatures w14:val="none"/>
        </w:rPr>
        <w:t>(1), 1–18.</w:t>
      </w:r>
    </w:p>
    <w:p w14:paraId="62ED2991"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Mejía-Ramos, J. P., Fuller, E., Weber, K., Rhoads, K., &amp; </w:t>
      </w:r>
      <w:proofErr w:type="spellStart"/>
      <w:r w:rsidRPr="00DC7B1E">
        <w:rPr>
          <w:rFonts w:ascii="Tahoma" w:eastAsia="Times New Roman" w:hAnsi="Tahoma" w:cs="Tahoma"/>
          <w:kern w:val="0"/>
          <w:sz w:val="20"/>
          <w:szCs w:val="20"/>
          <w:lang w:eastAsia="en-PH"/>
          <w14:ligatures w14:val="none"/>
        </w:rPr>
        <w:t>Samkoff</w:t>
      </w:r>
      <w:proofErr w:type="spellEnd"/>
      <w:r w:rsidRPr="00DC7B1E">
        <w:rPr>
          <w:rFonts w:ascii="Tahoma" w:eastAsia="Times New Roman" w:hAnsi="Tahoma" w:cs="Tahoma"/>
          <w:kern w:val="0"/>
          <w:sz w:val="20"/>
          <w:szCs w:val="20"/>
          <w:lang w:eastAsia="en-PH"/>
          <w14:ligatures w14:val="none"/>
        </w:rPr>
        <w:t xml:space="preserve">, A. (2022). An assessment model for students’ proof comprehension. </w:t>
      </w:r>
      <w:r w:rsidRPr="00DC7B1E">
        <w:rPr>
          <w:rFonts w:ascii="Tahoma" w:eastAsia="Times New Roman" w:hAnsi="Tahoma" w:cs="Tahoma"/>
          <w:i/>
          <w:iCs/>
          <w:kern w:val="0"/>
          <w:sz w:val="20"/>
          <w:szCs w:val="20"/>
          <w:lang w:eastAsia="en-PH"/>
          <w14:ligatures w14:val="none"/>
        </w:rPr>
        <w:t>Educational Studies in Mathematics, 109</w:t>
      </w:r>
      <w:r w:rsidRPr="00DC7B1E">
        <w:rPr>
          <w:rFonts w:ascii="Tahoma" w:eastAsia="Times New Roman" w:hAnsi="Tahoma" w:cs="Tahoma"/>
          <w:kern w:val="0"/>
          <w:sz w:val="20"/>
          <w:szCs w:val="20"/>
          <w:lang w:eastAsia="en-PH"/>
          <w14:ligatures w14:val="none"/>
        </w:rPr>
        <w:t>(1), 1–22.</w:t>
      </w:r>
    </w:p>
    <w:p w14:paraId="3F607F36"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Morgan, C. (2022). </w:t>
      </w:r>
      <w:r w:rsidRPr="00DC7B1E">
        <w:rPr>
          <w:rFonts w:ascii="Tahoma" w:eastAsia="Times New Roman" w:hAnsi="Tahoma" w:cs="Tahoma"/>
          <w:i/>
          <w:iCs/>
          <w:kern w:val="0"/>
          <w:sz w:val="20"/>
          <w:szCs w:val="20"/>
          <w:lang w:eastAsia="en-PH"/>
          <w14:ligatures w14:val="none"/>
        </w:rPr>
        <w:t>Language and meaning in mathematics education: Theory and practice</w:t>
      </w:r>
      <w:r w:rsidRPr="00DC7B1E">
        <w:rPr>
          <w:rFonts w:ascii="Tahoma" w:eastAsia="Times New Roman" w:hAnsi="Tahoma" w:cs="Tahoma"/>
          <w:kern w:val="0"/>
          <w:sz w:val="20"/>
          <w:szCs w:val="20"/>
          <w:lang w:eastAsia="en-PH"/>
          <w14:ligatures w14:val="none"/>
        </w:rPr>
        <w:t>. Routledge.</w:t>
      </w:r>
    </w:p>
    <w:p w14:paraId="73FD04CB"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Prediger, S., &amp; Erath, M. (2021). Language-responsive mathematics teaching and the construction of meaning. </w:t>
      </w:r>
      <w:r w:rsidRPr="00DC7B1E">
        <w:rPr>
          <w:rFonts w:ascii="Tahoma" w:eastAsia="Times New Roman" w:hAnsi="Tahoma" w:cs="Tahoma"/>
          <w:i/>
          <w:iCs/>
          <w:kern w:val="0"/>
          <w:sz w:val="20"/>
          <w:szCs w:val="20"/>
          <w:lang w:eastAsia="en-PH"/>
          <w14:ligatures w14:val="none"/>
        </w:rPr>
        <w:t>ZDM–Mathematics Education, 53</w:t>
      </w:r>
      <w:r w:rsidRPr="00DC7B1E">
        <w:rPr>
          <w:rFonts w:ascii="Tahoma" w:eastAsia="Times New Roman" w:hAnsi="Tahoma" w:cs="Tahoma"/>
          <w:kern w:val="0"/>
          <w:sz w:val="20"/>
          <w:szCs w:val="20"/>
          <w:lang w:eastAsia="en-PH"/>
          <w14:ligatures w14:val="none"/>
        </w:rPr>
        <w:t>(2), 263–276.</w:t>
      </w:r>
    </w:p>
    <w:p w14:paraId="4CADD934"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proofErr w:type="spellStart"/>
      <w:r w:rsidRPr="00DC7B1E">
        <w:rPr>
          <w:rFonts w:ascii="Tahoma" w:eastAsia="Times New Roman" w:hAnsi="Tahoma" w:cs="Tahoma"/>
          <w:kern w:val="0"/>
          <w:sz w:val="20"/>
          <w:szCs w:val="20"/>
          <w:lang w:eastAsia="en-PH"/>
          <w14:ligatures w14:val="none"/>
        </w:rPr>
        <w:t>Quinio</w:t>
      </w:r>
      <w:proofErr w:type="spellEnd"/>
      <w:r w:rsidRPr="00DC7B1E">
        <w:rPr>
          <w:rFonts w:ascii="Tahoma" w:eastAsia="Times New Roman" w:hAnsi="Tahoma" w:cs="Tahoma"/>
          <w:kern w:val="0"/>
          <w:sz w:val="20"/>
          <w:szCs w:val="20"/>
          <w:lang w:eastAsia="en-PH"/>
          <w14:ligatures w14:val="none"/>
        </w:rPr>
        <w:t xml:space="preserve">, K. A., &amp; Cuarto, P. M. (2025). Development and validation of self-reflected mathematical scale among senior high school students in the Philippines. </w:t>
      </w:r>
      <w:r w:rsidRPr="00DC7B1E">
        <w:rPr>
          <w:rFonts w:ascii="Tahoma" w:eastAsia="Times New Roman" w:hAnsi="Tahoma" w:cs="Tahoma"/>
          <w:i/>
          <w:iCs/>
          <w:kern w:val="0"/>
          <w:sz w:val="20"/>
          <w:szCs w:val="20"/>
          <w:lang w:eastAsia="en-PH"/>
          <w14:ligatures w14:val="none"/>
        </w:rPr>
        <w:t>International Journal of Multidisciplinary Applied Business and Education Research</w:t>
      </w:r>
      <w:r w:rsidRPr="00DC7B1E">
        <w:rPr>
          <w:rFonts w:ascii="Tahoma" w:eastAsia="Times New Roman" w:hAnsi="Tahoma" w:cs="Tahoma"/>
          <w:kern w:val="0"/>
          <w:sz w:val="20"/>
          <w:szCs w:val="20"/>
          <w:lang w:eastAsia="en-PH"/>
          <w14:ligatures w14:val="none"/>
        </w:rPr>
        <w:t>.</w:t>
      </w:r>
    </w:p>
    <w:p w14:paraId="44728AAA"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Schleppegrell, M. J. (2023). </w:t>
      </w:r>
      <w:r w:rsidRPr="00DC7B1E">
        <w:rPr>
          <w:rFonts w:ascii="Tahoma" w:eastAsia="Times New Roman" w:hAnsi="Tahoma" w:cs="Tahoma"/>
          <w:i/>
          <w:iCs/>
          <w:kern w:val="0"/>
          <w:sz w:val="20"/>
          <w:szCs w:val="20"/>
          <w:lang w:eastAsia="en-PH"/>
          <w14:ligatures w14:val="none"/>
        </w:rPr>
        <w:t>The language of schooling: A functional linguistics perspective</w:t>
      </w:r>
      <w:r w:rsidRPr="00DC7B1E">
        <w:rPr>
          <w:rFonts w:ascii="Tahoma" w:eastAsia="Times New Roman" w:hAnsi="Tahoma" w:cs="Tahoma"/>
          <w:kern w:val="0"/>
          <w:sz w:val="20"/>
          <w:szCs w:val="20"/>
          <w:lang w:eastAsia="en-PH"/>
          <w14:ligatures w14:val="none"/>
        </w:rPr>
        <w:t>. Springer.</w:t>
      </w:r>
    </w:p>
    <w:p w14:paraId="793E6F60"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Selden, A., &amp; Selden, J. (2021). Understanding the nature of proof and students’ difficulties with proving. In </w:t>
      </w:r>
      <w:r w:rsidRPr="00DC7B1E">
        <w:rPr>
          <w:rFonts w:ascii="Tahoma" w:eastAsia="Times New Roman" w:hAnsi="Tahoma" w:cs="Tahoma"/>
          <w:i/>
          <w:iCs/>
          <w:kern w:val="0"/>
          <w:sz w:val="20"/>
          <w:szCs w:val="20"/>
          <w:lang w:eastAsia="en-PH"/>
          <w14:ligatures w14:val="none"/>
        </w:rPr>
        <w:t>Advances in Mathematics Education Research</w:t>
      </w:r>
      <w:r w:rsidRPr="00DC7B1E">
        <w:rPr>
          <w:rFonts w:ascii="Tahoma" w:eastAsia="Times New Roman" w:hAnsi="Tahoma" w:cs="Tahoma"/>
          <w:kern w:val="0"/>
          <w:sz w:val="20"/>
          <w:szCs w:val="20"/>
          <w:lang w:eastAsia="en-PH"/>
          <w14:ligatures w14:val="none"/>
        </w:rPr>
        <w:t xml:space="preserve"> (pp. 45–62). Springer.</w:t>
      </w:r>
    </w:p>
    <w:p w14:paraId="6B43AAFC"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Stylianides, A. J. (2022). Reconceptualizing proof in school mathematics: Empirical and theoretical perspectives. </w:t>
      </w:r>
      <w:r w:rsidRPr="00DC7B1E">
        <w:rPr>
          <w:rFonts w:ascii="Tahoma" w:eastAsia="Times New Roman" w:hAnsi="Tahoma" w:cs="Tahoma"/>
          <w:i/>
          <w:iCs/>
          <w:kern w:val="0"/>
          <w:sz w:val="20"/>
          <w:szCs w:val="20"/>
          <w:lang w:eastAsia="en-PH"/>
          <w14:ligatures w14:val="none"/>
        </w:rPr>
        <w:t>Journal for Research in Mathematics Education, 53</w:t>
      </w:r>
      <w:r w:rsidRPr="00DC7B1E">
        <w:rPr>
          <w:rFonts w:ascii="Tahoma" w:eastAsia="Times New Roman" w:hAnsi="Tahoma" w:cs="Tahoma"/>
          <w:kern w:val="0"/>
          <w:sz w:val="20"/>
          <w:szCs w:val="20"/>
          <w:lang w:eastAsia="en-PH"/>
          <w14:ligatures w14:val="none"/>
        </w:rPr>
        <w:t>(3), 209–240.</w:t>
      </w:r>
    </w:p>
    <w:p w14:paraId="1E038228"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Stylianides, G. J., &amp; Stylianides, A. J. (2021). Students’ engagement with mathematical proof: Cognitive and instructional dimensions. </w:t>
      </w:r>
      <w:r w:rsidRPr="00DC7B1E">
        <w:rPr>
          <w:rFonts w:ascii="Tahoma" w:eastAsia="Times New Roman" w:hAnsi="Tahoma" w:cs="Tahoma"/>
          <w:i/>
          <w:iCs/>
          <w:kern w:val="0"/>
          <w:sz w:val="20"/>
          <w:szCs w:val="20"/>
          <w:lang w:eastAsia="en-PH"/>
          <w14:ligatures w14:val="none"/>
        </w:rPr>
        <w:t>Educational Studies in Mathematics, 107</w:t>
      </w:r>
      <w:r w:rsidRPr="00DC7B1E">
        <w:rPr>
          <w:rFonts w:ascii="Tahoma" w:eastAsia="Times New Roman" w:hAnsi="Tahoma" w:cs="Tahoma"/>
          <w:kern w:val="0"/>
          <w:sz w:val="20"/>
          <w:szCs w:val="20"/>
          <w:lang w:eastAsia="en-PH"/>
          <w14:ligatures w14:val="none"/>
        </w:rPr>
        <w:t>(3), 457–476.</w:t>
      </w:r>
    </w:p>
    <w:p w14:paraId="07A4EEB5"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Stylianides, G. J., &amp; Stylianides, A. J. (2023). Improving the teaching of mathematical proof: Designing and evaluating teacher-support interventions. </w:t>
      </w:r>
      <w:r w:rsidRPr="00DC7B1E">
        <w:rPr>
          <w:rFonts w:ascii="Tahoma" w:eastAsia="Times New Roman" w:hAnsi="Tahoma" w:cs="Tahoma"/>
          <w:i/>
          <w:iCs/>
          <w:kern w:val="0"/>
          <w:sz w:val="20"/>
          <w:szCs w:val="20"/>
          <w:lang w:eastAsia="en-PH"/>
          <w14:ligatures w14:val="none"/>
        </w:rPr>
        <w:t>Educational Research Review, 39</w:t>
      </w:r>
      <w:r w:rsidRPr="00DC7B1E">
        <w:rPr>
          <w:rFonts w:ascii="Tahoma" w:eastAsia="Times New Roman" w:hAnsi="Tahoma" w:cs="Tahoma"/>
          <w:kern w:val="0"/>
          <w:sz w:val="20"/>
          <w:szCs w:val="20"/>
          <w:lang w:eastAsia="en-PH"/>
          <w14:ligatures w14:val="none"/>
        </w:rPr>
        <w:t>, 100510.</w:t>
      </w:r>
    </w:p>
    <w:p w14:paraId="5D6655BE"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Stylianides, G. J., Stylianides, A. J., &amp; </w:t>
      </w:r>
      <w:proofErr w:type="spellStart"/>
      <w:r w:rsidRPr="00DC7B1E">
        <w:rPr>
          <w:rFonts w:ascii="Tahoma" w:eastAsia="Times New Roman" w:hAnsi="Tahoma" w:cs="Tahoma"/>
          <w:kern w:val="0"/>
          <w:sz w:val="20"/>
          <w:szCs w:val="20"/>
          <w:lang w:eastAsia="en-PH"/>
          <w14:ligatures w14:val="none"/>
        </w:rPr>
        <w:t>Moutsios-Rentzos</w:t>
      </w:r>
      <w:proofErr w:type="spellEnd"/>
      <w:r w:rsidRPr="00DC7B1E">
        <w:rPr>
          <w:rFonts w:ascii="Tahoma" w:eastAsia="Times New Roman" w:hAnsi="Tahoma" w:cs="Tahoma"/>
          <w:kern w:val="0"/>
          <w:sz w:val="20"/>
          <w:szCs w:val="20"/>
          <w:lang w:eastAsia="en-PH"/>
          <w14:ligatures w14:val="none"/>
        </w:rPr>
        <w:t xml:space="preserve">, A. (2023). Teaching and learning proof: A systematic review of research. </w:t>
      </w:r>
      <w:r w:rsidRPr="00DC7B1E">
        <w:rPr>
          <w:rFonts w:ascii="Tahoma" w:eastAsia="Times New Roman" w:hAnsi="Tahoma" w:cs="Tahoma"/>
          <w:i/>
          <w:iCs/>
          <w:kern w:val="0"/>
          <w:sz w:val="20"/>
          <w:szCs w:val="20"/>
          <w:lang w:eastAsia="en-PH"/>
          <w14:ligatures w14:val="none"/>
        </w:rPr>
        <w:t>ZDM–Mathematics Education, 55</w:t>
      </w:r>
      <w:r w:rsidRPr="00DC7B1E">
        <w:rPr>
          <w:rFonts w:ascii="Tahoma" w:eastAsia="Times New Roman" w:hAnsi="Tahoma" w:cs="Tahoma"/>
          <w:kern w:val="0"/>
          <w:sz w:val="20"/>
          <w:szCs w:val="20"/>
          <w:lang w:eastAsia="en-PH"/>
          <w14:ligatures w14:val="none"/>
        </w:rPr>
        <w:t>(2), 235–252.</w:t>
      </w:r>
    </w:p>
    <w:p w14:paraId="39F43882"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lastRenderedPageBreak/>
        <w:t xml:space="preserve">Villa, J. J., &amp; Villanueva, A. (2023). Analysis of students’ errors in relation to their perceived anxiety in algebra: Basis for the development of remedial instructional materials. </w:t>
      </w:r>
      <w:r w:rsidRPr="00DC7B1E">
        <w:rPr>
          <w:rFonts w:ascii="Tahoma" w:eastAsia="Times New Roman" w:hAnsi="Tahoma" w:cs="Tahoma"/>
          <w:i/>
          <w:iCs/>
          <w:kern w:val="0"/>
          <w:sz w:val="20"/>
          <w:szCs w:val="20"/>
          <w:lang w:eastAsia="en-PH"/>
          <w14:ligatures w14:val="none"/>
        </w:rPr>
        <w:t>Psychology and Education: A Multidisciplinary Journal, 9</w:t>
      </w:r>
      <w:r w:rsidRPr="00DC7B1E">
        <w:rPr>
          <w:rFonts w:ascii="Tahoma" w:eastAsia="Times New Roman" w:hAnsi="Tahoma" w:cs="Tahoma"/>
          <w:kern w:val="0"/>
          <w:sz w:val="20"/>
          <w:szCs w:val="20"/>
          <w:lang w:eastAsia="en-PH"/>
          <w14:ligatures w14:val="none"/>
        </w:rPr>
        <w:t>(8).</w:t>
      </w:r>
    </w:p>
    <w:p w14:paraId="6928AEF0"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Weber, K. (2023). Effective instruction for mathematical proof: Insights from research. </w:t>
      </w:r>
      <w:r w:rsidRPr="00DC7B1E">
        <w:rPr>
          <w:rFonts w:ascii="Tahoma" w:eastAsia="Times New Roman" w:hAnsi="Tahoma" w:cs="Tahoma"/>
          <w:i/>
          <w:iCs/>
          <w:kern w:val="0"/>
          <w:sz w:val="20"/>
          <w:szCs w:val="20"/>
          <w:lang w:eastAsia="en-PH"/>
          <w14:ligatures w14:val="none"/>
        </w:rPr>
        <w:t>Mathematical Thinking and Learning, 25</w:t>
      </w:r>
      <w:r w:rsidRPr="00DC7B1E">
        <w:rPr>
          <w:rFonts w:ascii="Tahoma" w:eastAsia="Times New Roman" w:hAnsi="Tahoma" w:cs="Tahoma"/>
          <w:kern w:val="0"/>
          <w:sz w:val="20"/>
          <w:szCs w:val="20"/>
          <w:lang w:eastAsia="en-PH"/>
          <w14:ligatures w14:val="none"/>
        </w:rPr>
        <w:t>(2), 85–103.</w:t>
      </w:r>
    </w:p>
    <w:p w14:paraId="58CC139D"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Weber, K., &amp; Mejía-Ramos, J. P. (2021). Understanding and addressing student difficulties with proof: Insights from cognitive research. In </w:t>
      </w:r>
      <w:r w:rsidRPr="00DC7B1E">
        <w:rPr>
          <w:rFonts w:ascii="Tahoma" w:eastAsia="Times New Roman" w:hAnsi="Tahoma" w:cs="Tahoma"/>
          <w:i/>
          <w:iCs/>
          <w:kern w:val="0"/>
          <w:sz w:val="20"/>
          <w:szCs w:val="20"/>
          <w:lang w:eastAsia="en-PH"/>
          <w14:ligatures w14:val="none"/>
        </w:rPr>
        <w:t>Proceedings of the 43rd Annual Meeting of the North American Chapter of the International Group for the Psychology of Mathematics Education (PME-NA)</w:t>
      </w:r>
      <w:r w:rsidRPr="00DC7B1E">
        <w:rPr>
          <w:rFonts w:ascii="Tahoma" w:eastAsia="Times New Roman" w:hAnsi="Tahoma" w:cs="Tahoma"/>
          <w:kern w:val="0"/>
          <w:sz w:val="20"/>
          <w:szCs w:val="20"/>
          <w:lang w:eastAsia="en-PH"/>
          <w14:ligatures w14:val="none"/>
        </w:rPr>
        <w:t>.</w:t>
      </w:r>
    </w:p>
    <w:p w14:paraId="2819537D"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Weber, K., &amp; Mejía-Ramos, J. P. (2022). Why students struggle with proof: Instructional and cognitive explanations. </w:t>
      </w:r>
      <w:r w:rsidRPr="00DC7B1E">
        <w:rPr>
          <w:rFonts w:ascii="Tahoma" w:eastAsia="Times New Roman" w:hAnsi="Tahoma" w:cs="Tahoma"/>
          <w:i/>
          <w:iCs/>
          <w:kern w:val="0"/>
          <w:sz w:val="20"/>
          <w:szCs w:val="20"/>
          <w:lang w:eastAsia="en-PH"/>
          <w14:ligatures w14:val="none"/>
        </w:rPr>
        <w:t>Journal of Mathematical Behavior, 67</w:t>
      </w:r>
      <w:r w:rsidRPr="00DC7B1E">
        <w:rPr>
          <w:rFonts w:ascii="Tahoma" w:eastAsia="Times New Roman" w:hAnsi="Tahoma" w:cs="Tahoma"/>
          <w:kern w:val="0"/>
          <w:sz w:val="20"/>
          <w:szCs w:val="20"/>
          <w:lang w:eastAsia="en-PH"/>
          <w14:ligatures w14:val="none"/>
        </w:rPr>
        <w:t>, 100968.</w:t>
      </w:r>
    </w:p>
    <w:p w14:paraId="06A4D64D" w14:textId="453889AA"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proofErr w:type="spellStart"/>
      <w:r w:rsidRPr="00DC7B1E">
        <w:rPr>
          <w:rFonts w:ascii="Tahoma" w:eastAsia="Times New Roman" w:hAnsi="Tahoma" w:cs="Tahoma"/>
          <w:kern w:val="0"/>
          <w:sz w:val="20"/>
          <w:szCs w:val="20"/>
          <w:lang w:eastAsia="en-PH"/>
          <w14:ligatures w14:val="none"/>
        </w:rPr>
        <w:t>Zacharos</w:t>
      </w:r>
      <w:proofErr w:type="spellEnd"/>
      <w:r w:rsidRPr="00DC7B1E">
        <w:rPr>
          <w:rFonts w:ascii="Tahoma" w:eastAsia="Times New Roman" w:hAnsi="Tahoma" w:cs="Tahoma"/>
          <w:kern w:val="0"/>
          <w:sz w:val="20"/>
          <w:szCs w:val="20"/>
          <w:lang w:eastAsia="en-PH"/>
          <w14:ligatures w14:val="none"/>
        </w:rPr>
        <w:t xml:space="preserve">, K., &amp; Kirtman, L. (2022). Teachers’ instructional choices in supporting students’ reasoning and proof in mathematics classrooms. </w:t>
      </w:r>
      <w:r w:rsidRPr="00DC7B1E">
        <w:rPr>
          <w:rFonts w:ascii="Tahoma" w:eastAsia="Times New Roman" w:hAnsi="Tahoma" w:cs="Tahoma"/>
          <w:i/>
          <w:iCs/>
          <w:kern w:val="0"/>
          <w:sz w:val="20"/>
          <w:szCs w:val="20"/>
          <w:lang w:eastAsia="en-PH"/>
          <w14:ligatures w14:val="none"/>
        </w:rPr>
        <w:t>International Journal of Mathematical Education in Science and Technology, 53</w:t>
      </w:r>
      <w:r w:rsidRPr="00DC7B1E">
        <w:rPr>
          <w:rFonts w:ascii="Tahoma" w:eastAsia="Times New Roman" w:hAnsi="Tahoma" w:cs="Tahoma"/>
          <w:kern w:val="0"/>
          <w:sz w:val="20"/>
          <w:szCs w:val="20"/>
          <w:lang w:eastAsia="en-PH"/>
          <w14:ligatures w14:val="none"/>
        </w:rPr>
        <w:t>(4), 859–875.</w:t>
      </w:r>
    </w:p>
    <w:p w14:paraId="7CBE0230" w14:textId="77777777" w:rsidR="002B4F8E" w:rsidRPr="00DC7B1E" w:rsidRDefault="002B4F8E" w:rsidP="001B4BB5">
      <w:pPr>
        <w:spacing w:after="0" w:line="240" w:lineRule="auto"/>
        <w:rPr>
          <w:rFonts w:ascii="Tahoma" w:hAnsi="Tahoma" w:cs="Tahoma"/>
          <w:sz w:val="20"/>
          <w:szCs w:val="20"/>
        </w:rPr>
      </w:pPr>
    </w:p>
    <w:p w14:paraId="5F6887CE" w14:textId="77777777" w:rsidR="00D30DF4" w:rsidRPr="00DC7B1E" w:rsidRDefault="00D30DF4" w:rsidP="001B4BB5">
      <w:pPr>
        <w:spacing w:after="0" w:line="240" w:lineRule="auto"/>
        <w:rPr>
          <w:rFonts w:ascii="Tahoma" w:hAnsi="Tahoma" w:cs="Tahoma"/>
          <w:sz w:val="20"/>
          <w:szCs w:val="20"/>
        </w:rPr>
      </w:pPr>
    </w:p>
    <w:sectPr w:rsidR="00D30DF4" w:rsidRPr="00DC7B1E" w:rsidSect="002B4F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8385C"/>
    <w:multiLevelType w:val="hybridMultilevel"/>
    <w:tmpl w:val="A24001B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1FBF25AB"/>
    <w:multiLevelType w:val="hybridMultilevel"/>
    <w:tmpl w:val="5A9229A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20D95AAE"/>
    <w:multiLevelType w:val="hybridMultilevel"/>
    <w:tmpl w:val="B51EEDB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45080B2F"/>
    <w:multiLevelType w:val="multilevel"/>
    <w:tmpl w:val="8438BB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47BA7871"/>
    <w:multiLevelType w:val="hybridMultilevel"/>
    <w:tmpl w:val="CAE4445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nsid w:val="5D3221AE"/>
    <w:multiLevelType w:val="hybridMultilevel"/>
    <w:tmpl w:val="27E6EB9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F8E"/>
    <w:rsid w:val="001B4BB5"/>
    <w:rsid w:val="002B4F8E"/>
    <w:rsid w:val="002F4FF6"/>
    <w:rsid w:val="003377FD"/>
    <w:rsid w:val="005A7DD8"/>
    <w:rsid w:val="008E3440"/>
    <w:rsid w:val="00C76AD3"/>
    <w:rsid w:val="00D30DF4"/>
    <w:rsid w:val="00D851EA"/>
    <w:rsid w:val="00DC7B1E"/>
    <w:rsid w:val="00F13744"/>
    <w:rsid w:val="00F14771"/>
    <w:rsid w:val="00FE7F2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2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F8E"/>
  </w:style>
  <w:style w:type="paragraph" w:styleId="Heading1">
    <w:name w:val="heading 1"/>
    <w:basedOn w:val="Normal"/>
    <w:link w:val="Heading1Char"/>
    <w:uiPriority w:val="9"/>
    <w:qFormat/>
    <w:rsid w:val="002B4F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PH"/>
    </w:rPr>
  </w:style>
  <w:style w:type="paragraph" w:styleId="Heading2">
    <w:name w:val="heading 2"/>
    <w:basedOn w:val="Normal"/>
    <w:next w:val="Normal"/>
    <w:link w:val="Heading2Char"/>
    <w:uiPriority w:val="9"/>
    <w:semiHidden/>
    <w:unhideWhenUsed/>
    <w:qFormat/>
    <w:rsid w:val="002B4F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B4F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8E"/>
    <w:rPr>
      <w:rFonts w:ascii="Times New Roman" w:eastAsia="Times New Roman" w:hAnsi="Times New Roman" w:cs="Times New Roman"/>
      <w:b/>
      <w:bCs/>
      <w:kern w:val="36"/>
      <w:sz w:val="48"/>
      <w:szCs w:val="48"/>
      <w:lang w:eastAsia="en-PH"/>
    </w:rPr>
  </w:style>
  <w:style w:type="character" w:customStyle="1" w:styleId="Heading2Char">
    <w:name w:val="Heading 2 Char"/>
    <w:basedOn w:val="DefaultParagraphFont"/>
    <w:link w:val="Heading2"/>
    <w:uiPriority w:val="9"/>
    <w:semiHidden/>
    <w:rsid w:val="002B4F8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B4F8E"/>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2B4F8E"/>
    <w:rPr>
      <w:rFonts w:ascii="Times New Roman" w:hAnsi="Times New Roman" w:cs="Times New Roman"/>
      <w:sz w:val="24"/>
      <w:szCs w:val="24"/>
    </w:rPr>
  </w:style>
  <w:style w:type="character" w:styleId="Emphasis">
    <w:name w:val="Emphasis"/>
    <w:basedOn w:val="DefaultParagraphFont"/>
    <w:uiPriority w:val="20"/>
    <w:qFormat/>
    <w:rsid w:val="002B4F8E"/>
    <w:rPr>
      <w:i/>
      <w:iCs/>
    </w:rPr>
  </w:style>
  <w:style w:type="character" w:styleId="Strong">
    <w:name w:val="Strong"/>
    <w:basedOn w:val="DefaultParagraphFont"/>
    <w:uiPriority w:val="22"/>
    <w:qFormat/>
    <w:rsid w:val="002B4F8E"/>
    <w:rPr>
      <w:b/>
      <w:bCs/>
    </w:rPr>
  </w:style>
  <w:style w:type="paragraph" w:styleId="ListParagraph">
    <w:name w:val="List Paragraph"/>
    <w:basedOn w:val="Normal"/>
    <w:uiPriority w:val="34"/>
    <w:qFormat/>
    <w:rsid w:val="002B4F8E"/>
    <w:pPr>
      <w:ind w:left="720"/>
      <w:contextualSpacing/>
    </w:pPr>
  </w:style>
  <w:style w:type="character" w:styleId="Hyperlink">
    <w:name w:val="Hyperlink"/>
    <w:basedOn w:val="DefaultParagraphFont"/>
    <w:uiPriority w:val="99"/>
    <w:unhideWhenUsed/>
    <w:rsid w:val="003377FD"/>
    <w:rPr>
      <w:color w:val="0563C1" w:themeColor="hyperlink"/>
      <w:u w:val="single"/>
    </w:rPr>
  </w:style>
  <w:style w:type="character" w:customStyle="1" w:styleId="UnresolvedMention">
    <w:name w:val="Unresolved Mention"/>
    <w:basedOn w:val="DefaultParagraphFont"/>
    <w:uiPriority w:val="99"/>
    <w:semiHidden/>
    <w:unhideWhenUsed/>
    <w:rsid w:val="003377F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F8E"/>
  </w:style>
  <w:style w:type="paragraph" w:styleId="Heading1">
    <w:name w:val="heading 1"/>
    <w:basedOn w:val="Normal"/>
    <w:link w:val="Heading1Char"/>
    <w:uiPriority w:val="9"/>
    <w:qFormat/>
    <w:rsid w:val="002B4F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PH"/>
    </w:rPr>
  </w:style>
  <w:style w:type="paragraph" w:styleId="Heading2">
    <w:name w:val="heading 2"/>
    <w:basedOn w:val="Normal"/>
    <w:next w:val="Normal"/>
    <w:link w:val="Heading2Char"/>
    <w:uiPriority w:val="9"/>
    <w:semiHidden/>
    <w:unhideWhenUsed/>
    <w:qFormat/>
    <w:rsid w:val="002B4F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B4F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8E"/>
    <w:rPr>
      <w:rFonts w:ascii="Times New Roman" w:eastAsia="Times New Roman" w:hAnsi="Times New Roman" w:cs="Times New Roman"/>
      <w:b/>
      <w:bCs/>
      <w:kern w:val="36"/>
      <w:sz w:val="48"/>
      <w:szCs w:val="48"/>
      <w:lang w:eastAsia="en-PH"/>
    </w:rPr>
  </w:style>
  <w:style w:type="character" w:customStyle="1" w:styleId="Heading2Char">
    <w:name w:val="Heading 2 Char"/>
    <w:basedOn w:val="DefaultParagraphFont"/>
    <w:link w:val="Heading2"/>
    <w:uiPriority w:val="9"/>
    <w:semiHidden/>
    <w:rsid w:val="002B4F8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B4F8E"/>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2B4F8E"/>
    <w:rPr>
      <w:rFonts w:ascii="Times New Roman" w:hAnsi="Times New Roman" w:cs="Times New Roman"/>
      <w:sz w:val="24"/>
      <w:szCs w:val="24"/>
    </w:rPr>
  </w:style>
  <w:style w:type="character" w:styleId="Emphasis">
    <w:name w:val="Emphasis"/>
    <w:basedOn w:val="DefaultParagraphFont"/>
    <w:uiPriority w:val="20"/>
    <w:qFormat/>
    <w:rsid w:val="002B4F8E"/>
    <w:rPr>
      <w:i/>
      <w:iCs/>
    </w:rPr>
  </w:style>
  <w:style w:type="character" w:styleId="Strong">
    <w:name w:val="Strong"/>
    <w:basedOn w:val="DefaultParagraphFont"/>
    <w:uiPriority w:val="22"/>
    <w:qFormat/>
    <w:rsid w:val="002B4F8E"/>
    <w:rPr>
      <w:b/>
      <w:bCs/>
    </w:rPr>
  </w:style>
  <w:style w:type="paragraph" w:styleId="ListParagraph">
    <w:name w:val="List Paragraph"/>
    <w:basedOn w:val="Normal"/>
    <w:uiPriority w:val="34"/>
    <w:qFormat/>
    <w:rsid w:val="002B4F8E"/>
    <w:pPr>
      <w:ind w:left="720"/>
      <w:contextualSpacing/>
    </w:pPr>
  </w:style>
  <w:style w:type="character" w:styleId="Hyperlink">
    <w:name w:val="Hyperlink"/>
    <w:basedOn w:val="DefaultParagraphFont"/>
    <w:uiPriority w:val="99"/>
    <w:unhideWhenUsed/>
    <w:rsid w:val="003377FD"/>
    <w:rPr>
      <w:color w:val="0563C1" w:themeColor="hyperlink"/>
      <w:u w:val="single"/>
    </w:rPr>
  </w:style>
  <w:style w:type="character" w:customStyle="1" w:styleId="UnresolvedMention">
    <w:name w:val="Unresolved Mention"/>
    <w:basedOn w:val="DefaultParagraphFont"/>
    <w:uiPriority w:val="99"/>
    <w:semiHidden/>
    <w:unhideWhenUsed/>
    <w:rsid w:val="00337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12</Pages>
  <Words>6081</Words>
  <Characters>34668</Characters>
  <Application>Microsoft Office Word</Application>
  <DocSecurity>0</DocSecurity>
  <Lines>288</Lines>
  <Paragraphs>81</Paragraphs>
  <ScaleCrop>false</ScaleCrop>
  <Company/>
  <LinksUpToDate>false</LinksUpToDate>
  <CharactersWithSpaces>40668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rodrigo.paglomutan@gsu.edu.ph</dc:creator>
  <cp:keywords/>
  <dc:description/>
  <cp:lastModifiedBy>qwert</cp:lastModifiedBy>
  <cp:revision>15</cp:revision>
  <dcterms:created xsi:type="dcterms:W3CDTF">2026-03-02T00:19:00Z</dcterms:created>
  <dcterms:modified xsi:type="dcterms:W3CDTF">2026-03-06T09:42:00Z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1f5edf35-dbaa-47db-be33-6ed74e11c938</vt:lpwstr>
  </property>
</Properties>
</file>