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47D7" w:rsidRDefault="008F7D59">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Prevalence and Molecular Characterizati</w:t>
      </w:r>
      <w:bookmarkStart w:id="0" w:name="_GoBack"/>
      <w:bookmarkEnd w:id="0"/>
      <w:r>
        <w:rPr>
          <w:rFonts w:ascii="Times New Roman" w:eastAsia="Times New Roman" w:hAnsi="Times New Roman" w:cs="Times New Roman"/>
          <w:b/>
          <w:sz w:val="24"/>
          <w:szCs w:val="24"/>
        </w:rPr>
        <w:t xml:space="preserve">on of Antibiotic-Resistant </w:t>
      </w:r>
      <w:r>
        <w:rPr>
          <w:rFonts w:ascii="Times New Roman" w:hAnsi="Times New Roman" w:cs="Times New Roman"/>
          <w:b/>
          <w:i/>
          <w:iCs/>
          <w:sz w:val="24"/>
          <w:szCs w:val="24"/>
        </w:rPr>
        <w:t>Escherichia coli</w:t>
      </w:r>
      <w:r>
        <w:rPr>
          <w:rFonts w:ascii="Times New Roman" w:hAnsi="Times New Roman" w:cs="Times New Roman"/>
          <w:b/>
          <w:sz w:val="24"/>
          <w:szCs w:val="24"/>
        </w:rPr>
        <w:t xml:space="preserve"> O157:H7 </w:t>
      </w:r>
      <w:r>
        <w:rPr>
          <w:rFonts w:ascii="Times New Roman" w:eastAsia="Times New Roman" w:hAnsi="Times New Roman" w:cs="Times New Roman"/>
          <w:b/>
          <w:sz w:val="24"/>
          <w:szCs w:val="24"/>
        </w:rPr>
        <w:t xml:space="preserve">Isolated from Human and Poultry </w:t>
      </w:r>
      <w:proofErr w:type="spellStart"/>
      <w:r>
        <w:rPr>
          <w:rFonts w:ascii="Times New Roman" w:eastAsia="Times New Roman" w:hAnsi="Times New Roman" w:cs="Times New Roman"/>
          <w:b/>
          <w:sz w:val="24"/>
          <w:szCs w:val="24"/>
        </w:rPr>
        <w:t>Faeces</w:t>
      </w:r>
      <w:proofErr w:type="spellEnd"/>
      <w:r>
        <w:rPr>
          <w:rFonts w:ascii="Times New Roman" w:eastAsia="Times New Roman" w:hAnsi="Times New Roman" w:cs="Times New Roman"/>
          <w:b/>
          <w:sz w:val="24"/>
          <w:szCs w:val="24"/>
        </w:rPr>
        <w:t xml:space="preserve"> in the Federal Capital Territory, Nigeria</w:t>
      </w:r>
    </w:p>
    <w:p w:rsidR="008447D7" w:rsidRDefault="008447D7">
      <w:pPr>
        <w:pStyle w:val="NormalWeb"/>
        <w:tabs>
          <w:tab w:val="left" w:pos="400"/>
        </w:tabs>
        <w:spacing w:beforeAutospacing="0" w:afterAutospacing="0"/>
        <w:ind w:leftChars="-50" w:left="-100"/>
        <w:rPr>
          <w:color w:val="0000FF"/>
          <w:sz w:val="20"/>
          <w:szCs w:val="20"/>
        </w:rPr>
      </w:pPr>
    </w:p>
    <w:p w:rsidR="008447D7" w:rsidRDefault="008F7D59">
      <w:pPr>
        <w:jc w:val="both"/>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ABSTRACT </w:t>
      </w:r>
    </w:p>
    <w:p w:rsidR="008447D7" w:rsidRDefault="008F7D59">
      <w:pPr>
        <w:jc w:val="both"/>
        <w:rPr>
          <w:rFonts w:ascii="Times New Roman" w:hAnsi="Times New Roman" w:cs="Times New Roman"/>
          <w:i/>
          <w:iCs/>
          <w:sz w:val="24"/>
          <w:szCs w:val="24"/>
        </w:rPr>
      </w:pPr>
      <w:r>
        <w:rPr>
          <w:rFonts w:ascii="Times New Roman" w:hAnsi="Times New Roman" w:cs="Times New Roman"/>
          <w:i/>
          <w:iCs/>
          <w:sz w:val="24"/>
          <w:szCs w:val="24"/>
        </w:rPr>
        <w:t xml:space="preserve">This study accessed the prevalence and molecular characteristics of antibiotic-resistant </w:t>
      </w:r>
      <w:r>
        <w:rPr>
          <w:rStyle w:val="Emphasis"/>
          <w:rFonts w:ascii="Times New Roman" w:hAnsi="Times New Roman" w:cs="Times New Roman"/>
          <w:sz w:val="24"/>
          <w:szCs w:val="24"/>
        </w:rPr>
        <w:t>Escherichia coli</w:t>
      </w:r>
      <w:r>
        <w:rPr>
          <w:rFonts w:ascii="Times New Roman" w:hAnsi="Times New Roman" w:cs="Times New Roman"/>
          <w:i/>
          <w:iCs/>
          <w:sz w:val="24"/>
          <w:szCs w:val="24"/>
        </w:rPr>
        <w:t xml:space="preserve"> O157:H7 in humans and poultry within the Federal Capital Territory (FCT), Nigeria. A total prevalence of 9% was observed in humans, with 7.5% in Internally Displaced Persons (IDP) camps and 10.5% in hospitals, while poultry showed a prevalence of 0.8%. Th</w:t>
      </w:r>
      <w:r>
        <w:rPr>
          <w:rFonts w:ascii="Times New Roman" w:hAnsi="Times New Roman" w:cs="Times New Roman"/>
          <w:i/>
          <w:iCs/>
          <w:sz w:val="24"/>
          <w:szCs w:val="24"/>
        </w:rPr>
        <w:t xml:space="preserve">e isolates exhibited multiple antibiotic </w:t>
      </w:r>
      <w:proofErr w:type="gramStart"/>
      <w:r>
        <w:rPr>
          <w:rFonts w:ascii="Times New Roman" w:hAnsi="Times New Roman" w:cs="Times New Roman"/>
          <w:i/>
          <w:iCs/>
          <w:sz w:val="24"/>
          <w:szCs w:val="24"/>
        </w:rPr>
        <w:t>resistance</w:t>
      </w:r>
      <w:proofErr w:type="gramEnd"/>
      <w:r>
        <w:rPr>
          <w:rFonts w:ascii="Times New Roman" w:hAnsi="Times New Roman" w:cs="Times New Roman"/>
          <w:i/>
          <w:iCs/>
          <w:sz w:val="24"/>
          <w:szCs w:val="24"/>
        </w:rPr>
        <w:t xml:space="preserve">, with 100% resistance to </w:t>
      </w:r>
      <w:proofErr w:type="spellStart"/>
      <w:r>
        <w:rPr>
          <w:rFonts w:ascii="Times New Roman" w:hAnsi="Times New Roman" w:cs="Times New Roman"/>
          <w:i/>
          <w:iCs/>
          <w:sz w:val="24"/>
          <w:szCs w:val="24"/>
        </w:rPr>
        <w:t>oxytetracycline</w:t>
      </w:r>
      <w:proofErr w:type="spellEnd"/>
      <w:r>
        <w:rPr>
          <w:rFonts w:ascii="Times New Roman" w:hAnsi="Times New Roman" w:cs="Times New Roman"/>
          <w:i/>
          <w:iCs/>
          <w:sz w:val="24"/>
          <w:szCs w:val="24"/>
        </w:rPr>
        <w:t xml:space="preserve"> in both human and poultry samples. Extended-Spectrum Beta-Lactamase (ESBL) enzymes were detected, and virulent genes including </w:t>
      </w:r>
      <w:proofErr w:type="spellStart"/>
      <w:r>
        <w:rPr>
          <w:rStyle w:val="Emphasis"/>
          <w:rFonts w:ascii="Times New Roman" w:hAnsi="Times New Roman" w:cs="Times New Roman"/>
          <w:sz w:val="24"/>
          <w:szCs w:val="24"/>
        </w:rPr>
        <w:t>rfbE</w:t>
      </w:r>
      <w:proofErr w:type="spellEnd"/>
      <w:r>
        <w:rPr>
          <w:rFonts w:ascii="Times New Roman" w:hAnsi="Times New Roman" w:cs="Times New Roman"/>
          <w:i/>
          <w:iCs/>
          <w:sz w:val="24"/>
          <w:szCs w:val="24"/>
        </w:rPr>
        <w:t xml:space="preserve">, </w:t>
      </w:r>
      <w:proofErr w:type="spellStart"/>
      <w:r>
        <w:rPr>
          <w:rStyle w:val="Emphasis"/>
          <w:rFonts w:ascii="Times New Roman" w:hAnsi="Times New Roman" w:cs="Times New Roman"/>
          <w:sz w:val="24"/>
          <w:szCs w:val="24"/>
        </w:rPr>
        <w:t>eaeA</w:t>
      </w:r>
      <w:proofErr w:type="spellEnd"/>
      <w:r>
        <w:rPr>
          <w:rFonts w:ascii="Times New Roman" w:hAnsi="Times New Roman" w:cs="Times New Roman"/>
          <w:i/>
          <w:iCs/>
          <w:sz w:val="24"/>
          <w:szCs w:val="24"/>
        </w:rPr>
        <w:t xml:space="preserve">, </w:t>
      </w:r>
      <w:r>
        <w:rPr>
          <w:rStyle w:val="Emphasis"/>
          <w:rFonts w:ascii="Times New Roman" w:hAnsi="Times New Roman" w:cs="Times New Roman"/>
          <w:sz w:val="24"/>
          <w:szCs w:val="24"/>
        </w:rPr>
        <w:t>stx1</w:t>
      </w:r>
      <w:r>
        <w:rPr>
          <w:rFonts w:ascii="Times New Roman" w:hAnsi="Times New Roman" w:cs="Times New Roman"/>
          <w:i/>
          <w:iCs/>
          <w:sz w:val="24"/>
          <w:szCs w:val="24"/>
        </w:rPr>
        <w:t xml:space="preserve">, and </w:t>
      </w:r>
      <w:r>
        <w:rPr>
          <w:rStyle w:val="Emphasis"/>
          <w:rFonts w:ascii="Times New Roman" w:hAnsi="Times New Roman" w:cs="Times New Roman"/>
          <w:sz w:val="24"/>
          <w:szCs w:val="24"/>
        </w:rPr>
        <w:t>stx2</w:t>
      </w:r>
      <w:r>
        <w:rPr>
          <w:rFonts w:ascii="Times New Roman" w:hAnsi="Times New Roman" w:cs="Times New Roman"/>
          <w:i/>
          <w:iCs/>
          <w:sz w:val="24"/>
          <w:szCs w:val="24"/>
        </w:rPr>
        <w:t xml:space="preserve"> were iden</w:t>
      </w:r>
      <w:r>
        <w:rPr>
          <w:rFonts w:ascii="Times New Roman" w:hAnsi="Times New Roman" w:cs="Times New Roman"/>
          <w:i/>
          <w:iCs/>
          <w:sz w:val="24"/>
          <w:szCs w:val="24"/>
        </w:rPr>
        <w:t>tified. Phylogenetic analysis revealed close genetic relationships between human and poultry isolates, suggesting possible cross-transmission and zoonotic potential. These findings highlight the urgent need for judicious antibiotic use, regular surveillanc</w:t>
      </w:r>
      <w:r>
        <w:rPr>
          <w:rFonts w:ascii="Times New Roman" w:hAnsi="Times New Roman" w:cs="Times New Roman"/>
          <w:i/>
          <w:iCs/>
          <w:sz w:val="24"/>
          <w:szCs w:val="24"/>
        </w:rPr>
        <w:t>e, and molecular monitoring to guide antimicrobial therapy and prevent outbreaks. The study underscores the importance of adopting a One Health approach to address antimicrobial resistance and safeguard public health.</w:t>
      </w:r>
    </w:p>
    <w:p w:rsidR="008447D7" w:rsidRDefault="008447D7">
      <w:pPr>
        <w:jc w:val="both"/>
        <w:rPr>
          <w:rFonts w:ascii="Times New Roman" w:hAnsi="Times New Roman" w:cs="Times New Roman"/>
          <w:i/>
          <w:iCs/>
          <w:sz w:val="24"/>
          <w:szCs w:val="24"/>
        </w:rPr>
      </w:pPr>
    </w:p>
    <w:p w:rsidR="008447D7" w:rsidRDefault="008F7D59">
      <w:pPr>
        <w:rPr>
          <w:rFonts w:ascii="Times New Roman" w:eastAsia="SimSun" w:hAnsi="Times New Roman" w:cs="Times New Roman"/>
          <w:sz w:val="24"/>
          <w:szCs w:val="24"/>
        </w:rPr>
      </w:pPr>
      <w:r>
        <w:rPr>
          <w:rFonts w:ascii="Times New Roman" w:eastAsia="SimSun" w:hAnsi="Times New Roman" w:cs="Times New Roman"/>
          <w:b/>
          <w:bCs/>
          <w:sz w:val="24"/>
          <w:szCs w:val="24"/>
        </w:rPr>
        <w:t>Keywords</w:t>
      </w:r>
      <w:r>
        <w:rPr>
          <w:rFonts w:ascii="Times New Roman" w:eastAsia="SimSun" w:hAnsi="Times New Roman" w:cs="Times New Roman"/>
          <w:sz w:val="24"/>
          <w:szCs w:val="24"/>
        </w:rPr>
        <w:t xml:space="preserve">: </w:t>
      </w:r>
    </w:p>
    <w:p w:rsidR="008447D7" w:rsidRDefault="008F7D59">
      <w:pPr>
        <w:rPr>
          <w:rFonts w:ascii="Times New Roman" w:hAnsi="Times New Roman" w:cs="Times New Roman"/>
          <w:sz w:val="24"/>
          <w:szCs w:val="24"/>
        </w:rPr>
      </w:pPr>
      <w:r>
        <w:rPr>
          <w:rStyle w:val="Strong"/>
          <w:rFonts w:ascii="Times New Roman" w:eastAsia="SimSun" w:hAnsi="Times New Roman" w:cs="Times New Roman"/>
          <w:b w:val="0"/>
          <w:bCs w:val="0"/>
          <w:i/>
          <w:iCs/>
          <w:sz w:val="24"/>
          <w:szCs w:val="24"/>
          <w:lang w:bidi="ar"/>
        </w:rPr>
        <w:t xml:space="preserve">Escherichia coli </w:t>
      </w:r>
      <w:r>
        <w:rPr>
          <w:rStyle w:val="Strong"/>
          <w:rFonts w:ascii="Times New Roman" w:eastAsia="SimSun" w:hAnsi="Times New Roman" w:cs="Times New Roman"/>
          <w:b w:val="0"/>
          <w:bCs w:val="0"/>
          <w:sz w:val="24"/>
          <w:szCs w:val="24"/>
          <w:lang w:bidi="ar"/>
        </w:rPr>
        <w:t xml:space="preserve">O157:H7, </w:t>
      </w:r>
      <w:r>
        <w:rPr>
          <w:rStyle w:val="Strong"/>
          <w:rFonts w:ascii="Times New Roman" w:hAnsi="Times New Roman" w:cs="Times New Roman"/>
          <w:b w:val="0"/>
          <w:bCs w:val="0"/>
          <w:sz w:val="24"/>
          <w:szCs w:val="24"/>
        </w:rPr>
        <w:t xml:space="preserve">Antibiotic resistance, </w:t>
      </w:r>
      <w:proofErr w:type="spellStart"/>
      <w:r>
        <w:rPr>
          <w:rStyle w:val="Strong"/>
          <w:rFonts w:ascii="Times New Roman" w:hAnsi="Times New Roman" w:cs="Times New Roman"/>
          <w:b w:val="0"/>
          <w:bCs w:val="0"/>
          <w:sz w:val="24"/>
          <w:szCs w:val="24"/>
        </w:rPr>
        <w:t>Oxytetracycline</w:t>
      </w:r>
      <w:proofErr w:type="spellEnd"/>
      <w:r>
        <w:rPr>
          <w:rStyle w:val="Strong"/>
          <w:rFonts w:ascii="Times New Roman" w:hAnsi="Times New Roman" w:cs="Times New Roman"/>
          <w:b w:val="0"/>
          <w:bCs w:val="0"/>
          <w:sz w:val="24"/>
          <w:szCs w:val="24"/>
        </w:rPr>
        <w:t>, Zoonosis and Extended-Spectrum Beta-Lactamase (ESBL)</w:t>
      </w:r>
    </w:p>
    <w:p w:rsidR="008447D7" w:rsidRDefault="008447D7">
      <w:pPr>
        <w:pBdr>
          <w:bottom w:val="single" w:sz="4" w:space="0" w:color="auto"/>
        </w:pBdr>
        <w:rPr>
          <w:rFonts w:ascii="Times New Roman" w:eastAsia="SimSun" w:hAnsi="Times New Roman" w:cs="Times New Roman"/>
          <w:sz w:val="24"/>
          <w:szCs w:val="24"/>
        </w:rPr>
      </w:pPr>
    </w:p>
    <w:p w:rsidR="008447D7" w:rsidRDefault="008447D7">
      <w:pPr>
        <w:rPr>
          <w:rFonts w:ascii="Times New Roman" w:eastAsia="SimSun" w:hAnsi="Times New Roman" w:cs="Times New Roman"/>
          <w:b/>
          <w:bCs/>
          <w:sz w:val="24"/>
          <w:szCs w:val="24"/>
        </w:rPr>
      </w:pPr>
    </w:p>
    <w:p w:rsidR="008447D7" w:rsidRDefault="008F7D59">
      <w:pPr>
        <w:rPr>
          <w:rFonts w:ascii="Times New Roman" w:eastAsia="SimSun" w:hAnsi="Times New Roman" w:cs="Times New Roman"/>
          <w:b/>
          <w:bCs/>
          <w:sz w:val="24"/>
          <w:szCs w:val="24"/>
        </w:rPr>
      </w:pPr>
      <w:r>
        <w:rPr>
          <w:rFonts w:ascii="Times New Roman" w:eastAsia="SimSun" w:hAnsi="Times New Roman" w:cs="Times New Roman"/>
          <w:b/>
          <w:bCs/>
          <w:sz w:val="24"/>
          <w:szCs w:val="24"/>
        </w:rPr>
        <w:t>INTRODUCTION</w:t>
      </w:r>
    </w:p>
    <w:p w:rsidR="008447D7" w:rsidRDefault="008447D7">
      <w:pPr>
        <w:rPr>
          <w:rFonts w:ascii="Times New Roman" w:eastAsia="SimSun" w:hAnsi="Times New Roman" w:cs="Times New Roman"/>
          <w:b/>
          <w:bCs/>
          <w:sz w:val="24"/>
          <w:szCs w:val="24"/>
        </w:rPr>
      </w:pPr>
    </w:p>
    <w:p w:rsidR="008447D7" w:rsidRDefault="008F7D59">
      <w:pPr>
        <w:jc w:val="both"/>
        <w:rPr>
          <w:rFonts w:ascii="Times New Roman" w:eastAsia="SimSun" w:hAnsi="Times New Roman" w:cs="Times New Roman"/>
          <w:sz w:val="24"/>
          <w:szCs w:val="24"/>
        </w:rPr>
      </w:pPr>
      <w:r>
        <w:rPr>
          <w:rFonts w:ascii="Times New Roman" w:eastAsia="SimSun" w:hAnsi="Times New Roman" w:cs="Times New Roman"/>
          <w:i/>
          <w:iCs/>
          <w:sz w:val="24"/>
          <w:szCs w:val="24"/>
        </w:rPr>
        <w:t>Escherichia coli</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E. coli</w:t>
      </w:r>
      <w:r>
        <w:rPr>
          <w:rFonts w:ascii="Times New Roman" w:eastAsia="SimSun" w:hAnsi="Times New Roman" w:cs="Times New Roman"/>
          <w:sz w:val="24"/>
          <w:szCs w:val="24"/>
        </w:rPr>
        <w:t xml:space="preserve">) </w:t>
      </w:r>
      <w:r>
        <w:rPr>
          <w:rFonts w:ascii="Times New Roman" w:eastAsia="SimSun" w:hAnsi="Times New Roman" w:cs="Times New Roman"/>
          <w:i/>
          <w:iCs/>
          <w:sz w:val="24"/>
          <w:szCs w:val="24"/>
        </w:rPr>
        <w:t>i</w:t>
      </w:r>
      <w:r>
        <w:rPr>
          <w:rFonts w:ascii="Times New Roman" w:eastAsia="SimSun" w:hAnsi="Times New Roman" w:cs="Times New Roman"/>
          <w:sz w:val="24"/>
          <w:szCs w:val="24"/>
        </w:rPr>
        <w:t>s a Gram-negative enteric bacterium and a significant zoonotic foodborne pathogen worldwide (</w:t>
      </w:r>
      <w:r>
        <w:rPr>
          <w:rFonts w:ascii="Times New Roman" w:eastAsia="SimSun" w:hAnsi="Times New Roman" w:cs="Times New Roman"/>
          <w:color w:val="222222"/>
          <w:sz w:val="24"/>
          <w:szCs w:val="24"/>
          <w:shd w:val="clear" w:color="auto" w:fill="FFFFFF"/>
        </w:rPr>
        <w:t xml:space="preserve">Hassan </w:t>
      </w:r>
      <w:r>
        <w:rPr>
          <w:rFonts w:ascii="Times New Roman" w:eastAsia="SimSun" w:hAnsi="Times New Roman" w:cs="Times New Roman"/>
          <w:i/>
          <w:iCs/>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xml:space="preserve">, 2021; </w:t>
      </w:r>
      <w:proofErr w:type="spellStart"/>
      <w:r>
        <w:rPr>
          <w:rFonts w:ascii="Times New Roman" w:eastAsia="SimSun" w:hAnsi="Times New Roman" w:cs="Times New Roman"/>
          <w:color w:val="222222"/>
          <w:sz w:val="24"/>
          <w:szCs w:val="24"/>
          <w:shd w:val="clear" w:color="auto" w:fill="FFFFFF"/>
        </w:rPr>
        <w:t>Abebe</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2020)</w:t>
      </w:r>
      <w:r>
        <w:rPr>
          <w:rFonts w:ascii="Times New Roman" w:eastAsia="SimSun" w:hAnsi="Times New Roman" w:cs="Times New Roman"/>
          <w:sz w:val="24"/>
          <w:szCs w:val="24"/>
        </w:rPr>
        <w:t xml:space="preserve">. It is grouped based on virulence factors and infection types: intestinal </w:t>
      </w:r>
      <w:proofErr w:type="spellStart"/>
      <w:r>
        <w:rPr>
          <w:rFonts w:ascii="Times New Roman" w:eastAsia="SimSun" w:hAnsi="Times New Roman" w:cs="Times New Roman"/>
          <w:sz w:val="24"/>
          <w:szCs w:val="24"/>
        </w:rPr>
        <w:t>pathotypes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Entereopathogenic</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(EPEC), </w:t>
      </w:r>
      <w:proofErr w:type="spellStart"/>
      <w:r>
        <w:rPr>
          <w:rFonts w:ascii="Times New Roman" w:eastAsia="SimSun" w:hAnsi="Times New Roman" w:cs="Times New Roman"/>
          <w:sz w:val="24"/>
          <w:szCs w:val="24"/>
        </w:rPr>
        <w:t>Entereotoxigenic</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(ETEC), </w:t>
      </w:r>
      <w:proofErr w:type="spellStart"/>
      <w:r>
        <w:rPr>
          <w:rFonts w:ascii="Times New Roman" w:eastAsia="SimSun" w:hAnsi="Times New Roman" w:cs="Times New Roman"/>
          <w:sz w:val="24"/>
          <w:szCs w:val="24"/>
        </w:rPr>
        <w:t>Entereohaemorrhagic</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(EHEC) like O157:H7, </w:t>
      </w:r>
      <w:proofErr w:type="spellStart"/>
      <w:r>
        <w:rPr>
          <w:rFonts w:ascii="Times New Roman" w:eastAsia="SimSun" w:hAnsi="Times New Roman" w:cs="Times New Roman"/>
          <w:sz w:val="24"/>
          <w:szCs w:val="24"/>
        </w:rPr>
        <w:t>Entereoadhesive</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EAEC), </w:t>
      </w:r>
      <w:proofErr w:type="spellStart"/>
      <w:r>
        <w:rPr>
          <w:rFonts w:ascii="Times New Roman" w:eastAsia="SimSun" w:hAnsi="Times New Roman" w:cs="Times New Roman"/>
          <w:sz w:val="24"/>
          <w:szCs w:val="24"/>
        </w:rPr>
        <w:t>Entereoinvasive</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(EIEC), </w:t>
      </w:r>
      <w:proofErr w:type="spellStart"/>
      <w:r>
        <w:rPr>
          <w:rFonts w:ascii="Times New Roman" w:eastAsia="SimSun" w:hAnsi="Times New Roman" w:cs="Times New Roman"/>
          <w:sz w:val="24"/>
          <w:szCs w:val="24"/>
        </w:rPr>
        <w:t>Diffuseadherent</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DAEC] and extra intestinal </w:t>
      </w:r>
      <w:proofErr w:type="spellStart"/>
      <w:r>
        <w:rPr>
          <w:rFonts w:ascii="Times New Roman" w:eastAsia="SimSun" w:hAnsi="Times New Roman" w:cs="Times New Roman"/>
          <w:sz w:val="24"/>
          <w:szCs w:val="24"/>
        </w:rPr>
        <w:t>pathotypes</w:t>
      </w:r>
      <w:proofErr w:type="spellEnd"/>
      <w:r>
        <w:rPr>
          <w:rFonts w:ascii="Times New Roman" w:eastAsia="SimSun" w:hAnsi="Times New Roman" w:cs="Times New Roman"/>
          <w:sz w:val="24"/>
          <w:szCs w:val="24"/>
        </w:rPr>
        <w:t xml:space="preserve"> [</w:t>
      </w:r>
      <w:proofErr w:type="spellStart"/>
      <w:r>
        <w:rPr>
          <w:rFonts w:ascii="Times New Roman" w:eastAsia="SimSun" w:hAnsi="Times New Roman" w:cs="Times New Roman"/>
          <w:sz w:val="24"/>
          <w:szCs w:val="24"/>
        </w:rPr>
        <w:t>Uropathogenic</w:t>
      </w:r>
      <w:proofErr w:type="spellEnd"/>
      <w:r>
        <w:rPr>
          <w:rFonts w:ascii="Times New Roman" w:eastAsia="SimSun" w:hAnsi="Times New Roman" w:cs="Times New Roman"/>
          <w:sz w:val="24"/>
          <w:szCs w:val="24"/>
        </w:rPr>
        <w:t xml:space="preserve">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(UPEC), Meningitis-associated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MNEC, Avian Pathogenic </w:t>
      </w:r>
      <w:r>
        <w:rPr>
          <w:rFonts w:ascii="Times New Roman" w:eastAsia="SimSun" w:hAnsi="Times New Roman" w:cs="Times New Roman"/>
          <w:i/>
          <w:sz w:val="24"/>
          <w:szCs w:val="24"/>
        </w:rPr>
        <w:t>E. coli</w:t>
      </w:r>
      <w:r>
        <w:rPr>
          <w:rFonts w:ascii="Times New Roman" w:eastAsia="SimSun" w:hAnsi="Times New Roman" w:cs="Times New Roman"/>
          <w:sz w:val="24"/>
          <w:szCs w:val="24"/>
        </w:rPr>
        <w:t xml:space="preserve"> APEC] (</w:t>
      </w:r>
      <w:r>
        <w:rPr>
          <w:rFonts w:ascii="Times New Roman" w:eastAsia="SimSun" w:hAnsi="Times New Roman" w:cs="Times New Roman"/>
          <w:color w:val="222222"/>
          <w:sz w:val="24"/>
          <w:szCs w:val="24"/>
          <w:shd w:val="clear" w:color="auto" w:fill="FFFFFF"/>
        </w:rPr>
        <w:t>Riley, 2020)</w:t>
      </w:r>
      <w:r>
        <w:rPr>
          <w:rFonts w:ascii="Times New Roman" w:eastAsia="SimSun" w:hAnsi="Times New Roman" w:cs="Times New Roman"/>
          <w:sz w:val="24"/>
          <w:szCs w:val="24"/>
        </w:rPr>
        <w:t xml:space="preserve">. Shiga-toxin producing </w:t>
      </w:r>
      <w:r>
        <w:rPr>
          <w:rFonts w:ascii="Times New Roman" w:eastAsia="SimSun" w:hAnsi="Times New Roman" w:cs="Times New Roman"/>
          <w:i/>
          <w:iCs/>
          <w:sz w:val="24"/>
          <w:szCs w:val="24"/>
        </w:rPr>
        <w:t>E. coli</w:t>
      </w:r>
      <w:r>
        <w:rPr>
          <w:rFonts w:ascii="Times New Roman" w:eastAsia="SimSun" w:hAnsi="Times New Roman" w:cs="Times New Roman"/>
          <w:sz w:val="24"/>
          <w:szCs w:val="24"/>
        </w:rPr>
        <w:t xml:space="preserve"> (STEC) O157:</w:t>
      </w:r>
      <w:r>
        <w:rPr>
          <w:rFonts w:ascii="Times New Roman" w:eastAsia="SimSun" w:hAnsi="Times New Roman" w:cs="Times New Roman"/>
          <w:sz w:val="24"/>
          <w:szCs w:val="24"/>
        </w:rPr>
        <w:t>H7 is responsible for intestinal and extra-intestinal disease syndromes in humans and animals, causing numerous outbreaks globally (</w:t>
      </w:r>
      <w:proofErr w:type="spellStart"/>
      <w:r>
        <w:rPr>
          <w:rFonts w:ascii="Times New Roman" w:eastAsia="SimSun" w:hAnsi="Times New Roman" w:cs="Times New Roman"/>
          <w:color w:val="222222"/>
          <w:sz w:val="24"/>
          <w:szCs w:val="24"/>
          <w:shd w:val="clear" w:color="auto" w:fill="FFFFFF"/>
        </w:rPr>
        <w:t>Naidoo</w:t>
      </w:r>
      <w:proofErr w:type="spellEnd"/>
      <w:r>
        <w:rPr>
          <w:rFonts w:ascii="Times New Roman" w:eastAsia="SimSun" w:hAnsi="Times New Roman" w:cs="Times New Roman"/>
          <w:color w:val="222222"/>
          <w:sz w:val="24"/>
          <w:szCs w:val="24"/>
          <w:shd w:val="clear" w:color="auto" w:fill="FFFFFF"/>
        </w:rPr>
        <w:t xml:space="preserve"> and </w:t>
      </w:r>
      <w:proofErr w:type="spellStart"/>
      <w:r>
        <w:rPr>
          <w:rFonts w:ascii="Times New Roman" w:eastAsia="SimSun" w:hAnsi="Times New Roman" w:cs="Times New Roman"/>
          <w:color w:val="222222"/>
          <w:sz w:val="24"/>
          <w:szCs w:val="24"/>
          <w:shd w:val="clear" w:color="auto" w:fill="FFFFFF"/>
        </w:rPr>
        <w:t>Zishir</w:t>
      </w:r>
      <w:proofErr w:type="spellEnd"/>
      <w:r>
        <w:rPr>
          <w:rFonts w:ascii="Times New Roman" w:eastAsia="SimSun" w:hAnsi="Times New Roman" w:cs="Times New Roman"/>
          <w:color w:val="222222"/>
          <w:sz w:val="24"/>
          <w:szCs w:val="24"/>
          <w:shd w:val="clear" w:color="auto" w:fill="FFFFFF"/>
        </w:rPr>
        <w:t>, 2025)</w:t>
      </w:r>
      <w:r>
        <w:rPr>
          <w:rFonts w:ascii="Times New Roman" w:eastAsia="SimSun" w:hAnsi="Times New Roman" w:cs="Times New Roman"/>
          <w:sz w:val="24"/>
          <w:szCs w:val="24"/>
        </w:rPr>
        <w:t>.</w:t>
      </w:r>
    </w:p>
    <w:p w:rsidR="008447D7" w:rsidRDefault="008F7D59">
      <w:pPr>
        <w:numPr>
          <w:ilvl w:val="0"/>
          <w:numId w:val="2"/>
        </w:numPr>
        <w:jc w:val="both"/>
        <w:rPr>
          <w:rFonts w:ascii="Times New Roman" w:hAnsi="Times New Roman" w:cs="Times New Roman"/>
          <w:sz w:val="24"/>
          <w:szCs w:val="24"/>
        </w:rPr>
      </w:pPr>
      <w:proofErr w:type="gramStart"/>
      <w:r>
        <w:rPr>
          <w:rFonts w:ascii="Times New Roman" w:eastAsia="SimSun" w:hAnsi="Times New Roman" w:cs="Times New Roman"/>
          <w:i/>
          <w:iCs/>
          <w:sz w:val="24"/>
          <w:szCs w:val="24"/>
          <w:lang w:bidi="ar"/>
        </w:rPr>
        <w:t>coli</w:t>
      </w:r>
      <w:proofErr w:type="gramEnd"/>
      <w:r>
        <w:rPr>
          <w:rFonts w:ascii="Times New Roman" w:eastAsia="SimSun" w:hAnsi="Times New Roman" w:cs="Times New Roman"/>
          <w:sz w:val="24"/>
          <w:szCs w:val="24"/>
          <w:lang w:bidi="ar"/>
        </w:rPr>
        <w:t xml:space="preserve"> O157:H7 and non-O157 STEC can cause hemorrhagic colitis HC, hemolytic uremic syndrome HUS, th</w:t>
      </w:r>
      <w:r>
        <w:rPr>
          <w:rFonts w:ascii="Times New Roman" w:eastAsia="SimSun" w:hAnsi="Times New Roman" w:cs="Times New Roman"/>
          <w:sz w:val="24"/>
          <w:szCs w:val="24"/>
          <w:lang w:bidi="ar"/>
        </w:rPr>
        <w:t xml:space="preserve">rombotic thrombocytopenic </w:t>
      </w:r>
      <w:proofErr w:type="spellStart"/>
      <w:r>
        <w:rPr>
          <w:rFonts w:ascii="Times New Roman" w:eastAsia="SimSun" w:hAnsi="Times New Roman" w:cs="Times New Roman"/>
          <w:sz w:val="24"/>
          <w:szCs w:val="24"/>
          <w:lang w:bidi="ar"/>
        </w:rPr>
        <w:t>purpura</w:t>
      </w:r>
      <w:proofErr w:type="spellEnd"/>
      <w:r>
        <w:rPr>
          <w:rFonts w:ascii="Times New Roman" w:eastAsia="SimSun" w:hAnsi="Times New Roman" w:cs="Times New Roman"/>
          <w:sz w:val="24"/>
          <w:szCs w:val="24"/>
          <w:lang w:bidi="ar"/>
        </w:rPr>
        <w:t xml:space="preserve"> TTP, and death. Isolation has been reported worldwide, but transmission pathways remain unclear (</w:t>
      </w:r>
      <w:proofErr w:type="spellStart"/>
      <w:r>
        <w:rPr>
          <w:rFonts w:ascii="Times New Roman" w:eastAsia="SimSun" w:hAnsi="Times New Roman" w:cs="Times New Roman"/>
          <w:color w:val="222222"/>
          <w:sz w:val="24"/>
          <w:szCs w:val="24"/>
          <w:shd w:val="clear" w:color="auto" w:fill="FFFFFF"/>
        </w:rPr>
        <w:t>Meng</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2012)</w:t>
      </w:r>
      <w:r>
        <w:rPr>
          <w:rFonts w:ascii="Times New Roman" w:eastAsia="SimSun" w:hAnsi="Times New Roman" w:cs="Times New Roman"/>
          <w:sz w:val="24"/>
          <w:szCs w:val="24"/>
          <w:lang w:bidi="ar"/>
        </w:rPr>
        <w:t xml:space="preserve">. Globally, STEC causes about 2.8 million acute illnesses annually, with thousands of HUS cases and deaths </w:t>
      </w:r>
      <w:r>
        <w:rPr>
          <w:rFonts w:ascii="Times New Roman" w:eastAsia="SimSun" w:hAnsi="Times New Roman" w:cs="Times New Roman"/>
          <w:sz w:val="24"/>
          <w:szCs w:val="24"/>
          <w:lang w:bidi="ar"/>
        </w:rPr>
        <w:t>(</w:t>
      </w:r>
      <w:r>
        <w:rPr>
          <w:rFonts w:ascii="Times New Roman" w:eastAsia="SimSun" w:hAnsi="Times New Roman" w:cs="Times New Roman"/>
          <w:color w:val="222222"/>
          <w:sz w:val="24"/>
          <w:szCs w:val="24"/>
          <w:shd w:val="clear" w:color="auto" w:fill="FFFFFF"/>
        </w:rPr>
        <w:t>Joseph</w:t>
      </w:r>
      <w:r>
        <w:rPr>
          <w:rFonts w:ascii="Times New Roman" w:eastAsia="SimSun" w:hAnsi="Times New Roman" w:cs="Times New Roman"/>
          <w:i/>
          <w:iCs/>
          <w:color w:val="222222"/>
          <w:sz w:val="24"/>
          <w:szCs w:val="24"/>
          <w:shd w:val="clear" w:color="auto" w:fill="FFFFFF"/>
        </w:rPr>
        <w:t xml:space="preserve"> et al.,</w:t>
      </w:r>
      <w:r>
        <w:rPr>
          <w:rFonts w:ascii="Times New Roman" w:eastAsia="SimSun" w:hAnsi="Times New Roman" w:cs="Times New Roman"/>
          <w:color w:val="222222"/>
          <w:sz w:val="24"/>
          <w:szCs w:val="24"/>
          <w:shd w:val="clear" w:color="auto" w:fill="FFFFFF"/>
        </w:rPr>
        <w:t xml:space="preserve"> 2020)</w:t>
      </w:r>
      <w:r>
        <w:rPr>
          <w:rFonts w:ascii="Times New Roman" w:eastAsia="SimSun" w:hAnsi="Times New Roman" w:cs="Times New Roman"/>
          <w:sz w:val="24"/>
          <w:szCs w:val="24"/>
          <w:lang w:bidi="ar"/>
        </w:rPr>
        <w:t xml:space="preserve">. In the US, </w:t>
      </w:r>
      <w:r>
        <w:rPr>
          <w:rFonts w:ascii="Times New Roman" w:eastAsia="SimSun" w:hAnsi="Times New Roman" w:cs="Times New Roman"/>
          <w:i/>
          <w:sz w:val="24"/>
          <w:szCs w:val="24"/>
          <w:lang w:bidi="ar"/>
        </w:rPr>
        <w:t>E. coli</w:t>
      </w:r>
      <w:r>
        <w:rPr>
          <w:rFonts w:ascii="Times New Roman" w:eastAsia="SimSun" w:hAnsi="Times New Roman" w:cs="Times New Roman"/>
          <w:sz w:val="24"/>
          <w:szCs w:val="24"/>
          <w:lang w:bidi="ar"/>
        </w:rPr>
        <w:t xml:space="preserve"> O157:H7 was first recognized in 1982, with 390 outbreaks between 2003–2012 leading to thousands of illnesses and deaths. Similar outbreaks have been reported worldwide, including Germany and Africa, where O157:H7 contributes significantly to disease burde</w:t>
      </w:r>
      <w:r>
        <w:rPr>
          <w:rFonts w:ascii="Times New Roman" w:eastAsia="SimSun" w:hAnsi="Times New Roman" w:cs="Times New Roman"/>
          <w:sz w:val="24"/>
          <w:szCs w:val="24"/>
          <w:lang w:bidi="ar"/>
        </w:rPr>
        <w:t>n (</w:t>
      </w:r>
      <w:proofErr w:type="spellStart"/>
      <w:r>
        <w:rPr>
          <w:rFonts w:ascii="Times New Roman" w:eastAsia="SimSun" w:hAnsi="Times New Roman" w:cs="Times New Roman"/>
          <w:color w:val="222222"/>
          <w:sz w:val="24"/>
          <w:szCs w:val="24"/>
          <w:shd w:val="clear" w:color="auto" w:fill="FFFFFF"/>
        </w:rPr>
        <w:t>Ison</w:t>
      </w:r>
      <w:proofErr w:type="spellEnd"/>
      <w:r>
        <w:rPr>
          <w:rFonts w:ascii="Times New Roman" w:eastAsia="SimSun" w:hAnsi="Times New Roman" w:cs="Times New Roman"/>
          <w:color w:val="222222"/>
          <w:sz w:val="24"/>
          <w:szCs w:val="24"/>
          <w:shd w:val="clear" w:color="auto" w:fill="FFFFFF"/>
        </w:rPr>
        <w:t xml:space="preserve">, 2016). </w:t>
      </w:r>
      <w:r>
        <w:rPr>
          <w:rFonts w:ascii="Times New Roman" w:eastAsia="SimSun" w:hAnsi="Times New Roman" w:cs="Times New Roman"/>
          <w:sz w:val="24"/>
          <w:szCs w:val="24"/>
          <w:lang w:bidi="ar"/>
        </w:rPr>
        <w:t>The first African case was reported in 1990 in South Africa, with notable prevalence in Nigeria (</w:t>
      </w:r>
      <w:proofErr w:type="spellStart"/>
      <w:r>
        <w:rPr>
          <w:rFonts w:ascii="Times New Roman" w:eastAsia="SimSun" w:hAnsi="Times New Roman" w:cs="Times New Roman"/>
          <w:color w:val="222222"/>
          <w:sz w:val="24"/>
          <w:szCs w:val="24"/>
          <w:shd w:val="clear" w:color="auto" w:fill="FFFFFF"/>
        </w:rPr>
        <w:t>Azubuike</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et al.</w:t>
      </w:r>
      <w:r>
        <w:rPr>
          <w:rFonts w:ascii="Times New Roman" w:eastAsia="SimSun" w:hAnsi="Times New Roman" w:cs="Times New Roman"/>
          <w:color w:val="222222"/>
          <w:sz w:val="24"/>
          <w:szCs w:val="24"/>
          <w:shd w:val="clear" w:color="auto" w:fill="FFFFFF"/>
        </w:rPr>
        <w:t>, 2018)</w:t>
      </w:r>
      <w:r>
        <w:rPr>
          <w:rFonts w:ascii="Times New Roman" w:eastAsia="SimSun" w:hAnsi="Times New Roman" w:cs="Times New Roman"/>
          <w:sz w:val="24"/>
          <w:szCs w:val="24"/>
          <w:lang w:bidi="ar"/>
        </w:rPr>
        <w:t xml:space="preserve">. </w:t>
      </w:r>
      <w:r>
        <w:rPr>
          <w:rFonts w:ascii="Times New Roman" w:hAnsi="Times New Roman" w:cs="Times New Roman"/>
          <w:sz w:val="24"/>
          <w:szCs w:val="24"/>
        </w:rPr>
        <w:t>Shiga toxins (Stx1 and Stx2), especially Stx2, are implicated in severe disease and HUS</w:t>
      </w:r>
      <w:r>
        <w:rPr>
          <w:rFonts w:cs="Times New Roman"/>
          <w:sz w:val="24"/>
          <w:szCs w:val="24"/>
        </w:rPr>
        <w:t xml:space="preserve"> (</w:t>
      </w:r>
      <w:r>
        <w:rPr>
          <w:rFonts w:ascii="Times New Roman" w:eastAsia="SimSun" w:hAnsi="Times New Roman" w:cs="Times New Roman"/>
          <w:color w:val="222222"/>
          <w:sz w:val="24"/>
          <w:szCs w:val="24"/>
          <w:shd w:val="clear" w:color="auto" w:fill="FFFFFF"/>
        </w:rPr>
        <w:t>Joseph</w:t>
      </w:r>
      <w:r>
        <w:rPr>
          <w:rFonts w:ascii="Times New Roman" w:hAnsi="Times New Roman" w:cs="Times New Roman"/>
          <w:i/>
          <w:iCs/>
          <w:color w:val="222222"/>
          <w:sz w:val="24"/>
          <w:szCs w:val="24"/>
          <w:shd w:val="clear" w:color="auto" w:fill="FFFFFF"/>
        </w:rPr>
        <w:t xml:space="preserve"> et al</w:t>
      </w:r>
      <w:r>
        <w:rPr>
          <w:rFonts w:ascii="Times New Roman" w:hAnsi="Times New Roman" w:cs="Times New Roman"/>
          <w:color w:val="222222"/>
          <w:sz w:val="24"/>
          <w:szCs w:val="24"/>
          <w:shd w:val="clear" w:color="auto" w:fill="FFFFFF"/>
        </w:rPr>
        <w:t>., 2020</w:t>
      </w:r>
      <w:r>
        <w:rPr>
          <w:rFonts w:ascii="Times New Roman" w:hAnsi="Times New Roman" w:cs="Times New Roman"/>
          <w:sz w:val="24"/>
          <w:szCs w:val="24"/>
        </w:rPr>
        <w:t xml:space="preserve">. Symptoms </w:t>
      </w:r>
      <w:r>
        <w:rPr>
          <w:rFonts w:ascii="Times New Roman" w:hAnsi="Times New Roman" w:cs="Times New Roman"/>
          <w:sz w:val="24"/>
          <w:szCs w:val="24"/>
        </w:rPr>
        <w:t>include abdominal pain, watery diarrhea, and progression to bloody diarrhea. These toxins bind to eukaryotic cell receptors, causing tissue damage</w:t>
      </w:r>
      <w:r>
        <w:rPr>
          <w:rFonts w:cs="Times New Roman"/>
          <w:sz w:val="24"/>
          <w:szCs w:val="24"/>
        </w:rPr>
        <w:t xml:space="preserve"> (</w:t>
      </w:r>
      <w:r>
        <w:rPr>
          <w:rFonts w:ascii="Times New Roman" w:eastAsia="SimSun" w:hAnsi="Times New Roman" w:cs="Times New Roman"/>
          <w:color w:val="222222"/>
          <w:sz w:val="24"/>
          <w:szCs w:val="24"/>
          <w:shd w:val="clear" w:color="auto" w:fill="FFFFFF"/>
        </w:rPr>
        <w:t>Cohen,</w:t>
      </w:r>
      <w:r>
        <w:rPr>
          <w:rFonts w:ascii="Times New Roman" w:hAnsi="Times New Roman" w:cs="Times New Roman"/>
          <w:color w:val="222222"/>
          <w:sz w:val="24"/>
          <w:szCs w:val="24"/>
          <w:shd w:val="clear" w:color="auto" w:fill="FFFFFF"/>
        </w:rPr>
        <w:t xml:space="preserve"> </w:t>
      </w:r>
      <w:r>
        <w:rPr>
          <w:rFonts w:ascii="Times New Roman" w:eastAsia="SimSun" w:hAnsi="Times New Roman" w:cs="Times New Roman"/>
          <w:color w:val="222222"/>
          <w:sz w:val="24"/>
          <w:szCs w:val="24"/>
          <w:shd w:val="clear" w:color="auto" w:fill="FFFFFF"/>
        </w:rPr>
        <w:t>2022)</w:t>
      </w:r>
      <w:r>
        <w:rPr>
          <w:rFonts w:ascii="Times New Roman" w:hAnsi="Times New Roman" w:cs="Times New Roman"/>
          <w:sz w:val="24"/>
          <w:szCs w:val="24"/>
        </w:rPr>
        <w:t xml:space="preserve">. </w:t>
      </w:r>
    </w:p>
    <w:p w:rsidR="008447D7" w:rsidRDefault="008F7D59">
      <w:pPr>
        <w:pStyle w:val="NormalWeb"/>
        <w:jc w:val="both"/>
      </w:pPr>
      <w:r>
        <w:lastRenderedPageBreak/>
        <w:t>Antimicrobial resistance (AMR) is a major global threat, responsible for millions of deaths a</w:t>
      </w:r>
      <w:r>
        <w:t>nnually and projected to rise annually (</w:t>
      </w:r>
      <w:r>
        <w:rPr>
          <w:color w:val="222222"/>
          <w:shd w:val="clear" w:color="auto" w:fill="FFFFFF"/>
        </w:rPr>
        <w:t xml:space="preserve">Tang </w:t>
      </w:r>
      <w:r>
        <w:rPr>
          <w:i/>
          <w:iCs/>
          <w:color w:val="222222"/>
          <w:shd w:val="clear" w:color="auto" w:fill="FFFFFF"/>
        </w:rPr>
        <w:t>et al.</w:t>
      </w:r>
      <w:r>
        <w:rPr>
          <w:color w:val="222222"/>
          <w:shd w:val="clear" w:color="auto" w:fill="FFFFFF"/>
        </w:rPr>
        <w:t>, 2023)</w:t>
      </w:r>
      <w:r>
        <w:t xml:space="preserve">. Multiple antibiotic </w:t>
      </w:r>
      <w:proofErr w:type="gramStart"/>
      <w:r>
        <w:t>resistance</w:t>
      </w:r>
      <w:proofErr w:type="gramEnd"/>
      <w:r>
        <w:t xml:space="preserve"> (MAR) in pathogens like </w:t>
      </w:r>
      <w:r>
        <w:rPr>
          <w:i/>
          <w:iCs/>
        </w:rPr>
        <w:t>Salmonella, Proteus</w:t>
      </w:r>
      <w:r>
        <w:t xml:space="preserve">, and </w:t>
      </w:r>
      <w:r>
        <w:rPr>
          <w:i/>
          <w:iCs/>
        </w:rPr>
        <w:t>E. coli</w:t>
      </w:r>
      <w:r>
        <w:t xml:space="preserve"> O157:H7 has emerged due to widespread antimicrobial use in food animals (</w:t>
      </w:r>
      <w:proofErr w:type="spellStart"/>
      <w:r>
        <w:rPr>
          <w:color w:val="222222"/>
          <w:shd w:val="clear" w:color="auto" w:fill="FFFFFF"/>
        </w:rPr>
        <w:t>Grudlewska</w:t>
      </w:r>
      <w:proofErr w:type="spellEnd"/>
      <w:r>
        <w:rPr>
          <w:color w:val="222222"/>
          <w:shd w:val="clear" w:color="auto" w:fill="FFFFFF"/>
        </w:rPr>
        <w:t xml:space="preserve">-Buda </w:t>
      </w:r>
      <w:r>
        <w:rPr>
          <w:i/>
          <w:iCs/>
          <w:color w:val="222222"/>
          <w:shd w:val="clear" w:color="auto" w:fill="FFFFFF"/>
        </w:rPr>
        <w:t>et al</w:t>
      </w:r>
      <w:r>
        <w:rPr>
          <w:color w:val="222222"/>
          <w:shd w:val="clear" w:color="auto" w:fill="FFFFFF"/>
        </w:rPr>
        <w:t xml:space="preserve">., 2023; </w:t>
      </w:r>
      <w:proofErr w:type="spellStart"/>
      <w:r>
        <w:rPr>
          <w:color w:val="222222"/>
          <w:shd w:val="clear" w:color="auto" w:fill="FFFFFF"/>
        </w:rPr>
        <w:t>Gambushe</w:t>
      </w:r>
      <w:proofErr w:type="spellEnd"/>
      <w:r>
        <w:rPr>
          <w:i/>
          <w:iCs/>
          <w:color w:val="222222"/>
          <w:shd w:val="clear" w:color="auto" w:fill="FFFFFF"/>
        </w:rPr>
        <w:t xml:space="preserve"> et al</w:t>
      </w:r>
      <w:r>
        <w:rPr>
          <w:color w:val="222222"/>
          <w:shd w:val="clear" w:color="auto" w:fill="FFFFFF"/>
        </w:rPr>
        <w:t>., 2022)</w:t>
      </w:r>
      <w:r>
        <w:t>. Transmission from beef and poultry to humans is well-documented, with recent reports in Nigeria (</w:t>
      </w:r>
      <w:proofErr w:type="spellStart"/>
      <w:r>
        <w:rPr>
          <w:color w:val="222222"/>
          <w:shd w:val="clear" w:color="auto" w:fill="FFFFFF"/>
        </w:rPr>
        <w:t>Sanni</w:t>
      </w:r>
      <w:proofErr w:type="spellEnd"/>
      <w:r>
        <w:rPr>
          <w:color w:val="222222"/>
          <w:shd w:val="clear" w:color="auto" w:fill="FFFFFF"/>
        </w:rPr>
        <w:t xml:space="preserve">, 2024). </w:t>
      </w:r>
      <w:r>
        <w:t xml:space="preserve">Commonly used antibiotics in poultry include </w:t>
      </w:r>
      <w:proofErr w:type="spellStart"/>
      <w:r>
        <w:t>tylosin</w:t>
      </w:r>
      <w:proofErr w:type="spellEnd"/>
      <w:r>
        <w:t xml:space="preserve">, doxycycline, streptomycin, chloramphenicol, </w:t>
      </w:r>
      <w:proofErr w:type="spellStart"/>
      <w:r>
        <w:t>oxytetracycline</w:t>
      </w:r>
      <w:proofErr w:type="spellEnd"/>
      <w:r>
        <w:t>, ciprof</w:t>
      </w:r>
      <w:r>
        <w:t xml:space="preserve">loxacin, neomycin, </w:t>
      </w:r>
      <w:proofErr w:type="spellStart"/>
      <w:r>
        <w:t>nitrofurantoin</w:t>
      </w:r>
      <w:proofErr w:type="spellEnd"/>
      <w:r>
        <w:t xml:space="preserve">, gentamicin, and </w:t>
      </w:r>
      <w:proofErr w:type="spellStart"/>
      <w:r>
        <w:t>colistin</w:t>
      </w:r>
      <w:proofErr w:type="spellEnd"/>
      <w:r>
        <w:t>, facilitating resistant strain spread (</w:t>
      </w:r>
      <w:proofErr w:type="spellStart"/>
      <w:r>
        <w:rPr>
          <w:color w:val="222222"/>
          <w:shd w:val="clear" w:color="auto" w:fill="FFFFFF"/>
        </w:rPr>
        <w:t>Fadipe</w:t>
      </w:r>
      <w:proofErr w:type="spellEnd"/>
      <w:r>
        <w:rPr>
          <w:color w:val="222222"/>
          <w:shd w:val="clear" w:color="auto" w:fill="FFFFFF"/>
        </w:rPr>
        <w:t xml:space="preserve"> and </w:t>
      </w:r>
      <w:proofErr w:type="spellStart"/>
      <w:r>
        <w:rPr>
          <w:color w:val="222222"/>
          <w:shd w:val="clear" w:color="auto" w:fill="FFFFFF"/>
        </w:rPr>
        <w:t>Hölzle</w:t>
      </w:r>
      <w:proofErr w:type="spellEnd"/>
      <w:r>
        <w:rPr>
          <w:color w:val="222222"/>
          <w:shd w:val="clear" w:color="auto" w:fill="FFFFFF"/>
        </w:rPr>
        <w:t>, 2025).</w:t>
      </w:r>
    </w:p>
    <w:p w:rsidR="008447D7" w:rsidRDefault="008447D7">
      <w:pPr>
        <w:rPr>
          <w:rFonts w:ascii="SimSun" w:eastAsia="SimSun" w:hAnsi="SimSun" w:cs="SimSun"/>
          <w:sz w:val="24"/>
          <w:szCs w:val="24"/>
        </w:rPr>
      </w:pPr>
    </w:p>
    <w:p w:rsidR="008447D7" w:rsidRDefault="008F7D59">
      <w:pPr>
        <w:rPr>
          <w:rFonts w:ascii="Times New Roman" w:eastAsia="SimSun" w:hAnsi="Times New Roman" w:cs="Times New Roman"/>
          <w:b/>
          <w:bCs/>
          <w:sz w:val="24"/>
          <w:szCs w:val="24"/>
        </w:rPr>
      </w:pPr>
      <w:r>
        <w:rPr>
          <w:rFonts w:ascii="Times New Roman" w:eastAsia="SimSun" w:hAnsi="Times New Roman" w:cs="Times New Roman"/>
          <w:b/>
          <w:bCs/>
          <w:sz w:val="24"/>
          <w:szCs w:val="24"/>
        </w:rPr>
        <w:t>MATERIALS AND METHODS</w:t>
      </w:r>
    </w:p>
    <w:p w:rsidR="008447D7" w:rsidRDefault="008F7D59">
      <w:pPr>
        <w:pStyle w:val="NormalWeb"/>
        <w:jc w:val="both"/>
        <w:rPr>
          <w:b/>
          <w:bCs/>
        </w:rPr>
      </w:pPr>
      <w:r>
        <w:rPr>
          <w:b/>
          <w:bCs/>
        </w:rPr>
        <w:t>Study Area</w:t>
      </w:r>
    </w:p>
    <w:p w:rsidR="008447D7" w:rsidRDefault="008F7D59">
      <w:pPr>
        <w:pStyle w:val="NormalWeb"/>
        <w:jc w:val="both"/>
      </w:pPr>
      <w:r>
        <w:t>The research was conducted in the Federal Capital Territory (FCT), Nigeria, which covers about 8,</w:t>
      </w:r>
      <w:r>
        <w:t xml:space="preserve">000 km² and consists of six Area Councils of </w:t>
      </w:r>
      <w:proofErr w:type="spellStart"/>
      <w:r>
        <w:t>Abaji</w:t>
      </w:r>
      <w:proofErr w:type="spellEnd"/>
      <w:r>
        <w:t xml:space="preserve">, </w:t>
      </w:r>
      <w:proofErr w:type="spellStart"/>
      <w:r>
        <w:t>Kwali</w:t>
      </w:r>
      <w:proofErr w:type="spellEnd"/>
      <w:r>
        <w:t xml:space="preserve">, </w:t>
      </w:r>
      <w:proofErr w:type="spellStart"/>
      <w:r>
        <w:t>Gwagwalada</w:t>
      </w:r>
      <w:proofErr w:type="spellEnd"/>
      <w:r>
        <w:t xml:space="preserve">, </w:t>
      </w:r>
      <w:proofErr w:type="spellStart"/>
      <w:r>
        <w:t>Kuje</w:t>
      </w:r>
      <w:proofErr w:type="spellEnd"/>
      <w:r>
        <w:t xml:space="preserve">, Abuja Municipal Area Council AMAC and </w:t>
      </w:r>
      <w:proofErr w:type="spellStart"/>
      <w:r>
        <w:t>Bwari</w:t>
      </w:r>
      <w:proofErr w:type="spellEnd"/>
      <w:r>
        <w:t xml:space="preserve"> (</w:t>
      </w:r>
      <w:proofErr w:type="spellStart"/>
      <w:r>
        <w:rPr>
          <w:color w:val="222222"/>
          <w:shd w:val="clear" w:color="auto" w:fill="FFFFFF"/>
        </w:rPr>
        <w:t>Madu</w:t>
      </w:r>
      <w:proofErr w:type="spellEnd"/>
      <w:r>
        <w:rPr>
          <w:color w:val="222222"/>
          <w:shd w:val="clear" w:color="auto" w:fill="FFFFFF"/>
        </w:rPr>
        <w:t xml:space="preserve">, 2023; </w:t>
      </w:r>
      <w:proofErr w:type="spellStart"/>
      <w:r>
        <w:rPr>
          <w:color w:val="222222"/>
          <w:shd w:val="clear" w:color="auto" w:fill="FFFFFF"/>
        </w:rPr>
        <w:t>Ibilewa</w:t>
      </w:r>
      <w:proofErr w:type="spellEnd"/>
      <w:r>
        <w:rPr>
          <w:color w:val="222222"/>
          <w:shd w:val="clear" w:color="auto" w:fill="FFFFFF"/>
        </w:rPr>
        <w:t xml:space="preserve"> 2018).</w:t>
      </w:r>
      <w:r>
        <w:t xml:space="preserve"> The FCT is mainly inhabited by the </w:t>
      </w:r>
      <w:proofErr w:type="spellStart"/>
      <w:r>
        <w:t>Gbagyi</w:t>
      </w:r>
      <w:proofErr w:type="spellEnd"/>
      <w:r>
        <w:t xml:space="preserve"> people, alongside other ethnic groups such as Hausa, Fulani, Yoru</w:t>
      </w:r>
      <w:r>
        <w:t>ba, and Igbo, each engaged in farming, trade, politics, or civil service (</w:t>
      </w:r>
      <w:proofErr w:type="spellStart"/>
      <w:r>
        <w:t>Bawa</w:t>
      </w:r>
      <w:proofErr w:type="spellEnd"/>
      <w:r>
        <w:t>, 2025). Agriculture is the backbone of the economy, with crops like maize, millet, yams, and beans widely grown (</w:t>
      </w:r>
      <w:proofErr w:type="spellStart"/>
      <w:r>
        <w:rPr>
          <w:color w:val="222222"/>
          <w:shd w:val="clear" w:color="auto" w:fill="FFFFFF"/>
        </w:rPr>
        <w:t>Ayuba</w:t>
      </w:r>
      <w:proofErr w:type="spellEnd"/>
      <w:r>
        <w:rPr>
          <w:color w:val="222222"/>
          <w:shd w:val="clear" w:color="auto" w:fill="FFFFFF"/>
        </w:rPr>
        <w:t xml:space="preserve"> </w:t>
      </w:r>
      <w:r>
        <w:rPr>
          <w:i/>
          <w:iCs/>
          <w:color w:val="222222"/>
          <w:shd w:val="clear" w:color="auto" w:fill="FFFFFF"/>
        </w:rPr>
        <w:t>et al.</w:t>
      </w:r>
      <w:r>
        <w:rPr>
          <w:color w:val="222222"/>
          <w:shd w:val="clear" w:color="auto" w:fill="FFFFFF"/>
        </w:rPr>
        <w:t>, 2025)</w:t>
      </w:r>
      <w:r>
        <w:t>. Poultry farming is significant, with 117 co</w:t>
      </w:r>
      <w:r>
        <w:t>mmercial farms reported in 2025, many establishing digital presence (</w:t>
      </w:r>
      <w:proofErr w:type="spellStart"/>
      <w:r>
        <w:rPr>
          <w:color w:val="222222"/>
          <w:shd w:val="clear" w:color="auto" w:fill="FFFFFF"/>
        </w:rPr>
        <w:t>Aminullah</w:t>
      </w:r>
      <w:proofErr w:type="spellEnd"/>
      <w:r>
        <w:rPr>
          <w:color w:val="222222"/>
          <w:shd w:val="clear" w:color="auto" w:fill="FFFFFF"/>
        </w:rPr>
        <w:t xml:space="preserve"> </w:t>
      </w:r>
      <w:r>
        <w:rPr>
          <w:i/>
          <w:iCs/>
          <w:color w:val="222222"/>
          <w:shd w:val="clear" w:color="auto" w:fill="FFFFFF"/>
        </w:rPr>
        <w:t>et al.</w:t>
      </w:r>
      <w:r>
        <w:rPr>
          <w:color w:val="222222"/>
          <w:shd w:val="clear" w:color="auto" w:fill="FFFFFF"/>
        </w:rPr>
        <w:t>, 2025)</w:t>
      </w:r>
      <w:r>
        <w:t>. There are five Internally Displaced Persons (IDP) camps in the FCT, located in poor sanitary conditions, lacking amenities, and prone to water-borne and infectiou</w:t>
      </w:r>
      <w:r>
        <w:t>s diseases (</w:t>
      </w:r>
      <w:proofErr w:type="spellStart"/>
      <w:r>
        <w:rPr>
          <w:color w:val="222222"/>
          <w:shd w:val="clear" w:color="auto" w:fill="FFFFFF"/>
        </w:rPr>
        <w:t>Ekoh</w:t>
      </w:r>
      <w:proofErr w:type="spellEnd"/>
      <w:r>
        <w:rPr>
          <w:color w:val="222222"/>
          <w:shd w:val="clear" w:color="auto" w:fill="FFFFFF"/>
        </w:rPr>
        <w:t xml:space="preserve"> </w:t>
      </w:r>
      <w:r>
        <w:rPr>
          <w:i/>
          <w:iCs/>
          <w:color w:val="222222"/>
          <w:shd w:val="clear" w:color="auto" w:fill="FFFFFF"/>
        </w:rPr>
        <w:t>et al</w:t>
      </w:r>
      <w:r>
        <w:rPr>
          <w:color w:val="222222"/>
          <w:shd w:val="clear" w:color="auto" w:fill="FFFFFF"/>
        </w:rPr>
        <w:t>., 2023)</w:t>
      </w:r>
      <w:r>
        <w:t>.</w:t>
      </w:r>
    </w:p>
    <w:p w:rsidR="008447D7" w:rsidRDefault="008F7D59">
      <w:pPr>
        <w:pStyle w:val="NormalWeb"/>
        <w:rPr>
          <w:b/>
          <w:bCs/>
        </w:rPr>
      </w:pPr>
      <w:r>
        <w:rPr>
          <w:b/>
          <w:bCs/>
        </w:rPr>
        <w:t>Study Design</w:t>
      </w:r>
    </w:p>
    <w:p w:rsidR="008447D7" w:rsidRDefault="008F7D59">
      <w:pPr>
        <w:pStyle w:val="NormalWeb"/>
        <w:rPr>
          <w:b/>
          <w:bCs/>
        </w:rPr>
      </w:pPr>
      <w:r>
        <w:t xml:space="preserve">A cross-sectional epidemiological study design was adopted to investigate the prevalence and molecular characteristics of antibiotic-resistant </w:t>
      </w:r>
      <w:r>
        <w:rPr>
          <w:i/>
          <w:iCs/>
        </w:rPr>
        <w:t xml:space="preserve">Escherichia coli </w:t>
      </w:r>
      <w:r>
        <w:t>O157:H7 in human stool and poultry fecal samples wi</w:t>
      </w:r>
      <w:r>
        <w:t xml:space="preserve">thin the Federal Capital Territory (FCT), Nigeria. A multi-stage sampling technique was employed. Three area councils (AMAC, </w:t>
      </w:r>
      <w:proofErr w:type="spellStart"/>
      <w:r>
        <w:t>Kwali</w:t>
      </w:r>
      <w:proofErr w:type="spellEnd"/>
      <w:r>
        <w:t xml:space="preserve">, </w:t>
      </w:r>
      <w:proofErr w:type="spellStart"/>
      <w:proofErr w:type="gramStart"/>
      <w:r>
        <w:t>Gwagwalada</w:t>
      </w:r>
      <w:proofErr w:type="spellEnd"/>
      <w:proofErr w:type="gramEnd"/>
      <w:r>
        <w:t>) were selected by simple random sampling, and one major hospital from each council was purposively chosen: Nation</w:t>
      </w:r>
      <w:r>
        <w:t>al Hospital (AMAC), University of Abuja Teaching Hospital (</w:t>
      </w:r>
      <w:proofErr w:type="spellStart"/>
      <w:r>
        <w:t>Gwagwalada</w:t>
      </w:r>
      <w:proofErr w:type="spellEnd"/>
      <w:r>
        <w:t xml:space="preserve">), and General Hospital </w:t>
      </w:r>
      <w:proofErr w:type="spellStart"/>
      <w:r>
        <w:t>Kwali</w:t>
      </w:r>
      <w:proofErr w:type="spellEnd"/>
      <w:r>
        <w:t xml:space="preserve"> (</w:t>
      </w:r>
      <w:proofErr w:type="spellStart"/>
      <w:r>
        <w:t>Kwali</w:t>
      </w:r>
      <w:proofErr w:type="spellEnd"/>
      <w:r>
        <w:t>). Stool samples of diarrhea patients were purposively collected. Two IDP camps (</w:t>
      </w:r>
      <w:proofErr w:type="spellStart"/>
      <w:r>
        <w:t>Kuchingoro</w:t>
      </w:r>
      <w:proofErr w:type="spellEnd"/>
      <w:r>
        <w:t xml:space="preserve"> and </w:t>
      </w:r>
      <w:proofErr w:type="spellStart"/>
      <w:r>
        <w:t>Karamajiji</w:t>
      </w:r>
      <w:proofErr w:type="spellEnd"/>
      <w:r>
        <w:t xml:space="preserve">) were purposively selected, mainly occupied </w:t>
      </w:r>
      <w:r>
        <w:t xml:space="preserve">by children </w:t>
      </w:r>
      <w:proofErr w:type="gramStart"/>
      <w:r>
        <w:t>under</w:t>
      </w:r>
      <w:proofErr w:type="gramEnd"/>
      <w:r>
        <w:t xml:space="preserve"> 10 years, and stool samples from children and few adults were collected.</w:t>
      </w:r>
    </w:p>
    <w:p w:rsidR="008447D7" w:rsidRDefault="008F7D59">
      <w:pPr>
        <w:pStyle w:val="NormalWeb"/>
        <w:jc w:val="both"/>
      </w:pPr>
      <w:r>
        <w:t>Commercial Production Poultry (CPP) farms with 2,500–10,000 birds in the three councils (totaling 58 farms) were listed, and three farms from each council were selec</w:t>
      </w:r>
      <w:r>
        <w:t xml:space="preserve">ted by simple random sampling. </w:t>
      </w:r>
      <w:proofErr w:type="spellStart"/>
      <w:r>
        <w:t>Faecal</w:t>
      </w:r>
      <w:proofErr w:type="spellEnd"/>
      <w:r>
        <w:t xml:space="preserve"> samples of birds in battery cages were purposively collected.</w:t>
      </w:r>
    </w:p>
    <w:p w:rsidR="008447D7" w:rsidRDefault="008447D7">
      <w:pPr>
        <w:spacing w:line="480" w:lineRule="auto"/>
        <w:jc w:val="both"/>
        <w:rPr>
          <w:rFonts w:ascii="Times New Roman" w:eastAsia="Times New Roman" w:hAnsi="Times New Roman" w:cs="Times New Roman"/>
          <w:b/>
          <w:sz w:val="24"/>
          <w:szCs w:val="24"/>
        </w:rPr>
      </w:pPr>
    </w:p>
    <w:p w:rsidR="008447D7" w:rsidRDefault="008F7D59">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Sample Size Estimation</w:t>
      </w:r>
    </w:p>
    <w:p w:rsidR="008447D7" w:rsidRDefault="008F7D59">
      <w:pPr>
        <w:shd w:val="clear" w:color="auto" w:fill="FFFFFF"/>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Sample size determined as described by </w:t>
      </w:r>
      <w:proofErr w:type="spellStart"/>
      <w:r>
        <w:rPr>
          <w:rFonts w:ascii="Times New Roman" w:eastAsia="Times New Roman" w:hAnsi="Times New Roman" w:cs="Times New Roman"/>
          <w:color w:val="000000"/>
          <w:sz w:val="24"/>
          <w:szCs w:val="24"/>
        </w:rPr>
        <w:t>Thrusfield</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en-GB"/>
        </w:rPr>
        <w:t>2018</w:t>
      </w:r>
      <w:r>
        <w:rPr>
          <w:rFonts w:ascii="Times New Roman" w:eastAsia="Times New Roman" w:hAnsi="Times New Roman" w:cs="Times New Roman"/>
          <w:color w:val="000000"/>
          <w:sz w:val="24"/>
          <w:szCs w:val="24"/>
        </w:rPr>
        <w:t xml:space="preserve">): Prevalence by Robert </w:t>
      </w:r>
      <w:proofErr w:type="gramStart"/>
      <w:r>
        <w:rPr>
          <w:rFonts w:ascii="Times New Roman" w:eastAsia="Times New Roman" w:hAnsi="Times New Roman" w:cs="Times New Roman"/>
          <w:i/>
          <w:color w:val="000000"/>
          <w:sz w:val="24"/>
          <w:szCs w:val="24"/>
        </w:rPr>
        <w:t>et</w:t>
      </w:r>
      <w:proofErr w:type="gramEnd"/>
      <w:r>
        <w:rPr>
          <w:rFonts w:ascii="Times New Roman" w:eastAsia="Times New Roman" w:hAnsi="Times New Roman" w:cs="Times New Roman"/>
          <w:i/>
          <w:color w:val="000000"/>
          <w:sz w:val="24"/>
          <w:szCs w:val="24"/>
        </w:rPr>
        <w:t xml:space="preserve"> al</w:t>
      </w:r>
      <w:r>
        <w:rPr>
          <w:rFonts w:ascii="Times New Roman" w:eastAsia="Times New Roman" w:hAnsi="Times New Roman" w:cs="Times New Roman"/>
          <w:color w:val="000000"/>
          <w:sz w:val="24"/>
          <w:szCs w:val="24"/>
        </w:rPr>
        <w:t>.2002: N= Z</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pq</w:t>
      </w:r>
      <w:proofErr w:type="spellEnd"/>
      <w:r>
        <w:rPr>
          <w:rFonts w:ascii="Times New Roman" w:eastAsia="Times New Roman" w:hAnsi="Times New Roman" w:cs="Times New Roman"/>
          <w:color w:val="000000"/>
          <w:sz w:val="24"/>
          <w:szCs w:val="24"/>
        </w:rPr>
        <w:t>/d</w:t>
      </w:r>
      <w:r>
        <w:rPr>
          <w:rFonts w:ascii="Times New Roman" w:eastAsia="Times New Roman" w:hAnsi="Times New Roman" w:cs="Times New Roman"/>
          <w:color w:val="000000"/>
          <w:sz w:val="24"/>
          <w:szCs w:val="24"/>
          <w:vertAlign w:val="superscript"/>
        </w:rPr>
        <w:t>2</w:t>
      </w:r>
    </w:p>
    <w:p w:rsidR="008447D7" w:rsidRDefault="008447D7">
      <w:pPr>
        <w:shd w:val="clear" w:color="auto" w:fill="FFFFFF"/>
        <w:jc w:val="both"/>
        <w:rPr>
          <w:rFonts w:ascii="Times New Roman" w:eastAsia="Times New Roman" w:hAnsi="Times New Roman" w:cs="Times New Roman"/>
          <w:color w:val="000000"/>
          <w:sz w:val="24"/>
          <w:szCs w:val="24"/>
          <w:vertAlign w:val="superscript"/>
        </w:rPr>
      </w:pP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Where: N = sample size, </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 = Standard normal deviation (1.96), </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 = Prevalence in Chicken, </w:t>
      </w:r>
      <w:r>
        <w:rPr>
          <w:rFonts w:ascii="Times New Roman" w:eastAsia="Times New Roman" w:hAnsi="Times New Roman" w:cs="Times New Roman"/>
          <w:i/>
          <w:color w:val="000000"/>
          <w:sz w:val="24"/>
          <w:szCs w:val="24"/>
        </w:rPr>
        <w:t>E. coli</w:t>
      </w:r>
      <w:r>
        <w:rPr>
          <w:rFonts w:ascii="Times New Roman" w:eastAsia="Times New Roman" w:hAnsi="Times New Roman" w:cs="Times New Roman"/>
          <w:color w:val="000000"/>
          <w:sz w:val="24"/>
          <w:szCs w:val="24"/>
        </w:rPr>
        <w:t xml:space="preserve"> 47.6% by </w:t>
      </w:r>
      <w:bookmarkStart w:id="1" w:name="_Hlk205427828"/>
      <w:r>
        <w:rPr>
          <w:rFonts w:ascii="Times New Roman" w:eastAsia="Times New Roman" w:hAnsi="Times New Roman" w:cs="Times New Roman"/>
          <w:color w:val="000000"/>
          <w:sz w:val="24"/>
          <w:szCs w:val="24"/>
        </w:rPr>
        <w:t xml:space="preserve">Robert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(2002)</w:t>
      </w:r>
      <w:bookmarkEnd w:id="1"/>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 Prevalence in Human, </w:t>
      </w:r>
      <w:r>
        <w:rPr>
          <w:rFonts w:ascii="Times New Roman" w:eastAsia="Times New Roman" w:hAnsi="Times New Roman" w:cs="Times New Roman"/>
          <w:i/>
          <w:iCs/>
          <w:color w:val="000000"/>
          <w:sz w:val="24"/>
          <w:szCs w:val="24"/>
        </w:rPr>
        <w:t>E. coli</w:t>
      </w:r>
      <w:r>
        <w:rPr>
          <w:rFonts w:ascii="Times New Roman" w:eastAsia="Times New Roman" w:hAnsi="Times New Roman" w:cs="Times New Roman"/>
          <w:color w:val="000000"/>
          <w:sz w:val="24"/>
          <w:szCs w:val="24"/>
        </w:rPr>
        <w:t xml:space="preserve"> 53% by Robert </w:t>
      </w:r>
      <w:r>
        <w:rPr>
          <w:rFonts w:ascii="Times New Roman" w:eastAsia="Times New Roman" w:hAnsi="Times New Roman" w:cs="Times New Roman"/>
          <w:i/>
          <w:iCs/>
          <w:color w:val="000000"/>
          <w:sz w:val="24"/>
          <w:szCs w:val="24"/>
        </w:rPr>
        <w:t>et al</w:t>
      </w:r>
      <w:r>
        <w:rPr>
          <w:rFonts w:ascii="Times New Roman" w:eastAsia="Times New Roman" w:hAnsi="Times New Roman" w:cs="Times New Roman"/>
          <w:color w:val="000000"/>
          <w:sz w:val="24"/>
          <w:szCs w:val="24"/>
        </w:rPr>
        <w:t>. (2002)</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Desired precision (0.05). </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q = 1 – p </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Therefore; </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vertAlign w:val="subscript"/>
        </w:rPr>
        <w:t>chicken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(1.96)</w:t>
      </w:r>
      <w:r>
        <w:rPr>
          <w:rFonts w:ascii="Times New Roman" w:eastAsia="Times New Roman" w:hAnsi="Times New Roman" w:cs="Times New Roman"/>
          <w:color w:val="000000"/>
          <w:sz w:val="24"/>
          <w:szCs w:val="24"/>
          <w:u w:val="single"/>
          <w:vertAlign w:val="superscript"/>
        </w:rPr>
        <w:t xml:space="preserve">2   </w:t>
      </w:r>
      <w:r>
        <w:rPr>
          <w:rFonts w:ascii="Times New Roman" w:eastAsia="Times New Roman" w:hAnsi="Times New Roman" w:cs="Times New Roman"/>
          <w:color w:val="000000"/>
          <w:sz w:val="24"/>
          <w:szCs w:val="24"/>
          <w:u w:val="single"/>
        </w:rPr>
        <w:t xml:space="preserve">x 0.476 x </w:t>
      </w:r>
      <w:r>
        <w:rPr>
          <w:rFonts w:ascii="Times New Roman" w:eastAsia="Times New Roman" w:hAnsi="Times New Roman" w:cs="Times New Roman"/>
          <w:color w:val="000000"/>
          <w:sz w:val="24"/>
          <w:szCs w:val="24"/>
          <w:u w:val="single"/>
        </w:rPr>
        <w:t>(1-0.476</w:t>
      </w:r>
      <w:r>
        <w:rPr>
          <w:rFonts w:ascii="Times New Roman" w:eastAsia="Times New Roman" w:hAnsi="Times New Roman" w:cs="Times New Roman"/>
          <w:color w:val="000000"/>
          <w:sz w:val="24"/>
          <w:szCs w:val="24"/>
        </w:rPr>
        <w:t>) = 383.3;</w:t>
      </w:r>
    </w:p>
    <w:p w:rsidR="008447D7" w:rsidRDefault="008F7D59">
      <w:pPr>
        <w:shd w:val="clear" w:color="auto" w:fill="FFFFFF"/>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(0.05)</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xml:space="preserve">  </w:t>
      </w:r>
    </w:p>
    <w:p w:rsidR="008447D7" w:rsidRDefault="008F7D59">
      <w:pPr>
        <w:shd w:val="clear" w:color="auto" w:fill="FFFFFF"/>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N </w:t>
      </w:r>
      <w:r>
        <w:rPr>
          <w:rFonts w:ascii="Times New Roman" w:eastAsia="Times New Roman" w:hAnsi="Times New Roman" w:cs="Times New Roman"/>
          <w:color w:val="000000"/>
          <w:sz w:val="24"/>
          <w:szCs w:val="24"/>
          <w:vertAlign w:val="subscript"/>
        </w:rPr>
        <w:t xml:space="preserve">Human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(1.96)</w:t>
      </w:r>
      <w:proofErr w:type="gramStart"/>
      <w:r>
        <w:rPr>
          <w:rFonts w:ascii="Times New Roman" w:eastAsia="Times New Roman" w:hAnsi="Times New Roman" w:cs="Times New Roman"/>
          <w:color w:val="000000"/>
          <w:sz w:val="24"/>
          <w:szCs w:val="24"/>
          <w:u w:val="single"/>
          <w:vertAlign w:val="superscript"/>
        </w:rPr>
        <w:t xml:space="preserve">2 </w:t>
      </w:r>
      <w:r>
        <w:rPr>
          <w:rFonts w:ascii="Times New Roman" w:eastAsia="Times New Roman" w:hAnsi="Times New Roman" w:cs="Times New Roman"/>
          <w:color w:val="000000"/>
          <w:sz w:val="24"/>
          <w:szCs w:val="24"/>
          <w:u w:val="single"/>
        </w:rPr>
        <w:t xml:space="preserve"> x</w:t>
      </w:r>
      <w:proofErr w:type="gramEnd"/>
      <w:r>
        <w:rPr>
          <w:rFonts w:ascii="Times New Roman" w:eastAsia="Times New Roman" w:hAnsi="Times New Roman" w:cs="Times New Roman"/>
          <w:color w:val="000000"/>
          <w:sz w:val="24"/>
          <w:szCs w:val="24"/>
          <w:u w:val="single"/>
        </w:rPr>
        <w:t xml:space="preserve"> 0.53 x (1-0.53)</w:t>
      </w:r>
      <w:r>
        <w:rPr>
          <w:rFonts w:ascii="Times New Roman" w:eastAsia="Times New Roman" w:hAnsi="Times New Roman" w:cs="Times New Roman"/>
          <w:color w:val="000000"/>
          <w:sz w:val="24"/>
          <w:szCs w:val="24"/>
        </w:rPr>
        <w:t xml:space="preserve"> =    382.8</w:t>
      </w:r>
    </w:p>
    <w:p w:rsidR="008447D7" w:rsidRDefault="008F7D59">
      <w:pPr>
        <w:shd w:val="clear" w:color="auto" w:fill="FFFFFF"/>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(0.05)</w:t>
      </w:r>
      <w:r>
        <w:rPr>
          <w:rFonts w:ascii="Times New Roman" w:eastAsia="Times New Roman" w:hAnsi="Times New Roman" w:cs="Times New Roman"/>
          <w:color w:val="000000"/>
          <w:sz w:val="24"/>
          <w:szCs w:val="24"/>
          <w:vertAlign w:val="superscript"/>
        </w:rPr>
        <w:t>2</w:t>
      </w:r>
    </w:p>
    <w:p w:rsidR="008447D7" w:rsidRDefault="008447D7">
      <w:pPr>
        <w:shd w:val="clear" w:color="auto" w:fill="FFFFFF"/>
        <w:jc w:val="both"/>
        <w:rPr>
          <w:rFonts w:ascii="Times New Roman" w:eastAsia="Times New Roman" w:hAnsi="Times New Roman" w:cs="Times New Roman"/>
          <w:color w:val="000000"/>
          <w:sz w:val="24"/>
          <w:szCs w:val="24"/>
          <w:vertAlign w:val="superscript"/>
        </w:rPr>
      </w:pPr>
    </w:p>
    <w:p w:rsidR="008447D7" w:rsidRDefault="008F7D59">
      <w:pPr>
        <w:shd w:val="clear" w:color="auto" w:fill="FFFFFF"/>
        <w:jc w:val="both"/>
        <w:rPr>
          <w:rFonts w:ascii="Times New Roman" w:eastAsia="Times New Roman" w:hAnsi="Times New Roman" w:cs="Times New Roman"/>
          <w:color w:val="000000"/>
          <w:sz w:val="24"/>
          <w:szCs w:val="24"/>
          <w:vertAlign w:val="superscript"/>
        </w:rPr>
      </w:pPr>
      <w:r>
        <w:rPr>
          <w:rFonts w:ascii="Times New Roman" w:eastAsia="SimSun" w:hAnsi="Times New Roman" w:cs="Times New Roman"/>
          <w:sz w:val="24"/>
          <w:szCs w:val="24"/>
        </w:rPr>
        <w:t>The calculated sample sizes of 383 for poultry and human were each increased by 5% and rounded to 400, resulting</w:t>
      </w:r>
      <w:r>
        <w:rPr>
          <w:rFonts w:ascii="Times New Roman" w:eastAsia="SimSun" w:hAnsi="Times New Roman" w:cs="Times New Roman"/>
          <w:sz w:val="24"/>
          <w:szCs w:val="24"/>
        </w:rPr>
        <w:t xml:space="preserve"> in 400 human stool samples and 400 poultry fecal samples. In total, 800 samples were analyzed.</w:t>
      </w:r>
    </w:p>
    <w:p w:rsidR="008447D7" w:rsidRDefault="008F7D59">
      <w:pPr>
        <w:pStyle w:val="NormalWeb"/>
        <w:rPr>
          <w:b/>
          <w:bCs/>
        </w:rPr>
      </w:pPr>
      <w:proofErr w:type="spellStart"/>
      <w:r>
        <w:rPr>
          <w:b/>
          <w:bCs/>
        </w:rPr>
        <w:t>Faecal</w:t>
      </w:r>
      <w:proofErr w:type="spellEnd"/>
      <w:r>
        <w:rPr>
          <w:b/>
          <w:bCs/>
        </w:rPr>
        <w:t xml:space="preserve"> Sample Collections from Poultry Farms</w:t>
      </w:r>
    </w:p>
    <w:p w:rsidR="008447D7" w:rsidRDefault="008F7D59">
      <w:pPr>
        <w:pStyle w:val="NormalWeb"/>
        <w:jc w:val="both"/>
      </w:pPr>
      <w:proofErr w:type="spellStart"/>
      <w:r>
        <w:t>Faecal</w:t>
      </w:r>
      <w:proofErr w:type="spellEnd"/>
      <w:r>
        <w:t xml:space="preserve"> samples were collected from three commercial production poultry farms in AMAC, </w:t>
      </w:r>
      <w:proofErr w:type="spellStart"/>
      <w:r>
        <w:t>Gwagwalada</w:t>
      </w:r>
      <w:proofErr w:type="spellEnd"/>
      <w:r>
        <w:t xml:space="preserve">, and </w:t>
      </w:r>
      <w:proofErr w:type="spellStart"/>
      <w:r>
        <w:t>Kwali</w:t>
      </w:r>
      <w:proofErr w:type="spellEnd"/>
      <w:r>
        <w:t xml:space="preserve"> (total </w:t>
      </w:r>
      <w:r>
        <w:t xml:space="preserve">400 samples) over four weeks, following </w:t>
      </w:r>
      <w:proofErr w:type="spellStart"/>
      <w:r>
        <w:t>Siwela</w:t>
      </w:r>
      <w:proofErr w:type="spellEnd"/>
      <w:r>
        <w:t xml:space="preserve"> </w:t>
      </w:r>
      <w:r>
        <w:rPr>
          <w:i/>
          <w:iCs/>
        </w:rPr>
        <w:t xml:space="preserve">et al. </w:t>
      </w:r>
      <w:r>
        <w:t xml:space="preserve">(2007), and transported in ice packs to </w:t>
      </w:r>
      <w:proofErr w:type="spellStart"/>
      <w:r>
        <w:t>Namiroch</w:t>
      </w:r>
      <w:proofErr w:type="spellEnd"/>
      <w:r>
        <w:t xml:space="preserve"> Research Laboratory, </w:t>
      </w:r>
      <w:proofErr w:type="spellStart"/>
      <w:r>
        <w:t>Kwali</w:t>
      </w:r>
      <w:proofErr w:type="spellEnd"/>
      <w:r>
        <w:t>.</w:t>
      </w:r>
    </w:p>
    <w:p w:rsidR="008447D7" w:rsidRDefault="008F7D59">
      <w:pPr>
        <w:pStyle w:val="NormalWeb"/>
        <w:jc w:val="both"/>
        <w:rPr>
          <w:b/>
          <w:bCs/>
        </w:rPr>
      </w:pPr>
      <w:r>
        <w:rPr>
          <w:b/>
          <w:bCs/>
        </w:rPr>
        <w:t>Stool Sample Collections from Hospitals and IDP Camps</w:t>
      </w:r>
    </w:p>
    <w:p w:rsidR="008447D7" w:rsidRDefault="008F7D59">
      <w:pPr>
        <w:pStyle w:val="NormalWeb"/>
        <w:jc w:val="both"/>
      </w:pPr>
      <w:r>
        <w:t xml:space="preserve">A total of 400 stool samples were purposively collected from three </w:t>
      </w:r>
      <w:r>
        <w:t xml:space="preserve">hospitals (AMAC (70), </w:t>
      </w:r>
      <w:proofErr w:type="spellStart"/>
      <w:r>
        <w:t>Gwagwalada</w:t>
      </w:r>
      <w:proofErr w:type="spellEnd"/>
      <w:r>
        <w:t xml:space="preserve"> (70), </w:t>
      </w:r>
      <w:proofErr w:type="spellStart"/>
      <w:r>
        <w:t>Kwali</w:t>
      </w:r>
      <w:proofErr w:type="spellEnd"/>
      <w:r>
        <w:t xml:space="preserve"> (60)) and two IDP camps (100 each from </w:t>
      </w:r>
      <w:proofErr w:type="spellStart"/>
      <w:r>
        <w:t>Kuchingoro</w:t>
      </w:r>
      <w:proofErr w:type="spellEnd"/>
      <w:r>
        <w:t xml:space="preserve"> and </w:t>
      </w:r>
      <w:proofErr w:type="spellStart"/>
      <w:r>
        <w:t>Karamajiji</w:t>
      </w:r>
      <w:proofErr w:type="spellEnd"/>
      <w:r>
        <w:t xml:space="preserve">), with assistance from laboratory scientists and health workers, following </w:t>
      </w:r>
      <w:proofErr w:type="spellStart"/>
      <w:r>
        <w:t>Adeleke</w:t>
      </w:r>
      <w:proofErr w:type="spellEnd"/>
      <w:r>
        <w:t xml:space="preserve"> and </w:t>
      </w:r>
      <w:proofErr w:type="spellStart"/>
      <w:r>
        <w:t>Omafuvbe</w:t>
      </w:r>
      <w:proofErr w:type="spellEnd"/>
      <w:r>
        <w:t xml:space="preserve"> (2011). Samples were transported daily in ice pack</w:t>
      </w:r>
      <w:r>
        <w:t xml:space="preserve">s at -4 to -8°C to </w:t>
      </w:r>
      <w:proofErr w:type="spellStart"/>
      <w:r>
        <w:t>Namiroch</w:t>
      </w:r>
      <w:proofErr w:type="spellEnd"/>
      <w:r>
        <w:t xml:space="preserve"> Research Laboratory for storage and analysis.</w:t>
      </w:r>
    </w:p>
    <w:p w:rsidR="008447D7" w:rsidRDefault="008F7D59">
      <w:pPr>
        <w:pStyle w:val="NormalWeb"/>
        <w:spacing w:beforeAutospacing="0" w:afterAutospacing="0"/>
        <w:jc w:val="both"/>
        <w:rPr>
          <w:b/>
          <w:bCs/>
        </w:rPr>
      </w:pPr>
      <w:r>
        <w:rPr>
          <w:b/>
          <w:bCs/>
        </w:rPr>
        <w:t xml:space="preserve">Laboratory Analysis </w:t>
      </w:r>
    </w:p>
    <w:p w:rsidR="008447D7" w:rsidRDefault="008F7D59">
      <w:pPr>
        <w:pStyle w:val="NormalWeb"/>
        <w:spacing w:beforeAutospacing="0" w:afterAutospacing="0"/>
        <w:jc w:val="both"/>
        <w:rPr>
          <w:b/>
          <w:bCs/>
        </w:rPr>
      </w:pPr>
      <w:r>
        <w:rPr>
          <w:b/>
          <w:bCs/>
        </w:rPr>
        <w:t>Sample Preparation</w:t>
      </w:r>
    </w:p>
    <w:p w:rsidR="008447D7" w:rsidRDefault="008F7D59">
      <w:pPr>
        <w:pStyle w:val="NormalWeb"/>
        <w:spacing w:beforeAutospacing="0" w:afterAutospacing="0"/>
        <w:jc w:val="both"/>
      </w:pPr>
      <w:r>
        <w:t xml:space="preserve">All samples were refrigerated before analysis, serially diluted, and plated on agar media as described by Diana </w:t>
      </w:r>
      <w:r>
        <w:rPr>
          <w:i/>
          <w:iCs/>
        </w:rPr>
        <w:t>et al</w:t>
      </w:r>
      <w:r>
        <w:t>. (2017). Media Preparati</w:t>
      </w:r>
      <w:r>
        <w:t>on and Sterilization Media were prepared according to manufacturers’ instructions and sterilized by autoclaving or hot air oven.</w:t>
      </w:r>
    </w:p>
    <w:p w:rsidR="008447D7" w:rsidRDefault="008F7D59">
      <w:pPr>
        <w:pStyle w:val="NormalWeb"/>
        <w:spacing w:beforeAutospacing="0" w:afterAutospacing="0"/>
        <w:jc w:val="both"/>
        <w:rPr>
          <w:b/>
          <w:bCs/>
        </w:rPr>
      </w:pPr>
      <w:r>
        <w:t>The Nutrient Broth (</w:t>
      </w:r>
      <w:proofErr w:type="spellStart"/>
      <w:r>
        <w:t>Fluka</w:t>
      </w:r>
      <w:proofErr w:type="spellEnd"/>
      <w:r>
        <w:t xml:space="preserve">, USA) was prepared and sterilized at 121°C for 15 minutes, refrigerated. </w:t>
      </w:r>
      <w:r>
        <w:rPr>
          <w:i/>
          <w:iCs/>
        </w:rPr>
        <w:t>Escherichia coli</w:t>
      </w:r>
      <w:r>
        <w:t xml:space="preserve"> (EC) Broth </w:t>
      </w:r>
      <w:r>
        <w:t>(</w:t>
      </w:r>
      <w:proofErr w:type="spellStart"/>
      <w:r>
        <w:t>Oxoid</w:t>
      </w:r>
      <w:proofErr w:type="spellEnd"/>
      <w:r>
        <w:t>, UK) was prepared as per APHA guidelines, sterilized at 121°C for 15 minutes. Nutrient Agar (</w:t>
      </w:r>
      <w:proofErr w:type="spellStart"/>
      <w:r>
        <w:t>Fluka</w:t>
      </w:r>
      <w:proofErr w:type="spellEnd"/>
      <w:r>
        <w:t>, USA) was also prepared, autoclaved, cooled in slants, and refrigerated. Eosin Methylene Blue Agar (DIFCO, USA) was prepared, sterilized, cooled, disp</w:t>
      </w:r>
      <w:r>
        <w:t xml:space="preserve">ensed into Petri dishes, </w:t>
      </w:r>
      <w:proofErr w:type="gramStart"/>
      <w:r>
        <w:t>incubated</w:t>
      </w:r>
      <w:proofErr w:type="gramEnd"/>
      <w:r>
        <w:t xml:space="preserve"> at 37°C for sterility check. And </w:t>
      </w:r>
      <w:proofErr w:type="spellStart"/>
      <w:r>
        <w:t>Cefixime</w:t>
      </w:r>
      <w:proofErr w:type="spellEnd"/>
      <w:r>
        <w:t>–</w:t>
      </w:r>
      <w:proofErr w:type="spellStart"/>
      <w:r>
        <w:t>Tellurite</w:t>
      </w:r>
      <w:proofErr w:type="spellEnd"/>
      <w:r>
        <w:t xml:space="preserve"> Sorbitol </w:t>
      </w:r>
      <w:proofErr w:type="spellStart"/>
      <w:r>
        <w:t>MacConkey</w:t>
      </w:r>
      <w:proofErr w:type="spellEnd"/>
      <w:r>
        <w:t xml:space="preserve"> Agar (HIMEDIA, UK) was prepared with supplement, sterilized, cooled, dispensed into Petri dishes, incubated at 37°C for sterility check. </w:t>
      </w:r>
    </w:p>
    <w:p w:rsidR="008447D7" w:rsidRDefault="008447D7">
      <w:pPr>
        <w:pStyle w:val="NormalWeb"/>
        <w:rPr>
          <w:b/>
          <w:bCs/>
        </w:rPr>
      </w:pPr>
    </w:p>
    <w:p w:rsidR="008447D7" w:rsidRDefault="008F7D59">
      <w:pPr>
        <w:pStyle w:val="NormalWeb"/>
        <w:rPr>
          <w:b/>
          <w:bCs/>
        </w:rPr>
      </w:pPr>
      <w:r>
        <w:rPr>
          <w:b/>
          <w:bCs/>
        </w:rPr>
        <w:t>Bacterial C</w:t>
      </w:r>
      <w:r>
        <w:rPr>
          <w:b/>
          <w:bCs/>
        </w:rPr>
        <w:t>ulture and Identification</w:t>
      </w:r>
    </w:p>
    <w:p w:rsidR="008447D7" w:rsidRDefault="008F7D59">
      <w:pPr>
        <w:pStyle w:val="NormalWeb"/>
        <w:rPr>
          <w:b/>
          <w:bCs/>
        </w:rPr>
      </w:pPr>
      <w:r>
        <w:rPr>
          <w:b/>
          <w:bCs/>
        </w:rPr>
        <w:t>Bacterial Isolation</w:t>
      </w:r>
    </w:p>
    <w:p w:rsidR="008447D7" w:rsidRDefault="008F7D59">
      <w:pPr>
        <w:pStyle w:val="NormalWeb"/>
        <w:jc w:val="both"/>
      </w:pPr>
      <w:r>
        <w:lastRenderedPageBreak/>
        <w:t xml:space="preserve">Samples were inoculated into EC broth, streaked onto EMB agar, and incubated. </w:t>
      </w:r>
      <w:r>
        <w:rPr>
          <w:i/>
          <w:iCs/>
        </w:rPr>
        <w:t xml:space="preserve">E. coli </w:t>
      </w:r>
      <w:r>
        <w:t>colonies were identified by metallic sheen and confirmed through biochemical tests (</w:t>
      </w:r>
      <w:proofErr w:type="spellStart"/>
      <w:r>
        <w:t>Indole</w:t>
      </w:r>
      <w:proofErr w:type="spellEnd"/>
      <w:r>
        <w:t xml:space="preserve">, Methyl red, </w:t>
      </w:r>
      <w:proofErr w:type="spellStart"/>
      <w:r>
        <w:t>Voges-Proskauer</w:t>
      </w:r>
      <w:proofErr w:type="spellEnd"/>
      <w:r>
        <w:t>, Cit</w:t>
      </w:r>
      <w:r>
        <w:t>rate, Catalase, Oxidase, Motility, Gelatin liquefaction, Triple sugar iron, Urease, H</w:t>
      </w:r>
      <w:r>
        <w:rPr>
          <w:vertAlign w:val="subscript"/>
        </w:rPr>
        <w:t>2</w:t>
      </w:r>
      <w:r>
        <w:t xml:space="preserve">S production, Sugar fermentation). Presumptive isolates were further confirmed on CT-SMAC agar for </w:t>
      </w:r>
      <w:r>
        <w:rPr>
          <w:i/>
        </w:rPr>
        <w:t>E. coli</w:t>
      </w:r>
      <w:r>
        <w:t xml:space="preserve"> O157:H7 (</w:t>
      </w:r>
      <w:proofErr w:type="spellStart"/>
      <w:r>
        <w:t>Alu</w:t>
      </w:r>
      <w:proofErr w:type="spellEnd"/>
      <w:r>
        <w:t xml:space="preserve"> </w:t>
      </w:r>
      <w:r>
        <w:rPr>
          <w:i/>
          <w:iCs/>
        </w:rPr>
        <w:t>et al.</w:t>
      </w:r>
      <w:r>
        <w:t>, 2021)</w:t>
      </w:r>
    </w:p>
    <w:p w:rsidR="008447D7" w:rsidRDefault="008F7D59">
      <w:pPr>
        <w:jc w:val="both"/>
        <w:rPr>
          <w:rFonts w:ascii="Times New Roman" w:hAnsi="Times New Roman" w:cs="Times New Roman"/>
          <w:sz w:val="24"/>
          <w:szCs w:val="24"/>
        </w:rPr>
      </w:pPr>
      <w:r>
        <w:rPr>
          <w:rFonts w:ascii="Times New Roman" w:hAnsi="Times New Roman" w:cs="Times New Roman"/>
          <w:sz w:val="24"/>
          <w:szCs w:val="24"/>
        </w:rPr>
        <w:t xml:space="preserve">Biochemical characterization of the </w:t>
      </w:r>
      <w:r>
        <w:rPr>
          <w:rFonts w:ascii="Times New Roman" w:hAnsi="Times New Roman" w:cs="Times New Roman"/>
          <w:sz w:val="24"/>
          <w:szCs w:val="24"/>
        </w:rPr>
        <w:t xml:space="preserve">isolated colonies was performed using the following tests: </w:t>
      </w:r>
      <w:proofErr w:type="spellStart"/>
      <w:r>
        <w:rPr>
          <w:rFonts w:ascii="Times New Roman" w:hAnsi="Times New Roman" w:cs="Times New Roman"/>
          <w:sz w:val="24"/>
          <w:szCs w:val="24"/>
        </w:rPr>
        <w:t>Indole</w:t>
      </w:r>
      <w:proofErr w:type="spellEnd"/>
      <w:r>
        <w:rPr>
          <w:rFonts w:ascii="Times New Roman" w:hAnsi="Times New Roman" w:cs="Times New Roman"/>
          <w:sz w:val="24"/>
          <w:szCs w:val="24"/>
        </w:rPr>
        <w:t xml:space="preserve"> Test confirmed </w:t>
      </w:r>
      <w:proofErr w:type="spellStart"/>
      <w:r>
        <w:rPr>
          <w:rFonts w:ascii="Times New Roman" w:hAnsi="Times New Roman" w:cs="Times New Roman"/>
          <w:sz w:val="24"/>
          <w:szCs w:val="24"/>
        </w:rPr>
        <w:t>indole</w:t>
      </w:r>
      <w:proofErr w:type="spellEnd"/>
      <w:r>
        <w:rPr>
          <w:rFonts w:ascii="Times New Roman" w:hAnsi="Times New Roman" w:cs="Times New Roman"/>
          <w:sz w:val="24"/>
          <w:szCs w:val="24"/>
        </w:rPr>
        <w:t xml:space="preserve"> production from tryptophan with a dark pink layer. Methyl Red Test confirmed acid production with a cherry-red color. </w:t>
      </w:r>
      <w:proofErr w:type="spellStart"/>
      <w:r>
        <w:rPr>
          <w:rFonts w:ascii="Times New Roman" w:hAnsi="Times New Roman" w:cs="Times New Roman"/>
          <w:sz w:val="24"/>
          <w:szCs w:val="24"/>
        </w:rPr>
        <w:t>Voges-Proskauer</w:t>
      </w:r>
      <w:proofErr w:type="spellEnd"/>
      <w:r>
        <w:rPr>
          <w:rFonts w:ascii="Times New Roman" w:hAnsi="Times New Roman" w:cs="Times New Roman"/>
          <w:sz w:val="24"/>
          <w:szCs w:val="24"/>
        </w:rPr>
        <w:t xml:space="preserve"> Test indicated positive results wi</w:t>
      </w:r>
      <w:r>
        <w:rPr>
          <w:rFonts w:ascii="Times New Roman" w:hAnsi="Times New Roman" w:cs="Times New Roman"/>
          <w:sz w:val="24"/>
          <w:szCs w:val="24"/>
        </w:rPr>
        <w:t>th pink to burgundy color. Citrate Utilization Test confirmed citrate use with a color change to blue. Catalase Test confirmed catalase enzyme production with bubble formation. Oxidase Test confirmed oxidase activity with a dark blue, maroon, or black colo</w:t>
      </w:r>
      <w:r>
        <w:rPr>
          <w:rFonts w:ascii="Times New Roman" w:hAnsi="Times New Roman" w:cs="Times New Roman"/>
          <w:sz w:val="24"/>
          <w:szCs w:val="24"/>
        </w:rPr>
        <w:t xml:space="preserve">r change. Motility Test confirmed motility with diffuse growth radiating from the inoculation line. Gelatin Liquefaction Test confirmed </w:t>
      </w:r>
      <w:proofErr w:type="spellStart"/>
      <w:r>
        <w:rPr>
          <w:rFonts w:ascii="Times New Roman" w:hAnsi="Times New Roman" w:cs="Times New Roman"/>
          <w:sz w:val="24"/>
          <w:szCs w:val="24"/>
        </w:rPr>
        <w:t>gelatinase</w:t>
      </w:r>
      <w:proofErr w:type="spellEnd"/>
      <w:r>
        <w:rPr>
          <w:rFonts w:ascii="Times New Roman" w:hAnsi="Times New Roman" w:cs="Times New Roman"/>
          <w:sz w:val="24"/>
          <w:szCs w:val="24"/>
        </w:rPr>
        <w:t xml:space="preserve"> production with liquefaction of gelatin. Triple Sugar Iron (TSI) Test confirmed glucose fermentation with CO</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Pr>
          <w:rFonts w:ascii="Times New Roman" w:hAnsi="Times New Roman" w:cs="Times New Roman"/>
          <w:sz w:val="24"/>
          <w:szCs w:val="24"/>
        </w:rPr>
        <w:t>gas production, lactose and sucrose fermentation with a yellow slant, and absence of H</w:t>
      </w:r>
      <w:r>
        <w:rPr>
          <w:rFonts w:ascii="Times New Roman" w:hAnsi="Times New Roman" w:cs="Times New Roman"/>
          <w:sz w:val="24"/>
          <w:szCs w:val="24"/>
          <w:vertAlign w:val="subscript"/>
        </w:rPr>
        <w:t>2</w:t>
      </w:r>
      <w:r>
        <w:rPr>
          <w:rFonts w:ascii="Times New Roman" w:hAnsi="Times New Roman" w:cs="Times New Roman"/>
          <w:sz w:val="24"/>
          <w:szCs w:val="24"/>
        </w:rPr>
        <w:t>S production with no blackening. Gram Staining Technique classified bacteria as Gram-positive (blue/purple) or Gram-negative (pink/red).</w:t>
      </w:r>
    </w:p>
    <w:p w:rsidR="008447D7" w:rsidRDefault="008F7D59">
      <w:pPr>
        <w:pStyle w:val="NormalWeb"/>
        <w:rPr>
          <w:b/>
          <w:bCs/>
        </w:rPr>
      </w:pPr>
      <w:r>
        <w:rPr>
          <w:b/>
          <w:bCs/>
        </w:rPr>
        <w:t>Identification and Characteriza</w:t>
      </w:r>
      <w:r>
        <w:rPr>
          <w:b/>
          <w:bCs/>
        </w:rPr>
        <w:t xml:space="preserve">tion of </w:t>
      </w:r>
      <w:r>
        <w:rPr>
          <w:b/>
          <w:bCs/>
          <w:i/>
        </w:rPr>
        <w:t>E. coli</w:t>
      </w:r>
      <w:r>
        <w:rPr>
          <w:b/>
          <w:bCs/>
        </w:rPr>
        <w:t xml:space="preserve"> O157:H7</w:t>
      </w:r>
    </w:p>
    <w:p w:rsidR="008447D7" w:rsidRDefault="008F7D59">
      <w:pPr>
        <w:pStyle w:val="NormalWeb"/>
        <w:jc w:val="both"/>
      </w:pPr>
      <w:r>
        <w:t>Presumptive</w:t>
      </w:r>
      <w:r>
        <w:rPr>
          <w:i/>
          <w:iCs/>
        </w:rPr>
        <w:t xml:space="preserve"> E. coli </w:t>
      </w:r>
      <w:r>
        <w:t xml:space="preserve">isolates were confirmed on Sorbitol </w:t>
      </w:r>
      <w:proofErr w:type="spellStart"/>
      <w:r>
        <w:t>MacConkey</w:t>
      </w:r>
      <w:proofErr w:type="spellEnd"/>
      <w:r>
        <w:t xml:space="preserve"> Agar with </w:t>
      </w:r>
      <w:proofErr w:type="spellStart"/>
      <w:r>
        <w:t>cefixime-tellurite</w:t>
      </w:r>
      <w:proofErr w:type="spellEnd"/>
      <w:r>
        <w:t xml:space="preserve"> supplement (CT-SMAC), where O157 appeared as colorless colonies while non-O157 strains fermented sorbitol and appeared pink. Antimicrobia</w:t>
      </w:r>
      <w:r>
        <w:t>l susceptibility was tested using Kirby-Bauer disk diffusion with ten commonly used antibiotics from different classes, and results interpreted by CLSI guidelines to classify isolates as sensitive, intermediate, or resistant. Multiple Antibiotic Resistance</w:t>
      </w:r>
      <w:r>
        <w:t xml:space="preserve"> (MAR) strains were identified, and ESBL production confirmed by double-disc diffusion test (DDDT) with </w:t>
      </w:r>
      <w:proofErr w:type="spellStart"/>
      <w:r>
        <w:t>ceftazidime</w:t>
      </w:r>
      <w:proofErr w:type="spellEnd"/>
      <w:r>
        <w:t xml:space="preserve"> and </w:t>
      </w:r>
      <w:proofErr w:type="spellStart"/>
      <w:r>
        <w:t>ceftazidime</w:t>
      </w:r>
      <w:proofErr w:type="spellEnd"/>
      <w:r>
        <w:t xml:space="preserve"> plus amoxicillin-</w:t>
      </w:r>
      <w:proofErr w:type="spellStart"/>
      <w:r>
        <w:t>clavulanic</w:t>
      </w:r>
      <w:proofErr w:type="spellEnd"/>
      <w:r>
        <w:t xml:space="preserve"> acid discs. Molecular confirmation was performed using Multiplex PCR assay targeting </w:t>
      </w:r>
      <w:proofErr w:type="spellStart"/>
      <w:r>
        <w:t>rfbE</w:t>
      </w:r>
      <w:proofErr w:type="spellEnd"/>
      <w:r>
        <w:t xml:space="preserve">, </w:t>
      </w:r>
      <w:proofErr w:type="spellStart"/>
      <w:r>
        <w:t>eaeA</w:t>
      </w:r>
      <w:proofErr w:type="spellEnd"/>
      <w:r>
        <w:t>,</w:t>
      </w:r>
      <w:r>
        <w:t xml:space="preserve"> stx1, stx2, </w:t>
      </w:r>
      <w:proofErr w:type="spellStart"/>
      <w:r>
        <w:t>blaTEM</w:t>
      </w:r>
      <w:proofErr w:type="spellEnd"/>
      <w:r>
        <w:t xml:space="preserve">, </w:t>
      </w:r>
      <w:proofErr w:type="spellStart"/>
      <w:r>
        <w:t>blaSHV</w:t>
      </w:r>
      <w:proofErr w:type="spellEnd"/>
      <w:r>
        <w:t xml:space="preserve">, and </w:t>
      </w:r>
      <w:proofErr w:type="spellStart"/>
      <w:r>
        <w:t>blaCTXM</w:t>
      </w:r>
      <w:proofErr w:type="spellEnd"/>
      <w:r>
        <w:t xml:space="preserve"> genes, with DNA extracted by Phenol-Chloroform Method and analyzed by </w:t>
      </w:r>
      <w:proofErr w:type="spellStart"/>
      <w:r>
        <w:t>Agarose</w:t>
      </w:r>
      <w:proofErr w:type="spellEnd"/>
      <w:r>
        <w:t xml:space="preserve"> Gel Electrophoresis (AGE).</w:t>
      </w:r>
    </w:p>
    <w:p w:rsidR="008447D7" w:rsidRDefault="008F7D59">
      <w:pPr>
        <w:pStyle w:val="NormalWeb"/>
      </w:pPr>
      <w:r>
        <w:rPr>
          <w:b/>
          <w:bCs/>
        </w:rPr>
        <w:t>PCR Amplification Reactions</w:t>
      </w:r>
      <w:r>
        <w:br/>
      </w:r>
      <w:proofErr w:type="gramStart"/>
      <w:r>
        <w:t>The</w:t>
      </w:r>
      <w:proofErr w:type="gramEnd"/>
      <w:r>
        <w:t xml:space="preserve"> amplification reaction mixture consisted of 2µl of extracted template DNA mixe</w:t>
      </w:r>
      <w:r>
        <w:t xml:space="preserve">d with primers for </w:t>
      </w:r>
      <w:proofErr w:type="spellStart"/>
      <w:r>
        <w:t>blaTEM</w:t>
      </w:r>
      <w:proofErr w:type="spellEnd"/>
      <w:r>
        <w:t xml:space="preserve">, </w:t>
      </w:r>
      <w:proofErr w:type="spellStart"/>
      <w:r>
        <w:t>blaSHV</w:t>
      </w:r>
      <w:proofErr w:type="spellEnd"/>
      <w:r>
        <w:t xml:space="preserve">, blaCTX-M1, CTX-M2, CTX-M9, </w:t>
      </w:r>
      <w:proofErr w:type="spellStart"/>
      <w:r>
        <w:t>rfbE</w:t>
      </w:r>
      <w:proofErr w:type="spellEnd"/>
      <w:r>
        <w:t xml:space="preserve">, </w:t>
      </w:r>
      <w:proofErr w:type="spellStart"/>
      <w:r>
        <w:t>eaeA</w:t>
      </w:r>
      <w:proofErr w:type="spellEnd"/>
      <w:r>
        <w:t>, stx1, stx2, probes, and nuclease-free water. The PCR cycling conditions included pre-denaturation at 94°C for 5 minutes, denaturation at 94°C for 30 seconds, 30 cycles of denaturatio</w:t>
      </w:r>
      <w:r>
        <w:t>n at 94°C for 45 seconds, annealing at 55°C for 45 seconds, extension at 72°C for 60 seconds, and a final extension at 72°C for 5 minutes.</w:t>
      </w:r>
    </w:p>
    <w:p w:rsidR="008447D7" w:rsidRDefault="008F7D59">
      <w:pPr>
        <w:pStyle w:val="NormalWeb"/>
      </w:pPr>
      <w:r>
        <w:rPr>
          <w:rStyle w:val="Strong"/>
        </w:rPr>
        <w:t xml:space="preserve">Gel Electrophoresis and Visualization under UV Lights through </w:t>
      </w:r>
      <w:proofErr w:type="spellStart"/>
      <w:r>
        <w:rPr>
          <w:rStyle w:val="Strong"/>
        </w:rPr>
        <w:t>Transilluminator</w:t>
      </w:r>
      <w:proofErr w:type="spellEnd"/>
      <w:r>
        <w:br/>
        <w:t xml:space="preserve">PCR products were analyzed in 1.5% </w:t>
      </w:r>
      <w:proofErr w:type="spellStart"/>
      <w:r>
        <w:t>aga</w:t>
      </w:r>
      <w:r>
        <w:t>rose</w:t>
      </w:r>
      <w:proofErr w:type="spellEnd"/>
      <w:r>
        <w:t xml:space="preserve"> gel with </w:t>
      </w:r>
      <w:proofErr w:type="spellStart"/>
      <w:r>
        <w:t>ethidium</w:t>
      </w:r>
      <w:proofErr w:type="spellEnd"/>
      <w:r>
        <w:t xml:space="preserve"> bromide, run at 100 volts for 60 minutes, and visualized under a UV </w:t>
      </w:r>
      <w:proofErr w:type="spellStart"/>
      <w:r>
        <w:t>transilluminator</w:t>
      </w:r>
      <w:proofErr w:type="spellEnd"/>
      <w:r>
        <w:t xml:space="preserve">. Bands corresponding to expected sizes confirmed the presence of </w:t>
      </w:r>
      <w:proofErr w:type="spellStart"/>
      <w:r>
        <w:t>rfbE</w:t>
      </w:r>
      <w:proofErr w:type="spellEnd"/>
      <w:r>
        <w:t xml:space="preserve">, </w:t>
      </w:r>
      <w:proofErr w:type="spellStart"/>
      <w:r>
        <w:t>eaeA</w:t>
      </w:r>
      <w:proofErr w:type="spellEnd"/>
      <w:r>
        <w:t>, stx1, stx2, blaCTX-M1</w:t>
      </w:r>
      <w:proofErr w:type="gramStart"/>
      <w:r>
        <w:t>,2,9</w:t>
      </w:r>
      <w:proofErr w:type="gramEnd"/>
      <w:r>
        <w:t xml:space="preserve">, </w:t>
      </w:r>
      <w:proofErr w:type="spellStart"/>
      <w:r>
        <w:t>blaSHV</w:t>
      </w:r>
      <w:proofErr w:type="spellEnd"/>
      <w:r>
        <w:t xml:space="preserve">, and </w:t>
      </w:r>
      <w:proofErr w:type="spellStart"/>
      <w:r>
        <w:t>blaTEM</w:t>
      </w:r>
      <w:proofErr w:type="spellEnd"/>
      <w:r>
        <w:t xml:space="preserve"> genes in </w:t>
      </w:r>
      <w:r>
        <w:rPr>
          <w:i/>
        </w:rPr>
        <w:t>E. coli</w:t>
      </w:r>
      <w:r>
        <w:t xml:space="preserve"> O157:H7 </w:t>
      </w:r>
      <w:r>
        <w:t>isolates.</w:t>
      </w:r>
    </w:p>
    <w:p w:rsidR="008447D7" w:rsidRDefault="008F7D59">
      <w:pPr>
        <w:pStyle w:val="NormalWeb"/>
        <w:jc w:val="both"/>
      </w:pPr>
      <w:r>
        <w:rPr>
          <w:rStyle w:val="Strong"/>
        </w:rPr>
        <w:t xml:space="preserve">Sequencing and Phylogeny of </w:t>
      </w:r>
      <w:r>
        <w:rPr>
          <w:rStyle w:val="Strong"/>
          <w:i/>
        </w:rPr>
        <w:t>E. coli</w:t>
      </w:r>
      <w:r>
        <w:rPr>
          <w:rStyle w:val="Strong"/>
        </w:rPr>
        <w:t xml:space="preserve"> O157:H7-ESBL Positive Isolates from Human and Poultry in FCT</w:t>
      </w:r>
      <w:r>
        <w:br/>
        <w:t xml:space="preserve">Amplified PCR fragments were purified using </w:t>
      </w:r>
      <w:proofErr w:type="spellStart"/>
      <w:r>
        <w:t>Nucleospin</w:t>
      </w:r>
      <w:proofErr w:type="spellEnd"/>
      <w:r>
        <w:t xml:space="preserve"> Gel Extraction Kit and </w:t>
      </w:r>
      <w:r>
        <w:lastRenderedPageBreak/>
        <w:t xml:space="preserve">sequenced with </w:t>
      </w:r>
      <w:proofErr w:type="spellStart"/>
      <w:r>
        <w:t>Inqaba</w:t>
      </w:r>
      <w:proofErr w:type="spellEnd"/>
      <w:r>
        <w:t xml:space="preserve"> Biotech tools. Results were analyzed using BLAST,</w:t>
      </w:r>
      <w:r>
        <w:t xml:space="preserve"> and phylogenetic trees were constructed to show relatedness of human and poultry isolates.</w:t>
      </w:r>
    </w:p>
    <w:p w:rsidR="008447D7" w:rsidRDefault="008F7D59">
      <w:pPr>
        <w:pStyle w:val="NormalWeb"/>
        <w:rPr>
          <w:b/>
          <w:bCs/>
        </w:rPr>
      </w:pPr>
      <w:r>
        <w:rPr>
          <w:b/>
          <w:bCs/>
        </w:rPr>
        <w:t>Data Analysis</w:t>
      </w:r>
    </w:p>
    <w:p w:rsidR="008447D7" w:rsidRDefault="008F7D59">
      <w:pPr>
        <w:pStyle w:val="NormalWeb"/>
        <w:rPr>
          <w:b/>
          <w:bCs/>
        </w:rPr>
      </w:pPr>
      <w:r>
        <w:t xml:space="preserve">Data </w:t>
      </w:r>
      <w:proofErr w:type="gramStart"/>
      <w:r>
        <w:t>analysis were</w:t>
      </w:r>
      <w:proofErr w:type="gramEnd"/>
      <w:r>
        <w:t xml:space="preserve"> performed using Excel Spreadsheet 2016. Chi-square tests, relative risks (RR), and odd ratios (OR) were calculated, and results pre</w:t>
      </w:r>
      <w:r>
        <w:t>sented in tables and charts.</w:t>
      </w:r>
    </w:p>
    <w:p w:rsidR="008447D7" w:rsidRDefault="008F7D59">
      <w:pPr>
        <w:pStyle w:val="NormalWeb"/>
        <w:tabs>
          <w:tab w:val="left" w:pos="400"/>
        </w:tabs>
        <w:jc w:val="both"/>
        <w:rPr>
          <w:b/>
          <w:bCs/>
        </w:rPr>
      </w:pPr>
      <w:r>
        <w:rPr>
          <w:b/>
          <w:bCs/>
        </w:rPr>
        <w:t>RESULTS</w:t>
      </w:r>
    </w:p>
    <w:p w:rsidR="008447D7" w:rsidRDefault="008F7D59">
      <w:pPr>
        <w:pStyle w:val="NormalWeb"/>
        <w:jc w:val="both"/>
      </w:pPr>
      <w:r>
        <w:t xml:space="preserve">The prevalence of </w:t>
      </w:r>
      <w:r>
        <w:rPr>
          <w:i/>
          <w:iCs/>
        </w:rPr>
        <w:t>E. coli</w:t>
      </w:r>
      <w:r>
        <w:t xml:space="preserve"> across the five selected sites was 179 (44.8%), while</w:t>
      </w:r>
      <w:r>
        <w:rPr>
          <w:i/>
          <w:iCs/>
        </w:rPr>
        <w:t xml:space="preserve"> E. coli </w:t>
      </w:r>
      <w:r>
        <w:t xml:space="preserve">O157:H7 was 36 (9%). In IDP camps, </w:t>
      </w:r>
      <w:proofErr w:type="spellStart"/>
      <w:r>
        <w:t>Kuchingoro</w:t>
      </w:r>
      <w:proofErr w:type="spellEnd"/>
      <w:r>
        <w:t xml:space="preserve"> recorded 20 (20%) for </w:t>
      </w:r>
      <w:r>
        <w:rPr>
          <w:i/>
          <w:iCs/>
        </w:rPr>
        <w:t>E. coli</w:t>
      </w:r>
      <w:r>
        <w:t xml:space="preserve"> and 5 (5%) for </w:t>
      </w:r>
      <w:r>
        <w:rPr>
          <w:i/>
          <w:iCs/>
        </w:rPr>
        <w:t>E. coli</w:t>
      </w:r>
      <w:r>
        <w:t xml:space="preserve"> O157:H7, while </w:t>
      </w:r>
      <w:proofErr w:type="spellStart"/>
      <w:r>
        <w:t>Karamajiji</w:t>
      </w:r>
      <w:proofErr w:type="spellEnd"/>
      <w:r>
        <w:t xml:space="preserve"> had 37 (37%) and 10 (10%) respectively. In hospitals, </w:t>
      </w:r>
      <w:proofErr w:type="spellStart"/>
      <w:r>
        <w:t>Gwagwalada</w:t>
      </w:r>
      <w:proofErr w:type="spellEnd"/>
      <w:r>
        <w:t xml:space="preserve"> showed 51 (72.9%) and 11 (15.7%), </w:t>
      </w:r>
      <w:proofErr w:type="spellStart"/>
      <w:r>
        <w:t>Kwali</w:t>
      </w:r>
      <w:proofErr w:type="spellEnd"/>
      <w:r>
        <w:t xml:space="preserve"> 24 (36.9%) and 4 (6.2%), and AMAC 47 (72.3%) and 6 (9.2%) for</w:t>
      </w:r>
      <w:r>
        <w:rPr>
          <w:i/>
          <w:iCs/>
        </w:rPr>
        <w:t xml:space="preserve"> E. coli </w:t>
      </w:r>
      <w:r>
        <w:t xml:space="preserve">and </w:t>
      </w:r>
      <w:r>
        <w:rPr>
          <w:i/>
          <w:iCs/>
        </w:rPr>
        <w:t>E. coli</w:t>
      </w:r>
      <w:r>
        <w:t xml:space="preserve"> O157:H7 respectively.</w:t>
      </w:r>
    </w:p>
    <w:p w:rsidR="008447D7" w:rsidRDefault="008F7D59">
      <w:pPr>
        <w:spacing w:line="480" w:lineRule="auto"/>
        <w:jc w:val="both"/>
        <w:rPr>
          <w:rFonts w:ascii="Times New Roman" w:eastAsia="Times New Roman" w:hAnsi="Times New Roman" w:cs="Times New Roman"/>
          <w:bCs/>
          <w:i/>
          <w:sz w:val="24"/>
          <w:szCs w:val="24"/>
        </w:rPr>
      </w:pPr>
      <w:r>
        <w:rPr>
          <w:rFonts w:ascii="Times New Roman" w:hAnsi="Times New Roman" w:cs="Times New Roman"/>
          <w:b/>
          <w:bCs/>
          <w:sz w:val="24"/>
          <w:szCs w:val="24"/>
        </w:rPr>
        <w:t>TABLE 1:</w:t>
      </w:r>
      <w:r>
        <w:rPr>
          <w:rFonts w:ascii="Times New Roman" w:eastAsia="SimSun" w:hAnsi="Times New Roman" w:cs="Times New Roman"/>
          <w:b/>
          <w:bCs/>
          <w:color w:val="000000"/>
          <w:sz w:val="24"/>
          <w:szCs w:val="24"/>
        </w:rPr>
        <w:t xml:space="preserve"> </w:t>
      </w:r>
      <w:r>
        <w:rPr>
          <w:rFonts w:ascii="Times New Roman" w:eastAsia="Times New Roman" w:hAnsi="Times New Roman" w:cs="Times New Roman"/>
          <w:b/>
          <w:iCs/>
          <w:sz w:val="24"/>
          <w:szCs w:val="24"/>
          <w:lang w:val="en-GB"/>
        </w:rPr>
        <w:t>Prevalence</w:t>
      </w:r>
      <w:r>
        <w:rPr>
          <w:rFonts w:ascii="Times New Roman" w:eastAsia="Times New Roman" w:hAnsi="Times New Roman" w:cs="Times New Roman"/>
          <w:b/>
          <w:iCs/>
          <w:sz w:val="24"/>
          <w:szCs w:val="24"/>
        </w:rPr>
        <w:t xml:space="preserve"> </w:t>
      </w:r>
      <w:r>
        <w:rPr>
          <w:rFonts w:ascii="Times New Roman" w:eastAsia="Times New Roman" w:hAnsi="Times New Roman" w:cs="Times New Roman"/>
          <w:b/>
          <w:iCs/>
          <w:sz w:val="24"/>
          <w:szCs w:val="24"/>
        </w:rPr>
        <w:t xml:space="preserve">of </w:t>
      </w:r>
      <w:r>
        <w:rPr>
          <w:rFonts w:ascii="Times New Roman" w:eastAsia="Times New Roman" w:hAnsi="Times New Roman" w:cs="Times New Roman"/>
          <w:b/>
          <w:i/>
          <w:sz w:val="24"/>
          <w:szCs w:val="24"/>
        </w:rPr>
        <w:t>E. coli</w:t>
      </w:r>
      <w:r>
        <w:rPr>
          <w:rFonts w:ascii="Times New Roman" w:eastAsia="Times New Roman" w:hAnsi="Times New Roman" w:cs="Times New Roman"/>
          <w:b/>
          <w:i/>
          <w:sz w:val="24"/>
          <w:szCs w:val="24"/>
          <w:lang w:val="en-GB"/>
        </w:rPr>
        <w:t xml:space="preserve"> </w:t>
      </w:r>
      <w:r>
        <w:rPr>
          <w:rFonts w:ascii="Times New Roman" w:eastAsia="Times New Roman" w:hAnsi="Times New Roman" w:cs="Times New Roman"/>
          <w:b/>
          <w:iCs/>
          <w:sz w:val="24"/>
          <w:szCs w:val="24"/>
          <w:lang w:val="en-GB"/>
        </w:rPr>
        <w:t xml:space="preserve">and </w:t>
      </w:r>
      <w:r>
        <w:rPr>
          <w:rFonts w:ascii="Times New Roman" w:eastAsia="Times New Roman" w:hAnsi="Times New Roman" w:cs="Times New Roman"/>
          <w:b/>
          <w:i/>
          <w:sz w:val="24"/>
          <w:szCs w:val="24"/>
        </w:rPr>
        <w:t>E. coli</w:t>
      </w:r>
      <w:r>
        <w:rPr>
          <w:rFonts w:ascii="Times New Roman" w:eastAsia="Times New Roman" w:hAnsi="Times New Roman" w:cs="Times New Roman"/>
          <w:b/>
          <w:sz w:val="24"/>
          <w:szCs w:val="24"/>
        </w:rPr>
        <w:t xml:space="preserve"> O157:H7</w:t>
      </w:r>
      <w:r>
        <w:rPr>
          <w:rFonts w:ascii="Times New Roman" w:eastAsia="Times New Roman" w:hAnsi="Times New Roman" w:cs="Times New Roman"/>
          <w:b/>
          <w:iCs/>
          <w:sz w:val="24"/>
          <w:szCs w:val="24"/>
        </w:rPr>
        <w:t xml:space="preserve"> in Humans in FCT</w:t>
      </w:r>
    </w:p>
    <w:tbl>
      <w:tblPr>
        <w:tblStyle w:val="TableGrid"/>
        <w:tblW w:w="962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613"/>
      </w:tblGrid>
      <w:tr w:rsidR="008447D7">
        <w:trPr>
          <w:trHeight w:val="971"/>
        </w:trPr>
        <w:tc>
          <w:tcPr>
            <w:tcW w:w="2337" w:type="dxa"/>
            <w:tcBorders>
              <w:bottom w:val="single" w:sz="4" w:space="0" w:color="auto"/>
            </w:tcBorders>
          </w:tcPr>
          <w:p w:rsidR="008447D7" w:rsidRDefault="008447D7">
            <w:pPr>
              <w:rPr>
                <w:rFonts w:ascii="Times New Roman" w:eastAsia="Times New Roman" w:hAnsi="Times New Roman" w:cs="Times New Roman"/>
                <w:b/>
                <w:iCs/>
                <w:sz w:val="24"/>
                <w:szCs w:val="24"/>
                <w:lang w:val="en-GB"/>
              </w:rPr>
            </w:pP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Location</w:t>
            </w:r>
          </w:p>
          <w:p w:rsidR="008447D7" w:rsidRDefault="008447D7">
            <w:pPr>
              <w:rPr>
                <w:rFonts w:ascii="Times New Roman" w:eastAsia="Times New Roman" w:hAnsi="Times New Roman" w:cs="Times New Roman"/>
                <w:b/>
                <w:iCs/>
                <w:sz w:val="24"/>
                <w:szCs w:val="24"/>
                <w:lang w:val="en-GB"/>
              </w:rPr>
            </w:pPr>
          </w:p>
        </w:tc>
        <w:tc>
          <w:tcPr>
            <w:tcW w:w="2337" w:type="dxa"/>
            <w:tcBorders>
              <w:bottom w:val="single" w:sz="4" w:space="0" w:color="auto"/>
            </w:tcBorders>
          </w:tcPr>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      </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No. of Samples                   </w:t>
            </w:r>
          </w:p>
        </w:tc>
        <w:tc>
          <w:tcPr>
            <w:tcW w:w="2338" w:type="dxa"/>
            <w:tcBorders>
              <w:bottom w:val="single" w:sz="4" w:space="0" w:color="auto"/>
            </w:tcBorders>
          </w:tcPr>
          <w:p w:rsidR="008447D7" w:rsidRDefault="008F7D59">
            <w:pPr>
              <w:rPr>
                <w:rFonts w:ascii="Times New Roman" w:eastAsia="Times New Roman" w:hAnsi="Times New Roman" w:cs="Times New Roman"/>
                <w:b/>
                <w:i/>
                <w:sz w:val="24"/>
                <w:szCs w:val="24"/>
                <w:lang w:val="en-GB"/>
              </w:rPr>
            </w:pPr>
            <w:r>
              <w:rPr>
                <w:rFonts w:ascii="Times New Roman" w:eastAsia="Times New Roman" w:hAnsi="Times New Roman" w:cs="Times New Roman"/>
                <w:b/>
                <w:i/>
                <w:sz w:val="24"/>
                <w:szCs w:val="24"/>
                <w:lang w:val="en-GB"/>
              </w:rPr>
              <w:t xml:space="preserve">            </w:t>
            </w:r>
          </w:p>
          <w:p w:rsidR="008447D7" w:rsidRDefault="008F7D59">
            <w:pPr>
              <w:rPr>
                <w:rFonts w:ascii="Times New Roman" w:eastAsia="Times New Roman" w:hAnsi="Times New Roman" w:cs="Times New Roman"/>
                <w:b/>
                <w:i/>
                <w:sz w:val="24"/>
                <w:szCs w:val="24"/>
                <w:lang w:val="en-GB"/>
              </w:rPr>
            </w:pPr>
            <w:r>
              <w:rPr>
                <w:rFonts w:ascii="Times New Roman" w:eastAsia="Times New Roman" w:hAnsi="Times New Roman" w:cs="Times New Roman"/>
                <w:b/>
                <w:i/>
                <w:sz w:val="24"/>
                <w:szCs w:val="24"/>
                <w:lang w:val="en-GB"/>
              </w:rPr>
              <w:t xml:space="preserve">           E. coli </w:t>
            </w:r>
          </w:p>
        </w:tc>
        <w:tc>
          <w:tcPr>
            <w:tcW w:w="2613" w:type="dxa"/>
            <w:tcBorders>
              <w:bottom w:val="single" w:sz="4" w:space="0" w:color="auto"/>
            </w:tcBorders>
          </w:tcPr>
          <w:p w:rsidR="008447D7" w:rsidRDefault="008F7D59">
            <w:pPr>
              <w:rPr>
                <w:rFonts w:ascii="Times New Roman" w:eastAsia="Times New Roman" w:hAnsi="Times New Roman" w:cs="Times New Roman"/>
                <w:b/>
                <w:i/>
                <w:sz w:val="24"/>
                <w:szCs w:val="24"/>
                <w:lang w:val="en-GB"/>
              </w:rPr>
            </w:pPr>
            <w:r>
              <w:rPr>
                <w:rFonts w:ascii="Times New Roman" w:eastAsia="Times New Roman" w:hAnsi="Times New Roman" w:cs="Times New Roman"/>
                <w:b/>
                <w:i/>
                <w:sz w:val="24"/>
                <w:szCs w:val="24"/>
                <w:lang w:val="en-GB"/>
              </w:rPr>
              <w:t xml:space="preserve">       </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
                <w:sz w:val="24"/>
                <w:szCs w:val="24"/>
                <w:lang w:val="en-GB"/>
              </w:rPr>
              <w:t xml:space="preserve"> E. coli</w:t>
            </w:r>
            <w:r>
              <w:rPr>
                <w:rFonts w:ascii="Times New Roman" w:eastAsia="Times New Roman" w:hAnsi="Times New Roman" w:cs="Times New Roman"/>
                <w:b/>
                <w:iCs/>
                <w:sz w:val="24"/>
                <w:szCs w:val="24"/>
                <w:lang w:val="en-GB"/>
              </w:rPr>
              <w:t xml:space="preserve"> O157:H7</w:t>
            </w:r>
          </w:p>
        </w:tc>
      </w:tr>
      <w:tr w:rsidR="008447D7">
        <w:trPr>
          <w:trHeight w:val="2223"/>
        </w:trPr>
        <w:tc>
          <w:tcPr>
            <w:tcW w:w="2337" w:type="dxa"/>
            <w:tcBorders>
              <w:top w:val="single" w:sz="4" w:space="0" w:color="auto"/>
            </w:tcBorders>
          </w:tcPr>
          <w:p w:rsidR="008447D7" w:rsidRDefault="008F7D59">
            <w:pPr>
              <w:jc w:val="left"/>
              <w:rPr>
                <w:rFonts w:ascii="Times New Roman" w:eastAsia="Times New Roman" w:hAnsi="Times New Roman" w:cs="Times New Roman"/>
                <w:bCs/>
                <w:iCs/>
                <w:sz w:val="24"/>
                <w:szCs w:val="24"/>
                <w:lang w:val="en-GB"/>
              </w:rPr>
            </w:pPr>
            <w:proofErr w:type="spellStart"/>
            <w:r>
              <w:rPr>
                <w:rFonts w:ascii="Times New Roman" w:eastAsia="Times New Roman" w:hAnsi="Times New Roman" w:cs="Times New Roman"/>
                <w:bCs/>
                <w:iCs/>
                <w:sz w:val="24"/>
                <w:szCs w:val="24"/>
                <w:lang w:val="en-GB"/>
              </w:rPr>
              <w:t>Kuchingoro</w:t>
            </w:r>
            <w:proofErr w:type="spellEnd"/>
            <w:r>
              <w:rPr>
                <w:rFonts w:ascii="Times New Roman" w:eastAsia="Times New Roman" w:hAnsi="Times New Roman" w:cs="Times New Roman"/>
                <w:bCs/>
                <w:iCs/>
                <w:sz w:val="24"/>
                <w:szCs w:val="24"/>
                <w:lang w:val="en-GB"/>
              </w:rPr>
              <w:t xml:space="preserve"> IDP</w:t>
            </w:r>
          </w:p>
          <w:p w:rsidR="008447D7" w:rsidRDefault="008F7D59">
            <w:pPr>
              <w:jc w:val="left"/>
              <w:rPr>
                <w:rFonts w:ascii="Times New Roman" w:eastAsia="Times New Roman" w:hAnsi="Times New Roman" w:cs="Times New Roman"/>
                <w:bCs/>
                <w:iCs/>
                <w:sz w:val="24"/>
                <w:szCs w:val="24"/>
                <w:lang w:val="en-GB"/>
              </w:rPr>
            </w:pPr>
            <w:proofErr w:type="spellStart"/>
            <w:r>
              <w:rPr>
                <w:rFonts w:ascii="Times New Roman" w:eastAsia="Times New Roman" w:hAnsi="Times New Roman" w:cs="Times New Roman"/>
                <w:bCs/>
                <w:iCs/>
                <w:sz w:val="24"/>
                <w:szCs w:val="24"/>
                <w:lang w:val="en-GB"/>
              </w:rPr>
              <w:t>Karamajiji</w:t>
            </w:r>
            <w:proofErr w:type="spellEnd"/>
            <w:r>
              <w:rPr>
                <w:rFonts w:ascii="Times New Roman" w:eastAsia="Times New Roman" w:hAnsi="Times New Roman" w:cs="Times New Roman"/>
                <w:bCs/>
                <w:iCs/>
                <w:sz w:val="24"/>
                <w:szCs w:val="24"/>
                <w:lang w:val="en-GB"/>
              </w:rPr>
              <w:t xml:space="preserve"> IDP                                 </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IDP Prevalence                                               </w:t>
            </w:r>
          </w:p>
          <w:p w:rsidR="008447D7" w:rsidRDefault="008447D7">
            <w:pPr>
              <w:rPr>
                <w:rFonts w:ascii="Times New Roman" w:eastAsia="Times New Roman" w:hAnsi="Times New Roman" w:cs="Times New Roman"/>
                <w:bCs/>
                <w:iCs/>
                <w:sz w:val="24"/>
                <w:szCs w:val="24"/>
                <w:lang w:val="en-GB"/>
              </w:rPr>
            </w:pP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National Hospital</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UATH </w:t>
            </w:r>
            <w:proofErr w:type="spellStart"/>
            <w:r>
              <w:rPr>
                <w:rFonts w:ascii="Times New Roman" w:eastAsia="Times New Roman" w:hAnsi="Times New Roman" w:cs="Times New Roman"/>
                <w:bCs/>
                <w:iCs/>
                <w:sz w:val="24"/>
                <w:szCs w:val="24"/>
                <w:lang w:val="en-GB"/>
              </w:rPr>
              <w:t>Gwagwalada</w:t>
            </w:r>
            <w:proofErr w:type="spellEnd"/>
          </w:p>
          <w:p w:rsidR="008447D7" w:rsidRDefault="008F7D59">
            <w:pPr>
              <w:rPr>
                <w:rFonts w:ascii="Times New Roman" w:eastAsia="Times New Roman" w:hAnsi="Times New Roman" w:cs="Times New Roman"/>
                <w:b/>
                <w:iCs/>
                <w:sz w:val="24"/>
                <w:szCs w:val="24"/>
                <w:lang w:val="en-GB"/>
              </w:rPr>
            </w:pPr>
            <w:proofErr w:type="spellStart"/>
            <w:r>
              <w:rPr>
                <w:rFonts w:ascii="Times New Roman" w:eastAsia="Times New Roman" w:hAnsi="Times New Roman" w:cs="Times New Roman"/>
                <w:bCs/>
                <w:iCs/>
                <w:sz w:val="24"/>
                <w:szCs w:val="24"/>
                <w:lang w:val="en-GB"/>
              </w:rPr>
              <w:t>Kwali</w:t>
            </w:r>
            <w:proofErr w:type="spellEnd"/>
            <w:r>
              <w:rPr>
                <w:rFonts w:ascii="Times New Roman" w:eastAsia="Times New Roman" w:hAnsi="Times New Roman" w:cs="Times New Roman"/>
                <w:bCs/>
                <w:iCs/>
                <w:sz w:val="24"/>
                <w:szCs w:val="24"/>
                <w:lang w:val="en-GB"/>
              </w:rPr>
              <w:t xml:space="preserve"> Gen. Hospital </w:t>
            </w:r>
          </w:p>
        </w:tc>
        <w:tc>
          <w:tcPr>
            <w:tcW w:w="2337" w:type="dxa"/>
            <w:tcBorders>
              <w:top w:val="single" w:sz="4" w:space="0" w:color="auto"/>
            </w:tcBorders>
          </w:tcPr>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100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100</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Cs/>
                <w:iCs/>
                <w:sz w:val="24"/>
                <w:szCs w:val="24"/>
                <w:lang w:val="en-GB"/>
              </w:rPr>
              <w:t xml:space="preserve">             </w:t>
            </w:r>
            <w:r>
              <w:rPr>
                <w:rFonts w:ascii="Times New Roman" w:eastAsia="Times New Roman" w:hAnsi="Times New Roman" w:cs="Times New Roman"/>
                <w:b/>
                <w:iCs/>
                <w:sz w:val="24"/>
                <w:szCs w:val="24"/>
                <w:lang w:val="en-GB"/>
              </w:rPr>
              <w:t xml:space="preserve">200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65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w:t>
            </w:r>
            <w:r>
              <w:rPr>
                <w:rFonts w:ascii="Times New Roman" w:eastAsia="Times New Roman" w:hAnsi="Times New Roman" w:cs="Times New Roman"/>
                <w:bCs/>
                <w:iCs/>
                <w:sz w:val="24"/>
                <w:szCs w:val="24"/>
                <w:lang w:val="en-GB"/>
              </w:rPr>
              <w:t xml:space="preserve">      70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65</w:t>
            </w:r>
          </w:p>
        </w:tc>
        <w:tc>
          <w:tcPr>
            <w:tcW w:w="2338" w:type="dxa"/>
            <w:tcBorders>
              <w:top w:val="single" w:sz="4" w:space="0" w:color="auto"/>
            </w:tcBorders>
          </w:tcPr>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20 (20%)</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37 (37%)                                  </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Cs/>
                <w:iCs/>
                <w:sz w:val="24"/>
                <w:szCs w:val="24"/>
                <w:lang w:val="en-GB"/>
              </w:rPr>
              <w:t xml:space="preserve">          </w:t>
            </w:r>
            <w:r>
              <w:rPr>
                <w:rFonts w:ascii="Times New Roman" w:eastAsia="Times New Roman" w:hAnsi="Times New Roman" w:cs="Times New Roman"/>
                <w:b/>
                <w:iCs/>
                <w:sz w:val="24"/>
                <w:szCs w:val="24"/>
                <w:lang w:val="en-GB"/>
              </w:rPr>
              <w:t xml:space="preserve">57 (28.5%)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47 (72.3%)</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51 (72.9%)</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24 (36.9%)</w:t>
            </w:r>
          </w:p>
        </w:tc>
        <w:tc>
          <w:tcPr>
            <w:tcW w:w="2613" w:type="dxa"/>
            <w:tcBorders>
              <w:top w:val="single" w:sz="4" w:space="0" w:color="auto"/>
            </w:tcBorders>
          </w:tcPr>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5 (5%)</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10 (10%)</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Cs/>
                <w:iCs/>
                <w:sz w:val="24"/>
                <w:szCs w:val="24"/>
                <w:lang w:val="en-GB"/>
              </w:rPr>
              <w:t xml:space="preserve">              </w:t>
            </w:r>
            <w:r>
              <w:rPr>
                <w:rFonts w:ascii="Times New Roman" w:eastAsia="Times New Roman" w:hAnsi="Times New Roman" w:cs="Times New Roman"/>
                <w:b/>
                <w:iCs/>
                <w:sz w:val="24"/>
                <w:szCs w:val="24"/>
                <w:lang w:val="en-GB"/>
              </w:rPr>
              <w:t xml:space="preserve">15 (7.5%)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6 (9.2%)</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11 (5.7%)</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4 (6.2%)</w:t>
            </w:r>
          </w:p>
        </w:tc>
      </w:tr>
      <w:tr w:rsidR="008447D7">
        <w:trPr>
          <w:trHeight w:val="426"/>
        </w:trPr>
        <w:tc>
          <w:tcPr>
            <w:tcW w:w="2337" w:type="dxa"/>
          </w:tcPr>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
                <w:iCs/>
                <w:sz w:val="24"/>
                <w:szCs w:val="24"/>
                <w:lang w:val="en-GB"/>
              </w:rPr>
              <w:t xml:space="preserve">Hospital Prevalence   </w:t>
            </w:r>
          </w:p>
        </w:tc>
        <w:tc>
          <w:tcPr>
            <w:tcW w:w="2337" w:type="dxa"/>
          </w:tcPr>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
                <w:iCs/>
                <w:sz w:val="24"/>
                <w:szCs w:val="24"/>
                <w:lang w:val="en-GB"/>
              </w:rPr>
              <w:t xml:space="preserve">            200</w:t>
            </w:r>
          </w:p>
        </w:tc>
        <w:tc>
          <w:tcPr>
            <w:tcW w:w="2338" w:type="dxa"/>
          </w:tcPr>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w:t>
            </w:r>
            <w:r>
              <w:rPr>
                <w:rFonts w:ascii="Times New Roman" w:eastAsia="Times New Roman" w:hAnsi="Times New Roman" w:cs="Times New Roman"/>
                <w:b/>
                <w:iCs/>
                <w:sz w:val="24"/>
                <w:szCs w:val="24"/>
                <w:lang w:val="en-GB"/>
              </w:rPr>
              <w:t xml:space="preserve">122 (61 %)        </w:t>
            </w:r>
          </w:p>
        </w:tc>
        <w:tc>
          <w:tcPr>
            <w:tcW w:w="2613" w:type="dxa"/>
          </w:tcPr>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              21 (10.5%)</w:t>
            </w:r>
          </w:p>
          <w:p w:rsidR="008447D7" w:rsidRDefault="008447D7">
            <w:pPr>
              <w:rPr>
                <w:rFonts w:ascii="Times New Roman" w:eastAsia="Times New Roman" w:hAnsi="Times New Roman" w:cs="Times New Roman"/>
                <w:bCs/>
                <w:iCs/>
                <w:sz w:val="24"/>
                <w:szCs w:val="24"/>
                <w:lang w:val="en-GB"/>
              </w:rPr>
            </w:pPr>
          </w:p>
        </w:tc>
      </w:tr>
      <w:tr w:rsidR="008447D7">
        <w:trPr>
          <w:trHeight w:val="1056"/>
        </w:trPr>
        <w:tc>
          <w:tcPr>
            <w:tcW w:w="2337" w:type="dxa"/>
          </w:tcPr>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Overall Prevalence                       </w:t>
            </w:r>
          </w:p>
        </w:tc>
        <w:tc>
          <w:tcPr>
            <w:tcW w:w="2337" w:type="dxa"/>
          </w:tcPr>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            400</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Cs/>
                <w:iCs/>
                <w:sz w:val="24"/>
                <w:szCs w:val="24"/>
                <w:lang w:val="en-GB"/>
              </w:rPr>
              <w:t xml:space="preserve">           </w:t>
            </w:r>
          </w:p>
        </w:tc>
        <w:tc>
          <w:tcPr>
            <w:tcW w:w="2338" w:type="dxa"/>
          </w:tcPr>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
                <w:iCs/>
                <w:sz w:val="24"/>
                <w:szCs w:val="24"/>
                <w:lang w:val="en-GB"/>
              </w:rPr>
              <w:t xml:space="preserve">         179 (44.8%)</w:t>
            </w:r>
          </w:p>
          <w:p w:rsidR="008447D7" w:rsidRDefault="008F7D59">
            <w:pPr>
              <w:rPr>
                <w:rFonts w:ascii="Times New Roman" w:eastAsia="Times New Roman" w:hAnsi="Times New Roman" w:cs="Times New Roman"/>
                <w:bCs/>
                <w:iCs/>
                <w:sz w:val="24"/>
                <w:szCs w:val="24"/>
                <w:lang w:val="en-GB"/>
              </w:rPr>
            </w:pPr>
            <w:r>
              <w:rPr>
                <w:rFonts w:ascii="Times New Roman" w:eastAsia="Times New Roman" w:hAnsi="Times New Roman" w:cs="Times New Roman"/>
                <w:bCs/>
                <w:iCs/>
                <w:sz w:val="24"/>
                <w:szCs w:val="24"/>
                <w:lang w:val="en-GB"/>
              </w:rPr>
              <w:t xml:space="preserve">          </w:t>
            </w:r>
          </w:p>
        </w:tc>
        <w:tc>
          <w:tcPr>
            <w:tcW w:w="2613" w:type="dxa"/>
          </w:tcPr>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Cs/>
                <w:iCs/>
                <w:sz w:val="24"/>
                <w:szCs w:val="24"/>
                <w:lang w:val="en-GB"/>
              </w:rPr>
              <w:t xml:space="preserve">                  </w:t>
            </w:r>
            <w:r>
              <w:rPr>
                <w:rFonts w:ascii="Times New Roman" w:eastAsia="Times New Roman" w:hAnsi="Times New Roman" w:cs="Times New Roman"/>
                <w:b/>
                <w:iCs/>
                <w:sz w:val="24"/>
                <w:szCs w:val="24"/>
                <w:lang w:val="en-GB"/>
              </w:rPr>
              <w:t>36 (9%)</w:t>
            </w:r>
          </w:p>
          <w:p w:rsidR="008447D7" w:rsidRDefault="008F7D59">
            <w:pPr>
              <w:rPr>
                <w:rFonts w:ascii="Times New Roman" w:eastAsia="Times New Roman" w:hAnsi="Times New Roman" w:cs="Times New Roman"/>
                <w:b/>
                <w:iCs/>
                <w:sz w:val="24"/>
                <w:szCs w:val="24"/>
                <w:lang w:val="en-GB"/>
              </w:rPr>
            </w:pPr>
            <w:r>
              <w:rPr>
                <w:rFonts w:ascii="Times New Roman" w:eastAsia="Times New Roman" w:hAnsi="Times New Roman" w:cs="Times New Roman"/>
                <w:bCs/>
                <w:iCs/>
                <w:sz w:val="24"/>
                <w:szCs w:val="24"/>
                <w:lang w:val="en-GB"/>
              </w:rPr>
              <w:t xml:space="preserve">     </w:t>
            </w:r>
          </w:p>
        </w:tc>
      </w:tr>
    </w:tbl>
    <w:p w:rsidR="008447D7" w:rsidRDefault="008F7D59">
      <w:pPr>
        <w:jc w:val="both"/>
        <w:rPr>
          <w:rFonts w:ascii="Times New Roman" w:eastAsia="Times New Roman" w:hAnsi="Times New Roman"/>
          <w:b/>
          <w:bCs/>
          <w:sz w:val="24"/>
          <w:szCs w:val="24"/>
        </w:rPr>
      </w:pPr>
      <w:r>
        <w:rPr>
          <w:rFonts w:ascii="Times New Roman" w:eastAsia="Times New Roman" w:hAnsi="Times New Roman" w:cs="Times New Roman"/>
          <w:sz w:val="24"/>
          <w:szCs w:val="24"/>
          <w:lang w:val="en-GB"/>
        </w:rPr>
        <w:t xml:space="preserve"> </w:t>
      </w:r>
      <w:r>
        <w:rPr>
          <w:rFonts w:ascii="Times New Roman" w:eastAsia="Times New Roman" w:hAnsi="Times New Roman" w:cs="Times New Roman"/>
          <w:b/>
          <w:bCs/>
          <w:sz w:val="24"/>
          <w:szCs w:val="24"/>
          <w:lang w:val="en-GB"/>
        </w:rPr>
        <w:t>χ²   = 27.6, p= 0.0014, P&lt; 0.05, OR =13, RR= 12.4</w:t>
      </w:r>
    </w:p>
    <w:p w:rsidR="008447D7" w:rsidRDefault="008447D7">
      <w:pPr>
        <w:tabs>
          <w:tab w:val="left" w:pos="400"/>
        </w:tabs>
        <w:spacing w:line="480" w:lineRule="auto"/>
        <w:jc w:val="both"/>
        <w:rPr>
          <w:rFonts w:ascii="Times New Roman" w:hAnsi="Times New Roman" w:cs="Times New Roman"/>
          <w:i/>
          <w:color w:val="000000"/>
          <w:sz w:val="24"/>
          <w:szCs w:val="24"/>
        </w:rPr>
      </w:pPr>
    </w:p>
    <w:p w:rsidR="008447D7" w:rsidRDefault="008F7D59">
      <w:pPr>
        <w:jc w:val="both"/>
        <w:rPr>
          <w:rFonts w:ascii="Times New Roman" w:eastAsia="SimSun" w:hAnsi="Times New Roman"/>
          <w:bCs/>
          <w:sz w:val="24"/>
          <w:szCs w:val="24"/>
        </w:rPr>
      </w:pPr>
      <w:r>
        <w:rPr>
          <w:rFonts w:ascii="Times New Roman" w:eastAsia="SimSun" w:hAnsi="Times New Roman"/>
          <w:bCs/>
          <w:sz w:val="24"/>
          <w:szCs w:val="24"/>
        </w:rPr>
        <w:t xml:space="preserve">Overall, across the three area councils, the prevalence of </w:t>
      </w:r>
      <w:r>
        <w:rPr>
          <w:rFonts w:ascii="Times New Roman" w:eastAsia="SimSun" w:hAnsi="Times New Roman"/>
          <w:bCs/>
          <w:i/>
          <w:iCs/>
          <w:sz w:val="24"/>
          <w:szCs w:val="24"/>
        </w:rPr>
        <w:t>E. coli</w:t>
      </w:r>
      <w:r>
        <w:rPr>
          <w:rFonts w:ascii="Times New Roman" w:eastAsia="SimSun" w:hAnsi="Times New Roman"/>
          <w:bCs/>
          <w:sz w:val="24"/>
          <w:szCs w:val="24"/>
        </w:rPr>
        <w:t xml:space="preserve"> in poultry in the FCT was 20 (5%), while </w:t>
      </w:r>
      <w:r>
        <w:rPr>
          <w:rFonts w:ascii="Times New Roman" w:eastAsia="SimSun" w:hAnsi="Times New Roman"/>
          <w:bCs/>
          <w:i/>
          <w:iCs/>
          <w:sz w:val="24"/>
          <w:szCs w:val="24"/>
        </w:rPr>
        <w:t>E. coli</w:t>
      </w:r>
      <w:r>
        <w:rPr>
          <w:rFonts w:ascii="Times New Roman" w:eastAsia="SimSun" w:hAnsi="Times New Roman"/>
          <w:bCs/>
          <w:sz w:val="24"/>
          <w:szCs w:val="24"/>
        </w:rPr>
        <w:t xml:space="preserve"> O157:H7 had a prevalence of 3 (0.8%).  The prevalence in AMAC was 4 (3%) for </w:t>
      </w:r>
      <w:r>
        <w:rPr>
          <w:rFonts w:ascii="Times New Roman" w:eastAsia="SimSun" w:hAnsi="Times New Roman"/>
          <w:bCs/>
          <w:i/>
          <w:iCs/>
          <w:sz w:val="24"/>
          <w:szCs w:val="24"/>
        </w:rPr>
        <w:t>E. coli</w:t>
      </w:r>
      <w:r>
        <w:rPr>
          <w:rFonts w:ascii="Times New Roman" w:eastAsia="SimSun" w:hAnsi="Times New Roman"/>
          <w:bCs/>
          <w:sz w:val="24"/>
          <w:szCs w:val="24"/>
        </w:rPr>
        <w:t xml:space="preserve"> and 0 for </w:t>
      </w:r>
      <w:r>
        <w:rPr>
          <w:rFonts w:ascii="Times New Roman" w:eastAsia="SimSun" w:hAnsi="Times New Roman"/>
          <w:bCs/>
          <w:i/>
          <w:iCs/>
          <w:sz w:val="24"/>
          <w:szCs w:val="24"/>
        </w:rPr>
        <w:t>E. coli</w:t>
      </w:r>
      <w:r>
        <w:rPr>
          <w:rFonts w:ascii="Times New Roman" w:eastAsia="SimSun" w:hAnsi="Times New Roman"/>
          <w:bCs/>
          <w:sz w:val="24"/>
          <w:szCs w:val="24"/>
        </w:rPr>
        <w:t xml:space="preserve"> O157:H7; in </w:t>
      </w:r>
      <w:proofErr w:type="spellStart"/>
      <w:r>
        <w:rPr>
          <w:rFonts w:ascii="Times New Roman" w:eastAsia="SimSun" w:hAnsi="Times New Roman"/>
          <w:bCs/>
          <w:sz w:val="24"/>
          <w:szCs w:val="24"/>
        </w:rPr>
        <w:t>Gwagwalada</w:t>
      </w:r>
      <w:proofErr w:type="spellEnd"/>
      <w:r>
        <w:rPr>
          <w:rFonts w:ascii="Times New Roman" w:eastAsia="SimSun" w:hAnsi="Times New Roman"/>
          <w:bCs/>
          <w:sz w:val="24"/>
          <w:szCs w:val="24"/>
        </w:rPr>
        <w:t xml:space="preserve"> 8 (5.9%) for </w:t>
      </w:r>
      <w:r>
        <w:rPr>
          <w:rFonts w:ascii="Times New Roman" w:eastAsia="SimSun" w:hAnsi="Times New Roman"/>
          <w:bCs/>
          <w:i/>
          <w:iCs/>
          <w:sz w:val="24"/>
          <w:szCs w:val="24"/>
        </w:rPr>
        <w:t>E. coli</w:t>
      </w:r>
      <w:r>
        <w:rPr>
          <w:rFonts w:ascii="Times New Roman" w:eastAsia="SimSun" w:hAnsi="Times New Roman"/>
          <w:bCs/>
          <w:sz w:val="24"/>
          <w:szCs w:val="24"/>
        </w:rPr>
        <w:t xml:space="preserve"> and 2 (1.5%) for </w:t>
      </w:r>
      <w:r>
        <w:rPr>
          <w:rFonts w:ascii="Times New Roman" w:eastAsia="SimSun" w:hAnsi="Times New Roman"/>
          <w:bCs/>
          <w:i/>
          <w:iCs/>
          <w:sz w:val="24"/>
          <w:szCs w:val="24"/>
        </w:rPr>
        <w:t>E. coli</w:t>
      </w:r>
      <w:r>
        <w:rPr>
          <w:rFonts w:ascii="Times New Roman" w:eastAsia="SimSun" w:hAnsi="Times New Roman"/>
          <w:bCs/>
          <w:sz w:val="24"/>
          <w:szCs w:val="24"/>
        </w:rPr>
        <w:t xml:space="preserve"> O157: H7; in </w:t>
      </w:r>
      <w:proofErr w:type="spellStart"/>
      <w:r>
        <w:rPr>
          <w:rFonts w:ascii="Times New Roman" w:eastAsia="SimSun" w:hAnsi="Times New Roman"/>
          <w:bCs/>
          <w:sz w:val="24"/>
          <w:szCs w:val="24"/>
        </w:rPr>
        <w:t>Kwali</w:t>
      </w:r>
      <w:proofErr w:type="spellEnd"/>
      <w:r>
        <w:rPr>
          <w:rFonts w:ascii="Times New Roman" w:eastAsia="SimSun" w:hAnsi="Times New Roman"/>
          <w:bCs/>
          <w:sz w:val="24"/>
          <w:szCs w:val="24"/>
        </w:rPr>
        <w:t xml:space="preserve"> 8 (6.2%) for </w:t>
      </w:r>
      <w:r>
        <w:rPr>
          <w:rFonts w:ascii="Times New Roman" w:eastAsia="SimSun" w:hAnsi="Times New Roman"/>
          <w:bCs/>
          <w:i/>
          <w:iCs/>
          <w:sz w:val="24"/>
          <w:szCs w:val="24"/>
        </w:rPr>
        <w:t>E.</w:t>
      </w:r>
      <w:r>
        <w:rPr>
          <w:rFonts w:ascii="Times New Roman" w:eastAsia="SimSun" w:hAnsi="Times New Roman"/>
          <w:bCs/>
          <w:i/>
          <w:iCs/>
          <w:sz w:val="24"/>
          <w:szCs w:val="24"/>
        </w:rPr>
        <w:t xml:space="preserve"> coli</w:t>
      </w:r>
      <w:r>
        <w:rPr>
          <w:rFonts w:ascii="Times New Roman" w:eastAsia="SimSun" w:hAnsi="Times New Roman"/>
          <w:bCs/>
          <w:sz w:val="24"/>
          <w:szCs w:val="24"/>
        </w:rPr>
        <w:t xml:space="preserve"> and 1 (0.8%) for </w:t>
      </w:r>
      <w:r>
        <w:rPr>
          <w:rFonts w:ascii="Times New Roman" w:eastAsia="SimSun" w:hAnsi="Times New Roman"/>
          <w:bCs/>
          <w:i/>
          <w:iCs/>
          <w:sz w:val="24"/>
          <w:szCs w:val="24"/>
        </w:rPr>
        <w:t>E. coli</w:t>
      </w:r>
      <w:r>
        <w:rPr>
          <w:rFonts w:ascii="Times New Roman" w:eastAsia="SimSun" w:hAnsi="Times New Roman"/>
          <w:bCs/>
          <w:sz w:val="24"/>
          <w:szCs w:val="24"/>
        </w:rPr>
        <w:t xml:space="preserve"> O157:H7 respectively (Table 2).</w:t>
      </w:r>
    </w:p>
    <w:p w:rsidR="008447D7" w:rsidRDefault="008F7D59">
      <w:pPr>
        <w:rPr>
          <w:rFonts w:ascii="Times New Roman" w:eastAsia="Times New Roman" w:hAnsi="Times New Roman" w:cs="Times New Roman"/>
          <w:b/>
          <w:iCs/>
          <w:sz w:val="24"/>
          <w:szCs w:val="24"/>
        </w:rPr>
      </w:pPr>
      <w:r>
        <w:rPr>
          <w:rFonts w:ascii="Times New Roman" w:hAnsi="Times New Roman" w:cs="Times New Roman"/>
          <w:b/>
          <w:bCs/>
          <w:sz w:val="24"/>
          <w:szCs w:val="24"/>
        </w:rPr>
        <w:t>Table 2:</w:t>
      </w:r>
      <w:r>
        <w:rPr>
          <w:rFonts w:ascii="Times New Roman" w:eastAsia="SimSun" w:hAnsi="Times New Roman" w:cs="Times New Roman"/>
          <w:b/>
          <w:bCs/>
          <w:color w:val="000000"/>
          <w:sz w:val="24"/>
          <w:szCs w:val="24"/>
        </w:rPr>
        <w:t xml:space="preserve">  </w:t>
      </w:r>
      <w:r>
        <w:rPr>
          <w:rFonts w:ascii="Times New Roman" w:eastAsia="Times New Roman" w:hAnsi="Times New Roman" w:cs="Times New Roman"/>
          <w:b/>
          <w:iCs/>
          <w:sz w:val="24"/>
          <w:szCs w:val="24"/>
        </w:rPr>
        <w:t>Prevalence of</w:t>
      </w:r>
      <w:r>
        <w:rPr>
          <w:rFonts w:ascii="Times New Roman" w:eastAsia="Times New Roman" w:hAnsi="Times New Roman" w:cs="Times New Roman"/>
          <w:b/>
          <w:i/>
          <w:sz w:val="24"/>
          <w:szCs w:val="24"/>
        </w:rPr>
        <w:t xml:space="preserve"> E. coli </w:t>
      </w:r>
      <w:r>
        <w:rPr>
          <w:rFonts w:ascii="Times New Roman" w:eastAsia="Times New Roman" w:hAnsi="Times New Roman" w:cs="Times New Roman"/>
          <w:b/>
          <w:iCs/>
          <w:sz w:val="24"/>
          <w:szCs w:val="24"/>
          <w:lang w:val="en-GB"/>
        </w:rPr>
        <w:t xml:space="preserve">and </w:t>
      </w:r>
      <w:r>
        <w:rPr>
          <w:rFonts w:ascii="Times New Roman" w:eastAsia="Times New Roman" w:hAnsi="Times New Roman" w:cs="Times New Roman"/>
          <w:b/>
          <w:i/>
          <w:sz w:val="24"/>
          <w:szCs w:val="24"/>
        </w:rPr>
        <w:t>E. coli</w:t>
      </w:r>
      <w:r>
        <w:rPr>
          <w:rFonts w:ascii="Times New Roman" w:eastAsia="Times New Roman" w:hAnsi="Times New Roman" w:cs="Times New Roman"/>
          <w:b/>
          <w:sz w:val="24"/>
          <w:szCs w:val="24"/>
        </w:rPr>
        <w:t xml:space="preserve"> O157:H7</w:t>
      </w:r>
      <w:r>
        <w:rPr>
          <w:rFonts w:ascii="Times New Roman" w:eastAsia="Times New Roman" w:hAnsi="Times New Roman" w:cs="Times New Roman"/>
          <w:b/>
          <w:sz w:val="24"/>
          <w:szCs w:val="24"/>
          <w:lang w:val="en-GB"/>
        </w:rPr>
        <w:t xml:space="preserve"> in</w:t>
      </w:r>
      <w:r>
        <w:rPr>
          <w:rFonts w:ascii="Times New Roman" w:eastAsia="Times New Roman" w:hAnsi="Times New Roman" w:cs="Times New Roman"/>
          <w:b/>
          <w:sz w:val="24"/>
          <w:szCs w:val="24"/>
        </w:rPr>
        <w:t xml:space="preserve"> Poultry </w:t>
      </w:r>
      <w:r>
        <w:rPr>
          <w:rFonts w:ascii="Times New Roman" w:eastAsia="Times New Roman" w:hAnsi="Times New Roman" w:cs="Times New Roman"/>
          <w:b/>
          <w:sz w:val="24"/>
          <w:szCs w:val="24"/>
          <w:lang w:val="en-GB"/>
        </w:rPr>
        <w:t>in</w:t>
      </w:r>
      <w:r>
        <w:rPr>
          <w:rFonts w:ascii="Times New Roman" w:eastAsia="Times New Roman" w:hAnsi="Times New Roman" w:cs="Times New Roman"/>
          <w:b/>
          <w:sz w:val="24"/>
          <w:szCs w:val="24"/>
        </w:rPr>
        <w:t xml:space="preserve"> FCT</w:t>
      </w:r>
    </w:p>
    <w:tbl>
      <w:tblPr>
        <w:tblStyle w:val="Style67"/>
        <w:tblW w:w="9395" w:type="dxa"/>
        <w:tblInd w:w="146" w:type="dxa"/>
        <w:tblBorders>
          <w:top w:val="single" w:sz="4" w:space="0" w:color="auto"/>
          <w:bottom w:val="single" w:sz="4" w:space="0" w:color="auto"/>
        </w:tblBorders>
        <w:tblLayout w:type="fixed"/>
        <w:tblLook w:val="04A0" w:firstRow="1" w:lastRow="0" w:firstColumn="1" w:lastColumn="0" w:noHBand="0" w:noVBand="1"/>
      </w:tblPr>
      <w:tblGrid>
        <w:gridCol w:w="2932"/>
        <w:gridCol w:w="2070"/>
        <w:gridCol w:w="1620"/>
        <w:gridCol w:w="2773"/>
      </w:tblGrid>
      <w:tr w:rsidR="008447D7">
        <w:tc>
          <w:tcPr>
            <w:tcW w:w="2932" w:type="dxa"/>
            <w:tcBorders>
              <w:bottom w:val="single" w:sz="4" w:space="0" w:color="auto"/>
            </w:tcBorders>
          </w:tcPr>
          <w:p w:rsidR="008447D7" w:rsidRDefault="008F7D5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Location</w:t>
            </w:r>
          </w:p>
        </w:tc>
        <w:tc>
          <w:tcPr>
            <w:tcW w:w="2070" w:type="dxa"/>
            <w:tcBorders>
              <w:bottom w:val="single" w:sz="4" w:space="0" w:color="auto"/>
            </w:tcBorders>
          </w:tcPr>
          <w:p w:rsidR="008447D7" w:rsidRDefault="008F7D5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Samples</w:t>
            </w:r>
          </w:p>
        </w:tc>
        <w:tc>
          <w:tcPr>
            <w:tcW w:w="1620" w:type="dxa"/>
            <w:tcBorders>
              <w:bottom w:val="single" w:sz="4" w:space="0" w:color="auto"/>
            </w:tcBorders>
          </w:tcPr>
          <w:p w:rsidR="008447D7" w:rsidRDefault="008F7D59">
            <w:pPr>
              <w:spacing w:before="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E. coli</w:t>
            </w:r>
          </w:p>
        </w:tc>
        <w:tc>
          <w:tcPr>
            <w:tcW w:w="2773" w:type="dxa"/>
            <w:tcBorders>
              <w:bottom w:val="single" w:sz="4" w:space="0" w:color="auto"/>
            </w:tcBorders>
          </w:tcPr>
          <w:p w:rsidR="008447D7" w:rsidRDefault="008F7D59">
            <w:pPr>
              <w:spacing w:before="240" w:line="36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i/>
                <w:sz w:val="24"/>
                <w:szCs w:val="24"/>
              </w:rPr>
              <w:t>E. coli</w:t>
            </w:r>
            <w:r>
              <w:rPr>
                <w:rFonts w:ascii="Times New Roman" w:eastAsia="Times New Roman" w:hAnsi="Times New Roman" w:cs="Times New Roman"/>
                <w:b/>
                <w:sz w:val="24"/>
                <w:szCs w:val="24"/>
              </w:rPr>
              <w:t xml:space="preserve"> O157</w:t>
            </w:r>
            <w:r>
              <w:rPr>
                <w:rFonts w:ascii="Times New Roman" w:eastAsia="Times New Roman" w:hAnsi="Times New Roman" w:cs="Times New Roman"/>
                <w:b/>
                <w:sz w:val="24"/>
                <w:szCs w:val="24"/>
                <w:lang w:val="en-GB"/>
              </w:rPr>
              <w:t>:H7</w:t>
            </w:r>
          </w:p>
        </w:tc>
      </w:tr>
      <w:tr w:rsidR="008447D7">
        <w:tc>
          <w:tcPr>
            <w:tcW w:w="2932" w:type="dxa"/>
            <w:tcBorders>
              <w:top w:val="single" w:sz="4" w:space="0" w:color="auto"/>
            </w:tcBorders>
          </w:tcPr>
          <w:p w:rsidR="008447D7" w:rsidRDefault="008F7D5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AMAC</w:t>
            </w:r>
          </w:p>
        </w:tc>
        <w:tc>
          <w:tcPr>
            <w:tcW w:w="2070" w:type="dxa"/>
            <w:tcBorders>
              <w:top w:val="single" w:sz="4" w:space="0" w:color="auto"/>
            </w:tcBorders>
          </w:tcPr>
          <w:p w:rsidR="008447D7" w:rsidRDefault="008F7D5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620" w:type="dxa"/>
            <w:tcBorders>
              <w:top w:val="single" w:sz="4" w:space="0" w:color="auto"/>
            </w:tcBorders>
          </w:tcPr>
          <w:p w:rsidR="008447D7" w:rsidRDefault="008F7D5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(3%)</w:t>
            </w:r>
          </w:p>
        </w:tc>
        <w:tc>
          <w:tcPr>
            <w:tcW w:w="2773" w:type="dxa"/>
            <w:tcBorders>
              <w:top w:val="single" w:sz="4" w:space="0" w:color="auto"/>
            </w:tcBorders>
          </w:tcPr>
          <w:p w:rsidR="008447D7" w:rsidRDefault="008F7D59">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GB"/>
              </w:rPr>
              <w:t xml:space="preserve">    0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en-GB"/>
              </w:rPr>
              <w:t xml:space="preserve">0.0 </w:t>
            </w:r>
            <w:r>
              <w:rPr>
                <w:rFonts w:ascii="Times New Roman" w:eastAsia="Times New Roman" w:hAnsi="Times New Roman" w:cs="Times New Roman"/>
                <w:sz w:val="24"/>
                <w:szCs w:val="24"/>
              </w:rPr>
              <w:t>%)</w:t>
            </w:r>
          </w:p>
        </w:tc>
      </w:tr>
      <w:tr w:rsidR="008447D7">
        <w:tc>
          <w:tcPr>
            <w:tcW w:w="2932" w:type="dxa"/>
          </w:tcPr>
          <w:p w:rsidR="008447D7" w:rsidRDefault="008F7D59">
            <w:pPr>
              <w:spacing w:line="360" w:lineRule="auto"/>
              <w:jc w:val="both"/>
              <w:rPr>
                <w:rFonts w:ascii="Times New Roman" w:eastAsia="Times New Roman" w:hAnsi="Times New Roman" w:cs="Times New Roman"/>
                <w:sz w:val="24"/>
                <w:szCs w:val="24"/>
                <w:lang w:val="en-GB"/>
              </w:rPr>
            </w:pPr>
            <w:proofErr w:type="spellStart"/>
            <w:r>
              <w:rPr>
                <w:rFonts w:ascii="Times New Roman" w:eastAsia="Times New Roman" w:hAnsi="Times New Roman" w:cs="Times New Roman"/>
                <w:sz w:val="24"/>
                <w:szCs w:val="24"/>
                <w:lang w:val="en-GB"/>
              </w:rPr>
              <w:lastRenderedPageBreak/>
              <w:t>Gwagwalada</w:t>
            </w:r>
            <w:proofErr w:type="spellEnd"/>
          </w:p>
        </w:tc>
        <w:tc>
          <w:tcPr>
            <w:tcW w:w="2070" w:type="dxa"/>
          </w:tcPr>
          <w:p w:rsidR="008447D7" w:rsidRDefault="008F7D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135</w:t>
            </w:r>
          </w:p>
        </w:tc>
        <w:tc>
          <w:tcPr>
            <w:tcW w:w="1620" w:type="dxa"/>
          </w:tcPr>
          <w:p w:rsidR="008447D7" w:rsidRDefault="008F7D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(5.9%)</w:t>
            </w:r>
          </w:p>
        </w:tc>
        <w:tc>
          <w:tcPr>
            <w:tcW w:w="2773" w:type="dxa"/>
          </w:tcPr>
          <w:p w:rsidR="008447D7" w:rsidRDefault="008F7D59">
            <w:pPr>
              <w:spacing w:line="36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    2 (1.5%)</w:t>
            </w:r>
          </w:p>
        </w:tc>
      </w:tr>
      <w:tr w:rsidR="008447D7">
        <w:tc>
          <w:tcPr>
            <w:tcW w:w="2932" w:type="dxa"/>
          </w:tcPr>
          <w:p w:rsidR="008447D7" w:rsidRDefault="008F7D59">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Kwali</w:t>
            </w:r>
            <w:proofErr w:type="spellEnd"/>
          </w:p>
        </w:tc>
        <w:tc>
          <w:tcPr>
            <w:tcW w:w="2070" w:type="dxa"/>
          </w:tcPr>
          <w:p w:rsidR="008447D7" w:rsidRDefault="008F7D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130</w:t>
            </w:r>
          </w:p>
        </w:tc>
        <w:tc>
          <w:tcPr>
            <w:tcW w:w="1620" w:type="dxa"/>
          </w:tcPr>
          <w:p w:rsidR="008447D7" w:rsidRDefault="008F7D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(6.2%)</w:t>
            </w:r>
          </w:p>
        </w:tc>
        <w:tc>
          <w:tcPr>
            <w:tcW w:w="2773" w:type="dxa"/>
          </w:tcPr>
          <w:p w:rsidR="008447D7" w:rsidRDefault="008F7D5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(0.8%)</w:t>
            </w:r>
          </w:p>
        </w:tc>
      </w:tr>
      <w:tr w:rsidR="008447D7">
        <w:tc>
          <w:tcPr>
            <w:tcW w:w="2932" w:type="dxa"/>
          </w:tcPr>
          <w:p w:rsidR="008447D7" w:rsidRDefault="008F7D59">
            <w:pPr>
              <w:spacing w:before="240" w:line="360" w:lineRule="auto"/>
              <w:jc w:val="both"/>
              <w:rPr>
                <w:rFonts w:ascii="Times New Roman" w:eastAsia="Times New Roman" w:hAnsi="Times New Roman" w:cs="Times New Roman"/>
                <w:b/>
                <w:bCs/>
                <w:sz w:val="24"/>
                <w:szCs w:val="24"/>
                <w:lang w:val="en-GB"/>
              </w:rPr>
            </w:pPr>
            <w:r>
              <w:rPr>
                <w:rFonts w:ascii="Times New Roman" w:eastAsia="Times New Roman" w:hAnsi="Times New Roman" w:cs="Times New Roman"/>
                <w:b/>
                <w:bCs/>
                <w:sz w:val="24"/>
                <w:szCs w:val="24"/>
                <w:lang w:val="en-GB"/>
              </w:rPr>
              <w:t>Total</w:t>
            </w:r>
          </w:p>
        </w:tc>
        <w:tc>
          <w:tcPr>
            <w:tcW w:w="2070" w:type="dxa"/>
          </w:tcPr>
          <w:p w:rsidR="008447D7" w:rsidRDefault="008F7D59">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400</w:t>
            </w:r>
          </w:p>
        </w:tc>
        <w:tc>
          <w:tcPr>
            <w:tcW w:w="1620" w:type="dxa"/>
          </w:tcPr>
          <w:p w:rsidR="008447D7" w:rsidRDefault="008F7D59">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 (5%)</w:t>
            </w:r>
          </w:p>
        </w:tc>
        <w:tc>
          <w:tcPr>
            <w:tcW w:w="2773" w:type="dxa"/>
          </w:tcPr>
          <w:p w:rsidR="008447D7" w:rsidRDefault="008F7D59">
            <w:pPr>
              <w:spacing w:before="24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GB"/>
              </w:rPr>
              <w:t xml:space="preserve">    3 </w:t>
            </w:r>
            <w:r>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lang w:val="en-GB"/>
              </w:rPr>
              <w:t>0.8</w:t>
            </w:r>
            <w:r>
              <w:rPr>
                <w:rFonts w:ascii="Times New Roman" w:eastAsia="Times New Roman" w:hAnsi="Times New Roman" w:cs="Times New Roman"/>
                <w:b/>
                <w:bCs/>
                <w:sz w:val="24"/>
                <w:szCs w:val="24"/>
              </w:rPr>
              <w:t>%)</w:t>
            </w:r>
          </w:p>
        </w:tc>
      </w:tr>
    </w:tbl>
    <w:p w:rsidR="008447D7" w:rsidRDefault="008447D7">
      <w:pPr>
        <w:rPr>
          <w:rFonts w:ascii="SimSun" w:eastAsia="SimSun" w:hAnsi="SimSun" w:cs="SimSun"/>
          <w:sz w:val="24"/>
          <w:szCs w:val="24"/>
          <w:lang w:bidi="ar"/>
        </w:rPr>
      </w:pPr>
    </w:p>
    <w:p w:rsidR="008447D7" w:rsidRDefault="008F7D59">
      <w:pPr>
        <w:jc w:val="both"/>
        <w:rPr>
          <w:rFonts w:ascii="Times New Roman" w:eastAsia="SimSun" w:hAnsi="Times New Roman" w:cs="Times New Roman"/>
          <w:sz w:val="24"/>
          <w:szCs w:val="24"/>
        </w:rPr>
      </w:pPr>
      <w:r>
        <w:rPr>
          <w:rFonts w:ascii="Times New Roman" w:eastAsia="SimSun" w:hAnsi="Times New Roman" w:cs="Times New Roman"/>
          <w:i/>
          <w:iCs/>
          <w:sz w:val="24"/>
          <w:szCs w:val="24"/>
          <w:lang w:bidi="ar"/>
        </w:rPr>
        <w:t>Escherichia coli</w:t>
      </w:r>
      <w:r>
        <w:rPr>
          <w:rFonts w:ascii="Times New Roman" w:eastAsia="SimSun" w:hAnsi="Times New Roman" w:cs="Times New Roman"/>
          <w:sz w:val="24"/>
          <w:szCs w:val="24"/>
          <w:lang w:bidi="ar"/>
        </w:rPr>
        <w:t xml:space="preserve"> O157:H7 in humans showed 100% resistance to </w:t>
      </w:r>
      <w:proofErr w:type="spellStart"/>
      <w:r>
        <w:rPr>
          <w:rFonts w:ascii="Times New Roman" w:eastAsia="SimSun" w:hAnsi="Times New Roman" w:cs="Times New Roman"/>
          <w:sz w:val="24"/>
          <w:szCs w:val="24"/>
          <w:lang w:bidi="ar"/>
        </w:rPr>
        <w:t>Oxytetracycline</w:t>
      </w:r>
      <w:proofErr w:type="spellEnd"/>
      <w:r>
        <w:rPr>
          <w:rFonts w:ascii="Times New Roman" w:eastAsia="SimSun" w:hAnsi="Times New Roman" w:cs="Times New Roman"/>
          <w:sz w:val="24"/>
          <w:szCs w:val="24"/>
          <w:lang w:bidi="ar"/>
        </w:rPr>
        <w:t>, 71.8% to Amoxicillin-</w:t>
      </w:r>
      <w:proofErr w:type="spellStart"/>
      <w:r>
        <w:rPr>
          <w:rFonts w:ascii="Times New Roman" w:eastAsia="SimSun" w:hAnsi="Times New Roman" w:cs="Times New Roman"/>
          <w:sz w:val="24"/>
          <w:szCs w:val="24"/>
          <w:lang w:bidi="ar"/>
        </w:rPr>
        <w:t>clavulanate</w:t>
      </w:r>
      <w:proofErr w:type="spellEnd"/>
      <w:r>
        <w:rPr>
          <w:rFonts w:ascii="Times New Roman" w:eastAsia="SimSun" w:hAnsi="Times New Roman" w:cs="Times New Roman"/>
          <w:sz w:val="24"/>
          <w:szCs w:val="24"/>
          <w:lang w:bidi="ar"/>
        </w:rPr>
        <w:t xml:space="preserve">, 28.2% to Erythromycin, </w:t>
      </w:r>
      <w:proofErr w:type="spellStart"/>
      <w:r>
        <w:rPr>
          <w:rFonts w:ascii="Times New Roman" w:eastAsia="SimSun" w:hAnsi="Times New Roman" w:cs="Times New Roman"/>
          <w:sz w:val="24"/>
          <w:szCs w:val="24"/>
          <w:lang w:bidi="ar"/>
        </w:rPr>
        <w:t>Nitrofurantoin</w:t>
      </w:r>
      <w:proofErr w:type="spellEnd"/>
      <w:r>
        <w:rPr>
          <w:rFonts w:ascii="Times New Roman" w:eastAsia="SimSun" w:hAnsi="Times New Roman" w:cs="Times New Roman"/>
          <w:sz w:val="24"/>
          <w:szCs w:val="24"/>
          <w:lang w:bidi="ar"/>
        </w:rPr>
        <w:t xml:space="preserve">, and </w:t>
      </w:r>
      <w:proofErr w:type="spellStart"/>
      <w:r>
        <w:rPr>
          <w:rFonts w:ascii="Times New Roman" w:eastAsia="SimSun" w:hAnsi="Times New Roman" w:cs="Times New Roman"/>
          <w:sz w:val="24"/>
          <w:szCs w:val="24"/>
          <w:lang w:bidi="ar"/>
        </w:rPr>
        <w:t>Sulphamethoxazole</w:t>
      </w:r>
      <w:proofErr w:type="spellEnd"/>
      <w:r>
        <w:rPr>
          <w:rFonts w:ascii="Times New Roman" w:eastAsia="SimSun" w:hAnsi="Times New Roman" w:cs="Times New Roman"/>
          <w:sz w:val="24"/>
          <w:szCs w:val="24"/>
          <w:lang w:bidi="ar"/>
        </w:rPr>
        <w:t>-Trimethoprim, and 25.6% to Ciprofloxacin. The lowest resistance was observed for Gentamicin (0.3%),</w:t>
      </w:r>
      <w:r>
        <w:rPr>
          <w:rFonts w:ascii="Times New Roman" w:eastAsia="SimSun" w:hAnsi="Times New Roman" w:cs="Times New Roman"/>
          <w:sz w:val="24"/>
          <w:szCs w:val="24"/>
          <w:lang w:bidi="ar"/>
        </w:rPr>
        <w:t xml:space="preserve"> </w:t>
      </w:r>
      <w:proofErr w:type="spellStart"/>
      <w:r>
        <w:rPr>
          <w:rFonts w:ascii="Times New Roman" w:eastAsia="SimSun" w:hAnsi="Times New Roman" w:cs="Times New Roman"/>
          <w:sz w:val="24"/>
          <w:szCs w:val="24"/>
          <w:lang w:bidi="ar"/>
        </w:rPr>
        <w:t>Ceftazidime</w:t>
      </w:r>
      <w:proofErr w:type="spellEnd"/>
      <w:r>
        <w:rPr>
          <w:rFonts w:ascii="Times New Roman" w:eastAsia="SimSun" w:hAnsi="Times New Roman" w:cs="Times New Roman"/>
          <w:sz w:val="24"/>
          <w:szCs w:val="24"/>
          <w:lang w:bidi="ar"/>
        </w:rPr>
        <w:t xml:space="preserve"> (2.6%), </w:t>
      </w:r>
      <w:proofErr w:type="spellStart"/>
      <w:r>
        <w:rPr>
          <w:rFonts w:ascii="Times New Roman" w:eastAsia="SimSun" w:hAnsi="Times New Roman" w:cs="Times New Roman"/>
          <w:sz w:val="24"/>
          <w:szCs w:val="24"/>
          <w:lang w:bidi="ar"/>
        </w:rPr>
        <w:t>Meropenem</w:t>
      </w:r>
      <w:proofErr w:type="spellEnd"/>
      <w:r>
        <w:rPr>
          <w:rFonts w:ascii="Times New Roman" w:eastAsia="SimSun" w:hAnsi="Times New Roman" w:cs="Times New Roman"/>
          <w:sz w:val="24"/>
          <w:szCs w:val="24"/>
          <w:lang w:bidi="ar"/>
        </w:rPr>
        <w:t xml:space="preserve"> (2.6%), and </w:t>
      </w:r>
      <w:proofErr w:type="spellStart"/>
      <w:r>
        <w:rPr>
          <w:rFonts w:ascii="Times New Roman" w:eastAsia="SimSun" w:hAnsi="Times New Roman" w:cs="Times New Roman"/>
          <w:sz w:val="24"/>
          <w:szCs w:val="24"/>
          <w:lang w:bidi="ar"/>
        </w:rPr>
        <w:t>Colistin</w:t>
      </w:r>
      <w:proofErr w:type="spellEnd"/>
      <w:r>
        <w:rPr>
          <w:rFonts w:ascii="Times New Roman" w:eastAsia="SimSun" w:hAnsi="Times New Roman" w:cs="Times New Roman"/>
          <w:sz w:val="24"/>
          <w:szCs w:val="24"/>
          <w:lang w:bidi="ar"/>
        </w:rPr>
        <w:t xml:space="preserve"> (2.6%). The multiple antibiotic resistance index (MARI) was calculated at 0.6 (</w:t>
      </w:r>
      <w:r>
        <w:rPr>
          <w:rFonts w:ascii="Times New Roman" w:hAnsi="Times New Roman" w:cs="Times New Roman"/>
          <w:sz w:val="24"/>
          <w:szCs w:val="24"/>
        </w:rPr>
        <w:t>Figure 1)</w:t>
      </w:r>
      <w:r>
        <w:rPr>
          <w:rFonts w:ascii="Times New Roman" w:eastAsia="SimSun" w:hAnsi="Times New Roman" w:cs="Times New Roman"/>
          <w:sz w:val="24"/>
          <w:szCs w:val="24"/>
        </w:rPr>
        <w:t>.</w:t>
      </w:r>
    </w:p>
    <w:p w:rsidR="008447D7" w:rsidRDefault="008447D7">
      <w:pPr>
        <w:tabs>
          <w:tab w:val="left" w:pos="400"/>
        </w:tabs>
        <w:spacing w:before="77"/>
        <w:ind w:left="100"/>
        <w:rPr>
          <w:rFonts w:ascii="Times New Roman" w:hAnsi="Times New Roman" w:cs="Times New Roman"/>
          <w:sz w:val="24"/>
          <w:szCs w:val="24"/>
        </w:rPr>
      </w:pPr>
    </w:p>
    <w:p w:rsidR="008447D7" w:rsidRDefault="008447D7">
      <w:pPr>
        <w:tabs>
          <w:tab w:val="left" w:pos="400"/>
        </w:tabs>
        <w:spacing w:before="77"/>
        <w:ind w:left="100"/>
        <w:rPr>
          <w:rFonts w:ascii="Times New Roman" w:hAnsi="Times New Roman" w:cs="Times New Roman"/>
          <w:sz w:val="24"/>
          <w:szCs w:val="24"/>
        </w:rPr>
      </w:pPr>
    </w:p>
    <w:p w:rsidR="008447D7" w:rsidRDefault="008F7D59">
      <w:pPr>
        <w:tabs>
          <w:tab w:val="left" w:pos="400"/>
        </w:tabs>
        <w:spacing w:before="77"/>
        <w:ind w:left="100"/>
      </w:pPr>
      <w:r>
        <w:rPr>
          <w:noProof/>
          <w:lang w:val="en-IN" w:eastAsia="en-IN"/>
        </w:rPr>
        <w:drawing>
          <wp:inline distT="0" distB="0" distL="114300" distR="114300">
            <wp:extent cx="5598795" cy="3256915"/>
            <wp:effectExtent l="0" t="0" r="1905" b="6985"/>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6"/>
                    <a:srcRect t="5171" r="-353"/>
                    <a:stretch>
                      <a:fillRect/>
                    </a:stretch>
                  </pic:blipFill>
                  <pic:spPr>
                    <a:xfrm>
                      <a:off x="0" y="0"/>
                      <a:ext cx="5598795" cy="3256915"/>
                    </a:xfrm>
                    <a:prstGeom prst="rect">
                      <a:avLst/>
                    </a:prstGeom>
                    <a:noFill/>
                    <a:ln>
                      <a:noFill/>
                    </a:ln>
                  </pic:spPr>
                </pic:pic>
              </a:graphicData>
            </a:graphic>
          </wp:inline>
        </w:drawing>
      </w:r>
    </w:p>
    <w:p w:rsidR="008447D7" w:rsidRDefault="008F7D59">
      <w:pPr>
        <w:tabs>
          <w:tab w:val="left" w:pos="400"/>
        </w:tabs>
        <w:spacing w:before="77"/>
        <w:ind w:left="100"/>
      </w:pPr>
      <w:r>
        <w:t>Figure 1: Antimicrobial Susceptibility Profile of</w:t>
      </w:r>
      <w:r>
        <w:rPr>
          <w:i/>
          <w:iCs/>
        </w:rPr>
        <w:t xml:space="preserve"> E. coli </w:t>
      </w:r>
      <w:r>
        <w:t>0157:H7 Isolates in Human (FCT)</w:t>
      </w:r>
    </w:p>
    <w:p w:rsidR="008447D7" w:rsidRDefault="008447D7">
      <w:pPr>
        <w:tabs>
          <w:tab w:val="left" w:pos="400"/>
        </w:tabs>
        <w:spacing w:before="77"/>
        <w:ind w:left="100"/>
      </w:pPr>
    </w:p>
    <w:p w:rsidR="008447D7" w:rsidRDefault="008F7D59">
      <w:pPr>
        <w:pStyle w:val="NormalWeb"/>
        <w:jc w:val="both"/>
      </w:pPr>
      <w:r>
        <w:rPr>
          <w:i/>
          <w:iCs/>
        </w:rPr>
        <w:t xml:space="preserve">E. coli </w:t>
      </w:r>
      <w:r>
        <w:t xml:space="preserve">O157:H7 </w:t>
      </w:r>
      <w:r>
        <w:t xml:space="preserve">isolates from poultry showed complete (100%) resistance to </w:t>
      </w:r>
      <w:proofErr w:type="spellStart"/>
      <w:r>
        <w:t>oxytetracycline</w:t>
      </w:r>
      <w:proofErr w:type="spellEnd"/>
      <w:r>
        <w:t xml:space="preserve">, </w:t>
      </w:r>
      <w:proofErr w:type="spellStart"/>
      <w:r>
        <w:t>sulphamethoxazole</w:t>
      </w:r>
      <w:proofErr w:type="spellEnd"/>
      <w:r>
        <w:t xml:space="preserve">-trimethoprim, </w:t>
      </w:r>
      <w:proofErr w:type="spellStart"/>
      <w:r>
        <w:t>nitrofurantoin</w:t>
      </w:r>
      <w:proofErr w:type="spellEnd"/>
      <w:r>
        <w:t xml:space="preserve">, erythromycin, gentamicin, and </w:t>
      </w:r>
      <w:proofErr w:type="spellStart"/>
      <w:r>
        <w:t>colistin</w:t>
      </w:r>
      <w:proofErr w:type="spellEnd"/>
      <w:r>
        <w:t>. Ciprofloxacin resistance was 90%, while amoxicillin-</w:t>
      </w:r>
      <w:proofErr w:type="spellStart"/>
      <w:r>
        <w:t>clavulanate</w:t>
      </w:r>
      <w:proofErr w:type="spellEnd"/>
      <w:r>
        <w:t xml:space="preserve">, </w:t>
      </w:r>
      <w:proofErr w:type="spellStart"/>
      <w:r>
        <w:t>ceftazidime</w:t>
      </w:r>
      <w:proofErr w:type="spellEnd"/>
      <w:r>
        <w:t xml:space="preserve">, and </w:t>
      </w:r>
      <w:proofErr w:type="spellStart"/>
      <w:r>
        <w:t>meropenem</w:t>
      </w:r>
      <w:proofErr w:type="spellEnd"/>
      <w:r>
        <w:t xml:space="preserve"> </w:t>
      </w:r>
      <w:r>
        <w:t>recorded 60%, 30%, and 10% resistance respectively. The multiple antibiotic resistance index (MARI) was notably high at 0.9 (Figure 2).</w:t>
      </w:r>
    </w:p>
    <w:p w:rsidR="008447D7" w:rsidRDefault="008F7D59">
      <w:pPr>
        <w:pStyle w:val="NormalWeb"/>
        <w:jc w:val="both"/>
      </w:pPr>
      <w:r>
        <w:rPr>
          <w:noProof/>
          <w:lang w:val="en-IN" w:eastAsia="en-IN"/>
        </w:rPr>
        <w:lastRenderedPageBreak/>
        <w:drawing>
          <wp:inline distT="0" distB="0" distL="114300" distR="114300">
            <wp:extent cx="5989955" cy="2778760"/>
            <wp:effectExtent l="0" t="0" r="4445" b="254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pic:cNvPicPr>
                  </pic:nvPicPr>
                  <pic:blipFill>
                    <a:blip r:embed="rId7"/>
                    <a:srcRect t="4224" r="159"/>
                    <a:stretch>
                      <a:fillRect/>
                    </a:stretch>
                  </pic:blipFill>
                  <pic:spPr>
                    <a:xfrm>
                      <a:off x="0" y="0"/>
                      <a:ext cx="5989955" cy="2778760"/>
                    </a:xfrm>
                    <a:prstGeom prst="rect">
                      <a:avLst/>
                    </a:prstGeom>
                    <a:noFill/>
                    <a:ln>
                      <a:noFill/>
                    </a:ln>
                  </pic:spPr>
                </pic:pic>
              </a:graphicData>
            </a:graphic>
          </wp:inline>
        </w:drawing>
      </w:r>
    </w:p>
    <w:p w:rsidR="008447D7" w:rsidRDefault="008F7D59">
      <w:pPr>
        <w:pStyle w:val="NormalWeb"/>
        <w:jc w:val="both"/>
        <w:rPr>
          <w:b/>
          <w:bCs/>
        </w:rPr>
      </w:pPr>
      <w:r>
        <w:rPr>
          <w:b/>
          <w:bCs/>
        </w:rPr>
        <w:t xml:space="preserve">Figure 2: Antimicrobial Susceptibility Profile of </w:t>
      </w:r>
      <w:r>
        <w:rPr>
          <w:b/>
          <w:bCs/>
          <w:i/>
          <w:iCs/>
        </w:rPr>
        <w:t>E. coli</w:t>
      </w:r>
      <w:r>
        <w:rPr>
          <w:b/>
          <w:bCs/>
        </w:rPr>
        <w:t xml:space="preserve"> 0157:H7 Isolates in Poultry</w:t>
      </w:r>
    </w:p>
    <w:p w:rsidR="008447D7" w:rsidRDefault="008F7D59">
      <w:pPr>
        <w:pStyle w:val="NormalWeb"/>
        <w:jc w:val="both"/>
        <w:rPr>
          <w:rFonts w:ascii="SimSun" w:hAnsi="SimSun" w:cs="SimSun"/>
        </w:rPr>
      </w:pPr>
      <w:r>
        <w:t xml:space="preserve">The ESBL positive isolates from </w:t>
      </w:r>
      <w:proofErr w:type="spellStart"/>
      <w:r>
        <w:t>Kunchingoro</w:t>
      </w:r>
      <w:proofErr w:type="spellEnd"/>
      <w:r>
        <w:t xml:space="preserve"> IDP (AMAC) were 2 (40.0%); </w:t>
      </w:r>
      <w:proofErr w:type="spellStart"/>
      <w:r>
        <w:t>Karamajiji</w:t>
      </w:r>
      <w:proofErr w:type="spellEnd"/>
      <w:r>
        <w:t xml:space="preserve"> IDP (AMAC), 2 (20%); National Hospital (AMAC), 0; UATH (</w:t>
      </w:r>
      <w:proofErr w:type="spellStart"/>
      <w:r>
        <w:t>Gwagwalada</w:t>
      </w:r>
      <w:proofErr w:type="spellEnd"/>
      <w:r>
        <w:t>) 1 (16.7%); and General Hospital (</w:t>
      </w:r>
      <w:proofErr w:type="spellStart"/>
      <w:r>
        <w:t>Kwali</w:t>
      </w:r>
      <w:proofErr w:type="spellEnd"/>
      <w:r>
        <w:t xml:space="preserve">), </w:t>
      </w:r>
      <w:r>
        <w:rPr>
          <w:rFonts w:ascii="SimSun" w:hAnsi="SimSun" w:cs="SimSun"/>
          <w:b/>
        </w:rPr>
        <w:t xml:space="preserve">1 (25%) </w:t>
      </w:r>
      <w:proofErr w:type="gramStart"/>
      <w:r>
        <w:rPr>
          <w:rFonts w:ascii="SimSun" w:hAnsi="SimSun" w:cs="SimSun"/>
          <w:b/>
        </w:rPr>
        <w:t>(Figure 3).</w:t>
      </w:r>
      <w:proofErr w:type="gramEnd"/>
    </w:p>
    <w:p w:rsidR="008447D7" w:rsidRDefault="008F7D59">
      <w:pPr>
        <w:pStyle w:val="NormalWeb"/>
        <w:jc w:val="both"/>
      </w:pPr>
      <w:r>
        <w:rPr>
          <w:noProof/>
          <w:lang w:val="en-IN" w:eastAsia="en-IN"/>
        </w:rPr>
        <w:drawing>
          <wp:inline distT="0" distB="0" distL="114300" distR="114300">
            <wp:extent cx="5554980" cy="2630805"/>
            <wp:effectExtent l="0" t="0" r="7620" b="10795"/>
            <wp:docPr id="1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8"/>
                    <pic:cNvPicPr>
                      <a:picLocks noChangeAspect="1"/>
                    </pic:cNvPicPr>
                  </pic:nvPicPr>
                  <pic:blipFill>
                    <a:blip r:embed="rId8"/>
                    <a:srcRect t="5863" r="478"/>
                    <a:stretch>
                      <a:fillRect/>
                    </a:stretch>
                  </pic:blipFill>
                  <pic:spPr>
                    <a:xfrm>
                      <a:off x="0" y="0"/>
                      <a:ext cx="5554980" cy="2630805"/>
                    </a:xfrm>
                    <a:prstGeom prst="rect">
                      <a:avLst/>
                    </a:prstGeom>
                    <a:noFill/>
                    <a:ln>
                      <a:noFill/>
                    </a:ln>
                  </pic:spPr>
                </pic:pic>
              </a:graphicData>
            </a:graphic>
          </wp:inline>
        </w:drawing>
      </w:r>
    </w:p>
    <w:p w:rsidR="008447D7" w:rsidRDefault="008F7D59">
      <w:pPr>
        <w:rPr>
          <w:rFonts w:ascii="Times New Roman" w:eastAsia="Times New Roman" w:hAnsi="Times New Roman" w:cs="Times New Roman"/>
          <w:b/>
          <w:color w:val="000000" w:themeColor="text1"/>
          <w:sz w:val="24"/>
          <w:szCs w:val="24"/>
        </w:rPr>
      </w:pPr>
      <w:bookmarkStart w:id="2" w:name="_Hlk209311560"/>
      <w:r>
        <w:rPr>
          <w:rFonts w:ascii="Times New Roman" w:eastAsia="Times New Roman" w:hAnsi="Times New Roman" w:cs="Times New Roman"/>
          <w:b/>
          <w:i/>
          <w:iCs/>
          <w:color w:val="000000" w:themeColor="text1"/>
          <w:sz w:val="24"/>
          <w:szCs w:val="24"/>
        </w:rPr>
        <w:t>Figure 3: E. coli</w:t>
      </w:r>
      <w:r>
        <w:rPr>
          <w:rFonts w:ascii="Times New Roman" w:eastAsia="Times New Roman" w:hAnsi="Times New Roman" w:cs="Times New Roman"/>
          <w:b/>
          <w:color w:val="000000" w:themeColor="text1"/>
          <w:sz w:val="24"/>
          <w:szCs w:val="24"/>
        </w:rPr>
        <w:t xml:space="preserve"> O157:H7 ESBL Production and Distribution in Humans in FCT</w:t>
      </w:r>
    </w:p>
    <w:bookmarkEnd w:id="2"/>
    <w:p w:rsidR="008447D7" w:rsidRDefault="008F7D59">
      <w:pPr>
        <w:pStyle w:val="NormalWeb"/>
        <w:tabs>
          <w:tab w:val="left" w:pos="400"/>
        </w:tabs>
        <w:jc w:val="both"/>
        <w:rPr>
          <w:rFonts w:eastAsia="Times New Roman"/>
          <w:bCs/>
          <w:color w:val="000000" w:themeColor="text1"/>
        </w:rPr>
      </w:pPr>
      <w:r>
        <w:rPr>
          <w:rFonts w:eastAsia="Times New Roman"/>
          <w:bCs/>
          <w:color w:val="000000" w:themeColor="text1"/>
        </w:rPr>
        <w:t xml:space="preserve">There was no ESBL positive </w:t>
      </w:r>
      <w:r>
        <w:rPr>
          <w:rFonts w:eastAsia="Times New Roman"/>
          <w:bCs/>
          <w:i/>
          <w:iCs/>
          <w:color w:val="000000" w:themeColor="text1"/>
        </w:rPr>
        <w:t>E. coli</w:t>
      </w:r>
      <w:r>
        <w:rPr>
          <w:rFonts w:eastAsia="Times New Roman"/>
          <w:bCs/>
          <w:color w:val="000000" w:themeColor="text1"/>
        </w:rPr>
        <w:t xml:space="preserve"> O157:H7 isolated from AMAC farms, 0; </w:t>
      </w:r>
      <w:proofErr w:type="spellStart"/>
      <w:r>
        <w:rPr>
          <w:rFonts w:eastAsia="Times New Roman"/>
          <w:bCs/>
          <w:color w:val="000000" w:themeColor="text1"/>
        </w:rPr>
        <w:t>Gwagwalada</w:t>
      </w:r>
      <w:proofErr w:type="spellEnd"/>
      <w:r>
        <w:rPr>
          <w:rFonts w:eastAsia="Times New Roman"/>
          <w:bCs/>
          <w:color w:val="000000" w:themeColor="text1"/>
        </w:rPr>
        <w:t xml:space="preserve"> was 1 (100%); and </w:t>
      </w:r>
      <w:proofErr w:type="spellStart"/>
      <w:r>
        <w:rPr>
          <w:rFonts w:eastAsia="Times New Roman"/>
          <w:bCs/>
          <w:color w:val="000000" w:themeColor="text1"/>
        </w:rPr>
        <w:t>Kwali</w:t>
      </w:r>
      <w:proofErr w:type="spellEnd"/>
      <w:r>
        <w:rPr>
          <w:rFonts w:eastAsia="Times New Roman"/>
          <w:bCs/>
          <w:color w:val="000000" w:themeColor="text1"/>
        </w:rPr>
        <w:t xml:space="preserve"> farms 1 (50%) </w:t>
      </w:r>
      <w:proofErr w:type="gramStart"/>
      <w:r>
        <w:rPr>
          <w:rFonts w:eastAsia="Times New Roman"/>
          <w:bCs/>
          <w:color w:val="000000" w:themeColor="text1"/>
        </w:rPr>
        <w:t>(Figure 4).</w:t>
      </w:r>
      <w:proofErr w:type="gramEnd"/>
    </w:p>
    <w:p w:rsidR="008447D7" w:rsidRDefault="008F7D59">
      <w:pPr>
        <w:pStyle w:val="NormalWeb"/>
        <w:tabs>
          <w:tab w:val="left" w:pos="400"/>
        </w:tabs>
        <w:jc w:val="both"/>
      </w:pPr>
      <w:r>
        <w:rPr>
          <w:noProof/>
          <w:lang w:val="en-IN" w:eastAsia="en-IN"/>
        </w:rPr>
        <w:lastRenderedPageBreak/>
        <w:drawing>
          <wp:inline distT="0" distB="0" distL="114300" distR="114300">
            <wp:extent cx="5602605" cy="3977005"/>
            <wp:effectExtent l="0" t="0" r="0" b="0"/>
            <wp:docPr id="1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2"/>
                    <pic:cNvPicPr>
                      <a:picLocks noChangeAspect="1"/>
                    </pic:cNvPicPr>
                  </pic:nvPicPr>
                  <pic:blipFill>
                    <a:blip r:embed="rId9"/>
                    <a:srcRect t="6690" r="-330"/>
                    <a:stretch>
                      <a:fillRect/>
                    </a:stretch>
                  </pic:blipFill>
                  <pic:spPr>
                    <a:xfrm>
                      <a:off x="0" y="0"/>
                      <a:ext cx="5602605" cy="3977005"/>
                    </a:xfrm>
                    <a:prstGeom prst="rect">
                      <a:avLst/>
                    </a:prstGeom>
                    <a:noFill/>
                    <a:ln>
                      <a:noFill/>
                    </a:ln>
                  </pic:spPr>
                </pic:pic>
              </a:graphicData>
            </a:graphic>
          </wp:inline>
        </w:drawing>
      </w:r>
    </w:p>
    <w:p w:rsidR="008447D7" w:rsidRDefault="008F7D59">
      <w:pPr>
        <w:pStyle w:val="NormalWeb"/>
        <w:tabs>
          <w:tab w:val="left" w:pos="400"/>
        </w:tabs>
        <w:jc w:val="both"/>
        <w:rPr>
          <w:b/>
          <w:bCs/>
        </w:rPr>
      </w:pPr>
      <w:r>
        <w:rPr>
          <w:b/>
          <w:bCs/>
        </w:rPr>
        <w:t xml:space="preserve">Figure 4: </w:t>
      </w:r>
      <w:r>
        <w:rPr>
          <w:b/>
          <w:bCs/>
          <w:i/>
          <w:iCs/>
        </w:rPr>
        <w:t xml:space="preserve">E. coli </w:t>
      </w:r>
      <w:r>
        <w:rPr>
          <w:b/>
          <w:bCs/>
        </w:rPr>
        <w:t>0157:H7 ESBL Production in Poultry (FCT)</w:t>
      </w:r>
    </w:p>
    <w:p w:rsidR="008447D7" w:rsidRDefault="008F7D59">
      <w:pPr>
        <w:pStyle w:val="NormalWeb"/>
        <w:jc w:val="both"/>
      </w:pPr>
      <w:r>
        <w:t xml:space="preserve">The </w:t>
      </w:r>
      <w:proofErr w:type="spellStart"/>
      <w:r>
        <w:t>agarose</w:t>
      </w:r>
      <w:proofErr w:type="spellEnd"/>
      <w:r>
        <w:t xml:space="preserve"> gel electrophoresis (1.5%) confirms the successfu</w:t>
      </w:r>
      <w:r>
        <w:t xml:space="preserve">l amplification of virulence and antibiotic resistance genes in </w:t>
      </w:r>
      <w:r>
        <w:rPr>
          <w:rStyle w:val="Emphasis"/>
        </w:rPr>
        <w:t>Escherichia coli</w:t>
      </w:r>
      <w:r>
        <w:t xml:space="preserve"> O157:H7 isolates from human and poultry sources. Human isolates H1, H2, and H3 consistently show the presence of </w:t>
      </w:r>
      <w:proofErr w:type="spellStart"/>
      <w:r>
        <w:rPr>
          <w:rStyle w:val="Emphasis"/>
        </w:rPr>
        <w:t>rfbE</w:t>
      </w:r>
      <w:proofErr w:type="spellEnd"/>
      <w:r>
        <w:t xml:space="preserve"> and </w:t>
      </w:r>
      <w:proofErr w:type="spellStart"/>
      <w:r>
        <w:rPr>
          <w:rStyle w:val="Emphasis"/>
        </w:rPr>
        <w:t>eaeA</w:t>
      </w:r>
      <w:proofErr w:type="spellEnd"/>
      <w:r>
        <w:t>, with additional resistance genes such as CTX-M1</w:t>
      </w:r>
      <w:r>
        <w:t xml:space="preserve">, CTX-M2, CTX-M9, and TEM variably detected, indicating pathogenic and multidrug-resistant profiles. Poultry isolates P4 and P5 also exhibit </w:t>
      </w:r>
      <w:proofErr w:type="spellStart"/>
      <w:r>
        <w:rPr>
          <w:rStyle w:val="Emphasis"/>
        </w:rPr>
        <w:t>rfbE</w:t>
      </w:r>
      <w:proofErr w:type="spellEnd"/>
      <w:r>
        <w:t xml:space="preserve"> and </w:t>
      </w:r>
      <w:r>
        <w:rPr>
          <w:rStyle w:val="Emphasis"/>
        </w:rPr>
        <w:t>stx2</w:t>
      </w:r>
      <w:r>
        <w:t>, with P4 showing a broader resistance pattern including CTX-M variants and SH, suggesting a highly vi</w:t>
      </w:r>
      <w:r>
        <w:t xml:space="preserve">rulent strain. The gel image validates the multiplex PCR assay and highlights the genetic diversity and resistance potential of </w:t>
      </w:r>
      <w:r>
        <w:rPr>
          <w:rStyle w:val="Emphasis"/>
        </w:rPr>
        <w:t>E. coli</w:t>
      </w:r>
      <w:r>
        <w:t xml:space="preserve"> O157:H7 strains circulating in both human and poultry populations.</w:t>
      </w:r>
    </w:p>
    <w:p w:rsidR="008447D7" w:rsidRDefault="008F7D59">
      <w:pPr>
        <w:pStyle w:val="NormalWeb"/>
        <w:tabs>
          <w:tab w:val="left" w:pos="400"/>
        </w:tabs>
        <w:jc w:val="both"/>
      </w:pPr>
      <w:r>
        <w:rPr>
          <w:noProof/>
          <w:lang w:val="en-IN" w:eastAsia="en-IN"/>
        </w:rPr>
        <w:lastRenderedPageBreak/>
        <w:drawing>
          <wp:inline distT="0" distB="0" distL="114300" distR="114300">
            <wp:extent cx="5909310" cy="4028440"/>
            <wp:effectExtent l="0" t="0" r="8890" b="1016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
                    <pic:cNvPicPr>
                      <a:picLocks noChangeAspect="1"/>
                    </pic:cNvPicPr>
                  </pic:nvPicPr>
                  <pic:blipFill>
                    <a:blip r:embed="rId10"/>
                    <a:stretch>
                      <a:fillRect/>
                    </a:stretch>
                  </pic:blipFill>
                  <pic:spPr>
                    <a:xfrm>
                      <a:off x="0" y="0"/>
                      <a:ext cx="5909310" cy="4028440"/>
                    </a:xfrm>
                    <a:prstGeom prst="rect">
                      <a:avLst/>
                    </a:prstGeom>
                    <a:noFill/>
                    <a:ln>
                      <a:noFill/>
                    </a:ln>
                  </pic:spPr>
                </pic:pic>
              </a:graphicData>
            </a:graphic>
          </wp:inline>
        </w:drawing>
      </w:r>
    </w:p>
    <w:p w:rsidR="008447D7" w:rsidRDefault="008F7D59">
      <w:pPr>
        <w:pStyle w:val="NormalWeb"/>
        <w:tabs>
          <w:tab w:val="left" w:pos="400"/>
        </w:tabs>
        <w:jc w:val="both"/>
        <w:rPr>
          <w:b/>
          <w:bCs/>
        </w:rPr>
      </w:pPr>
      <w:r>
        <w:rPr>
          <w:b/>
          <w:bCs/>
        </w:rPr>
        <w:t xml:space="preserve">Plate 1: </w:t>
      </w:r>
      <w:proofErr w:type="spellStart"/>
      <w:r>
        <w:rPr>
          <w:b/>
          <w:bCs/>
        </w:rPr>
        <w:t>Agarose</w:t>
      </w:r>
      <w:proofErr w:type="spellEnd"/>
      <w:r>
        <w:rPr>
          <w:b/>
          <w:bCs/>
        </w:rPr>
        <w:t xml:space="preserve"> Gel Electrophoresis (1.5%) of Mult</w:t>
      </w:r>
      <w:r>
        <w:rPr>
          <w:b/>
          <w:bCs/>
        </w:rPr>
        <w:t>iplex PCR Products</w:t>
      </w:r>
    </w:p>
    <w:p w:rsidR="008447D7" w:rsidRDefault="008F7D59">
      <w:pPr>
        <w:pStyle w:val="NormalWeb"/>
        <w:jc w:val="both"/>
      </w:pPr>
      <w:r>
        <w:t xml:space="preserve">The phylogenetic tree analysis of </w:t>
      </w:r>
      <w:r>
        <w:rPr>
          <w:rStyle w:val="Emphasis"/>
        </w:rPr>
        <w:t>E. coli</w:t>
      </w:r>
      <w:r>
        <w:t xml:space="preserve"> O157:H7 ESBL</w:t>
      </w:r>
      <w:r>
        <w:noBreakHyphen/>
        <w:t xml:space="preserve">positive isolates in the FCT showed that the evolutionary relationships were rooted using 16S </w:t>
      </w:r>
      <w:proofErr w:type="spellStart"/>
      <w:r>
        <w:t>rRNA</w:t>
      </w:r>
      <w:proofErr w:type="spellEnd"/>
      <w:r>
        <w:t xml:space="preserve"> genes and core genome SNPs, with </w:t>
      </w:r>
      <w:r>
        <w:rPr>
          <w:rStyle w:val="Emphasis"/>
        </w:rPr>
        <w:t>E. coli</w:t>
      </w:r>
      <w:r>
        <w:t xml:space="preserve"> O55:H7 serving as the reference strain. The numbered nodes represent points of shared ancestry, from which lineages diverged. Genetic distances between isolates, measured in SNPs, ranged from a few to several hundred, reflecting a largely homogeneous popu</w:t>
      </w:r>
      <w:r>
        <w:t xml:space="preserve">lation with occasional gene acquisitions and chromosomal rearrangements driven by </w:t>
      </w:r>
      <w:proofErr w:type="spellStart"/>
      <w:r>
        <w:t>prophages</w:t>
      </w:r>
      <w:proofErr w:type="spellEnd"/>
      <w:r>
        <w:t xml:space="preserve"> and plasmids. The evolutionary history indicates a gradual transition from sorbitol</w:t>
      </w:r>
      <w:r>
        <w:noBreakHyphen/>
        <w:t>positive (SOR+) ancestors to the typical sorbitol</w:t>
      </w:r>
      <w:r>
        <w:noBreakHyphen/>
        <w:t>negative (SOR–), beta</w:t>
      </w:r>
      <w:r>
        <w:noBreakHyphen/>
      </w:r>
      <w:proofErr w:type="spellStart"/>
      <w:r>
        <w:t>glucuron</w:t>
      </w:r>
      <w:r>
        <w:t>idase</w:t>
      </w:r>
      <w:proofErr w:type="spellEnd"/>
      <w:r>
        <w:noBreakHyphen/>
        <w:t>negative progenies, highlighting the stepwise emergence of pathogenic lineages.</w:t>
      </w:r>
    </w:p>
    <w:p w:rsidR="008447D7" w:rsidRDefault="008447D7">
      <w:pPr>
        <w:pStyle w:val="NormalWeb"/>
        <w:tabs>
          <w:tab w:val="left" w:pos="400"/>
        </w:tabs>
        <w:jc w:val="both"/>
        <w:sectPr w:rsidR="008447D7">
          <w:pgSz w:w="11906" w:h="16838"/>
          <w:pgMar w:top="1440" w:right="1310" w:bottom="1440" w:left="1800" w:header="720" w:footer="720" w:gutter="0"/>
          <w:cols w:space="0"/>
          <w:docGrid w:linePitch="360"/>
        </w:sectPr>
      </w:pPr>
    </w:p>
    <w:p w:rsidR="008447D7" w:rsidRDefault="008F7D59">
      <w:pPr>
        <w:pStyle w:val="NormalWeb"/>
        <w:tabs>
          <w:tab w:val="left" w:pos="400"/>
        </w:tabs>
        <w:jc w:val="both"/>
      </w:pPr>
      <w:r>
        <w:rPr>
          <w:noProof/>
          <w:lang w:val="en-IN" w:eastAsia="en-IN"/>
        </w:rPr>
        <w:lastRenderedPageBreak/>
        <w:drawing>
          <wp:inline distT="0" distB="0" distL="114300" distR="114300">
            <wp:extent cx="5555615" cy="3175000"/>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1"/>
                    <a:srcRect l="2578" t="2864" r="397"/>
                    <a:stretch>
                      <a:fillRect/>
                    </a:stretch>
                  </pic:blipFill>
                  <pic:spPr>
                    <a:xfrm>
                      <a:off x="0" y="0"/>
                      <a:ext cx="5555615" cy="3175000"/>
                    </a:xfrm>
                    <a:prstGeom prst="rect">
                      <a:avLst/>
                    </a:prstGeom>
                    <a:noFill/>
                    <a:ln>
                      <a:noFill/>
                    </a:ln>
                  </pic:spPr>
                </pic:pic>
              </a:graphicData>
            </a:graphic>
          </wp:inline>
        </w:drawing>
      </w:r>
    </w:p>
    <w:p w:rsidR="008447D7" w:rsidRDefault="008F7D59">
      <w:pPr>
        <w:pStyle w:val="NormalWeb"/>
        <w:tabs>
          <w:tab w:val="left" w:pos="400"/>
        </w:tabs>
        <w:jc w:val="both"/>
        <w:rPr>
          <w:rFonts w:eastAsia="Times New Roman"/>
          <w:b/>
          <w:sz w:val="20"/>
          <w:szCs w:val="20"/>
        </w:rPr>
      </w:pPr>
      <w:r>
        <w:t xml:space="preserve">Figure 5: </w:t>
      </w:r>
      <w:r>
        <w:rPr>
          <w:rFonts w:eastAsia="Times New Roman"/>
          <w:b/>
          <w:i/>
          <w:sz w:val="20"/>
          <w:szCs w:val="20"/>
        </w:rPr>
        <w:t xml:space="preserve"> </w:t>
      </w:r>
      <w:bookmarkStart w:id="3" w:name="_Hlk204129046"/>
      <w:r>
        <w:rPr>
          <w:rFonts w:eastAsia="Times New Roman"/>
          <w:b/>
          <w:iCs/>
          <w:sz w:val="20"/>
          <w:szCs w:val="20"/>
        </w:rPr>
        <w:t>Human</w:t>
      </w:r>
      <w:r>
        <w:rPr>
          <w:rFonts w:eastAsia="Times New Roman"/>
          <w:b/>
          <w:i/>
          <w:sz w:val="20"/>
          <w:szCs w:val="20"/>
        </w:rPr>
        <w:t xml:space="preserve"> </w:t>
      </w:r>
      <w:r>
        <w:rPr>
          <w:rFonts w:eastAsia="Times New Roman"/>
          <w:b/>
          <w:sz w:val="20"/>
          <w:szCs w:val="20"/>
        </w:rPr>
        <w:t xml:space="preserve">Phylogenetic Tree of </w:t>
      </w:r>
      <w:r>
        <w:rPr>
          <w:rFonts w:eastAsia="Times New Roman"/>
          <w:b/>
          <w:i/>
          <w:sz w:val="20"/>
          <w:szCs w:val="20"/>
        </w:rPr>
        <w:t xml:space="preserve">E. coli </w:t>
      </w:r>
      <w:r>
        <w:rPr>
          <w:rFonts w:eastAsia="Times New Roman"/>
          <w:b/>
          <w:iCs/>
          <w:sz w:val="20"/>
          <w:szCs w:val="20"/>
        </w:rPr>
        <w:t>O157:H7</w:t>
      </w:r>
      <w:r>
        <w:rPr>
          <w:rFonts w:eastAsia="Times New Roman"/>
          <w:b/>
          <w:sz w:val="20"/>
          <w:szCs w:val="20"/>
        </w:rPr>
        <w:t xml:space="preserve"> identified from the Study (in purple) relative to the reference </w:t>
      </w:r>
      <w:r>
        <w:rPr>
          <w:rFonts w:eastAsia="Times New Roman"/>
          <w:b/>
          <w:i/>
          <w:iCs/>
          <w:sz w:val="20"/>
          <w:szCs w:val="20"/>
        </w:rPr>
        <w:t xml:space="preserve">E. coli </w:t>
      </w:r>
      <w:r>
        <w:rPr>
          <w:rFonts w:eastAsia="Times New Roman"/>
          <w:b/>
          <w:sz w:val="20"/>
          <w:szCs w:val="20"/>
        </w:rPr>
        <w:t>O157/other non-O157 Serotype</w:t>
      </w:r>
      <w:r>
        <w:rPr>
          <w:rFonts w:eastAsia="Times New Roman"/>
          <w:b/>
          <w:sz w:val="20"/>
          <w:szCs w:val="20"/>
        </w:rPr>
        <w:t xml:space="preserve">s (in red) and </w:t>
      </w:r>
      <w:r>
        <w:rPr>
          <w:rFonts w:eastAsia="Times New Roman"/>
          <w:b/>
          <w:i/>
          <w:iCs/>
          <w:sz w:val="20"/>
          <w:szCs w:val="20"/>
        </w:rPr>
        <w:t>E. coli</w:t>
      </w:r>
      <w:r>
        <w:rPr>
          <w:rFonts w:eastAsia="Times New Roman"/>
          <w:b/>
          <w:sz w:val="20"/>
          <w:szCs w:val="20"/>
        </w:rPr>
        <w:t xml:space="preserve"> strains (in black) from the </w:t>
      </w:r>
      <w:proofErr w:type="spellStart"/>
      <w:r>
        <w:rPr>
          <w:rFonts w:eastAsia="Times New Roman"/>
          <w:b/>
          <w:sz w:val="20"/>
          <w:szCs w:val="20"/>
        </w:rPr>
        <w:t>GenBank</w:t>
      </w:r>
      <w:bookmarkEnd w:id="3"/>
      <w:proofErr w:type="spellEnd"/>
    </w:p>
    <w:p w:rsidR="008447D7" w:rsidRDefault="008447D7">
      <w:pPr>
        <w:pStyle w:val="NormalWeb"/>
        <w:tabs>
          <w:tab w:val="left" w:pos="400"/>
        </w:tabs>
        <w:jc w:val="both"/>
        <w:rPr>
          <w:rFonts w:eastAsia="Times New Roman"/>
          <w:b/>
          <w:sz w:val="20"/>
          <w:szCs w:val="20"/>
        </w:rPr>
      </w:pPr>
    </w:p>
    <w:p w:rsidR="008447D7" w:rsidRDefault="008447D7">
      <w:pPr>
        <w:pStyle w:val="NormalWeb"/>
        <w:tabs>
          <w:tab w:val="left" w:pos="400"/>
        </w:tabs>
        <w:jc w:val="both"/>
        <w:rPr>
          <w:rFonts w:eastAsia="Times New Roman"/>
          <w:b/>
          <w:sz w:val="20"/>
          <w:szCs w:val="20"/>
        </w:rPr>
      </w:pPr>
    </w:p>
    <w:p w:rsidR="008447D7" w:rsidRDefault="008F7D59">
      <w:pPr>
        <w:pStyle w:val="NormalWeb"/>
        <w:tabs>
          <w:tab w:val="left" w:pos="400"/>
        </w:tabs>
        <w:jc w:val="both"/>
      </w:pPr>
      <w:r>
        <w:rPr>
          <w:noProof/>
          <w:lang w:val="en-IN" w:eastAsia="en-IN"/>
        </w:rPr>
        <w:drawing>
          <wp:inline distT="0" distB="0" distL="114300" distR="114300">
            <wp:extent cx="5758180" cy="3088640"/>
            <wp:effectExtent l="0" t="0" r="762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758180" cy="3088640"/>
                    </a:xfrm>
                    <a:prstGeom prst="rect">
                      <a:avLst/>
                    </a:prstGeom>
                    <a:noFill/>
                    <a:ln>
                      <a:noFill/>
                    </a:ln>
                  </pic:spPr>
                </pic:pic>
              </a:graphicData>
            </a:graphic>
          </wp:inline>
        </w:drawing>
      </w:r>
    </w:p>
    <w:p w:rsidR="008447D7" w:rsidRDefault="008447D7">
      <w:pPr>
        <w:pStyle w:val="NormalWeb"/>
        <w:tabs>
          <w:tab w:val="left" w:pos="400"/>
        </w:tabs>
        <w:jc w:val="both"/>
      </w:pPr>
    </w:p>
    <w:p w:rsidR="008447D7" w:rsidRDefault="008F7D59">
      <w:pPr>
        <w:rPr>
          <w:rFonts w:ascii="Times New Roman" w:eastAsia="Times New Roman" w:hAnsi="Times New Roman" w:cs="Times New Roman"/>
          <w:bCs/>
          <w:iCs/>
        </w:rPr>
      </w:pPr>
      <w:r>
        <w:t xml:space="preserve">Figure 6: </w:t>
      </w:r>
      <w:r>
        <w:rPr>
          <w:rFonts w:ascii="Times New Roman" w:eastAsia="Times New Roman" w:hAnsi="Times New Roman" w:cs="Times New Roman"/>
          <w:b/>
          <w:iCs/>
        </w:rPr>
        <w:t>Poultry</w:t>
      </w:r>
      <w:r>
        <w:rPr>
          <w:rFonts w:ascii="Times New Roman" w:eastAsia="Times New Roman" w:hAnsi="Times New Roman" w:cs="Times New Roman"/>
          <w:b/>
          <w:i/>
        </w:rPr>
        <w:t xml:space="preserve"> </w:t>
      </w:r>
      <w:r>
        <w:rPr>
          <w:rFonts w:ascii="Times New Roman" w:eastAsia="Times New Roman" w:hAnsi="Times New Roman" w:cs="Times New Roman"/>
          <w:b/>
        </w:rPr>
        <w:t xml:space="preserve">Phylogenetic Tree of </w:t>
      </w:r>
      <w:r>
        <w:rPr>
          <w:rFonts w:ascii="Times New Roman" w:eastAsia="Times New Roman" w:hAnsi="Times New Roman" w:cs="Times New Roman"/>
          <w:b/>
          <w:i/>
        </w:rPr>
        <w:t xml:space="preserve">E. coli </w:t>
      </w:r>
      <w:r>
        <w:rPr>
          <w:rFonts w:ascii="Times New Roman" w:eastAsia="Times New Roman" w:hAnsi="Times New Roman" w:cs="Times New Roman"/>
          <w:b/>
          <w:iCs/>
        </w:rPr>
        <w:t>O157</w:t>
      </w:r>
      <w:r>
        <w:rPr>
          <w:rFonts w:ascii="Times New Roman" w:eastAsia="Times New Roman" w:hAnsi="Times New Roman" w:cs="Times New Roman"/>
          <w:b/>
        </w:rPr>
        <w:t xml:space="preserve"> identified from the Study (in purple) relative to the reference </w:t>
      </w:r>
      <w:r>
        <w:rPr>
          <w:rFonts w:ascii="Times New Roman" w:eastAsia="Times New Roman" w:hAnsi="Times New Roman" w:cs="Times New Roman"/>
          <w:b/>
          <w:i/>
          <w:iCs/>
        </w:rPr>
        <w:t xml:space="preserve">E. coli </w:t>
      </w:r>
      <w:r>
        <w:rPr>
          <w:rFonts w:ascii="Times New Roman" w:eastAsia="Times New Roman" w:hAnsi="Times New Roman" w:cs="Times New Roman"/>
          <w:b/>
        </w:rPr>
        <w:t xml:space="preserve">O157/other non-O157 Serotypes (in red) and </w:t>
      </w:r>
      <w:r>
        <w:rPr>
          <w:rFonts w:ascii="Times New Roman" w:eastAsia="Times New Roman" w:hAnsi="Times New Roman" w:cs="Times New Roman"/>
          <w:b/>
          <w:i/>
          <w:iCs/>
        </w:rPr>
        <w:t>E. coli</w:t>
      </w:r>
      <w:r>
        <w:rPr>
          <w:rFonts w:ascii="Times New Roman" w:eastAsia="Times New Roman" w:hAnsi="Times New Roman" w:cs="Times New Roman"/>
          <w:b/>
        </w:rPr>
        <w:t xml:space="preserve"> strains (in black) from the </w:t>
      </w:r>
      <w:proofErr w:type="spellStart"/>
      <w:r>
        <w:rPr>
          <w:rFonts w:ascii="Times New Roman" w:eastAsia="Times New Roman" w:hAnsi="Times New Roman" w:cs="Times New Roman"/>
          <w:b/>
        </w:rPr>
        <w:t>GenBank</w:t>
      </w:r>
      <w:proofErr w:type="spellEnd"/>
    </w:p>
    <w:p w:rsidR="008447D7" w:rsidRDefault="008447D7">
      <w:pPr>
        <w:pStyle w:val="NormalWeb"/>
        <w:tabs>
          <w:tab w:val="left" w:pos="400"/>
        </w:tabs>
        <w:jc w:val="both"/>
        <w:sectPr w:rsidR="008447D7">
          <w:pgSz w:w="11906" w:h="16838"/>
          <w:pgMar w:top="1440" w:right="1310" w:bottom="1440" w:left="1800" w:header="720" w:footer="720" w:gutter="0"/>
          <w:cols w:space="0"/>
          <w:docGrid w:linePitch="360"/>
        </w:sectPr>
      </w:pPr>
    </w:p>
    <w:p w:rsidR="008447D7" w:rsidRDefault="008F7D59">
      <w:pPr>
        <w:pStyle w:val="NormalWeb"/>
        <w:tabs>
          <w:tab w:val="left" w:pos="400"/>
        </w:tabs>
        <w:jc w:val="both"/>
        <w:rPr>
          <w:b/>
          <w:bCs/>
        </w:rPr>
      </w:pPr>
      <w:r>
        <w:rPr>
          <w:b/>
          <w:bCs/>
        </w:rPr>
        <w:lastRenderedPageBreak/>
        <w:t>DISCUSSION</w:t>
      </w:r>
    </w:p>
    <w:p w:rsidR="008447D7" w:rsidRDefault="008F7D59">
      <w:pPr>
        <w:pStyle w:val="NormalWeb"/>
        <w:tabs>
          <w:tab w:val="left" w:pos="400"/>
        </w:tabs>
        <w:jc w:val="both"/>
      </w:pPr>
      <w:r>
        <w:t xml:space="preserve">This study investigated the prevalence of antibiotic-resistant </w:t>
      </w:r>
      <w:r>
        <w:rPr>
          <w:i/>
          <w:iCs/>
        </w:rPr>
        <w:t xml:space="preserve">Escherichia coli </w:t>
      </w:r>
      <w:r>
        <w:t>O157:H7 in humans and poultry in FCT, Nigeria. The study found a prevalence of 9% in humans (7.5% in IDP camps; 10</w:t>
      </w:r>
      <w:r>
        <w:t xml:space="preserve">.5% in hospitals) and 0.8% in poultry. The IDP camps had poor sanitary conditions, which may have contributed to the high prevalence. The study showed multiple antibiotic </w:t>
      </w:r>
      <w:proofErr w:type="gramStart"/>
      <w:r>
        <w:t>resistance</w:t>
      </w:r>
      <w:proofErr w:type="gramEnd"/>
      <w:r>
        <w:t xml:space="preserve"> (MAR) in </w:t>
      </w:r>
      <w:r>
        <w:rPr>
          <w:i/>
          <w:iCs/>
        </w:rPr>
        <w:t xml:space="preserve">E. coli </w:t>
      </w:r>
      <w:r>
        <w:t xml:space="preserve">O157:H7 from both humans and poultry. In humans, the highest resistance was to </w:t>
      </w:r>
      <w:proofErr w:type="spellStart"/>
      <w:r>
        <w:t>oxytetracycline</w:t>
      </w:r>
      <w:proofErr w:type="spellEnd"/>
      <w:r>
        <w:t xml:space="preserve"> (100%), amoxicillin-</w:t>
      </w:r>
      <w:proofErr w:type="spellStart"/>
      <w:r>
        <w:t>clavulanate</w:t>
      </w:r>
      <w:proofErr w:type="spellEnd"/>
      <w:r>
        <w:t xml:space="preserve"> (71.8%), and erythromycin (28.2%). In poultry, </w:t>
      </w:r>
      <w:r>
        <w:rPr>
          <w:i/>
          <w:iCs/>
        </w:rPr>
        <w:t>E. coli</w:t>
      </w:r>
      <w:r>
        <w:t xml:space="preserve"> O157:H7 showed 100% resistance to </w:t>
      </w:r>
      <w:proofErr w:type="spellStart"/>
      <w:r>
        <w:t>oxytetracycline</w:t>
      </w:r>
      <w:proofErr w:type="spellEnd"/>
      <w:r>
        <w:t xml:space="preserve">, </w:t>
      </w:r>
      <w:proofErr w:type="spellStart"/>
      <w:r>
        <w:t>sulphamethoxazole</w:t>
      </w:r>
      <w:proofErr w:type="spellEnd"/>
      <w:r>
        <w:t>-trime</w:t>
      </w:r>
      <w:r>
        <w:t xml:space="preserve">thoprim, </w:t>
      </w:r>
      <w:proofErr w:type="spellStart"/>
      <w:r>
        <w:t>nitrofurantoin</w:t>
      </w:r>
      <w:proofErr w:type="spellEnd"/>
      <w:r>
        <w:t xml:space="preserve">, erythromycin, gentamycin, and </w:t>
      </w:r>
      <w:proofErr w:type="spellStart"/>
      <w:r>
        <w:t>colistin</w:t>
      </w:r>
      <w:proofErr w:type="spellEnd"/>
      <w:r>
        <w:t xml:space="preserve">. The study also detected Extended-Spectrum Beta-Lactamase (ESBL) enzymes in </w:t>
      </w:r>
      <w:r>
        <w:rPr>
          <w:i/>
          <w:iCs/>
        </w:rPr>
        <w:t>E. coli</w:t>
      </w:r>
      <w:r>
        <w:t xml:space="preserve"> O157:H7, which confer resistance to different antibiotics. The Multiplex PCR assay amplified the target viru</w:t>
      </w:r>
      <w:r>
        <w:t xml:space="preserve">lent and resistant genes, and </w:t>
      </w:r>
      <w:proofErr w:type="spellStart"/>
      <w:r>
        <w:t>Agarose</w:t>
      </w:r>
      <w:proofErr w:type="spellEnd"/>
      <w:r>
        <w:t xml:space="preserve"> Gel Electrophoresis (AGE) separated the genes based on molecular weights.</w:t>
      </w:r>
    </w:p>
    <w:p w:rsidR="008447D7" w:rsidRDefault="008F7D59">
      <w:pPr>
        <w:pStyle w:val="NormalWeb"/>
        <w:tabs>
          <w:tab w:val="left" w:pos="400"/>
        </w:tabs>
        <w:jc w:val="both"/>
      </w:pPr>
      <w:r>
        <w:t xml:space="preserve">The study identified the virulent genes </w:t>
      </w:r>
      <w:proofErr w:type="spellStart"/>
      <w:r>
        <w:t>rfbE</w:t>
      </w:r>
      <w:proofErr w:type="spellEnd"/>
      <w:r>
        <w:t xml:space="preserve"> (100%), </w:t>
      </w:r>
      <w:proofErr w:type="spellStart"/>
      <w:r>
        <w:t>eaeA</w:t>
      </w:r>
      <w:proofErr w:type="spellEnd"/>
      <w:r>
        <w:t xml:space="preserve"> (100%), stx1 (33% human; 100% poultry), and stx2 genes (33% human; 50% poultry). The p</w:t>
      </w:r>
      <w:r>
        <w:t xml:space="preserve">hylogenetic tree constructed from the identified </w:t>
      </w:r>
      <w:r>
        <w:rPr>
          <w:i/>
          <w:iCs/>
        </w:rPr>
        <w:t>E. coli</w:t>
      </w:r>
      <w:r>
        <w:t xml:space="preserve"> O157:H7 showed a marked close phylogenetic relationship with other </w:t>
      </w:r>
      <w:r>
        <w:rPr>
          <w:i/>
          <w:iCs/>
        </w:rPr>
        <w:t xml:space="preserve">E. coli </w:t>
      </w:r>
      <w:r>
        <w:t>strains, especially the Shiga toxin-producing non-O157</w:t>
      </w:r>
      <w:proofErr w:type="gramStart"/>
      <w:r>
        <w:t>:H</w:t>
      </w:r>
      <w:proofErr w:type="gramEnd"/>
      <w:r>
        <w:t xml:space="preserve">- </w:t>
      </w:r>
      <w:r>
        <w:rPr>
          <w:i/>
          <w:iCs/>
        </w:rPr>
        <w:t xml:space="preserve">E. coli </w:t>
      </w:r>
      <w:r>
        <w:t>(STEC) group. The study suggests possible cross-transmissi</w:t>
      </w:r>
      <w:r>
        <w:t xml:space="preserve">on and zoonosis of </w:t>
      </w:r>
      <w:r>
        <w:rPr>
          <w:i/>
          <w:iCs/>
        </w:rPr>
        <w:t>E. coli</w:t>
      </w:r>
      <w:r>
        <w:t xml:space="preserve"> O157:H7 infections from poultry to human and vice versa. The findings highlight the need for regular surveillance and monitoring to guide antimicrobial therapy.</w:t>
      </w:r>
    </w:p>
    <w:p w:rsidR="008447D7" w:rsidRDefault="008F7D59">
      <w:pPr>
        <w:pStyle w:val="NormalWeb"/>
        <w:tabs>
          <w:tab w:val="left" w:pos="400"/>
        </w:tabs>
        <w:jc w:val="both"/>
        <w:rPr>
          <w:b/>
          <w:bCs/>
        </w:rPr>
      </w:pPr>
      <w:r>
        <w:rPr>
          <w:b/>
          <w:bCs/>
        </w:rPr>
        <w:t>CONCLUSION</w:t>
      </w:r>
    </w:p>
    <w:p w:rsidR="008447D7" w:rsidRDefault="008F7D59">
      <w:pPr>
        <w:pStyle w:val="NormalWeb"/>
        <w:jc w:val="both"/>
      </w:pPr>
      <w:r>
        <w:t>The study reported a prevalence of 7.5% in IDP camps, 10.</w:t>
      </w:r>
      <w:r>
        <w:t xml:space="preserve">5% in hospitals, and 0.8% in poultry in FCT, providing data that will guide policy makers in making decisions on the prevalence of </w:t>
      </w:r>
      <w:r>
        <w:rPr>
          <w:rStyle w:val="Emphasis"/>
        </w:rPr>
        <w:t>E. coli</w:t>
      </w:r>
      <w:r>
        <w:t xml:space="preserve"> O157:H7 during outbreaks and the choice of antibiotics. </w:t>
      </w:r>
      <w:r>
        <w:rPr>
          <w:rStyle w:val="Emphasis"/>
        </w:rPr>
        <w:t>E. coli</w:t>
      </w:r>
      <w:r>
        <w:t xml:space="preserve"> O157:H7 is pathogenic even at very low doses (10–100 </w:t>
      </w:r>
      <w:r>
        <w:t xml:space="preserve">CFU) and poses serious public health risks, especially in children under 5 years, as it can cause hemorrhagic colitis, hemolytic uremic syndrome (HUS), thrombotic thrombocytopenic </w:t>
      </w:r>
      <w:proofErr w:type="spellStart"/>
      <w:r>
        <w:t>purpura</w:t>
      </w:r>
      <w:proofErr w:type="spellEnd"/>
      <w:r>
        <w:t xml:space="preserve"> (TTP), and death. The study showed a MAR and 100% resistance to </w:t>
      </w:r>
      <w:proofErr w:type="spellStart"/>
      <w:r>
        <w:t>Oxyt</w:t>
      </w:r>
      <w:r>
        <w:t>etracycline</w:t>
      </w:r>
      <w:proofErr w:type="spellEnd"/>
      <w:r>
        <w:t xml:space="preserve"> in both humans and poultry, emphasizing the need for clinicians and veterinary doctors to avoid </w:t>
      </w:r>
      <w:proofErr w:type="spellStart"/>
      <w:r>
        <w:t>Oxytetracycline</w:t>
      </w:r>
      <w:proofErr w:type="spellEnd"/>
      <w:r>
        <w:t xml:space="preserve"> and other tetracycline drugs due to 0% susceptibility, as their use may lead to treatment failures and further outbreaks. The specif</w:t>
      </w:r>
      <w:r>
        <w:t>icity of AMC combo in the Kirby-</w:t>
      </w:r>
      <w:proofErr w:type="spellStart"/>
      <w:r>
        <w:t>Baur</w:t>
      </w:r>
      <w:proofErr w:type="spellEnd"/>
      <w:r>
        <w:t xml:space="preserve"> Double Disk Synergy Test (DDST) was </w:t>
      </w:r>
      <w:proofErr w:type="gramStart"/>
      <w:r>
        <w:t>equivocal,</w:t>
      </w:r>
      <w:proofErr w:type="gramEnd"/>
      <w:r>
        <w:t xml:space="preserve"> with a MAR Index of 0.6 and resistance rates of 72% in humans and 60% in poultry, suggesting AMC use may produce false negatives. The study detected and separated the </w:t>
      </w:r>
      <w:proofErr w:type="spellStart"/>
      <w:r>
        <w:rPr>
          <w:rStyle w:val="Emphasis"/>
        </w:rPr>
        <w:t>eaeA</w:t>
      </w:r>
      <w:proofErr w:type="spellEnd"/>
      <w:r>
        <w:t xml:space="preserve"> </w:t>
      </w:r>
      <w:r>
        <w:t xml:space="preserve">virulent gene, which may serve as a candidate for developing new antibiotics, as conventional ones are increasingly compromised by microbial lactamase enzymes. Targeting </w:t>
      </w:r>
      <w:proofErr w:type="spellStart"/>
      <w:r>
        <w:rPr>
          <w:rStyle w:val="Emphasis"/>
        </w:rPr>
        <w:t>eaeA</w:t>
      </w:r>
      <w:proofErr w:type="spellEnd"/>
      <w:r>
        <w:t xml:space="preserve"> could help solve MAR. The Multiplex PCR assay detected </w:t>
      </w:r>
      <w:r>
        <w:rPr>
          <w:rStyle w:val="Emphasis"/>
        </w:rPr>
        <w:t>E. coli</w:t>
      </w:r>
      <w:r>
        <w:t xml:space="preserve"> O157:H7, its Shiga</w:t>
      </w:r>
      <w:r>
        <w:t xml:space="preserve"> toxin genes (</w:t>
      </w:r>
      <w:r>
        <w:rPr>
          <w:rStyle w:val="Emphasis"/>
        </w:rPr>
        <w:t>stx1</w:t>
      </w:r>
      <w:r>
        <w:t xml:space="preserve"> and </w:t>
      </w:r>
      <w:r>
        <w:rPr>
          <w:rStyle w:val="Emphasis"/>
        </w:rPr>
        <w:t>stx2</w:t>
      </w:r>
      <w:r>
        <w:t xml:space="preserve">), and non-O157 STEC strains, highlighting their public health importance. MPCR offered advantages such as confirming detection without reliance on costly </w:t>
      </w:r>
      <w:proofErr w:type="spellStart"/>
      <w:r>
        <w:rPr>
          <w:rStyle w:val="Emphasis"/>
        </w:rPr>
        <w:t>rfbE</w:t>
      </w:r>
      <w:proofErr w:type="spellEnd"/>
      <w:r>
        <w:t xml:space="preserve"> primers, using Shiga toxin profiles as genetic markers, differentiati</w:t>
      </w:r>
      <w:r>
        <w:t xml:space="preserve">ng </w:t>
      </w:r>
      <w:r>
        <w:rPr>
          <w:rStyle w:val="Emphasis"/>
        </w:rPr>
        <w:t>stx1</w:t>
      </w:r>
      <w:r>
        <w:t xml:space="preserve"> and </w:t>
      </w:r>
      <w:r>
        <w:rPr>
          <w:rStyle w:val="Emphasis"/>
        </w:rPr>
        <w:t>stx2</w:t>
      </w:r>
      <w:r>
        <w:t xml:space="preserve"> to aid HUS management, and serving as a clue for STEC detection. Finally, the phylogenetic tree analysis of </w:t>
      </w:r>
      <w:r>
        <w:rPr>
          <w:rStyle w:val="Emphasis"/>
        </w:rPr>
        <w:t>E. coli</w:t>
      </w:r>
      <w:r>
        <w:t xml:space="preserve"> O157:H7 in humans and poultry, and its relatedness to </w:t>
      </w:r>
      <w:proofErr w:type="spellStart"/>
      <w:r>
        <w:t>GenBank</w:t>
      </w:r>
      <w:proofErr w:type="spellEnd"/>
      <w:r>
        <w:t xml:space="preserve"> reference serotypes, will help trace ancestral origins, guide</w:t>
      </w:r>
      <w:r>
        <w:t xml:space="preserve"> antibiotic choices during outbreaks, and support new drug development by linking susceptibility patterns to evolutionary lineages.</w:t>
      </w:r>
    </w:p>
    <w:p w:rsidR="008447D7" w:rsidRDefault="008447D7">
      <w:pPr>
        <w:pStyle w:val="NormalWeb"/>
        <w:tabs>
          <w:tab w:val="left" w:pos="400"/>
        </w:tabs>
        <w:jc w:val="both"/>
        <w:rPr>
          <w:b/>
          <w:bCs/>
        </w:rPr>
      </w:pPr>
    </w:p>
    <w:p w:rsidR="008447D7" w:rsidRDefault="008F7D59">
      <w:pPr>
        <w:pStyle w:val="NormalWeb"/>
        <w:tabs>
          <w:tab w:val="left" w:pos="400"/>
        </w:tabs>
        <w:jc w:val="both"/>
        <w:rPr>
          <w:b/>
          <w:bCs/>
        </w:rPr>
      </w:pPr>
      <w:r>
        <w:rPr>
          <w:b/>
          <w:bCs/>
        </w:rPr>
        <w:t>RECOMMENDATION</w:t>
      </w:r>
    </w:p>
    <w:p w:rsidR="008447D7" w:rsidRDefault="008F7D59">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FCT Health Management Board (HMB), through the FCT Ministry, should curb the prevalence of microorganism</w:t>
      </w:r>
      <w:r>
        <w:rPr>
          <w:rFonts w:ascii="Times New Roman" w:hAnsi="Times New Roman" w:cs="Times New Roman"/>
          <w:sz w:val="24"/>
          <w:szCs w:val="24"/>
        </w:rPr>
        <w:t>s of public health importance by utilizing the data provided in this study.</w:t>
      </w:r>
    </w:p>
    <w:p w:rsidR="008447D7" w:rsidRDefault="008F7D59">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Antibiotics in the tetracycline class should not be used in humans or animals to avoid treatment failures and unnecessary costs. Instead, </w:t>
      </w:r>
      <w:proofErr w:type="spellStart"/>
      <w:r>
        <w:rPr>
          <w:rFonts w:ascii="Times New Roman" w:hAnsi="Times New Roman" w:cs="Times New Roman"/>
          <w:sz w:val="24"/>
          <w:szCs w:val="24"/>
        </w:rPr>
        <w:t>carbapenems</w:t>
      </w:r>
      <w:proofErr w:type="spellEnd"/>
      <w:r>
        <w:rPr>
          <w:rFonts w:ascii="Times New Roman" w:hAnsi="Times New Roman" w:cs="Times New Roman"/>
          <w:sz w:val="24"/>
          <w:szCs w:val="24"/>
        </w:rPr>
        <w:t xml:space="preserve"> (e.g., </w:t>
      </w:r>
      <w:proofErr w:type="spellStart"/>
      <w:r>
        <w:rPr>
          <w:rFonts w:ascii="Times New Roman" w:hAnsi="Times New Roman" w:cs="Times New Roman"/>
          <w:sz w:val="24"/>
          <w:szCs w:val="24"/>
        </w:rPr>
        <w:t>meropenem</w:t>
      </w:r>
      <w:proofErr w:type="spellEnd"/>
      <w:r>
        <w:rPr>
          <w:rFonts w:ascii="Times New Roman" w:hAnsi="Times New Roman" w:cs="Times New Roman"/>
          <w:sz w:val="24"/>
          <w:szCs w:val="24"/>
        </w:rPr>
        <w:t>) should be co</w:t>
      </w:r>
      <w:r>
        <w:rPr>
          <w:rFonts w:ascii="Times New Roman" w:hAnsi="Times New Roman" w:cs="Times New Roman"/>
          <w:sz w:val="24"/>
          <w:szCs w:val="24"/>
        </w:rPr>
        <w:t>nsidered for effective therapy.</w:t>
      </w:r>
    </w:p>
    <w:p w:rsidR="008447D7" w:rsidRDefault="008F7D59">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The use of AMC in the Double Disk Synergy Test (DDST) for detecting ESBL should be discouraged, as it may yield false results. More sensitive antibiotics should be employed to improve diagnostic accuracy.</w:t>
      </w:r>
    </w:p>
    <w:p w:rsidR="008447D7" w:rsidRDefault="008F7D59">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Future pharmaceutic</w:t>
      </w:r>
      <w:r>
        <w:rPr>
          <w:rFonts w:ascii="Times New Roman" w:hAnsi="Times New Roman" w:cs="Times New Roman"/>
          <w:sz w:val="24"/>
          <w:szCs w:val="24"/>
        </w:rPr>
        <w:t xml:space="preserve">al molecular research should focus on developing antibiotics that target the </w:t>
      </w:r>
      <w:proofErr w:type="spellStart"/>
      <w:r>
        <w:rPr>
          <w:rStyle w:val="Emphasis"/>
          <w:rFonts w:ascii="Times New Roman" w:hAnsi="Times New Roman" w:cs="Times New Roman"/>
          <w:sz w:val="24"/>
          <w:szCs w:val="24"/>
        </w:rPr>
        <w:t>eaeA</w:t>
      </w:r>
      <w:proofErr w:type="spellEnd"/>
      <w:r>
        <w:rPr>
          <w:rFonts w:ascii="Times New Roman" w:hAnsi="Times New Roman" w:cs="Times New Roman"/>
          <w:sz w:val="24"/>
          <w:szCs w:val="24"/>
        </w:rPr>
        <w:t xml:space="preserve"> gene, thereby preventing bacterial attachment to host cells and reducing virulence.</w:t>
      </w:r>
    </w:p>
    <w:p w:rsidR="008447D7" w:rsidRDefault="008F7D59">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Phylogenetic tree construction and sequencing of detected serotypes and strains should be </w:t>
      </w:r>
      <w:r>
        <w:rPr>
          <w:rFonts w:ascii="Times New Roman" w:hAnsi="Times New Roman" w:cs="Times New Roman"/>
          <w:sz w:val="24"/>
          <w:szCs w:val="24"/>
        </w:rPr>
        <w:t>incorporated into outbreak screening to trace ancestral relationships and guide cost</w:t>
      </w:r>
      <w:r>
        <w:rPr>
          <w:rFonts w:ascii="Times New Roman" w:hAnsi="Times New Roman" w:cs="Times New Roman"/>
          <w:sz w:val="24"/>
          <w:szCs w:val="24"/>
        </w:rPr>
        <w:noBreakHyphen/>
        <w:t>effective, non</w:t>
      </w:r>
      <w:r>
        <w:rPr>
          <w:rFonts w:ascii="Times New Roman" w:hAnsi="Times New Roman" w:cs="Times New Roman"/>
          <w:sz w:val="24"/>
          <w:szCs w:val="24"/>
        </w:rPr>
        <w:noBreakHyphen/>
        <w:t>resistant antibiotic treatments in humans and animals.</w:t>
      </w:r>
    </w:p>
    <w:p w:rsidR="008447D7" w:rsidRDefault="008447D7">
      <w:pPr>
        <w:shd w:val="clear" w:color="auto" w:fill="FFFFFF"/>
        <w:tabs>
          <w:tab w:val="left" w:pos="400"/>
        </w:tabs>
        <w:spacing w:line="9" w:lineRule="atLeast"/>
        <w:rPr>
          <w:rFonts w:ascii="Times New Roman" w:eastAsia="pg-110ff1" w:hAnsi="Times New Roman" w:cs="Times New Roman"/>
          <w:b/>
          <w:bCs/>
          <w:color w:val="000000"/>
          <w:sz w:val="24"/>
          <w:szCs w:val="24"/>
          <w:shd w:val="clear" w:color="auto" w:fill="FFFFFF"/>
          <w:lang w:bidi="ar"/>
        </w:rPr>
      </w:pPr>
    </w:p>
    <w:p w:rsidR="008447D7" w:rsidRDefault="008F7D59">
      <w:pPr>
        <w:shd w:val="clear" w:color="auto" w:fill="FFFFFF"/>
        <w:tabs>
          <w:tab w:val="left" w:pos="400"/>
        </w:tabs>
        <w:spacing w:line="9" w:lineRule="atLeast"/>
        <w:jc w:val="both"/>
        <w:rPr>
          <w:rFonts w:ascii="Times New Roman" w:eastAsia="Arial" w:hAnsi="Times New Roman" w:cs="Times New Roman"/>
          <w:b/>
          <w:bCs/>
          <w:color w:val="000000"/>
          <w:sz w:val="24"/>
          <w:szCs w:val="24"/>
          <w:shd w:val="clear" w:color="auto" w:fill="FFFFFF"/>
        </w:rPr>
      </w:pPr>
      <w:r>
        <w:rPr>
          <w:rFonts w:ascii="Times New Roman" w:eastAsia="Arial" w:hAnsi="Times New Roman" w:cs="Times New Roman"/>
          <w:b/>
          <w:bCs/>
          <w:color w:val="000000"/>
          <w:sz w:val="24"/>
          <w:szCs w:val="24"/>
          <w:shd w:val="clear" w:color="auto" w:fill="FFFFFF"/>
        </w:rPr>
        <w:t>ACKNOWLEDGEMENTS</w:t>
      </w:r>
    </w:p>
    <w:p w:rsidR="008447D7" w:rsidRDefault="008F7D59">
      <w:pPr>
        <w:pStyle w:val="NormalWeb"/>
        <w:jc w:val="both"/>
      </w:pPr>
      <w:r>
        <w:t xml:space="preserve">The authors wish to acknowledge the management and staff of the Federal Capital </w:t>
      </w:r>
      <w:r>
        <w:t>Territory Health Management Board, hospitals, and poultry farms who provided access to samples and data used in this research. I also acknowledge the laboratory technologists and research assistants whose expertise and dedication ensured the smooth executi</w:t>
      </w:r>
      <w:r>
        <w:t>on of the experimental procedures.</w:t>
      </w:r>
    </w:p>
    <w:p w:rsidR="008447D7" w:rsidRDefault="008447D7">
      <w:pPr>
        <w:shd w:val="clear" w:color="auto" w:fill="FFFFFF"/>
        <w:tabs>
          <w:tab w:val="left" w:pos="400"/>
        </w:tabs>
        <w:spacing w:line="9" w:lineRule="atLeast"/>
        <w:rPr>
          <w:rFonts w:ascii="SimSun" w:eastAsia="SimSun" w:hAnsi="SimSun" w:cs="SimSun"/>
          <w:sz w:val="24"/>
          <w:szCs w:val="24"/>
        </w:rPr>
      </w:pPr>
    </w:p>
    <w:p w:rsidR="008447D7" w:rsidRDefault="008F7D59">
      <w:pPr>
        <w:shd w:val="clear" w:color="auto" w:fill="FFFFFF"/>
        <w:tabs>
          <w:tab w:val="left" w:pos="400"/>
        </w:tabs>
        <w:spacing w:line="9"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CONFLICTS OF INTEREST</w:t>
      </w:r>
    </w:p>
    <w:p w:rsidR="008447D7" w:rsidRDefault="008F7D59">
      <w:pPr>
        <w:shd w:val="clear" w:color="auto" w:fill="FFFFFF"/>
        <w:tabs>
          <w:tab w:val="left" w:pos="400"/>
        </w:tabs>
        <w:spacing w:line="9" w:lineRule="atLeast"/>
        <w:rPr>
          <w:rFonts w:ascii="Times New Roman" w:eastAsia="SimSun" w:hAnsi="Times New Roman" w:cs="Times New Roman"/>
          <w:sz w:val="24"/>
          <w:szCs w:val="24"/>
        </w:rPr>
      </w:pPr>
      <w:r>
        <w:rPr>
          <w:rFonts w:ascii="Times New Roman" w:eastAsia="SimSun" w:hAnsi="Times New Roman" w:cs="Times New Roman"/>
          <w:sz w:val="24"/>
          <w:szCs w:val="24"/>
        </w:rPr>
        <w:t>The authors declare that there are no conflicts of interest regarding the publication of this research.</w:t>
      </w:r>
    </w:p>
    <w:p w:rsidR="008447D7" w:rsidRDefault="008447D7">
      <w:pPr>
        <w:shd w:val="clear" w:color="auto" w:fill="FFFFFF"/>
        <w:tabs>
          <w:tab w:val="left" w:pos="400"/>
        </w:tabs>
        <w:spacing w:line="9" w:lineRule="atLeast"/>
        <w:rPr>
          <w:rFonts w:ascii="Times New Roman" w:eastAsia="SimSun" w:hAnsi="Times New Roman" w:cs="Times New Roman"/>
          <w:sz w:val="24"/>
          <w:szCs w:val="24"/>
        </w:rPr>
      </w:pPr>
    </w:p>
    <w:p w:rsidR="008447D7" w:rsidRDefault="008F7D59">
      <w:pPr>
        <w:shd w:val="clear" w:color="auto" w:fill="FFFFFF"/>
        <w:tabs>
          <w:tab w:val="left" w:pos="400"/>
        </w:tabs>
        <w:spacing w:line="9"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FUNDING</w:t>
      </w:r>
    </w:p>
    <w:p w:rsidR="008447D7" w:rsidRDefault="008F7D59">
      <w:pPr>
        <w:shd w:val="clear" w:color="auto" w:fill="FFFFFF"/>
        <w:tabs>
          <w:tab w:val="left" w:pos="400"/>
        </w:tabs>
        <w:spacing w:line="9" w:lineRule="atLeast"/>
        <w:rPr>
          <w:rFonts w:ascii="Times New Roman" w:eastAsia="SimSun" w:hAnsi="Times New Roman" w:cs="Times New Roman"/>
          <w:sz w:val="24"/>
          <w:szCs w:val="24"/>
        </w:rPr>
      </w:pPr>
      <w:r>
        <w:rPr>
          <w:rFonts w:ascii="Times New Roman" w:eastAsia="SimSun" w:hAnsi="Times New Roman" w:cs="Times New Roman"/>
          <w:sz w:val="24"/>
          <w:szCs w:val="24"/>
        </w:rPr>
        <w:t>There was no source of funding for this research.</w:t>
      </w:r>
    </w:p>
    <w:p w:rsidR="008447D7" w:rsidRDefault="008447D7">
      <w:pPr>
        <w:shd w:val="clear" w:color="auto" w:fill="FFFFFF"/>
        <w:tabs>
          <w:tab w:val="left" w:pos="400"/>
        </w:tabs>
        <w:spacing w:line="9" w:lineRule="atLeast"/>
        <w:rPr>
          <w:rFonts w:ascii="Times New Roman" w:eastAsia="SimSun" w:hAnsi="Times New Roman" w:cs="Times New Roman"/>
          <w:sz w:val="24"/>
          <w:szCs w:val="24"/>
        </w:rPr>
      </w:pPr>
    </w:p>
    <w:p w:rsidR="008447D7" w:rsidRDefault="008F7D59">
      <w:pPr>
        <w:shd w:val="clear" w:color="auto" w:fill="FFFFFF"/>
        <w:tabs>
          <w:tab w:val="left" w:pos="400"/>
        </w:tabs>
        <w:spacing w:line="9"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ETHICAL APPROVAL</w:t>
      </w:r>
    </w:p>
    <w:p w:rsidR="008447D7" w:rsidRDefault="008447D7">
      <w:pPr>
        <w:shd w:val="clear" w:color="auto" w:fill="FFFFFF"/>
        <w:tabs>
          <w:tab w:val="left" w:pos="400"/>
        </w:tabs>
        <w:spacing w:line="9" w:lineRule="atLeast"/>
        <w:rPr>
          <w:rFonts w:ascii="Times New Roman" w:eastAsia="SimSun" w:hAnsi="Times New Roman" w:cs="Times New Roman"/>
          <w:b/>
          <w:bCs/>
          <w:sz w:val="24"/>
          <w:szCs w:val="24"/>
        </w:rPr>
      </w:pPr>
    </w:p>
    <w:p w:rsidR="008447D7" w:rsidRDefault="008F7D59">
      <w:pPr>
        <w:shd w:val="clear" w:color="auto" w:fill="FFFFFF"/>
        <w:tabs>
          <w:tab w:val="left" w:pos="400"/>
        </w:tabs>
        <w:spacing w:line="9"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The study </w:t>
      </w:r>
      <w:r>
        <w:rPr>
          <w:rFonts w:ascii="Times New Roman" w:eastAsia="SimSun" w:hAnsi="Times New Roman" w:cs="Times New Roman"/>
          <w:sz w:val="24"/>
          <w:szCs w:val="24"/>
        </w:rPr>
        <w:t>protocol was approved by the Ethical Clearance Committee (ECC) of the FCT Health Department. Informed consent was obtained from poultry farm owners, hospital authorities, IDP camp managers, and participants, with the study’s purpose and scope clearly expla</w:t>
      </w:r>
      <w:r>
        <w:rPr>
          <w:rFonts w:ascii="Times New Roman" w:eastAsia="SimSun" w:hAnsi="Times New Roman" w:cs="Times New Roman"/>
          <w:sz w:val="24"/>
          <w:szCs w:val="24"/>
        </w:rPr>
        <w:t>ined before consent.</w:t>
      </w:r>
    </w:p>
    <w:p w:rsidR="008447D7" w:rsidRDefault="008447D7">
      <w:pPr>
        <w:shd w:val="clear" w:color="auto" w:fill="FFFFFF"/>
        <w:tabs>
          <w:tab w:val="left" w:pos="400"/>
        </w:tabs>
        <w:spacing w:line="9" w:lineRule="atLeast"/>
        <w:rPr>
          <w:rFonts w:ascii="SimSun" w:eastAsia="SimSun" w:hAnsi="SimSun" w:cs="SimSun"/>
          <w:sz w:val="24"/>
          <w:szCs w:val="24"/>
        </w:rPr>
      </w:pPr>
    </w:p>
    <w:p w:rsidR="008447D7" w:rsidRDefault="008F7D59">
      <w:pPr>
        <w:shd w:val="clear" w:color="auto" w:fill="FFFFFF"/>
        <w:tabs>
          <w:tab w:val="left" w:pos="400"/>
        </w:tabs>
        <w:spacing w:line="9"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DATA AVAILABILITY</w:t>
      </w:r>
    </w:p>
    <w:p w:rsidR="008447D7" w:rsidRDefault="008F7D59">
      <w:pPr>
        <w:shd w:val="clear" w:color="auto" w:fill="FFFFFF"/>
        <w:spacing w:line="336" w:lineRule="atLeast"/>
        <w:rPr>
          <w:rFonts w:ascii="Times New Roman" w:eastAsia="SimSun" w:hAnsi="Times New Roman" w:cs="Times New Roman"/>
          <w:sz w:val="24"/>
          <w:szCs w:val="24"/>
        </w:rPr>
      </w:pPr>
      <w:r>
        <w:rPr>
          <w:rFonts w:ascii="Times New Roman" w:eastAsia="SimSun" w:hAnsi="Times New Roman" w:cs="Times New Roman"/>
          <w:sz w:val="24"/>
          <w:szCs w:val="24"/>
        </w:rPr>
        <w:t>The data supporting this research are available from the corresponding author(s) upon reasonable request.</w:t>
      </w:r>
    </w:p>
    <w:p w:rsidR="008447D7" w:rsidRDefault="008447D7">
      <w:pPr>
        <w:shd w:val="clear" w:color="auto" w:fill="FFFFFF"/>
        <w:spacing w:line="336" w:lineRule="atLeast"/>
        <w:rPr>
          <w:rFonts w:ascii="SimSun" w:eastAsia="SimSun" w:hAnsi="SimSun" w:cs="SimSun"/>
          <w:sz w:val="24"/>
          <w:szCs w:val="24"/>
        </w:rPr>
      </w:pPr>
    </w:p>
    <w:p w:rsidR="008447D7" w:rsidRDefault="008447D7">
      <w:pPr>
        <w:shd w:val="clear" w:color="auto" w:fill="FFFFFF"/>
        <w:spacing w:line="336" w:lineRule="atLeast"/>
        <w:rPr>
          <w:rFonts w:ascii="Times New Roman" w:eastAsia="SimSun" w:hAnsi="Times New Roman" w:cs="Times New Roman"/>
          <w:b/>
          <w:bCs/>
          <w:sz w:val="24"/>
          <w:szCs w:val="24"/>
        </w:rPr>
      </w:pPr>
    </w:p>
    <w:p w:rsidR="008447D7" w:rsidRDefault="008447D7">
      <w:pPr>
        <w:shd w:val="clear" w:color="auto" w:fill="FFFFFF"/>
        <w:spacing w:line="336" w:lineRule="atLeast"/>
        <w:rPr>
          <w:rFonts w:ascii="Times New Roman" w:eastAsia="SimSun" w:hAnsi="Times New Roman" w:cs="Times New Roman"/>
          <w:b/>
          <w:bCs/>
          <w:sz w:val="24"/>
          <w:szCs w:val="24"/>
        </w:rPr>
      </w:pPr>
    </w:p>
    <w:p w:rsidR="008447D7" w:rsidRDefault="008F7D59">
      <w:pPr>
        <w:shd w:val="clear" w:color="auto" w:fill="FFFFFF"/>
        <w:spacing w:line="336"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AUTHOR’S CONTRIBUTIONS</w:t>
      </w:r>
    </w:p>
    <w:p w:rsidR="008447D7" w:rsidRDefault="008F7D59">
      <w:pPr>
        <w:shd w:val="clear" w:color="auto" w:fill="FFFFFF"/>
        <w:tabs>
          <w:tab w:val="left" w:pos="400"/>
        </w:tabs>
        <w:spacing w:line="9" w:lineRule="atLeast"/>
        <w:jc w:val="both"/>
        <w:rPr>
          <w:rFonts w:ascii="Times New Roman" w:eastAsia="SimSun" w:hAnsi="Times New Roman" w:cs="Times New Roman"/>
          <w:sz w:val="24"/>
          <w:szCs w:val="24"/>
        </w:rPr>
      </w:pPr>
      <w:r>
        <w:rPr>
          <w:rFonts w:ascii="Times New Roman" w:eastAsia="SimSun" w:hAnsi="Times New Roman" w:cs="Times New Roman"/>
          <w:sz w:val="24"/>
          <w:szCs w:val="24"/>
        </w:rPr>
        <w:t>The author conceived and designed the study, collected and processed the samples, an</w:t>
      </w:r>
      <w:r>
        <w:rPr>
          <w:rFonts w:ascii="Times New Roman" w:eastAsia="SimSun" w:hAnsi="Times New Roman" w:cs="Times New Roman"/>
          <w:sz w:val="24"/>
          <w:szCs w:val="24"/>
        </w:rPr>
        <w:t>d performed the laboratory experiments including culture, biochemical characterization, antibiotic susceptibility testing, multiplex PCR assays, and phylogenetic analysis. The author analyzed and interpreted the data, prepared the tables, figures, and char</w:t>
      </w:r>
      <w:r>
        <w:rPr>
          <w:rFonts w:ascii="Times New Roman" w:eastAsia="SimSun" w:hAnsi="Times New Roman" w:cs="Times New Roman"/>
          <w:sz w:val="24"/>
          <w:szCs w:val="24"/>
        </w:rPr>
        <w:t>ts, and wrote the manuscript. Guidance and supervision were provided by the project supervisors, while technical assistance was received from laboratory technologists. All contributions were made under the author’s direct coordination, and the final manusc</w:t>
      </w:r>
      <w:r>
        <w:rPr>
          <w:rFonts w:ascii="Times New Roman" w:eastAsia="SimSun" w:hAnsi="Times New Roman" w:cs="Times New Roman"/>
          <w:sz w:val="24"/>
          <w:szCs w:val="24"/>
        </w:rPr>
        <w:t>ript was reviewed and approved by the supervisors.</w:t>
      </w:r>
    </w:p>
    <w:p w:rsidR="008447D7" w:rsidRDefault="008447D7">
      <w:pPr>
        <w:shd w:val="clear" w:color="auto" w:fill="FFFFFF"/>
        <w:tabs>
          <w:tab w:val="left" w:pos="400"/>
        </w:tabs>
        <w:spacing w:line="9" w:lineRule="atLeast"/>
        <w:jc w:val="both"/>
        <w:rPr>
          <w:rFonts w:ascii="Times New Roman" w:eastAsia="SimSun" w:hAnsi="Times New Roman" w:cs="Times New Roman"/>
          <w:sz w:val="24"/>
          <w:szCs w:val="24"/>
        </w:rPr>
      </w:pPr>
    </w:p>
    <w:p w:rsidR="008447D7" w:rsidRDefault="008F7D59">
      <w:pPr>
        <w:shd w:val="clear" w:color="auto" w:fill="FFFFFF"/>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shd w:val="clear" w:color="auto" w:fill="FFFFFF"/>
          <w:lang w:bidi="ar"/>
        </w:rPr>
        <w:t>PROVENANCE AND PEER REVIEW</w:t>
      </w:r>
    </w:p>
    <w:p w:rsidR="008447D7" w:rsidRDefault="008F7D59">
      <w:pPr>
        <w:shd w:val="clear" w:color="auto" w:fill="FFFFFF"/>
        <w:spacing w:line="336" w:lineRule="atLeast"/>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shd w:val="clear" w:color="auto" w:fill="FFFFFF"/>
          <w:lang w:bidi="ar"/>
        </w:rPr>
        <w:t>Not commissioned; externally peer reviewed.</w:t>
      </w:r>
    </w:p>
    <w:p w:rsidR="008447D7" w:rsidRDefault="008447D7">
      <w:pPr>
        <w:shd w:val="clear" w:color="auto" w:fill="FFFFFF"/>
        <w:tabs>
          <w:tab w:val="left" w:pos="400"/>
        </w:tabs>
        <w:spacing w:line="9" w:lineRule="atLeast"/>
        <w:rPr>
          <w:rFonts w:ascii="Times New Roman" w:eastAsia="SimSun" w:hAnsi="Times New Roman" w:cs="Times New Roman"/>
          <w:sz w:val="24"/>
          <w:szCs w:val="24"/>
        </w:rPr>
      </w:pPr>
    </w:p>
    <w:p w:rsidR="008447D7" w:rsidRDefault="008F7D59">
      <w:pPr>
        <w:shd w:val="clear" w:color="auto" w:fill="FFFFFF"/>
        <w:tabs>
          <w:tab w:val="left" w:pos="400"/>
        </w:tabs>
        <w:spacing w:line="9" w:lineRule="atLeast"/>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DISCLAIMER </w:t>
      </w:r>
    </w:p>
    <w:p w:rsidR="008447D7" w:rsidRDefault="008F7D59">
      <w:pPr>
        <w:shd w:val="clear" w:color="auto" w:fill="FFFFFF"/>
        <w:tabs>
          <w:tab w:val="left" w:pos="400"/>
        </w:tabs>
        <w:spacing w:line="9" w:lineRule="atLeast"/>
        <w:rPr>
          <w:rFonts w:ascii="Times New Roman" w:eastAsia="SimSun" w:hAnsi="Times New Roman" w:cs="Times New Roman"/>
          <w:sz w:val="24"/>
          <w:szCs w:val="24"/>
        </w:rPr>
      </w:pPr>
      <w:r>
        <w:rPr>
          <w:rFonts w:ascii="Times New Roman" w:eastAsia="SimSun" w:hAnsi="Times New Roman" w:cs="Times New Roman"/>
          <w:sz w:val="24"/>
          <w:szCs w:val="24"/>
        </w:rPr>
        <w:t xml:space="preserve">The views and opinions expressed in this research are solely those of the authors and do not necessarily reflect the </w:t>
      </w:r>
      <w:r>
        <w:rPr>
          <w:rFonts w:ascii="Times New Roman" w:eastAsia="SimSun" w:hAnsi="Times New Roman" w:cs="Times New Roman"/>
          <w:sz w:val="24"/>
          <w:szCs w:val="24"/>
        </w:rPr>
        <w:t>official policy or position of the University of Abuja or any affiliated institution.</w:t>
      </w:r>
    </w:p>
    <w:p w:rsidR="008447D7" w:rsidRDefault="008447D7">
      <w:pPr>
        <w:shd w:val="clear" w:color="auto" w:fill="FFFFFF"/>
        <w:tabs>
          <w:tab w:val="left" w:pos="400"/>
        </w:tabs>
        <w:spacing w:line="9" w:lineRule="atLeast"/>
        <w:rPr>
          <w:rFonts w:ascii="SimSun" w:eastAsia="SimSun" w:hAnsi="SimSun" w:cs="SimSun"/>
          <w:sz w:val="24"/>
          <w:szCs w:val="24"/>
        </w:rPr>
      </w:pPr>
    </w:p>
    <w:p w:rsidR="008447D7" w:rsidRDefault="008F7D59">
      <w:pPr>
        <w:shd w:val="clear" w:color="auto" w:fill="FFFFFF"/>
        <w:tabs>
          <w:tab w:val="left" w:pos="400"/>
        </w:tabs>
        <w:spacing w:line="9" w:lineRule="atLeast"/>
        <w:rPr>
          <w:rFonts w:ascii="Times New Roman" w:eastAsia="pg-110ff1" w:hAnsi="Times New Roman" w:cs="Times New Roman"/>
          <w:b/>
          <w:bCs/>
          <w:color w:val="000000"/>
          <w:sz w:val="24"/>
          <w:szCs w:val="24"/>
          <w:shd w:val="clear" w:color="auto" w:fill="FFFFFF"/>
          <w:lang w:bidi="ar"/>
        </w:rPr>
      </w:pPr>
      <w:r>
        <w:rPr>
          <w:rFonts w:ascii="Times New Roman" w:eastAsia="pg-110ff1" w:hAnsi="Times New Roman" w:cs="Times New Roman"/>
          <w:b/>
          <w:bCs/>
          <w:color w:val="000000"/>
          <w:sz w:val="24"/>
          <w:szCs w:val="24"/>
          <w:shd w:val="clear" w:color="auto" w:fill="FFFFFF"/>
          <w:lang w:bidi="ar"/>
        </w:rPr>
        <w:t>REFERENCES</w:t>
      </w:r>
    </w:p>
    <w:p w:rsidR="008447D7" w:rsidRDefault="008447D7">
      <w:pPr>
        <w:shd w:val="clear" w:color="auto" w:fill="FFFFFF"/>
        <w:tabs>
          <w:tab w:val="left" w:pos="400"/>
        </w:tabs>
        <w:spacing w:line="9" w:lineRule="atLeast"/>
        <w:rPr>
          <w:rFonts w:ascii="Times New Roman" w:hAnsi="Times New Roman" w:cs="Times New Roman"/>
          <w:b/>
          <w:bCs/>
          <w:sz w:val="24"/>
          <w:szCs w:val="24"/>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Abebe</w:t>
      </w:r>
      <w:proofErr w:type="spellEnd"/>
      <w:r>
        <w:rPr>
          <w:rFonts w:ascii="Times New Roman" w:eastAsia="SimSun" w:hAnsi="Times New Roman" w:cs="Times New Roman"/>
          <w:color w:val="222222"/>
          <w:sz w:val="24"/>
          <w:szCs w:val="24"/>
          <w:shd w:val="clear" w:color="auto" w:fill="FFFFFF"/>
        </w:rPr>
        <w:t xml:space="preserve">, E., </w:t>
      </w:r>
      <w:proofErr w:type="spellStart"/>
      <w:r>
        <w:rPr>
          <w:rFonts w:ascii="Times New Roman" w:eastAsia="SimSun" w:hAnsi="Times New Roman" w:cs="Times New Roman"/>
          <w:color w:val="222222"/>
          <w:sz w:val="24"/>
          <w:szCs w:val="24"/>
          <w:shd w:val="clear" w:color="auto" w:fill="FFFFFF"/>
        </w:rPr>
        <w:t>Gugsa</w:t>
      </w:r>
      <w:proofErr w:type="spellEnd"/>
      <w:r>
        <w:rPr>
          <w:rFonts w:ascii="Times New Roman" w:eastAsia="SimSun" w:hAnsi="Times New Roman" w:cs="Times New Roman"/>
          <w:color w:val="222222"/>
          <w:sz w:val="24"/>
          <w:szCs w:val="24"/>
          <w:shd w:val="clear" w:color="auto" w:fill="FFFFFF"/>
        </w:rPr>
        <w:t>, G. and Ahmed, M. (2020). Review on Major Food‐borne Zoonotic Bacterial Pathogens. </w:t>
      </w:r>
      <w:r>
        <w:rPr>
          <w:rFonts w:ascii="Times New Roman" w:eastAsia="SimSun" w:hAnsi="Times New Roman" w:cs="Times New Roman"/>
          <w:i/>
          <w:iCs/>
          <w:color w:val="222222"/>
          <w:sz w:val="24"/>
          <w:szCs w:val="24"/>
          <w:shd w:val="clear" w:color="auto" w:fill="FFFFFF"/>
        </w:rPr>
        <w:t>Journal of tropical medicine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2020</w:t>
      </w:r>
      <w:r>
        <w:rPr>
          <w:rFonts w:ascii="Times New Roman" w:eastAsia="SimSun" w:hAnsi="Times New Roman" w:cs="Times New Roman"/>
          <w:color w:val="222222"/>
          <w:sz w:val="24"/>
          <w:szCs w:val="24"/>
          <w:shd w:val="clear" w:color="auto" w:fill="FFFFFF"/>
        </w:rPr>
        <w:t>(1), 4674235.</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Aminullah</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Azizi</w:t>
      </w:r>
      <w:proofErr w:type="spellEnd"/>
      <w:r>
        <w:rPr>
          <w:rFonts w:ascii="Times New Roman" w:eastAsia="SimSun" w:hAnsi="Times New Roman" w:cs="Times New Roman"/>
          <w:color w:val="222222"/>
          <w:sz w:val="24"/>
          <w:szCs w:val="24"/>
          <w:shd w:val="clear" w:color="auto" w:fill="FFFFFF"/>
        </w:rPr>
        <w:t xml:space="preserve">, M. N., </w:t>
      </w:r>
      <w:proofErr w:type="spellStart"/>
      <w:r>
        <w:rPr>
          <w:rFonts w:ascii="Times New Roman" w:eastAsia="SimSun" w:hAnsi="Times New Roman" w:cs="Times New Roman"/>
          <w:color w:val="222222"/>
          <w:sz w:val="24"/>
          <w:szCs w:val="24"/>
          <w:shd w:val="clear" w:color="auto" w:fill="FFFFFF"/>
        </w:rPr>
        <w:t>Bawer</w:t>
      </w:r>
      <w:proofErr w:type="spellEnd"/>
      <w:r>
        <w:rPr>
          <w:rFonts w:ascii="Times New Roman" w:eastAsia="SimSun" w:hAnsi="Times New Roman" w:cs="Times New Roman"/>
          <w:color w:val="222222"/>
          <w:sz w:val="24"/>
          <w:szCs w:val="24"/>
          <w:shd w:val="clear" w:color="auto" w:fill="FFFFFF"/>
        </w:rPr>
        <w:t xml:space="preserve">, M. D., </w:t>
      </w:r>
      <w:proofErr w:type="spellStart"/>
      <w:r>
        <w:rPr>
          <w:rFonts w:ascii="Times New Roman" w:eastAsia="SimSun" w:hAnsi="Times New Roman" w:cs="Times New Roman"/>
          <w:color w:val="222222"/>
          <w:sz w:val="24"/>
          <w:szCs w:val="24"/>
          <w:shd w:val="clear" w:color="auto" w:fill="FFFFFF"/>
        </w:rPr>
        <w:t>Mahaq</w:t>
      </w:r>
      <w:proofErr w:type="spellEnd"/>
      <w:r>
        <w:rPr>
          <w:rFonts w:ascii="Times New Roman" w:eastAsia="SimSun" w:hAnsi="Times New Roman" w:cs="Times New Roman"/>
          <w:color w:val="222222"/>
          <w:sz w:val="24"/>
          <w:szCs w:val="24"/>
          <w:shd w:val="clear" w:color="auto" w:fill="FFFFFF"/>
        </w:rPr>
        <w:t xml:space="preserve">, O. and </w:t>
      </w:r>
      <w:proofErr w:type="spellStart"/>
      <w:r>
        <w:rPr>
          <w:rFonts w:ascii="Times New Roman" w:eastAsia="SimSun" w:hAnsi="Times New Roman" w:cs="Times New Roman"/>
          <w:color w:val="222222"/>
          <w:sz w:val="24"/>
          <w:szCs w:val="24"/>
          <w:shd w:val="clear" w:color="auto" w:fill="FFFFFF"/>
        </w:rPr>
        <w:t>Ahmadi</w:t>
      </w:r>
      <w:proofErr w:type="spellEnd"/>
      <w:r>
        <w:rPr>
          <w:rFonts w:ascii="Times New Roman" w:eastAsia="SimSun" w:hAnsi="Times New Roman" w:cs="Times New Roman"/>
          <w:color w:val="222222"/>
          <w:sz w:val="24"/>
          <w:szCs w:val="24"/>
          <w:shd w:val="clear" w:color="auto" w:fill="FFFFFF"/>
        </w:rPr>
        <w:t>, M. (2025). Poultry Production in Afghanistan: Trends, Challenges, and Future Prospects. </w:t>
      </w:r>
      <w:r>
        <w:rPr>
          <w:rFonts w:ascii="Times New Roman" w:eastAsia="SimSun" w:hAnsi="Times New Roman" w:cs="Times New Roman"/>
          <w:i/>
          <w:iCs/>
          <w:color w:val="222222"/>
          <w:sz w:val="24"/>
          <w:szCs w:val="24"/>
          <w:shd w:val="clear" w:color="auto" w:fill="FFFFFF"/>
        </w:rPr>
        <w:t>Journal of World Poultry. Research</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(4), 478-489.</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Ayuba</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Sr</w:t>
      </w:r>
      <w:proofErr w:type="spellEnd"/>
      <w:r>
        <w:rPr>
          <w:rFonts w:ascii="Times New Roman" w:eastAsia="SimSun" w:hAnsi="Times New Roman" w:cs="Times New Roman"/>
          <w:color w:val="222222"/>
          <w:sz w:val="24"/>
          <w:szCs w:val="24"/>
          <w:shd w:val="clear" w:color="auto" w:fill="FFFFFF"/>
        </w:rPr>
        <w:t xml:space="preserve">, D., Elizabeth, O. O., </w:t>
      </w:r>
      <w:proofErr w:type="spellStart"/>
      <w:r>
        <w:rPr>
          <w:rFonts w:ascii="Times New Roman" w:eastAsia="SimSun" w:hAnsi="Times New Roman" w:cs="Times New Roman"/>
          <w:color w:val="222222"/>
          <w:sz w:val="24"/>
          <w:szCs w:val="24"/>
          <w:shd w:val="clear" w:color="auto" w:fill="FFFFFF"/>
        </w:rPr>
        <w:t>Olayinka</w:t>
      </w:r>
      <w:proofErr w:type="spellEnd"/>
      <w:r>
        <w:rPr>
          <w:rFonts w:ascii="Times New Roman" w:eastAsia="SimSun" w:hAnsi="Times New Roman" w:cs="Times New Roman"/>
          <w:color w:val="222222"/>
          <w:sz w:val="24"/>
          <w:szCs w:val="24"/>
          <w:shd w:val="clear" w:color="auto" w:fill="FFFFFF"/>
        </w:rPr>
        <w:t xml:space="preserve">, K. E., </w:t>
      </w:r>
      <w:proofErr w:type="spellStart"/>
      <w:r>
        <w:rPr>
          <w:rFonts w:ascii="Times New Roman" w:eastAsia="SimSun" w:hAnsi="Times New Roman" w:cs="Times New Roman"/>
          <w:color w:val="222222"/>
          <w:sz w:val="24"/>
          <w:szCs w:val="24"/>
          <w:shd w:val="clear" w:color="auto" w:fill="FFFFFF"/>
        </w:rPr>
        <w:t>F</w:t>
      </w:r>
      <w:r>
        <w:rPr>
          <w:rFonts w:ascii="Times New Roman" w:eastAsia="SimSun" w:hAnsi="Times New Roman" w:cs="Times New Roman"/>
          <w:color w:val="222222"/>
          <w:sz w:val="24"/>
          <w:szCs w:val="24"/>
          <w:shd w:val="clear" w:color="auto" w:fill="FFFFFF"/>
        </w:rPr>
        <w:t>adele</w:t>
      </w:r>
      <w:proofErr w:type="spellEnd"/>
      <w:r>
        <w:rPr>
          <w:rFonts w:ascii="Times New Roman" w:eastAsia="SimSun" w:hAnsi="Times New Roman" w:cs="Times New Roman"/>
          <w:color w:val="222222"/>
          <w:sz w:val="24"/>
          <w:szCs w:val="24"/>
          <w:shd w:val="clear" w:color="auto" w:fill="FFFFFF"/>
        </w:rPr>
        <w:t xml:space="preserve">, K. P., </w:t>
      </w:r>
      <w:proofErr w:type="spellStart"/>
      <w:r>
        <w:rPr>
          <w:rFonts w:ascii="Times New Roman" w:eastAsia="SimSun" w:hAnsi="Times New Roman" w:cs="Times New Roman"/>
          <w:color w:val="222222"/>
          <w:sz w:val="24"/>
          <w:szCs w:val="24"/>
          <w:shd w:val="clear" w:color="auto" w:fill="FFFFFF"/>
        </w:rPr>
        <w:t>Ogaya</w:t>
      </w:r>
      <w:proofErr w:type="spellEnd"/>
      <w:r>
        <w:rPr>
          <w:rFonts w:ascii="Times New Roman" w:eastAsia="SimSun" w:hAnsi="Times New Roman" w:cs="Times New Roman"/>
          <w:color w:val="222222"/>
          <w:sz w:val="24"/>
          <w:szCs w:val="24"/>
          <w:shd w:val="clear" w:color="auto" w:fill="FFFFFF"/>
        </w:rPr>
        <w:t>, J. B., Lucero-</w:t>
      </w:r>
      <w:proofErr w:type="spellStart"/>
      <w:r>
        <w:rPr>
          <w:rFonts w:ascii="Times New Roman" w:eastAsia="SimSun" w:hAnsi="Times New Roman" w:cs="Times New Roman"/>
          <w:color w:val="222222"/>
          <w:sz w:val="24"/>
          <w:szCs w:val="24"/>
          <w:shd w:val="clear" w:color="auto" w:fill="FFFFFF"/>
        </w:rPr>
        <w:t>Prisno</w:t>
      </w:r>
      <w:proofErr w:type="spellEnd"/>
      <w:r>
        <w:rPr>
          <w:rFonts w:ascii="Times New Roman" w:eastAsia="SimSun" w:hAnsi="Times New Roman" w:cs="Times New Roman"/>
          <w:color w:val="222222"/>
          <w:sz w:val="24"/>
          <w:szCs w:val="24"/>
          <w:shd w:val="clear" w:color="auto" w:fill="FFFFFF"/>
        </w:rPr>
        <w:t xml:space="preserve"> III, D. E. and </w:t>
      </w:r>
      <w:proofErr w:type="spellStart"/>
      <w:r>
        <w:rPr>
          <w:rFonts w:ascii="Times New Roman" w:eastAsia="SimSun" w:hAnsi="Times New Roman" w:cs="Times New Roman"/>
          <w:color w:val="222222"/>
          <w:sz w:val="24"/>
          <w:szCs w:val="24"/>
          <w:shd w:val="clear" w:color="auto" w:fill="FFFFFF"/>
        </w:rPr>
        <w:t>Kouwenhoven</w:t>
      </w:r>
      <w:proofErr w:type="spellEnd"/>
      <w:r>
        <w:rPr>
          <w:rFonts w:ascii="Times New Roman" w:eastAsia="SimSun" w:hAnsi="Times New Roman" w:cs="Times New Roman"/>
          <w:color w:val="222222"/>
          <w:sz w:val="24"/>
          <w:szCs w:val="24"/>
          <w:shd w:val="clear" w:color="auto" w:fill="FFFFFF"/>
        </w:rPr>
        <w:t>, M. B. N. (2025). Food Security of the Staple Food in Africa: A focus on rice, maize (corn), millet, cassava, and yam. In </w:t>
      </w:r>
      <w:r>
        <w:rPr>
          <w:rFonts w:ascii="Times New Roman" w:eastAsia="SimSun" w:hAnsi="Times New Roman" w:cs="Times New Roman"/>
          <w:i/>
          <w:iCs/>
          <w:color w:val="222222"/>
          <w:sz w:val="24"/>
          <w:szCs w:val="24"/>
          <w:shd w:val="clear" w:color="auto" w:fill="FFFFFF"/>
        </w:rPr>
        <w:t>Advances in Food Security and Sustainability</w:t>
      </w:r>
      <w:r>
        <w:rPr>
          <w:rFonts w:ascii="Times New Roman" w:eastAsia="SimSun" w:hAnsi="Times New Roman" w:cs="Times New Roman"/>
          <w:color w:val="222222"/>
          <w:sz w:val="24"/>
          <w:szCs w:val="24"/>
          <w:shd w:val="clear" w:color="auto" w:fill="FFFFFF"/>
        </w:rPr>
        <w:t> (Vol. 10, pp. 113-15</w:t>
      </w:r>
      <w:r>
        <w:rPr>
          <w:rFonts w:ascii="Times New Roman" w:eastAsia="SimSun" w:hAnsi="Times New Roman" w:cs="Times New Roman"/>
          <w:color w:val="222222"/>
          <w:sz w:val="24"/>
          <w:szCs w:val="24"/>
          <w:shd w:val="clear" w:color="auto" w:fill="FFFFFF"/>
        </w:rPr>
        <w:t>3). Elsevier.</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Azubuike</w:t>
      </w:r>
      <w:proofErr w:type="spellEnd"/>
      <w:r>
        <w:rPr>
          <w:rFonts w:ascii="Times New Roman" w:eastAsia="SimSun" w:hAnsi="Times New Roman" w:cs="Times New Roman"/>
          <w:color w:val="222222"/>
          <w:sz w:val="24"/>
          <w:szCs w:val="24"/>
          <w:shd w:val="clear" w:color="auto" w:fill="FFFFFF"/>
        </w:rPr>
        <w:t xml:space="preserve">, S. O., </w:t>
      </w:r>
      <w:proofErr w:type="spellStart"/>
      <w:r>
        <w:rPr>
          <w:rFonts w:ascii="Times New Roman" w:eastAsia="SimSun" w:hAnsi="Times New Roman" w:cs="Times New Roman"/>
          <w:color w:val="222222"/>
          <w:sz w:val="24"/>
          <w:szCs w:val="24"/>
          <w:shd w:val="clear" w:color="auto" w:fill="FFFFFF"/>
        </w:rPr>
        <w:t>Muirhead</w:t>
      </w:r>
      <w:proofErr w:type="spellEnd"/>
      <w:r>
        <w:rPr>
          <w:rFonts w:ascii="Times New Roman" w:eastAsia="SimSun" w:hAnsi="Times New Roman" w:cs="Times New Roman"/>
          <w:color w:val="222222"/>
          <w:sz w:val="24"/>
          <w:szCs w:val="24"/>
          <w:shd w:val="clear" w:color="auto" w:fill="FFFFFF"/>
        </w:rPr>
        <w:t>, C., Hayes, L. and McNally, R. (2018). Rising Global Burden of Breast Cancer: The Case of sub-Saharan Africa (with emphasis on Nigeria) and Implications for Regional Development: A Review. </w:t>
      </w:r>
      <w:r>
        <w:rPr>
          <w:rFonts w:ascii="Times New Roman" w:eastAsia="SimSun" w:hAnsi="Times New Roman" w:cs="Times New Roman"/>
          <w:i/>
          <w:iCs/>
          <w:color w:val="222222"/>
          <w:sz w:val="24"/>
          <w:szCs w:val="24"/>
          <w:shd w:val="clear" w:color="auto" w:fill="FFFFFF"/>
        </w:rPr>
        <w:t xml:space="preserve">World Journal of Surgical </w:t>
      </w:r>
      <w:r>
        <w:rPr>
          <w:rFonts w:ascii="Times New Roman" w:eastAsia="SimSun" w:hAnsi="Times New Roman" w:cs="Times New Roman"/>
          <w:i/>
          <w:iCs/>
          <w:color w:val="222222"/>
          <w:sz w:val="24"/>
          <w:szCs w:val="24"/>
          <w:shd w:val="clear" w:color="auto" w:fill="FFFFFF"/>
        </w:rPr>
        <w:t>Oncology</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16</w:t>
      </w:r>
      <w:r>
        <w:rPr>
          <w:rFonts w:ascii="Times New Roman" w:eastAsia="SimSun" w:hAnsi="Times New Roman" w:cs="Times New Roman"/>
          <w:color w:val="222222"/>
          <w:sz w:val="24"/>
          <w:szCs w:val="24"/>
          <w:shd w:val="clear" w:color="auto" w:fill="FFFFFF"/>
        </w:rPr>
        <w:t>(1), 63.</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Bawa</w:t>
      </w:r>
      <w:proofErr w:type="spellEnd"/>
      <w:r>
        <w:rPr>
          <w:rFonts w:ascii="Times New Roman" w:eastAsia="SimSun" w:hAnsi="Times New Roman" w:cs="Times New Roman"/>
          <w:color w:val="222222"/>
          <w:sz w:val="24"/>
          <w:szCs w:val="24"/>
          <w:shd w:val="clear" w:color="auto" w:fill="FFFFFF"/>
        </w:rPr>
        <w:t xml:space="preserve">, K. N. (2025). </w:t>
      </w:r>
      <w:proofErr w:type="spellStart"/>
      <w:r>
        <w:rPr>
          <w:rFonts w:ascii="Times New Roman" w:eastAsia="SimSun" w:hAnsi="Times New Roman" w:cs="Times New Roman"/>
          <w:color w:val="222222"/>
          <w:sz w:val="24"/>
          <w:szCs w:val="24"/>
          <w:shd w:val="clear" w:color="auto" w:fill="FFFFFF"/>
        </w:rPr>
        <w:t>Gbagyi</w:t>
      </w:r>
      <w:proofErr w:type="spellEnd"/>
      <w:r>
        <w:rPr>
          <w:rFonts w:ascii="Times New Roman" w:eastAsia="SimSun" w:hAnsi="Times New Roman" w:cs="Times New Roman"/>
          <w:color w:val="222222"/>
          <w:sz w:val="24"/>
          <w:szCs w:val="24"/>
          <w:shd w:val="clear" w:color="auto" w:fill="FFFFFF"/>
        </w:rPr>
        <w:t xml:space="preserve"> Nation and Her Quest for National Identity and Recognition. </w:t>
      </w:r>
      <w:proofErr w:type="spellStart"/>
      <w:r>
        <w:rPr>
          <w:rFonts w:ascii="Times New Roman" w:eastAsia="SimSun" w:hAnsi="Times New Roman" w:cs="Times New Roman"/>
          <w:i/>
          <w:iCs/>
          <w:color w:val="222222"/>
          <w:sz w:val="24"/>
          <w:szCs w:val="24"/>
          <w:shd w:val="clear" w:color="auto" w:fill="FFFFFF"/>
        </w:rPr>
        <w:t>Esut</w:t>
      </w:r>
      <w:proofErr w:type="spellEnd"/>
      <w:r>
        <w:rPr>
          <w:rFonts w:ascii="Times New Roman" w:eastAsia="SimSun" w:hAnsi="Times New Roman" w:cs="Times New Roman"/>
          <w:i/>
          <w:iCs/>
          <w:color w:val="222222"/>
          <w:sz w:val="24"/>
          <w:szCs w:val="24"/>
          <w:shd w:val="clear" w:color="auto" w:fill="FFFFFF"/>
        </w:rPr>
        <w:t xml:space="preserve"> Journal of Social Sciences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10</w:t>
      </w:r>
      <w:r>
        <w:rPr>
          <w:rFonts w:ascii="Times New Roman" w:eastAsia="SimSun" w:hAnsi="Times New Roman" w:cs="Times New Roman"/>
          <w:color w:val="222222"/>
          <w:sz w:val="24"/>
          <w:szCs w:val="24"/>
          <w:shd w:val="clear" w:color="auto" w:fill="FFFFFF"/>
        </w:rPr>
        <w:t>(2).</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Cohen, M. B. (2022). Bacterial, Viral, and Toxic Causes of Diarrhea, Gastroenteritis, and </w:t>
      </w:r>
      <w:proofErr w:type="spellStart"/>
      <w:r>
        <w:rPr>
          <w:rFonts w:ascii="Times New Roman" w:eastAsia="SimSun" w:hAnsi="Times New Roman" w:cs="Times New Roman"/>
          <w:color w:val="222222"/>
          <w:sz w:val="24"/>
          <w:szCs w:val="24"/>
          <w:shd w:val="clear" w:color="auto" w:fill="FFFFFF"/>
        </w:rPr>
        <w:t>Anorectal</w:t>
      </w:r>
      <w:proofErr w:type="spellEnd"/>
      <w:r>
        <w:rPr>
          <w:rFonts w:ascii="Times New Roman" w:eastAsia="SimSun" w:hAnsi="Times New Roman" w:cs="Times New Roman"/>
          <w:color w:val="222222"/>
          <w:sz w:val="24"/>
          <w:szCs w:val="24"/>
          <w:shd w:val="clear" w:color="auto" w:fill="FFFFFF"/>
        </w:rPr>
        <w:t xml:space="preserve"> Infect</w:t>
      </w:r>
      <w:r>
        <w:rPr>
          <w:rFonts w:ascii="Times New Roman" w:eastAsia="SimSun" w:hAnsi="Times New Roman" w:cs="Times New Roman"/>
          <w:color w:val="222222"/>
          <w:sz w:val="24"/>
          <w:szCs w:val="24"/>
          <w:shd w:val="clear" w:color="auto" w:fill="FFFFFF"/>
        </w:rPr>
        <w:t>ions. </w:t>
      </w:r>
      <w:r>
        <w:rPr>
          <w:rFonts w:ascii="Times New Roman" w:eastAsia="SimSun" w:hAnsi="Times New Roman" w:cs="Times New Roman"/>
          <w:i/>
          <w:iCs/>
          <w:color w:val="222222"/>
          <w:sz w:val="24"/>
          <w:szCs w:val="24"/>
          <w:shd w:val="clear" w:color="auto" w:fill="FFFFFF"/>
        </w:rPr>
        <w:t>Yamada's Textbook of Gastroenterology</w:t>
      </w:r>
      <w:r>
        <w:rPr>
          <w:rFonts w:ascii="Times New Roman" w:eastAsia="SimSun" w:hAnsi="Times New Roman" w:cs="Times New Roman"/>
          <w:color w:val="222222"/>
          <w:sz w:val="24"/>
          <w:szCs w:val="24"/>
          <w:shd w:val="clear" w:color="auto" w:fill="FFFFFF"/>
        </w:rPr>
        <w:t>, 2947-3005.</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Ekoh</w:t>
      </w:r>
      <w:proofErr w:type="spellEnd"/>
      <w:r>
        <w:rPr>
          <w:rFonts w:ascii="Times New Roman" w:eastAsia="SimSun" w:hAnsi="Times New Roman" w:cs="Times New Roman"/>
          <w:color w:val="222222"/>
          <w:sz w:val="24"/>
          <w:szCs w:val="24"/>
          <w:shd w:val="clear" w:color="auto" w:fill="FFFFFF"/>
        </w:rPr>
        <w:t xml:space="preserve">, P. C., </w:t>
      </w:r>
      <w:proofErr w:type="spellStart"/>
      <w:r>
        <w:rPr>
          <w:rFonts w:ascii="Times New Roman" w:eastAsia="SimSun" w:hAnsi="Times New Roman" w:cs="Times New Roman"/>
          <w:color w:val="222222"/>
          <w:sz w:val="24"/>
          <w:szCs w:val="24"/>
          <w:shd w:val="clear" w:color="auto" w:fill="FFFFFF"/>
        </w:rPr>
        <w:t>Okoye</w:t>
      </w:r>
      <w:proofErr w:type="spellEnd"/>
      <w:r>
        <w:rPr>
          <w:rFonts w:ascii="Times New Roman" w:eastAsia="SimSun" w:hAnsi="Times New Roman" w:cs="Times New Roman"/>
          <w:color w:val="222222"/>
          <w:sz w:val="24"/>
          <w:szCs w:val="24"/>
          <w:shd w:val="clear" w:color="auto" w:fill="FFFFFF"/>
        </w:rPr>
        <w:t xml:space="preserve">, U. O., George, E. O., </w:t>
      </w:r>
      <w:proofErr w:type="spellStart"/>
      <w:r>
        <w:rPr>
          <w:rFonts w:ascii="Times New Roman" w:eastAsia="SimSun" w:hAnsi="Times New Roman" w:cs="Times New Roman"/>
          <w:color w:val="222222"/>
          <w:sz w:val="24"/>
          <w:szCs w:val="24"/>
          <w:shd w:val="clear" w:color="auto" w:fill="FFFFFF"/>
        </w:rPr>
        <w:t>Chukwuemeka</w:t>
      </w:r>
      <w:proofErr w:type="spellEnd"/>
      <w:r>
        <w:rPr>
          <w:rFonts w:ascii="Times New Roman" w:eastAsia="SimSun" w:hAnsi="Times New Roman" w:cs="Times New Roman"/>
          <w:color w:val="222222"/>
          <w:sz w:val="24"/>
          <w:szCs w:val="24"/>
          <w:shd w:val="clear" w:color="auto" w:fill="FFFFFF"/>
        </w:rPr>
        <w:t xml:space="preserve">, E. and </w:t>
      </w:r>
      <w:proofErr w:type="spellStart"/>
      <w:r>
        <w:rPr>
          <w:rFonts w:ascii="Times New Roman" w:eastAsia="SimSun" w:hAnsi="Times New Roman" w:cs="Times New Roman"/>
          <w:color w:val="222222"/>
          <w:sz w:val="24"/>
          <w:szCs w:val="24"/>
          <w:shd w:val="clear" w:color="auto" w:fill="FFFFFF"/>
        </w:rPr>
        <w:t>Agbawodikeizu</w:t>
      </w:r>
      <w:proofErr w:type="spellEnd"/>
      <w:r>
        <w:rPr>
          <w:rFonts w:ascii="Times New Roman" w:eastAsia="SimSun" w:hAnsi="Times New Roman" w:cs="Times New Roman"/>
          <w:color w:val="222222"/>
          <w:sz w:val="24"/>
          <w:szCs w:val="24"/>
          <w:shd w:val="clear" w:color="auto" w:fill="FFFFFF"/>
        </w:rPr>
        <w:t>, P. U. (2023). Resettlement of Internally Displaced Persons (IDPs) in Nigeria: The Housing Problems facing IDPs in Abuja Ca</w:t>
      </w:r>
      <w:r>
        <w:rPr>
          <w:rFonts w:ascii="Times New Roman" w:eastAsia="SimSun" w:hAnsi="Times New Roman" w:cs="Times New Roman"/>
          <w:color w:val="222222"/>
          <w:sz w:val="24"/>
          <w:szCs w:val="24"/>
          <w:shd w:val="clear" w:color="auto" w:fill="FFFFFF"/>
        </w:rPr>
        <w:t>mps and the Risk of Homelessness and Secondary Displacement. </w:t>
      </w:r>
      <w:r>
        <w:rPr>
          <w:rFonts w:ascii="Times New Roman" w:eastAsia="SimSun" w:hAnsi="Times New Roman" w:cs="Times New Roman"/>
          <w:i/>
          <w:iCs/>
          <w:color w:val="222222"/>
          <w:sz w:val="24"/>
          <w:szCs w:val="24"/>
          <w:shd w:val="clear" w:color="auto" w:fill="FFFFFF"/>
        </w:rPr>
        <w:t>Journal of Social Distress and Homelessness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32</w:t>
      </w:r>
      <w:r>
        <w:rPr>
          <w:rFonts w:ascii="Times New Roman" w:eastAsia="SimSun" w:hAnsi="Times New Roman" w:cs="Times New Roman"/>
          <w:color w:val="222222"/>
          <w:sz w:val="24"/>
          <w:szCs w:val="24"/>
          <w:shd w:val="clear" w:color="auto" w:fill="FFFFFF"/>
        </w:rPr>
        <w:t>(2), 263-271.</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lastRenderedPageBreak/>
        <w:t>Fadipe</w:t>
      </w:r>
      <w:proofErr w:type="spellEnd"/>
      <w:r>
        <w:rPr>
          <w:rFonts w:ascii="Times New Roman" w:eastAsia="SimSun" w:hAnsi="Times New Roman" w:cs="Times New Roman"/>
          <w:color w:val="222222"/>
          <w:sz w:val="24"/>
          <w:szCs w:val="24"/>
          <w:shd w:val="clear" w:color="auto" w:fill="FFFFFF"/>
        </w:rPr>
        <w:t xml:space="preserve">, E. O. and </w:t>
      </w:r>
      <w:proofErr w:type="spellStart"/>
      <w:r>
        <w:rPr>
          <w:rFonts w:ascii="Times New Roman" w:eastAsia="SimSun" w:hAnsi="Times New Roman" w:cs="Times New Roman"/>
          <w:color w:val="222222"/>
          <w:sz w:val="24"/>
          <w:szCs w:val="24"/>
          <w:shd w:val="clear" w:color="auto" w:fill="FFFFFF"/>
        </w:rPr>
        <w:t>Hölzle</w:t>
      </w:r>
      <w:proofErr w:type="spellEnd"/>
      <w:r>
        <w:rPr>
          <w:rFonts w:ascii="Times New Roman" w:eastAsia="SimSun" w:hAnsi="Times New Roman" w:cs="Times New Roman"/>
          <w:color w:val="222222"/>
          <w:sz w:val="24"/>
          <w:szCs w:val="24"/>
          <w:shd w:val="clear" w:color="auto" w:fill="FFFFFF"/>
        </w:rPr>
        <w:t>, L. E. (2025). Phylogenetic Analysis and Public Health Implications of Salmonella Strains in Southwestern St</w:t>
      </w:r>
      <w:r>
        <w:rPr>
          <w:rFonts w:ascii="Times New Roman" w:eastAsia="SimSun" w:hAnsi="Times New Roman" w:cs="Times New Roman"/>
          <w:color w:val="222222"/>
          <w:sz w:val="24"/>
          <w:szCs w:val="24"/>
          <w:shd w:val="clear" w:color="auto" w:fill="FFFFFF"/>
        </w:rPr>
        <w:t xml:space="preserve">ates of Nigeria Using </w:t>
      </w:r>
      <w:proofErr w:type="spellStart"/>
      <w:r>
        <w:rPr>
          <w:rFonts w:ascii="Times New Roman" w:eastAsia="SimSun" w:hAnsi="Times New Roman" w:cs="Times New Roman"/>
          <w:color w:val="222222"/>
          <w:sz w:val="24"/>
          <w:szCs w:val="24"/>
          <w:shd w:val="clear" w:color="auto" w:fill="FFFFFF"/>
        </w:rPr>
        <w:t>InvA</w:t>
      </w:r>
      <w:proofErr w:type="spellEnd"/>
      <w:r>
        <w:rPr>
          <w:rFonts w:ascii="Times New Roman" w:eastAsia="SimSun" w:hAnsi="Times New Roman" w:cs="Times New Roman"/>
          <w:color w:val="222222"/>
          <w:sz w:val="24"/>
          <w:szCs w:val="24"/>
          <w:shd w:val="clear" w:color="auto" w:fill="FFFFFF"/>
        </w:rPr>
        <w:t xml:space="preserve"> Gene Sequences. </w:t>
      </w:r>
      <w:r>
        <w:rPr>
          <w:rFonts w:ascii="Times New Roman" w:eastAsia="SimSun" w:hAnsi="Times New Roman" w:cs="Times New Roman"/>
          <w:i/>
          <w:iCs/>
          <w:color w:val="222222"/>
          <w:sz w:val="24"/>
          <w:szCs w:val="24"/>
          <w:shd w:val="clear" w:color="auto" w:fill="FFFFFF"/>
        </w:rPr>
        <w:t>Animals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15</w:t>
      </w:r>
      <w:r>
        <w:rPr>
          <w:rFonts w:ascii="Times New Roman" w:eastAsia="SimSun" w:hAnsi="Times New Roman" w:cs="Times New Roman"/>
          <w:color w:val="222222"/>
          <w:sz w:val="24"/>
          <w:szCs w:val="24"/>
          <w:shd w:val="clear" w:color="auto" w:fill="FFFFFF"/>
        </w:rPr>
        <w:t>(23), 3399.</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Gambushe</w:t>
      </w:r>
      <w:proofErr w:type="spellEnd"/>
      <w:r>
        <w:rPr>
          <w:rFonts w:ascii="Times New Roman" w:eastAsia="SimSun" w:hAnsi="Times New Roman" w:cs="Times New Roman"/>
          <w:color w:val="222222"/>
          <w:sz w:val="24"/>
          <w:szCs w:val="24"/>
          <w:shd w:val="clear" w:color="auto" w:fill="FFFFFF"/>
        </w:rPr>
        <w:t xml:space="preserve">, S. M., </w:t>
      </w:r>
      <w:proofErr w:type="spellStart"/>
      <w:r>
        <w:rPr>
          <w:rFonts w:ascii="Times New Roman" w:eastAsia="SimSun" w:hAnsi="Times New Roman" w:cs="Times New Roman"/>
          <w:color w:val="222222"/>
          <w:sz w:val="24"/>
          <w:szCs w:val="24"/>
          <w:shd w:val="clear" w:color="auto" w:fill="FFFFFF"/>
        </w:rPr>
        <w:t>Zishiri</w:t>
      </w:r>
      <w:proofErr w:type="spellEnd"/>
      <w:r>
        <w:rPr>
          <w:rFonts w:ascii="Times New Roman" w:eastAsia="SimSun" w:hAnsi="Times New Roman" w:cs="Times New Roman"/>
          <w:color w:val="222222"/>
          <w:sz w:val="24"/>
          <w:szCs w:val="24"/>
          <w:shd w:val="clear" w:color="auto" w:fill="FFFFFF"/>
        </w:rPr>
        <w:t xml:space="preserve">, O. T. and El </w:t>
      </w:r>
      <w:proofErr w:type="spellStart"/>
      <w:r>
        <w:rPr>
          <w:rFonts w:ascii="Times New Roman" w:eastAsia="SimSun" w:hAnsi="Times New Roman" w:cs="Times New Roman"/>
          <w:color w:val="222222"/>
          <w:sz w:val="24"/>
          <w:szCs w:val="24"/>
          <w:shd w:val="clear" w:color="auto" w:fill="FFFFFF"/>
        </w:rPr>
        <w:t>Zowalaty</w:t>
      </w:r>
      <w:proofErr w:type="spellEnd"/>
      <w:r>
        <w:rPr>
          <w:rFonts w:ascii="Times New Roman" w:eastAsia="SimSun" w:hAnsi="Times New Roman" w:cs="Times New Roman"/>
          <w:color w:val="222222"/>
          <w:sz w:val="24"/>
          <w:szCs w:val="24"/>
          <w:shd w:val="clear" w:color="auto" w:fill="FFFFFF"/>
        </w:rPr>
        <w:t xml:space="preserve">, M. E. (2022). Review of </w:t>
      </w:r>
      <w:r>
        <w:rPr>
          <w:rFonts w:ascii="Times New Roman" w:eastAsia="SimSun" w:hAnsi="Times New Roman" w:cs="Times New Roman"/>
          <w:i/>
          <w:color w:val="222222"/>
          <w:sz w:val="24"/>
          <w:szCs w:val="24"/>
          <w:shd w:val="clear" w:color="auto" w:fill="FFFFFF"/>
        </w:rPr>
        <w:t>Escherichia coli</w:t>
      </w:r>
      <w:r>
        <w:rPr>
          <w:rFonts w:ascii="Times New Roman" w:eastAsia="SimSun" w:hAnsi="Times New Roman" w:cs="Times New Roman"/>
          <w:color w:val="222222"/>
          <w:sz w:val="24"/>
          <w:szCs w:val="24"/>
          <w:shd w:val="clear" w:color="auto" w:fill="FFFFFF"/>
        </w:rPr>
        <w:t xml:space="preserve"> O157: H7 Prevalence, Pathogenicity, Heavy Metal and Antimicrobial Resistance, African Perspective. </w:t>
      </w:r>
      <w:r>
        <w:rPr>
          <w:rFonts w:ascii="Times New Roman" w:eastAsia="SimSun" w:hAnsi="Times New Roman" w:cs="Times New Roman"/>
          <w:i/>
          <w:iCs/>
          <w:color w:val="222222"/>
          <w:sz w:val="24"/>
          <w:szCs w:val="24"/>
          <w:shd w:val="clear" w:color="auto" w:fill="FFFFFF"/>
        </w:rPr>
        <w:t>Infection and Drug Resistance</w:t>
      </w:r>
      <w:r>
        <w:rPr>
          <w:rFonts w:ascii="Times New Roman" w:eastAsia="SimSun" w:hAnsi="Times New Roman" w:cs="Times New Roman"/>
          <w:color w:val="222222"/>
          <w:sz w:val="24"/>
          <w:szCs w:val="24"/>
          <w:shd w:val="clear" w:color="auto" w:fill="FFFFFF"/>
        </w:rPr>
        <w:t>, 4645-4673.</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Grudlewska</w:t>
      </w:r>
      <w:proofErr w:type="spellEnd"/>
      <w:r>
        <w:rPr>
          <w:rFonts w:ascii="Times New Roman" w:eastAsia="SimSun" w:hAnsi="Times New Roman" w:cs="Times New Roman"/>
          <w:color w:val="222222"/>
          <w:sz w:val="24"/>
          <w:szCs w:val="24"/>
          <w:shd w:val="clear" w:color="auto" w:fill="FFFFFF"/>
        </w:rPr>
        <w:t xml:space="preserve">-Buda, K., </w:t>
      </w:r>
      <w:proofErr w:type="spellStart"/>
      <w:r>
        <w:rPr>
          <w:rFonts w:ascii="Times New Roman" w:eastAsia="SimSun" w:hAnsi="Times New Roman" w:cs="Times New Roman"/>
          <w:color w:val="222222"/>
          <w:sz w:val="24"/>
          <w:szCs w:val="24"/>
          <w:shd w:val="clear" w:color="auto" w:fill="FFFFFF"/>
        </w:rPr>
        <w:t>Bauza-Kaszewska</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Wiktorczyk-Kapischke</w:t>
      </w:r>
      <w:proofErr w:type="spellEnd"/>
      <w:r>
        <w:rPr>
          <w:rFonts w:ascii="Times New Roman" w:eastAsia="SimSun" w:hAnsi="Times New Roman" w:cs="Times New Roman"/>
          <w:color w:val="222222"/>
          <w:sz w:val="24"/>
          <w:szCs w:val="24"/>
          <w:shd w:val="clear" w:color="auto" w:fill="FFFFFF"/>
        </w:rPr>
        <w:t xml:space="preserve">, N., </w:t>
      </w:r>
      <w:proofErr w:type="spellStart"/>
      <w:r>
        <w:rPr>
          <w:rFonts w:ascii="Times New Roman" w:eastAsia="SimSun" w:hAnsi="Times New Roman" w:cs="Times New Roman"/>
          <w:color w:val="222222"/>
          <w:sz w:val="24"/>
          <w:szCs w:val="24"/>
          <w:shd w:val="clear" w:color="auto" w:fill="FFFFFF"/>
        </w:rPr>
        <w:t>Budzyńska</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Gospodarek-Komkowska</w:t>
      </w:r>
      <w:proofErr w:type="spellEnd"/>
      <w:r>
        <w:rPr>
          <w:rFonts w:ascii="Times New Roman" w:eastAsia="SimSun" w:hAnsi="Times New Roman" w:cs="Times New Roman"/>
          <w:color w:val="222222"/>
          <w:sz w:val="24"/>
          <w:szCs w:val="24"/>
          <w:shd w:val="clear" w:color="auto" w:fill="FFFFFF"/>
        </w:rPr>
        <w:t xml:space="preserve">, E. and </w:t>
      </w:r>
      <w:proofErr w:type="spellStart"/>
      <w:r>
        <w:rPr>
          <w:rFonts w:ascii="Times New Roman" w:eastAsia="SimSun" w:hAnsi="Times New Roman" w:cs="Times New Roman"/>
          <w:color w:val="222222"/>
          <w:sz w:val="24"/>
          <w:szCs w:val="24"/>
          <w:shd w:val="clear" w:color="auto" w:fill="FFFFFF"/>
        </w:rPr>
        <w:t>Skowron</w:t>
      </w:r>
      <w:proofErr w:type="spellEnd"/>
      <w:r>
        <w:rPr>
          <w:rFonts w:ascii="Times New Roman" w:eastAsia="SimSun" w:hAnsi="Times New Roman" w:cs="Times New Roman"/>
          <w:color w:val="222222"/>
          <w:sz w:val="24"/>
          <w:szCs w:val="24"/>
          <w:shd w:val="clear" w:color="auto" w:fill="FFFFFF"/>
        </w:rPr>
        <w:t>, K. (2023). Antibiotic Resistance in Selected Emerging Bacterial Foodborne Pathogens, An issu</w:t>
      </w:r>
      <w:r>
        <w:rPr>
          <w:rFonts w:ascii="Times New Roman" w:eastAsia="SimSun" w:hAnsi="Times New Roman" w:cs="Times New Roman"/>
          <w:color w:val="222222"/>
          <w:sz w:val="24"/>
          <w:szCs w:val="24"/>
          <w:shd w:val="clear" w:color="auto" w:fill="FFFFFF"/>
        </w:rPr>
        <w:t>e of Concern? </w:t>
      </w:r>
      <w:r>
        <w:rPr>
          <w:rFonts w:ascii="Times New Roman" w:eastAsia="SimSun" w:hAnsi="Times New Roman" w:cs="Times New Roman"/>
          <w:i/>
          <w:iCs/>
          <w:color w:val="222222"/>
          <w:sz w:val="24"/>
          <w:szCs w:val="24"/>
          <w:shd w:val="clear" w:color="auto" w:fill="FFFFFF"/>
        </w:rPr>
        <w:t>Antibiotics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(5), 880.</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Hassan, A. O., </w:t>
      </w:r>
      <w:proofErr w:type="spellStart"/>
      <w:r>
        <w:rPr>
          <w:rFonts w:ascii="Times New Roman" w:eastAsia="SimSun" w:hAnsi="Times New Roman" w:cs="Times New Roman"/>
          <w:color w:val="222222"/>
          <w:sz w:val="24"/>
          <w:szCs w:val="24"/>
          <w:shd w:val="clear" w:color="auto" w:fill="FFFFFF"/>
        </w:rPr>
        <w:t>Ojo</w:t>
      </w:r>
      <w:proofErr w:type="spellEnd"/>
      <w:r>
        <w:rPr>
          <w:rFonts w:ascii="Times New Roman" w:eastAsia="SimSun" w:hAnsi="Times New Roman" w:cs="Times New Roman"/>
          <w:color w:val="222222"/>
          <w:sz w:val="24"/>
          <w:szCs w:val="24"/>
          <w:shd w:val="clear" w:color="auto" w:fill="FFFFFF"/>
        </w:rPr>
        <w:t xml:space="preserve">, B. O. and </w:t>
      </w:r>
      <w:proofErr w:type="spellStart"/>
      <w:r>
        <w:rPr>
          <w:rFonts w:ascii="Times New Roman" w:eastAsia="SimSun" w:hAnsi="Times New Roman" w:cs="Times New Roman"/>
          <w:color w:val="222222"/>
          <w:sz w:val="24"/>
          <w:szCs w:val="24"/>
          <w:shd w:val="clear" w:color="auto" w:fill="FFFFFF"/>
        </w:rPr>
        <w:t>Abdulrahman</w:t>
      </w:r>
      <w:proofErr w:type="spellEnd"/>
      <w:r>
        <w:rPr>
          <w:rFonts w:ascii="Times New Roman" w:eastAsia="SimSun" w:hAnsi="Times New Roman" w:cs="Times New Roman"/>
          <w:color w:val="222222"/>
          <w:sz w:val="24"/>
          <w:szCs w:val="24"/>
          <w:shd w:val="clear" w:color="auto" w:fill="FFFFFF"/>
        </w:rPr>
        <w:t xml:space="preserve">, A. O. (2021). </w:t>
      </w:r>
      <w:r>
        <w:rPr>
          <w:rFonts w:ascii="Times New Roman" w:eastAsia="SimSun" w:hAnsi="Times New Roman" w:cs="Times New Roman"/>
          <w:i/>
          <w:color w:val="222222"/>
          <w:sz w:val="24"/>
          <w:szCs w:val="24"/>
          <w:shd w:val="clear" w:color="auto" w:fill="FFFFFF"/>
        </w:rPr>
        <w:t>Escherichia coli</w:t>
      </w:r>
      <w:r>
        <w:rPr>
          <w:rFonts w:ascii="Times New Roman" w:eastAsia="SimSun" w:hAnsi="Times New Roman" w:cs="Times New Roman"/>
          <w:color w:val="222222"/>
          <w:sz w:val="24"/>
          <w:szCs w:val="24"/>
          <w:shd w:val="clear" w:color="auto" w:fill="FFFFFF"/>
        </w:rPr>
        <w:t xml:space="preserve"> as a Global pathogen. </w:t>
      </w:r>
      <w:proofErr w:type="spellStart"/>
      <w:r>
        <w:rPr>
          <w:rFonts w:ascii="Times New Roman" w:eastAsia="SimSun" w:hAnsi="Times New Roman" w:cs="Times New Roman"/>
          <w:i/>
          <w:iCs/>
          <w:color w:val="222222"/>
          <w:sz w:val="24"/>
          <w:szCs w:val="24"/>
          <w:shd w:val="clear" w:color="auto" w:fill="FFFFFF"/>
        </w:rPr>
        <w:t>Funksec</w:t>
      </w:r>
      <w:proofErr w:type="spellEnd"/>
      <w:r>
        <w:rPr>
          <w:rFonts w:ascii="Times New Roman" w:eastAsia="SimSun" w:hAnsi="Times New Roman" w:cs="Times New Roman"/>
          <w:i/>
          <w:iCs/>
          <w:color w:val="222222"/>
          <w:sz w:val="24"/>
          <w:szCs w:val="24"/>
          <w:shd w:val="clear" w:color="auto" w:fill="FFFFFF"/>
        </w:rPr>
        <w:t xml:space="preserve"> here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3</w:t>
      </w:r>
      <w:r>
        <w:rPr>
          <w:rFonts w:ascii="Times New Roman" w:eastAsia="SimSun" w:hAnsi="Times New Roman" w:cs="Times New Roman"/>
          <w:color w:val="222222"/>
          <w:sz w:val="24"/>
          <w:szCs w:val="24"/>
          <w:shd w:val="clear" w:color="auto" w:fill="FFFFFF"/>
        </w:rPr>
        <w:t>(1), 239-260.</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Ibilewa</w:t>
      </w:r>
      <w:proofErr w:type="spellEnd"/>
      <w:r>
        <w:rPr>
          <w:rFonts w:ascii="Times New Roman" w:eastAsia="SimSun" w:hAnsi="Times New Roman" w:cs="Times New Roman"/>
          <w:color w:val="222222"/>
          <w:sz w:val="24"/>
          <w:szCs w:val="24"/>
          <w:shd w:val="clear" w:color="auto" w:fill="FFFFFF"/>
        </w:rPr>
        <w:t xml:space="preserve">, D. (2018). Vegetation and Wetland Resources Mapping in </w:t>
      </w:r>
      <w:proofErr w:type="spellStart"/>
      <w:r>
        <w:rPr>
          <w:rFonts w:ascii="Times New Roman" w:eastAsia="SimSun" w:hAnsi="Times New Roman" w:cs="Times New Roman"/>
          <w:color w:val="222222"/>
          <w:sz w:val="24"/>
          <w:szCs w:val="24"/>
          <w:shd w:val="clear" w:color="auto" w:fill="FFFFFF"/>
        </w:rPr>
        <w:t>Kuje</w:t>
      </w:r>
      <w:proofErr w:type="spellEnd"/>
      <w:r>
        <w:rPr>
          <w:rFonts w:ascii="Times New Roman" w:eastAsia="SimSun" w:hAnsi="Times New Roman" w:cs="Times New Roman"/>
          <w:color w:val="222222"/>
          <w:sz w:val="24"/>
          <w:szCs w:val="24"/>
          <w:shd w:val="clear" w:color="auto" w:fill="FFFFFF"/>
        </w:rPr>
        <w:t xml:space="preserve"> Area Council, Federal</w:t>
      </w:r>
      <w:r>
        <w:rPr>
          <w:rFonts w:ascii="Times New Roman" w:eastAsia="SimSun" w:hAnsi="Times New Roman" w:cs="Times New Roman"/>
          <w:color w:val="222222"/>
          <w:sz w:val="24"/>
          <w:szCs w:val="24"/>
          <w:shd w:val="clear" w:color="auto" w:fill="FFFFFF"/>
        </w:rPr>
        <w:t xml:space="preserve"> Capital Territory (FCT), Abuja, Nigeria. </w:t>
      </w:r>
      <w:r>
        <w:rPr>
          <w:rFonts w:ascii="Times New Roman" w:eastAsia="SimSun" w:hAnsi="Times New Roman" w:cs="Times New Roman"/>
          <w:i/>
          <w:iCs/>
          <w:color w:val="222222"/>
          <w:sz w:val="24"/>
          <w:szCs w:val="24"/>
          <w:shd w:val="clear" w:color="auto" w:fill="FFFFFF"/>
        </w:rPr>
        <w:t>Ethiopian Journal of Environmental Studies &amp; Management</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11</w:t>
      </w:r>
      <w:r>
        <w:rPr>
          <w:rFonts w:ascii="Times New Roman" w:eastAsia="SimSun" w:hAnsi="Times New Roman" w:cs="Times New Roman"/>
          <w:color w:val="222222"/>
          <w:sz w:val="24"/>
          <w:szCs w:val="24"/>
          <w:shd w:val="clear" w:color="auto" w:fill="FFFFFF"/>
        </w:rPr>
        <w:t>(3).</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Ison</w:t>
      </w:r>
      <w:proofErr w:type="spellEnd"/>
      <w:r>
        <w:rPr>
          <w:rFonts w:ascii="Times New Roman" w:eastAsia="SimSun" w:hAnsi="Times New Roman" w:cs="Times New Roman"/>
          <w:color w:val="222222"/>
          <w:sz w:val="24"/>
          <w:szCs w:val="24"/>
          <w:shd w:val="clear" w:color="auto" w:fill="FFFFFF"/>
        </w:rPr>
        <w:t xml:space="preserve">, S. A. (2016). Antibiotic Resistant </w:t>
      </w:r>
      <w:r>
        <w:rPr>
          <w:rFonts w:ascii="Times New Roman" w:eastAsia="SimSun" w:hAnsi="Times New Roman" w:cs="Times New Roman"/>
          <w:i/>
          <w:iCs/>
          <w:color w:val="222222"/>
          <w:sz w:val="24"/>
          <w:szCs w:val="24"/>
          <w:shd w:val="clear" w:color="auto" w:fill="FFFFFF"/>
        </w:rPr>
        <w:t xml:space="preserve">Escherichia coli </w:t>
      </w:r>
      <w:r>
        <w:rPr>
          <w:rFonts w:ascii="Times New Roman" w:eastAsia="SimSun" w:hAnsi="Times New Roman" w:cs="Times New Roman"/>
          <w:color w:val="222222"/>
          <w:sz w:val="24"/>
          <w:szCs w:val="24"/>
          <w:shd w:val="clear" w:color="auto" w:fill="FFFFFF"/>
        </w:rPr>
        <w:t xml:space="preserve">and </w:t>
      </w:r>
      <w:r>
        <w:rPr>
          <w:rFonts w:ascii="Times New Roman" w:eastAsia="SimSun" w:hAnsi="Times New Roman" w:cs="Times New Roman"/>
          <w:i/>
          <w:iCs/>
          <w:color w:val="222222"/>
          <w:sz w:val="24"/>
          <w:szCs w:val="24"/>
          <w:shd w:val="clear" w:color="auto" w:fill="FFFFFF"/>
        </w:rPr>
        <w:t xml:space="preserve">Salmonella </w:t>
      </w:r>
      <w:proofErr w:type="spellStart"/>
      <w:r>
        <w:rPr>
          <w:rFonts w:ascii="Times New Roman" w:eastAsia="SimSun" w:hAnsi="Times New Roman" w:cs="Times New Roman"/>
          <w:i/>
          <w:iCs/>
          <w:color w:val="222222"/>
          <w:sz w:val="24"/>
          <w:szCs w:val="24"/>
          <w:shd w:val="clear" w:color="auto" w:fill="FFFFFF"/>
        </w:rPr>
        <w:t>enterica</w:t>
      </w:r>
      <w:proofErr w:type="spellEnd"/>
      <w:r>
        <w:rPr>
          <w:rFonts w:ascii="Times New Roman" w:eastAsia="SimSun" w:hAnsi="Times New Roman" w:cs="Times New Roman"/>
          <w:i/>
          <w:iCs/>
          <w:color w:val="222222"/>
          <w:sz w:val="24"/>
          <w:szCs w:val="24"/>
          <w:shd w:val="clear" w:color="auto" w:fill="FFFFFF"/>
        </w:rPr>
        <w:t>,</w:t>
      </w:r>
      <w:r>
        <w:rPr>
          <w:rFonts w:ascii="Times New Roman" w:eastAsia="SimSun" w:hAnsi="Times New Roman" w:cs="Times New Roman"/>
          <w:color w:val="222222"/>
          <w:sz w:val="24"/>
          <w:szCs w:val="24"/>
          <w:shd w:val="clear" w:color="auto" w:fill="FFFFFF"/>
        </w:rPr>
        <w:t xml:space="preserve"> and the Characterization of </w:t>
      </w:r>
      <w:r>
        <w:rPr>
          <w:rFonts w:ascii="Times New Roman" w:eastAsia="SimSun" w:hAnsi="Times New Roman" w:cs="Times New Roman"/>
          <w:i/>
          <w:iCs/>
          <w:color w:val="222222"/>
          <w:sz w:val="24"/>
          <w:szCs w:val="24"/>
          <w:shd w:val="clear" w:color="auto" w:fill="FFFFFF"/>
        </w:rPr>
        <w:t xml:space="preserve">E. coli </w:t>
      </w:r>
      <w:r>
        <w:rPr>
          <w:rFonts w:ascii="Times New Roman" w:eastAsia="SimSun" w:hAnsi="Times New Roman" w:cs="Times New Roman"/>
          <w:color w:val="222222"/>
          <w:sz w:val="24"/>
          <w:szCs w:val="24"/>
          <w:shd w:val="clear" w:color="auto" w:fill="FFFFFF"/>
        </w:rPr>
        <w:t>O26 recovered from Bovine Fece</w:t>
      </w:r>
      <w:r>
        <w:rPr>
          <w:rFonts w:ascii="Times New Roman" w:eastAsia="SimSun" w:hAnsi="Times New Roman" w:cs="Times New Roman"/>
          <w:color w:val="222222"/>
          <w:sz w:val="24"/>
          <w:szCs w:val="24"/>
          <w:shd w:val="clear" w:color="auto" w:fill="FFFFFF"/>
        </w:rPr>
        <w:t>s.</w:t>
      </w: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Joseph, A., </w:t>
      </w:r>
      <w:proofErr w:type="spellStart"/>
      <w:r>
        <w:rPr>
          <w:rFonts w:ascii="Times New Roman" w:eastAsia="SimSun" w:hAnsi="Times New Roman" w:cs="Times New Roman"/>
          <w:color w:val="222222"/>
          <w:sz w:val="24"/>
          <w:szCs w:val="24"/>
          <w:shd w:val="clear" w:color="auto" w:fill="FFFFFF"/>
        </w:rPr>
        <w:t>Cointe</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Mariani</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Kurkdjian</w:t>
      </w:r>
      <w:proofErr w:type="spellEnd"/>
      <w:r>
        <w:rPr>
          <w:rFonts w:ascii="Times New Roman" w:eastAsia="SimSun" w:hAnsi="Times New Roman" w:cs="Times New Roman"/>
          <w:color w:val="222222"/>
          <w:sz w:val="24"/>
          <w:szCs w:val="24"/>
          <w:shd w:val="clear" w:color="auto" w:fill="FFFFFF"/>
        </w:rPr>
        <w:t xml:space="preserve">, P., </w:t>
      </w:r>
      <w:proofErr w:type="spellStart"/>
      <w:r>
        <w:rPr>
          <w:rFonts w:ascii="Times New Roman" w:eastAsia="SimSun" w:hAnsi="Times New Roman" w:cs="Times New Roman"/>
          <w:color w:val="222222"/>
          <w:sz w:val="24"/>
          <w:szCs w:val="24"/>
          <w:shd w:val="clear" w:color="auto" w:fill="FFFFFF"/>
        </w:rPr>
        <w:t>Rafat</w:t>
      </w:r>
      <w:proofErr w:type="spellEnd"/>
      <w:r>
        <w:rPr>
          <w:rFonts w:ascii="Times New Roman" w:eastAsia="SimSun" w:hAnsi="Times New Roman" w:cs="Times New Roman"/>
          <w:color w:val="222222"/>
          <w:sz w:val="24"/>
          <w:szCs w:val="24"/>
          <w:shd w:val="clear" w:color="auto" w:fill="FFFFFF"/>
        </w:rPr>
        <w:t xml:space="preserve">, C. and </w:t>
      </w:r>
      <w:proofErr w:type="spellStart"/>
      <w:r>
        <w:rPr>
          <w:rFonts w:ascii="Times New Roman" w:eastAsia="SimSun" w:hAnsi="Times New Roman" w:cs="Times New Roman"/>
          <w:color w:val="222222"/>
          <w:sz w:val="24"/>
          <w:szCs w:val="24"/>
          <w:shd w:val="clear" w:color="auto" w:fill="FFFFFF"/>
        </w:rPr>
        <w:t>Hertig</w:t>
      </w:r>
      <w:proofErr w:type="spellEnd"/>
      <w:r>
        <w:rPr>
          <w:rFonts w:ascii="Times New Roman" w:eastAsia="SimSun" w:hAnsi="Times New Roman" w:cs="Times New Roman"/>
          <w:color w:val="222222"/>
          <w:sz w:val="24"/>
          <w:szCs w:val="24"/>
          <w:shd w:val="clear" w:color="auto" w:fill="FFFFFF"/>
        </w:rPr>
        <w:t>, A. (2020). Shiga toxin-associated hemolytic Uremic Syndrome: A Narrative Review. </w:t>
      </w:r>
      <w:r>
        <w:rPr>
          <w:rFonts w:ascii="Times New Roman" w:eastAsia="SimSun" w:hAnsi="Times New Roman" w:cs="Times New Roman"/>
          <w:i/>
          <w:iCs/>
          <w:color w:val="222222"/>
          <w:sz w:val="24"/>
          <w:szCs w:val="24"/>
          <w:shd w:val="clear" w:color="auto" w:fill="FFFFFF"/>
        </w:rPr>
        <w:t>Toxins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(2), 67.</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Joseph, A., </w:t>
      </w:r>
      <w:proofErr w:type="spellStart"/>
      <w:r>
        <w:rPr>
          <w:rFonts w:ascii="Times New Roman" w:eastAsia="SimSun" w:hAnsi="Times New Roman" w:cs="Times New Roman"/>
          <w:color w:val="222222"/>
          <w:sz w:val="24"/>
          <w:szCs w:val="24"/>
          <w:shd w:val="clear" w:color="auto" w:fill="FFFFFF"/>
        </w:rPr>
        <w:t>Cointe</w:t>
      </w:r>
      <w:proofErr w:type="spellEnd"/>
      <w:r>
        <w:rPr>
          <w:rFonts w:ascii="Times New Roman" w:eastAsia="SimSun" w:hAnsi="Times New Roman" w:cs="Times New Roman"/>
          <w:color w:val="222222"/>
          <w:sz w:val="24"/>
          <w:szCs w:val="24"/>
          <w:shd w:val="clear" w:color="auto" w:fill="FFFFFF"/>
        </w:rPr>
        <w:t xml:space="preserve">, A., </w:t>
      </w:r>
      <w:proofErr w:type="spellStart"/>
      <w:r>
        <w:rPr>
          <w:rFonts w:ascii="Times New Roman" w:eastAsia="SimSun" w:hAnsi="Times New Roman" w:cs="Times New Roman"/>
          <w:color w:val="222222"/>
          <w:sz w:val="24"/>
          <w:szCs w:val="24"/>
          <w:shd w:val="clear" w:color="auto" w:fill="FFFFFF"/>
        </w:rPr>
        <w:t>Mariani</w:t>
      </w:r>
      <w:proofErr w:type="spellEnd"/>
      <w:r>
        <w:rPr>
          <w:rFonts w:ascii="Times New Roman" w:eastAsia="SimSun" w:hAnsi="Times New Roman" w:cs="Times New Roman"/>
          <w:color w:val="222222"/>
          <w:sz w:val="24"/>
          <w:szCs w:val="24"/>
          <w:shd w:val="clear" w:color="auto" w:fill="FFFFFF"/>
        </w:rPr>
        <w:t xml:space="preserve"> </w:t>
      </w:r>
      <w:proofErr w:type="spellStart"/>
      <w:r>
        <w:rPr>
          <w:rFonts w:ascii="Times New Roman" w:eastAsia="SimSun" w:hAnsi="Times New Roman" w:cs="Times New Roman"/>
          <w:color w:val="222222"/>
          <w:sz w:val="24"/>
          <w:szCs w:val="24"/>
          <w:shd w:val="clear" w:color="auto" w:fill="FFFFFF"/>
        </w:rPr>
        <w:t>Kurkdjian</w:t>
      </w:r>
      <w:proofErr w:type="spellEnd"/>
      <w:r>
        <w:rPr>
          <w:rFonts w:ascii="Times New Roman" w:eastAsia="SimSun" w:hAnsi="Times New Roman" w:cs="Times New Roman"/>
          <w:color w:val="222222"/>
          <w:sz w:val="24"/>
          <w:szCs w:val="24"/>
          <w:shd w:val="clear" w:color="auto" w:fill="FFFFFF"/>
        </w:rPr>
        <w:t xml:space="preserve">, P., </w:t>
      </w:r>
      <w:proofErr w:type="spellStart"/>
      <w:r>
        <w:rPr>
          <w:rFonts w:ascii="Times New Roman" w:eastAsia="SimSun" w:hAnsi="Times New Roman" w:cs="Times New Roman"/>
          <w:color w:val="222222"/>
          <w:sz w:val="24"/>
          <w:szCs w:val="24"/>
          <w:shd w:val="clear" w:color="auto" w:fill="FFFFFF"/>
        </w:rPr>
        <w:t>Rafat</w:t>
      </w:r>
      <w:proofErr w:type="spellEnd"/>
      <w:r>
        <w:rPr>
          <w:rFonts w:ascii="Times New Roman" w:eastAsia="SimSun" w:hAnsi="Times New Roman" w:cs="Times New Roman"/>
          <w:color w:val="222222"/>
          <w:sz w:val="24"/>
          <w:szCs w:val="24"/>
          <w:shd w:val="clear" w:color="auto" w:fill="FFFFFF"/>
        </w:rPr>
        <w:t xml:space="preserve">, C. and </w:t>
      </w:r>
      <w:proofErr w:type="spellStart"/>
      <w:r>
        <w:rPr>
          <w:rFonts w:ascii="Times New Roman" w:eastAsia="SimSun" w:hAnsi="Times New Roman" w:cs="Times New Roman"/>
          <w:color w:val="222222"/>
          <w:sz w:val="24"/>
          <w:szCs w:val="24"/>
          <w:shd w:val="clear" w:color="auto" w:fill="FFFFFF"/>
        </w:rPr>
        <w:t>Hertig</w:t>
      </w:r>
      <w:proofErr w:type="spellEnd"/>
      <w:r>
        <w:rPr>
          <w:rFonts w:ascii="Times New Roman" w:eastAsia="SimSun" w:hAnsi="Times New Roman" w:cs="Times New Roman"/>
          <w:color w:val="222222"/>
          <w:sz w:val="24"/>
          <w:szCs w:val="24"/>
          <w:shd w:val="clear" w:color="auto" w:fill="FFFFFF"/>
        </w:rPr>
        <w:t xml:space="preserve">, A. (2020). </w:t>
      </w:r>
      <w:r>
        <w:rPr>
          <w:rFonts w:ascii="Times New Roman" w:eastAsia="SimSun" w:hAnsi="Times New Roman" w:cs="Times New Roman"/>
          <w:color w:val="222222"/>
          <w:sz w:val="24"/>
          <w:szCs w:val="24"/>
          <w:shd w:val="clear" w:color="auto" w:fill="FFFFFF"/>
        </w:rPr>
        <w:t>Shiga toxin-associated Hemolytic Uremic Syndrome: A Narrative Review. </w:t>
      </w:r>
      <w:r>
        <w:rPr>
          <w:rFonts w:ascii="Times New Roman" w:eastAsia="SimSun" w:hAnsi="Times New Roman" w:cs="Times New Roman"/>
          <w:i/>
          <w:iCs/>
          <w:color w:val="222222"/>
          <w:sz w:val="24"/>
          <w:szCs w:val="24"/>
          <w:shd w:val="clear" w:color="auto" w:fill="FFFFFF"/>
        </w:rPr>
        <w:t>Toxins</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12</w:t>
      </w:r>
      <w:r>
        <w:rPr>
          <w:rFonts w:ascii="Times New Roman" w:eastAsia="SimSun" w:hAnsi="Times New Roman" w:cs="Times New Roman"/>
          <w:color w:val="222222"/>
          <w:sz w:val="24"/>
          <w:szCs w:val="24"/>
          <w:shd w:val="clear" w:color="auto" w:fill="FFFFFF"/>
        </w:rPr>
        <w:t>(2), 67.</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Madu</w:t>
      </w:r>
      <w:proofErr w:type="spellEnd"/>
      <w:r>
        <w:rPr>
          <w:rFonts w:ascii="Times New Roman" w:eastAsia="SimSun" w:hAnsi="Times New Roman" w:cs="Times New Roman"/>
          <w:color w:val="222222"/>
          <w:sz w:val="24"/>
          <w:szCs w:val="24"/>
          <w:shd w:val="clear" w:color="auto" w:fill="FFFFFF"/>
        </w:rPr>
        <w:t>, A. O. (2023). </w:t>
      </w:r>
      <w:r>
        <w:rPr>
          <w:rFonts w:ascii="Times New Roman" w:eastAsia="SimSun" w:hAnsi="Times New Roman" w:cs="Times New Roman"/>
          <w:i/>
          <w:iCs/>
          <w:color w:val="222222"/>
          <w:sz w:val="24"/>
          <w:szCs w:val="24"/>
          <w:shd w:val="clear" w:color="auto" w:fill="FFFFFF"/>
        </w:rPr>
        <w:t xml:space="preserve">Impact of Urban Flooding on parts of </w:t>
      </w:r>
      <w:proofErr w:type="spellStart"/>
      <w:r>
        <w:rPr>
          <w:rFonts w:ascii="Times New Roman" w:eastAsia="SimSun" w:hAnsi="Times New Roman" w:cs="Times New Roman"/>
          <w:i/>
          <w:iCs/>
          <w:color w:val="222222"/>
          <w:sz w:val="24"/>
          <w:szCs w:val="24"/>
          <w:shd w:val="clear" w:color="auto" w:fill="FFFFFF"/>
        </w:rPr>
        <w:t>Bwari</w:t>
      </w:r>
      <w:proofErr w:type="spellEnd"/>
      <w:r>
        <w:rPr>
          <w:rFonts w:ascii="Times New Roman" w:eastAsia="SimSun" w:hAnsi="Times New Roman" w:cs="Times New Roman"/>
          <w:i/>
          <w:iCs/>
          <w:color w:val="222222"/>
          <w:sz w:val="24"/>
          <w:szCs w:val="24"/>
          <w:shd w:val="clear" w:color="auto" w:fill="FFFFFF"/>
        </w:rPr>
        <w:t xml:space="preserve"> Area Council, Federal Capital Territory (FCT), Abuja, Nigeria</w:t>
      </w:r>
      <w:r>
        <w:rPr>
          <w:rFonts w:ascii="Times New Roman" w:eastAsia="SimSun" w:hAnsi="Times New Roman" w:cs="Times New Roman"/>
          <w:color w:val="222222"/>
          <w:sz w:val="24"/>
          <w:szCs w:val="24"/>
          <w:shd w:val="clear" w:color="auto" w:fill="FFFFFF"/>
        </w:rPr>
        <w:t> (Doctoral Dissertation).</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Meng</w:t>
      </w:r>
      <w:proofErr w:type="spellEnd"/>
      <w:r>
        <w:rPr>
          <w:rFonts w:ascii="Times New Roman" w:eastAsia="SimSun" w:hAnsi="Times New Roman" w:cs="Times New Roman"/>
          <w:color w:val="222222"/>
          <w:sz w:val="24"/>
          <w:szCs w:val="24"/>
          <w:shd w:val="clear" w:color="auto" w:fill="FFFFFF"/>
        </w:rPr>
        <w:t xml:space="preserve">, J., </w:t>
      </w:r>
      <w:proofErr w:type="spellStart"/>
      <w:r>
        <w:rPr>
          <w:rFonts w:ascii="Times New Roman" w:eastAsia="SimSun" w:hAnsi="Times New Roman" w:cs="Times New Roman"/>
          <w:color w:val="222222"/>
          <w:sz w:val="24"/>
          <w:szCs w:val="24"/>
          <w:shd w:val="clear" w:color="auto" w:fill="FFFFFF"/>
        </w:rPr>
        <w:t>LeJeu</w:t>
      </w:r>
      <w:r>
        <w:rPr>
          <w:rFonts w:ascii="Times New Roman" w:eastAsia="SimSun" w:hAnsi="Times New Roman" w:cs="Times New Roman"/>
          <w:color w:val="222222"/>
          <w:sz w:val="24"/>
          <w:szCs w:val="24"/>
          <w:shd w:val="clear" w:color="auto" w:fill="FFFFFF"/>
        </w:rPr>
        <w:t>ne</w:t>
      </w:r>
      <w:proofErr w:type="spellEnd"/>
      <w:r>
        <w:rPr>
          <w:rFonts w:ascii="Times New Roman" w:eastAsia="SimSun" w:hAnsi="Times New Roman" w:cs="Times New Roman"/>
          <w:color w:val="222222"/>
          <w:sz w:val="24"/>
          <w:szCs w:val="24"/>
          <w:shd w:val="clear" w:color="auto" w:fill="FFFFFF"/>
        </w:rPr>
        <w:t xml:space="preserve">, J. T., Zhao, T. and Doyle, M. P. (2012). </w:t>
      </w:r>
      <w:proofErr w:type="spellStart"/>
      <w:r>
        <w:rPr>
          <w:rFonts w:ascii="Times New Roman" w:eastAsia="SimSun" w:hAnsi="Times New Roman" w:cs="Times New Roman"/>
          <w:color w:val="222222"/>
          <w:sz w:val="24"/>
          <w:szCs w:val="24"/>
          <w:shd w:val="clear" w:color="auto" w:fill="FFFFFF"/>
        </w:rPr>
        <w:t>Enterohemorrhagic</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iCs/>
          <w:color w:val="222222"/>
          <w:sz w:val="24"/>
          <w:szCs w:val="24"/>
          <w:shd w:val="clear" w:color="auto" w:fill="FFFFFF"/>
        </w:rPr>
        <w:t>Escherichia coli.</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Food microbiology: Fundamentals and Frontiers</w:t>
      </w:r>
      <w:r>
        <w:rPr>
          <w:rFonts w:ascii="Times New Roman" w:eastAsia="SimSun" w:hAnsi="Times New Roman" w:cs="Times New Roman"/>
          <w:color w:val="222222"/>
          <w:sz w:val="24"/>
          <w:szCs w:val="24"/>
          <w:shd w:val="clear" w:color="auto" w:fill="FFFFFF"/>
        </w:rPr>
        <w:t>, 287-309.</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Naidoo</w:t>
      </w:r>
      <w:proofErr w:type="spellEnd"/>
      <w:r>
        <w:rPr>
          <w:rFonts w:ascii="Times New Roman" w:eastAsia="SimSun" w:hAnsi="Times New Roman" w:cs="Times New Roman"/>
          <w:color w:val="222222"/>
          <w:sz w:val="24"/>
          <w:szCs w:val="24"/>
          <w:shd w:val="clear" w:color="auto" w:fill="FFFFFF"/>
        </w:rPr>
        <w:t xml:space="preserve">, N. and </w:t>
      </w:r>
      <w:proofErr w:type="spellStart"/>
      <w:r>
        <w:rPr>
          <w:rFonts w:ascii="Times New Roman" w:eastAsia="SimSun" w:hAnsi="Times New Roman" w:cs="Times New Roman"/>
          <w:color w:val="222222"/>
          <w:sz w:val="24"/>
          <w:szCs w:val="24"/>
          <w:shd w:val="clear" w:color="auto" w:fill="FFFFFF"/>
        </w:rPr>
        <w:t>Zishiri</w:t>
      </w:r>
      <w:proofErr w:type="spellEnd"/>
      <w:r>
        <w:rPr>
          <w:rFonts w:ascii="Times New Roman" w:eastAsia="SimSun" w:hAnsi="Times New Roman" w:cs="Times New Roman"/>
          <w:color w:val="222222"/>
          <w:sz w:val="24"/>
          <w:szCs w:val="24"/>
          <w:shd w:val="clear" w:color="auto" w:fill="FFFFFF"/>
        </w:rPr>
        <w:t xml:space="preserve">, O. T. (2025). Presence, Pathogenicity, Antibiotic Resistance, and Virulence Factors of </w:t>
      </w:r>
      <w:r>
        <w:rPr>
          <w:rFonts w:ascii="Times New Roman" w:eastAsia="SimSun" w:hAnsi="Times New Roman" w:cs="Times New Roman"/>
          <w:i/>
          <w:iCs/>
          <w:color w:val="222222"/>
          <w:sz w:val="24"/>
          <w:szCs w:val="24"/>
          <w:shd w:val="clear" w:color="auto" w:fill="FFFFFF"/>
        </w:rPr>
        <w:t>Escheri</w:t>
      </w:r>
      <w:r>
        <w:rPr>
          <w:rFonts w:ascii="Times New Roman" w:eastAsia="SimSun" w:hAnsi="Times New Roman" w:cs="Times New Roman"/>
          <w:i/>
          <w:iCs/>
          <w:color w:val="222222"/>
          <w:sz w:val="24"/>
          <w:szCs w:val="24"/>
          <w:shd w:val="clear" w:color="auto" w:fill="FFFFFF"/>
        </w:rPr>
        <w:t>chia coli</w:t>
      </w:r>
      <w:r>
        <w:rPr>
          <w:rFonts w:ascii="Times New Roman" w:eastAsia="SimSun" w:hAnsi="Times New Roman" w:cs="Times New Roman"/>
          <w:color w:val="222222"/>
          <w:sz w:val="24"/>
          <w:szCs w:val="24"/>
          <w:shd w:val="clear" w:color="auto" w:fill="FFFFFF"/>
        </w:rPr>
        <w:t>: a review. </w:t>
      </w:r>
      <w:r>
        <w:rPr>
          <w:rFonts w:ascii="Times New Roman" w:eastAsia="SimSun" w:hAnsi="Times New Roman" w:cs="Times New Roman"/>
          <w:i/>
          <w:iCs/>
          <w:color w:val="222222"/>
          <w:sz w:val="24"/>
          <w:szCs w:val="24"/>
          <w:shd w:val="clear" w:color="auto" w:fill="FFFFFF"/>
        </w:rPr>
        <w:t>Bacteria</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4</w:t>
      </w:r>
      <w:r>
        <w:rPr>
          <w:rFonts w:ascii="Times New Roman" w:eastAsia="SimSun" w:hAnsi="Times New Roman" w:cs="Times New Roman"/>
          <w:color w:val="222222"/>
          <w:sz w:val="24"/>
          <w:szCs w:val="24"/>
          <w:shd w:val="clear" w:color="auto" w:fill="FFFFFF"/>
        </w:rPr>
        <w:t>(1), 16.</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 xml:space="preserve">Riley, L. W. (2020). Distinguishing </w:t>
      </w:r>
      <w:proofErr w:type="spellStart"/>
      <w:r>
        <w:rPr>
          <w:rFonts w:ascii="Times New Roman" w:eastAsia="SimSun" w:hAnsi="Times New Roman" w:cs="Times New Roman"/>
          <w:color w:val="222222"/>
          <w:sz w:val="24"/>
          <w:szCs w:val="24"/>
          <w:shd w:val="clear" w:color="auto" w:fill="FFFFFF"/>
        </w:rPr>
        <w:t>Pathovars</w:t>
      </w:r>
      <w:proofErr w:type="spellEnd"/>
      <w:r>
        <w:rPr>
          <w:rFonts w:ascii="Times New Roman" w:eastAsia="SimSun" w:hAnsi="Times New Roman" w:cs="Times New Roman"/>
          <w:color w:val="222222"/>
          <w:sz w:val="24"/>
          <w:szCs w:val="24"/>
          <w:shd w:val="clear" w:color="auto" w:fill="FFFFFF"/>
        </w:rPr>
        <w:t xml:space="preserve"> from </w:t>
      </w:r>
      <w:proofErr w:type="spellStart"/>
      <w:r>
        <w:rPr>
          <w:rFonts w:ascii="Times New Roman" w:eastAsia="SimSun" w:hAnsi="Times New Roman" w:cs="Times New Roman"/>
          <w:color w:val="222222"/>
          <w:sz w:val="24"/>
          <w:szCs w:val="24"/>
          <w:shd w:val="clear" w:color="auto" w:fill="FFFFFF"/>
        </w:rPr>
        <w:t>Nonpathovars</w:t>
      </w:r>
      <w:proofErr w:type="spellEnd"/>
      <w:r>
        <w:rPr>
          <w:rFonts w:ascii="Times New Roman" w:eastAsia="SimSun" w:hAnsi="Times New Roman" w:cs="Times New Roman"/>
          <w:color w:val="222222"/>
          <w:sz w:val="24"/>
          <w:szCs w:val="24"/>
          <w:shd w:val="clear" w:color="auto" w:fill="FFFFFF"/>
        </w:rPr>
        <w:t xml:space="preserve">: </w:t>
      </w:r>
      <w:r>
        <w:rPr>
          <w:rFonts w:ascii="Times New Roman" w:eastAsia="SimSun" w:hAnsi="Times New Roman" w:cs="Times New Roman"/>
          <w:i/>
          <w:color w:val="222222"/>
          <w:sz w:val="24"/>
          <w:szCs w:val="24"/>
          <w:shd w:val="clear" w:color="auto" w:fill="FFFFFF"/>
        </w:rPr>
        <w:t>Escherichia coli</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Microbiology spectrum</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w:t>
      </w:r>
      <w:r>
        <w:rPr>
          <w:rFonts w:ascii="Times New Roman" w:eastAsia="SimSun" w:hAnsi="Times New Roman" w:cs="Times New Roman"/>
          <w:color w:val="222222"/>
          <w:sz w:val="24"/>
          <w:szCs w:val="24"/>
          <w:shd w:val="clear" w:color="auto" w:fill="FFFFFF"/>
        </w:rPr>
        <w:t>(4), 10-1128.</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proofErr w:type="spellStart"/>
      <w:r>
        <w:rPr>
          <w:rFonts w:ascii="Times New Roman" w:eastAsia="SimSun" w:hAnsi="Times New Roman" w:cs="Times New Roman"/>
          <w:color w:val="222222"/>
          <w:sz w:val="24"/>
          <w:szCs w:val="24"/>
          <w:shd w:val="clear" w:color="auto" w:fill="FFFFFF"/>
        </w:rPr>
        <w:t>Sanni</w:t>
      </w:r>
      <w:proofErr w:type="spellEnd"/>
      <w:r>
        <w:rPr>
          <w:rFonts w:ascii="Times New Roman" w:eastAsia="SimSun" w:hAnsi="Times New Roman" w:cs="Times New Roman"/>
          <w:color w:val="222222"/>
          <w:sz w:val="24"/>
          <w:szCs w:val="24"/>
          <w:shd w:val="clear" w:color="auto" w:fill="FFFFFF"/>
        </w:rPr>
        <w:t>, A. O. (2024). </w:t>
      </w:r>
      <w:r>
        <w:rPr>
          <w:rFonts w:ascii="Times New Roman" w:eastAsia="SimSun" w:hAnsi="Times New Roman" w:cs="Times New Roman"/>
          <w:i/>
          <w:iCs/>
          <w:color w:val="222222"/>
          <w:sz w:val="24"/>
          <w:szCs w:val="24"/>
          <w:shd w:val="clear" w:color="auto" w:fill="FFFFFF"/>
        </w:rPr>
        <w:t xml:space="preserve">Eco-Epidemiology and Microbiological Evaluation of Poultry </w:t>
      </w:r>
      <w:r>
        <w:rPr>
          <w:rFonts w:ascii="Times New Roman" w:eastAsia="SimSun" w:hAnsi="Times New Roman" w:cs="Times New Roman"/>
          <w:i/>
          <w:iCs/>
          <w:color w:val="222222"/>
          <w:sz w:val="24"/>
          <w:szCs w:val="24"/>
          <w:shd w:val="clear" w:color="auto" w:fill="FFFFFF"/>
        </w:rPr>
        <w:t>Salmonellosis in North Central Nigeria, and its Socio-Economics and Public Health Impacts</w:t>
      </w:r>
      <w:r>
        <w:rPr>
          <w:rFonts w:ascii="Times New Roman" w:eastAsia="SimSun" w:hAnsi="Times New Roman" w:cs="Times New Roman"/>
          <w:color w:val="222222"/>
          <w:sz w:val="24"/>
          <w:szCs w:val="24"/>
          <w:shd w:val="clear" w:color="auto" w:fill="FFFFFF"/>
        </w:rPr>
        <w:t> (Doctoral Dissertation, University of Pretoria (South Africa).</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F7D59">
      <w:pPr>
        <w:numPr>
          <w:ilvl w:val="0"/>
          <w:numId w:val="4"/>
        </w:numPr>
        <w:jc w:val="both"/>
        <w:rPr>
          <w:rFonts w:ascii="Times New Roman" w:eastAsia="SimSun" w:hAnsi="Times New Roman" w:cs="Times New Roman"/>
          <w:color w:val="222222"/>
          <w:sz w:val="24"/>
          <w:szCs w:val="24"/>
          <w:shd w:val="clear" w:color="auto" w:fill="FFFFFF"/>
        </w:rPr>
      </w:pPr>
      <w:r>
        <w:rPr>
          <w:rFonts w:ascii="Times New Roman" w:eastAsia="SimSun" w:hAnsi="Times New Roman" w:cs="Times New Roman"/>
          <w:color w:val="222222"/>
          <w:sz w:val="24"/>
          <w:szCs w:val="24"/>
          <w:shd w:val="clear" w:color="auto" w:fill="FFFFFF"/>
        </w:rPr>
        <w:t>Tang, K. W. K., Millar, B. C. and Moore, J. E. (2023). Antimicrobial Resistance (AMR). </w:t>
      </w:r>
      <w:r>
        <w:rPr>
          <w:rFonts w:ascii="Times New Roman" w:eastAsia="SimSun" w:hAnsi="Times New Roman" w:cs="Times New Roman"/>
          <w:i/>
          <w:iCs/>
          <w:color w:val="222222"/>
          <w:sz w:val="24"/>
          <w:szCs w:val="24"/>
          <w:shd w:val="clear" w:color="auto" w:fill="FFFFFF"/>
        </w:rPr>
        <w:t>British Journal</w:t>
      </w:r>
      <w:r>
        <w:rPr>
          <w:rFonts w:ascii="Times New Roman" w:eastAsia="SimSun" w:hAnsi="Times New Roman" w:cs="Times New Roman"/>
          <w:i/>
          <w:iCs/>
          <w:color w:val="222222"/>
          <w:sz w:val="24"/>
          <w:szCs w:val="24"/>
          <w:shd w:val="clear" w:color="auto" w:fill="FFFFFF"/>
        </w:rPr>
        <w:t xml:space="preserve"> of Biomedical Science</w:t>
      </w:r>
      <w:r>
        <w:rPr>
          <w:rFonts w:ascii="Times New Roman" w:eastAsia="SimSun" w:hAnsi="Times New Roman" w:cs="Times New Roman"/>
          <w:color w:val="222222"/>
          <w:sz w:val="24"/>
          <w:szCs w:val="24"/>
          <w:shd w:val="clear" w:color="auto" w:fill="FFFFFF"/>
        </w:rPr>
        <w:t>, </w:t>
      </w:r>
      <w:r>
        <w:rPr>
          <w:rFonts w:ascii="Times New Roman" w:eastAsia="SimSun" w:hAnsi="Times New Roman" w:cs="Times New Roman"/>
          <w:i/>
          <w:iCs/>
          <w:color w:val="222222"/>
          <w:sz w:val="24"/>
          <w:szCs w:val="24"/>
          <w:shd w:val="clear" w:color="auto" w:fill="FFFFFF"/>
        </w:rPr>
        <w:t>80</w:t>
      </w:r>
      <w:r>
        <w:rPr>
          <w:rFonts w:ascii="Times New Roman" w:eastAsia="SimSun" w:hAnsi="Times New Roman" w:cs="Times New Roman"/>
          <w:color w:val="222222"/>
          <w:sz w:val="24"/>
          <w:szCs w:val="24"/>
          <w:shd w:val="clear" w:color="auto" w:fill="FFFFFF"/>
        </w:rPr>
        <w:t>, 11387.</w:t>
      </w:r>
    </w:p>
    <w:p w:rsidR="008447D7" w:rsidRDefault="008447D7">
      <w:pPr>
        <w:jc w:val="both"/>
        <w:rPr>
          <w:rFonts w:ascii="Times New Roman" w:eastAsia="SimSun" w:hAnsi="Times New Roman" w:cs="Times New Roman"/>
          <w:color w:val="222222"/>
          <w:sz w:val="24"/>
          <w:szCs w:val="24"/>
          <w:shd w:val="clear" w:color="auto" w:fill="FFFFFF"/>
        </w:rPr>
      </w:pPr>
    </w:p>
    <w:p w:rsidR="008447D7" w:rsidRDefault="008447D7"/>
    <w:p w:rsidR="008447D7" w:rsidRDefault="008447D7"/>
    <w:sectPr w:rsidR="008447D7">
      <w:pgSz w:w="11906" w:h="16838"/>
      <w:pgMar w:top="1440" w:right="1310" w:bottom="1440" w:left="1800" w:header="720" w:footer="720"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Courier New">
    <w:panose1 w:val="02070309020205020404"/>
    <w:charset w:val="00"/>
    <w:family w:val="modern"/>
    <w:pitch w:val="fixed"/>
    <w:sig w:usb0="E0002EFF" w:usb1="C0007843" w:usb2="00000009" w:usb3="00000000" w:csb0="000001FF" w:csb1="00000000"/>
  </w:font>
  <w:font w:name="pg-110ff1">
    <w:altName w:val="Euphorigenic"/>
    <w:charset w:val="00"/>
    <w:family w:val="auto"/>
    <w:pitch w:val="default"/>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C944F"/>
    <w:multiLevelType w:val="singleLevel"/>
    <w:tmpl w:val="FEFC944F"/>
    <w:lvl w:ilvl="0">
      <w:start w:val="1"/>
      <w:numFmt w:val="decimal"/>
      <w:suff w:val="space"/>
      <w:lvlText w:val="%1."/>
      <w:lvlJc w:val="left"/>
    </w:lvl>
  </w:abstractNum>
  <w:abstractNum w:abstractNumId="1">
    <w:nsid w:val="4BB4C31A"/>
    <w:multiLevelType w:val="singleLevel"/>
    <w:tmpl w:val="4BB4C31A"/>
    <w:lvl w:ilvl="0">
      <w:start w:val="5"/>
      <w:numFmt w:val="upperLetter"/>
      <w:suff w:val="nothing"/>
      <w:lvlText w:val="%1-"/>
      <w:lvlJc w:val="left"/>
      <w:rPr>
        <w:rFonts w:hint="default"/>
        <w:b/>
        <w:bCs/>
      </w:rPr>
    </w:lvl>
  </w:abstractNum>
  <w:abstractNum w:abstractNumId="2">
    <w:nsid w:val="732221BD"/>
    <w:multiLevelType w:val="multilevel"/>
    <w:tmpl w:val="732221B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75DA76A8"/>
    <w:multiLevelType w:val="singleLevel"/>
    <w:tmpl w:val="75DA76A8"/>
    <w:lvl w:ilvl="0">
      <w:start w:val="5"/>
      <w:numFmt w:val="upperLetter"/>
      <w:suff w:val="space"/>
      <w:lvlText w:val="%1."/>
      <w:lvlJc w:val="left"/>
      <w:rPr>
        <w:rFonts w:hint="default"/>
        <w:i/>
        <w:i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6A3D76"/>
    <w:rsid w:val="000D4553"/>
    <w:rsid w:val="00126BDE"/>
    <w:rsid w:val="00182140"/>
    <w:rsid w:val="001D7B3A"/>
    <w:rsid w:val="002738EA"/>
    <w:rsid w:val="002C7A21"/>
    <w:rsid w:val="00387E1C"/>
    <w:rsid w:val="003C02EA"/>
    <w:rsid w:val="00441CD7"/>
    <w:rsid w:val="004908F0"/>
    <w:rsid w:val="00530D25"/>
    <w:rsid w:val="005F5911"/>
    <w:rsid w:val="00733A8B"/>
    <w:rsid w:val="007F285B"/>
    <w:rsid w:val="008447D7"/>
    <w:rsid w:val="00846290"/>
    <w:rsid w:val="008F7D59"/>
    <w:rsid w:val="00A0496A"/>
    <w:rsid w:val="00AF5B98"/>
    <w:rsid w:val="00B31018"/>
    <w:rsid w:val="00B41ED4"/>
    <w:rsid w:val="00B56B25"/>
    <w:rsid w:val="00BF0C82"/>
    <w:rsid w:val="00EA13E7"/>
    <w:rsid w:val="05B24EA9"/>
    <w:rsid w:val="08FC0CCA"/>
    <w:rsid w:val="09DD1137"/>
    <w:rsid w:val="0A2A0256"/>
    <w:rsid w:val="0BCB5671"/>
    <w:rsid w:val="0F0357F5"/>
    <w:rsid w:val="10A16CF2"/>
    <w:rsid w:val="1164409C"/>
    <w:rsid w:val="1A0D57CA"/>
    <w:rsid w:val="1AC15F51"/>
    <w:rsid w:val="1C1B1638"/>
    <w:rsid w:val="1C2A742E"/>
    <w:rsid w:val="1D7A5E63"/>
    <w:rsid w:val="27AE594F"/>
    <w:rsid w:val="29324930"/>
    <w:rsid w:val="32DD2195"/>
    <w:rsid w:val="33B5651A"/>
    <w:rsid w:val="35F768B7"/>
    <w:rsid w:val="3F0F7414"/>
    <w:rsid w:val="405F1780"/>
    <w:rsid w:val="46394A53"/>
    <w:rsid w:val="47877AB6"/>
    <w:rsid w:val="483E5BBE"/>
    <w:rsid w:val="4BEA681C"/>
    <w:rsid w:val="4C2953FA"/>
    <w:rsid w:val="4D9501F6"/>
    <w:rsid w:val="61B73429"/>
    <w:rsid w:val="621C2D1F"/>
    <w:rsid w:val="623E09FE"/>
    <w:rsid w:val="62804ED2"/>
    <w:rsid w:val="63C72CC3"/>
    <w:rsid w:val="66AC59AE"/>
    <w:rsid w:val="67DC0256"/>
    <w:rsid w:val="68225514"/>
    <w:rsid w:val="693E01B9"/>
    <w:rsid w:val="706A3D76"/>
    <w:rsid w:val="71CD0250"/>
    <w:rsid w:val="74713B77"/>
    <w:rsid w:val="7B227DC2"/>
    <w:rsid w:val="7B43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jc w:val="center"/>
    </w:pPr>
  </w:style>
  <w:style w:type="table" w:customStyle="1" w:styleId="Style67">
    <w:name w:val="_Style 67"/>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pPr>
      <w:jc w:val="center"/>
    </w:pPr>
  </w:style>
  <w:style w:type="table" w:customStyle="1" w:styleId="Style67">
    <w:name w:val="_Style 67"/>
    <w:basedOn w:val="TableNormal1"/>
    <w:qFormat/>
    <w:tblPr>
      <w:tblCellMar>
        <w:top w:w="0" w:type="dxa"/>
        <w:left w:w="108" w:type="dxa"/>
        <w:bottom w:w="0" w:type="dxa"/>
        <w:right w:w="108" w:type="dxa"/>
      </w:tblCellMar>
    </w:tblPr>
  </w:style>
  <w:style w:type="table" w:customStyle="1" w:styleId="TableNormal1">
    <w:name w:val="Table Normal1"/>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14</Pages>
  <Words>4298</Words>
  <Characters>24500</Characters>
  <Application>Microsoft Office Word</Application>
  <DocSecurity>0</DocSecurity>
  <Lines>204</Lines>
  <Paragraphs>57</Paragraphs>
  <ScaleCrop>false</ScaleCrop>
  <Company/>
  <LinksUpToDate>false</LinksUpToDate>
  <CharactersWithSpaces>28741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AISHA EJURA DAHUNSI</dc:creator>
  <cp:lastModifiedBy>qwert</cp:lastModifiedBy>
  <cp:revision>3</cp:revision>
  <cp:lastPrinted>2026-01-24T15:34:00Z</cp:lastPrinted>
  <dcterms:created xsi:type="dcterms:W3CDTF">2026-03-04T16:25:00Z</dcterms:created>
  <dcterms:modified xsi:type="dcterms:W3CDTF">2026-03-06T09:56:00Z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2D63099AA08E4D90843E72ACB87284B7_11</vt:lpwstr>
  </property>
</Properties>
</file>