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A8E750" w14:textId="77777777" w:rsidR="00AE4B3D" w:rsidRDefault="00000000">
      <w:pPr>
        <w:spacing w:after="80"/>
        <w:jc w:val="center"/>
        <w:rPr>
          <w:rFonts w:ascii="Times New Roman" w:hAnsi="Times New Roman" w:cs="Times New Roman"/>
          <w:color w:val="000000" w:themeColor="text1"/>
          <w:sz w:val="48"/>
          <w:szCs w:val="48"/>
        </w:rPr>
      </w:pPr>
      <w:r>
        <w:rPr>
          <w:rFonts w:ascii="Times New Roman" w:hAnsi="Times New Roman" w:cs="Times New Roman"/>
          <w:b/>
          <w:bCs/>
          <w:color w:val="000000" w:themeColor="text1"/>
          <w:sz w:val="48"/>
          <w:szCs w:val="48"/>
        </w:rPr>
        <w:t xml:space="preserve">BODH: Benchmarking Open Data Platform for </w:t>
      </w:r>
      <w:r>
        <w:rPr>
          <w:rFonts w:ascii="Times New Roman" w:hAnsi="Times New Roman" w:cs="Times New Roman"/>
          <w:b/>
          <w:bCs/>
          <w:color w:val="000000" w:themeColor="text1"/>
          <w:sz w:val="48"/>
          <w:szCs w:val="48"/>
          <w:lang w:val="en-US"/>
        </w:rPr>
        <w:t xml:space="preserve">India </w:t>
      </w:r>
      <w:r>
        <w:rPr>
          <w:rFonts w:ascii="Times New Roman" w:hAnsi="Times New Roman" w:cs="Times New Roman"/>
          <w:b/>
          <w:bCs/>
          <w:color w:val="000000" w:themeColor="text1"/>
          <w:sz w:val="48"/>
          <w:szCs w:val="48"/>
        </w:rPr>
        <w:t xml:space="preserve">Health AI — </w:t>
      </w:r>
      <w:r>
        <w:rPr>
          <w:rFonts w:ascii="Times New Roman" w:hAnsi="Times New Roman" w:cs="Times New Roman"/>
          <w:b/>
          <w:bCs/>
          <w:color w:val="000000" w:themeColor="text1"/>
          <w:sz w:val="48"/>
          <w:szCs w:val="48"/>
          <w:lang w:val="en-US"/>
        </w:rPr>
        <w:t xml:space="preserve">A review of </w:t>
      </w:r>
      <w:r>
        <w:rPr>
          <w:rFonts w:ascii="Times New Roman" w:hAnsi="Times New Roman" w:cs="Times New Roman"/>
          <w:b/>
          <w:bCs/>
          <w:color w:val="000000" w:themeColor="text1"/>
          <w:sz w:val="48"/>
          <w:szCs w:val="48"/>
        </w:rPr>
        <w:t>Architecture, Evaluation Methodology, and Implementation Framework for Clinical AI Validation in India</w:t>
      </w:r>
    </w:p>
    <w:p w14:paraId="630838C6" w14:textId="5A7F2064" w:rsidR="00AE4B3D" w:rsidRPr="00922964" w:rsidRDefault="00000000" w:rsidP="00922964">
      <w:pPr>
        <w:spacing w:after="40"/>
        <w:jc w:val="center"/>
        <w:rPr>
          <w:rFonts w:ascii="Times New Roman" w:hAnsi="Times New Roman" w:cs="Times New Roman"/>
          <w:b/>
          <w:bCs/>
          <w:color w:val="000000" w:themeColor="text1"/>
          <w:sz w:val="32"/>
          <w:szCs w:val="32"/>
        </w:rPr>
      </w:pPr>
      <w:r>
        <w:rPr>
          <w:rFonts w:ascii="Times New Roman" w:hAnsi="Times New Roman" w:cs="Times New Roman"/>
          <w:b/>
          <w:bCs/>
          <w:color w:val="000000" w:themeColor="text1"/>
          <w:sz w:val="24"/>
          <w:szCs w:val="24"/>
        </w:rPr>
        <w:t xml:space="preserve">  </w:t>
      </w:r>
    </w:p>
    <w:p w14:paraId="7767CEFB" w14:textId="77777777" w:rsidR="00AE4B3D" w:rsidRDefault="00AE4B3D">
      <w:pPr>
        <w:spacing w:after="160"/>
      </w:pPr>
    </w:p>
    <w:tbl>
      <w:tblPr>
        <w:tblW w:w="10755" w:type="dxa"/>
        <w:tblInd w:w="-3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2401"/>
        <w:gridCol w:w="8354"/>
      </w:tblGrid>
      <w:tr w:rsidR="00AE4B3D" w14:paraId="24F27D05" w14:textId="77777777">
        <w:tc>
          <w:tcPr>
            <w:tcW w:w="10755" w:type="dxa"/>
            <w:gridSpan w:val="2"/>
            <w:tcBorders>
              <w:top w:val="nil"/>
              <w:left w:val="nil"/>
              <w:bottom w:val="nil"/>
              <w:right w:val="nil"/>
            </w:tcBorders>
            <w:shd w:val="clear" w:color="auto" w:fill="1B3A6B"/>
            <w:tcMar>
              <w:top w:w="100" w:type="dxa"/>
              <w:left w:w="160" w:type="dxa"/>
              <w:bottom w:w="100" w:type="dxa"/>
              <w:right w:w="160" w:type="dxa"/>
            </w:tcMar>
          </w:tcPr>
          <w:p w14:paraId="78144C2C" w14:textId="77777777" w:rsidR="00AE4B3D" w:rsidRDefault="00000000">
            <w:pPr>
              <w:jc w:val="center"/>
            </w:pPr>
            <w:r>
              <w:rPr>
                <w:rFonts w:ascii="Times New Roman" w:hAnsi="Times New Roman" w:cs="Times New Roman"/>
                <w:b/>
                <w:bCs/>
                <w:caps/>
                <w:color w:val="FFFFFF"/>
                <w:sz w:val="24"/>
                <w:szCs w:val="24"/>
                <w:highlight w:val="black"/>
              </w:rPr>
              <w:t>ABSTRACT</w:t>
            </w:r>
          </w:p>
        </w:tc>
      </w:tr>
      <w:tr w:rsidR="00AE4B3D" w14:paraId="57C0B5FE" w14:textId="77777777">
        <w:tc>
          <w:tcPr>
            <w:tcW w:w="2401" w:type="dxa"/>
            <w:tcBorders>
              <w:top w:val="nil"/>
              <w:left w:val="nil"/>
              <w:bottom w:val="nil"/>
              <w:right w:val="nil"/>
            </w:tcBorders>
            <w:shd w:val="clear" w:color="auto" w:fill="D6E4F0"/>
            <w:tcMar>
              <w:top w:w="80" w:type="dxa"/>
              <w:left w:w="120" w:type="dxa"/>
              <w:bottom w:w="80" w:type="dxa"/>
              <w:right w:w="120" w:type="dxa"/>
            </w:tcMar>
          </w:tcPr>
          <w:p w14:paraId="3F86EBEF" w14:textId="77777777" w:rsidR="00AE4B3D" w:rsidRDefault="00000000">
            <w:pPr>
              <w:rPr>
                <w:rFonts w:ascii="Times New Roman" w:hAnsi="Times New Roman" w:cs="Times New Roman"/>
                <w:sz w:val="24"/>
                <w:szCs w:val="24"/>
              </w:rPr>
            </w:pPr>
            <w:r>
              <w:rPr>
                <w:rFonts w:ascii="Times New Roman" w:hAnsi="Times New Roman" w:cs="Times New Roman"/>
                <w:b/>
                <w:bCs/>
                <w:color w:val="1B3A6B"/>
                <w:sz w:val="24"/>
                <w:szCs w:val="24"/>
              </w:rPr>
              <w:t>Background:</w:t>
            </w:r>
          </w:p>
        </w:tc>
        <w:tc>
          <w:tcPr>
            <w:tcW w:w="8354" w:type="dxa"/>
            <w:tcBorders>
              <w:top w:val="nil"/>
              <w:left w:val="nil"/>
              <w:bottom w:val="nil"/>
              <w:right w:val="nil"/>
            </w:tcBorders>
            <w:shd w:val="clear" w:color="auto" w:fill="F2F4F7"/>
            <w:tcMar>
              <w:top w:w="80" w:type="dxa"/>
              <w:left w:w="160" w:type="dxa"/>
              <w:bottom w:w="80" w:type="dxa"/>
              <w:right w:w="120" w:type="dxa"/>
            </w:tcMar>
          </w:tcPr>
          <w:p w14:paraId="725F9879" w14:textId="77777777" w:rsidR="00AE4B3D" w:rsidRDefault="00000000">
            <w:pPr>
              <w:jc w:val="both"/>
              <w:rPr>
                <w:rFonts w:ascii="Times New Roman" w:hAnsi="Times New Roman" w:cs="Times New Roman"/>
                <w:sz w:val="24"/>
                <w:szCs w:val="24"/>
              </w:rPr>
            </w:pPr>
            <w:r>
              <w:rPr>
                <w:rFonts w:ascii="Times New Roman" w:hAnsi="Times New Roman" w:cs="Times New Roman"/>
                <w:color w:val="000000"/>
                <w:sz w:val="24"/>
                <w:szCs w:val="24"/>
              </w:rPr>
              <w:t>India's healthcare AI landscape is rapidly evolving, yet a critical infrastructure gap persists: the absence of a sovereign, interoperable benchmarking platform for systematic validation of AI models against clinically representative datasets. This paper introduces BODH (Benchmarking Open Data Platform for Health AI), a pioneering digital ecosystem unveiled at the India AI Impact Summit 2026, designed to address this deficit.</w:t>
            </w:r>
          </w:p>
        </w:tc>
      </w:tr>
      <w:tr w:rsidR="00AE4B3D" w14:paraId="7CE88AB6" w14:textId="77777777">
        <w:tc>
          <w:tcPr>
            <w:tcW w:w="2401" w:type="dxa"/>
            <w:tcBorders>
              <w:top w:val="nil"/>
              <w:left w:val="nil"/>
              <w:bottom w:val="nil"/>
              <w:right w:val="nil"/>
            </w:tcBorders>
            <w:shd w:val="clear" w:color="auto" w:fill="D6E4F0"/>
            <w:tcMar>
              <w:top w:w="80" w:type="dxa"/>
              <w:left w:w="120" w:type="dxa"/>
              <w:bottom w:w="80" w:type="dxa"/>
              <w:right w:w="120" w:type="dxa"/>
            </w:tcMar>
          </w:tcPr>
          <w:p w14:paraId="054ACB57" w14:textId="77777777" w:rsidR="00AE4B3D" w:rsidRDefault="00000000">
            <w:pPr>
              <w:rPr>
                <w:rFonts w:ascii="Times New Roman" w:hAnsi="Times New Roman" w:cs="Times New Roman"/>
                <w:sz w:val="24"/>
                <w:szCs w:val="24"/>
              </w:rPr>
            </w:pPr>
            <w:r>
              <w:rPr>
                <w:rFonts w:ascii="Times New Roman" w:hAnsi="Times New Roman" w:cs="Times New Roman"/>
                <w:b/>
                <w:bCs/>
                <w:color w:val="1B3A6B"/>
                <w:sz w:val="24"/>
                <w:szCs w:val="24"/>
              </w:rPr>
              <w:t>Objective:</w:t>
            </w:r>
          </w:p>
        </w:tc>
        <w:tc>
          <w:tcPr>
            <w:tcW w:w="8354" w:type="dxa"/>
            <w:tcBorders>
              <w:top w:val="nil"/>
              <w:left w:val="nil"/>
              <w:bottom w:val="nil"/>
              <w:right w:val="nil"/>
            </w:tcBorders>
            <w:shd w:val="clear" w:color="auto" w:fill="F2F4F7"/>
            <w:tcMar>
              <w:top w:w="80" w:type="dxa"/>
              <w:left w:w="160" w:type="dxa"/>
              <w:bottom w:w="80" w:type="dxa"/>
              <w:right w:w="120" w:type="dxa"/>
            </w:tcMar>
          </w:tcPr>
          <w:p w14:paraId="2FB28917" w14:textId="77777777" w:rsidR="00AE4B3D" w:rsidRDefault="00000000">
            <w:pPr>
              <w:jc w:val="both"/>
              <w:rPr>
                <w:rFonts w:ascii="Times New Roman" w:hAnsi="Times New Roman" w:cs="Times New Roman"/>
                <w:sz w:val="24"/>
                <w:szCs w:val="24"/>
              </w:rPr>
            </w:pPr>
            <w:r>
              <w:rPr>
                <w:rFonts w:ascii="Times New Roman" w:hAnsi="Times New Roman" w:cs="Times New Roman"/>
                <w:color w:val="000000"/>
                <w:sz w:val="24"/>
                <w:szCs w:val="24"/>
              </w:rPr>
              <w:t>To present the technical architecture, evaluation methodology, governance framework, and anticipated clinical impact of BODH as India's first federated AI benchmarking infrastructure for healthcare, conforming to international standards including HL7 FHIR R4, SNOMED CT, and OMOP CDM.</w:t>
            </w:r>
          </w:p>
        </w:tc>
      </w:tr>
      <w:tr w:rsidR="00AE4B3D" w14:paraId="3E293417" w14:textId="77777777">
        <w:tc>
          <w:tcPr>
            <w:tcW w:w="2401" w:type="dxa"/>
            <w:tcBorders>
              <w:top w:val="nil"/>
              <w:left w:val="nil"/>
              <w:bottom w:val="nil"/>
              <w:right w:val="nil"/>
            </w:tcBorders>
            <w:shd w:val="clear" w:color="auto" w:fill="D6E4F0"/>
            <w:tcMar>
              <w:top w:w="80" w:type="dxa"/>
              <w:left w:w="120" w:type="dxa"/>
              <w:bottom w:w="80" w:type="dxa"/>
              <w:right w:w="120" w:type="dxa"/>
            </w:tcMar>
          </w:tcPr>
          <w:p w14:paraId="0CDBFBE2" w14:textId="77777777" w:rsidR="00AE4B3D" w:rsidRDefault="00000000">
            <w:pPr>
              <w:rPr>
                <w:rFonts w:ascii="Times New Roman" w:hAnsi="Times New Roman" w:cs="Times New Roman"/>
                <w:sz w:val="24"/>
                <w:szCs w:val="24"/>
              </w:rPr>
            </w:pPr>
            <w:r>
              <w:rPr>
                <w:rFonts w:ascii="Times New Roman" w:hAnsi="Times New Roman" w:cs="Times New Roman"/>
                <w:b/>
                <w:bCs/>
                <w:color w:val="1B3A6B"/>
                <w:sz w:val="24"/>
                <w:szCs w:val="24"/>
              </w:rPr>
              <w:t>Methods:</w:t>
            </w:r>
          </w:p>
        </w:tc>
        <w:tc>
          <w:tcPr>
            <w:tcW w:w="8354" w:type="dxa"/>
            <w:tcBorders>
              <w:top w:val="nil"/>
              <w:left w:val="nil"/>
              <w:bottom w:val="nil"/>
              <w:right w:val="nil"/>
            </w:tcBorders>
            <w:shd w:val="clear" w:color="auto" w:fill="F2F4F7"/>
            <w:tcMar>
              <w:top w:w="80" w:type="dxa"/>
              <w:left w:w="160" w:type="dxa"/>
              <w:bottom w:w="80" w:type="dxa"/>
              <w:right w:w="120" w:type="dxa"/>
            </w:tcMar>
          </w:tcPr>
          <w:p w14:paraId="6917468E" w14:textId="77777777" w:rsidR="00AE4B3D" w:rsidRDefault="00000000">
            <w:pPr>
              <w:jc w:val="both"/>
              <w:rPr>
                <w:rFonts w:ascii="Times New Roman" w:hAnsi="Times New Roman" w:cs="Times New Roman"/>
                <w:sz w:val="24"/>
                <w:szCs w:val="24"/>
              </w:rPr>
            </w:pPr>
            <w:r>
              <w:rPr>
                <w:rFonts w:ascii="Times New Roman" w:hAnsi="Times New Roman" w:cs="Times New Roman"/>
                <w:color w:val="000000"/>
                <w:sz w:val="24"/>
                <w:szCs w:val="24"/>
              </w:rPr>
              <w:t xml:space="preserve">BODH employs a multi-layer microservices architecture incorporating federated data ingestion, a secure model evaluation sandbox, and a cryptographically audited leaderboard. Evaluation dimensions span diagnostic accuracy, fairness across demographic strata, model explainability (SHAP, LIME, integrated gradients), clinical safety, and regulatory alignment. Benchmark datasets cover radiology (chest X-ray, CT, MRI), pathology, genomics, clinical NLP (EHR), and wearable </w:t>
            </w:r>
            <w:proofErr w:type="spellStart"/>
            <w:r>
              <w:rPr>
                <w:rFonts w:ascii="Times New Roman" w:hAnsi="Times New Roman" w:cs="Times New Roman"/>
                <w:color w:val="000000"/>
                <w:sz w:val="24"/>
                <w:szCs w:val="24"/>
              </w:rPr>
              <w:t>biosignals</w:t>
            </w:r>
            <w:proofErr w:type="spellEnd"/>
            <w:r>
              <w:rPr>
                <w:rFonts w:ascii="Times New Roman" w:hAnsi="Times New Roman" w:cs="Times New Roman"/>
                <w:color w:val="000000"/>
                <w:sz w:val="24"/>
                <w:szCs w:val="24"/>
              </w:rPr>
              <w:t>.</w:t>
            </w:r>
          </w:p>
        </w:tc>
      </w:tr>
      <w:tr w:rsidR="00AE4B3D" w14:paraId="0CFD9B08" w14:textId="77777777">
        <w:tc>
          <w:tcPr>
            <w:tcW w:w="2401" w:type="dxa"/>
            <w:tcBorders>
              <w:top w:val="nil"/>
              <w:left w:val="nil"/>
              <w:bottom w:val="nil"/>
              <w:right w:val="nil"/>
            </w:tcBorders>
            <w:shd w:val="clear" w:color="auto" w:fill="D6E4F0"/>
            <w:tcMar>
              <w:top w:w="80" w:type="dxa"/>
              <w:left w:w="120" w:type="dxa"/>
              <w:bottom w:w="80" w:type="dxa"/>
              <w:right w:w="120" w:type="dxa"/>
            </w:tcMar>
          </w:tcPr>
          <w:p w14:paraId="0FF8DC4E" w14:textId="77777777" w:rsidR="00AE4B3D" w:rsidRDefault="00000000">
            <w:pPr>
              <w:rPr>
                <w:rFonts w:ascii="Times New Roman" w:hAnsi="Times New Roman" w:cs="Times New Roman"/>
                <w:sz w:val="24"/>
                <w:szCs w:val="24"/>
              </w:rPr>
            </w:pPr>
            <w:r>
              <w:rPr>
                <w:rFonts w:ascii="Times New Roman" w:hAnsi="Times New Roman" w:cs="Times New Roman"/>
                <w:b/>
                <w:bCs/>
                <w:color w:val="1B3A6B"/>
                <w:sz w:val="24"/>
                <w:szCs w:val="24"/>
              </w:rPr>
              <w:t>Results:</w:t>
            </w:r>
          </w:p>
        </w:tc>
        <w:tc>
          <w:tcPr>
            <w:tcW w:w="8354" w:type="dxa"/>
            <w:tcBorders>
              <w:top w:val="nil"/>
              <w:left w:val="nil"/>
              <w:bottom w:val="nil"/>
              <w:right w:val="nil"/>
            </w:tcBorders>
            <w:shd w:val="clear" w:color="auto" w:fill="F2F4F7"/>
            <w:tcMar>
              <w:top w:w="80" w:type="dxa"/>
              <w:left w:w="160" w:type="dxa"/>
              <w:bottom w:w="80" w:type="dxa"/>
              <w:right w:w="120" w:type="dxa"/>
            </w:tcMar>
          </w:tcPr>
          <w:p w14:paraId="39C68A1D" w14:textId="77777777" w:rsidR="00AE4B3D" w:rsidRDefault="00000000">
            <w:pPr>
              <w:jc w:val="both"/>
              <w:rPr>
                <w:rFonts w:ascii="Times New Roman" w:hAnsi="Times New Roman" w:cs="Times New Roman"/>
                <w:sz w:val="24"/>
                <w:szCs w:val="24"/>
              </w:rPr>
            </w:pPr>
            <w:r>
              <w:rPr>
                <w:rFonts w:ascii="Times New Roman" w:hAnsi="Times New Roman" w:cs="Times New Roman"/>
                <w:color w:val="000000"/>
                <w:sz w:val="24"/>
                <w:szCs w:val="24"/>
              </w:rPr>
              <w:t>Preliminary validation with 12 pilot AI models across 5 Indian hospital networks demonstrates that BODH's multi-dimensional scoring reduces overestimation of model accuracy by 18-34% compared to single-metric evaluation. Fairness gap indices reveal statistically significant performance disparities (p &lt; 0.01) across gender and socioeconomic strata in 7 of 12 models, previously unreported in vendor evaluations.</w:t>
            </w:r>
          </w:p>
        </w:tc>
      </w:tr>
      <w:tr w:rsidR="00AE4B3D" w14:paraId="486930B3" w14:textId="77777777">
        <w:tc>
          <w:tcPr>
            <w:tcW w:w="2401" w:type="dxa"/>
            <w:tcBorders>
              <w:top w:val="nil"/>
              <w:left w:val="nil"/>
              <w:bottom w:val="nil"/>
              <w:right w:val="nil"/>
            </w:tcBorders>
            <w:shd w:val="clear" w:color="auto" w:fill="D6E4F0"/>
            <w:tcMar>
              <w:top w:w="80" w:type="dxa"/>
              <w:left w:w="120" w:type="dxa"/>
              <w:bottom w:w="80" w:type="dxa"/>
              <w:right w:w="120" w:type="dxa"/>
            </w:tcMar>
          </w:tcPr>
          <w:p w14:paraId="5A4413E1" w14:textId="77777777" w:rsidR="00AE4B3D" w:rsidRDefault="00000000">
            <w:pPr>
              <w:rPr>
                <w:rFonts w:ascii="Times New Roman" w:hAnsi="Times New Roman" w:cs="Times New Roman"/>
                <w:sz w:val="24"/>
                <w:szCs w:val="24"/>
              </w:rPr>
            </w:pPr>
            <w:r>
              <w:rPr>
                <w:rFonts w:ascii="Times New Roman" w:hAnsi="Times New Roman" w:cs="Times New Roman"/>
                <w:b/>
                <w:bCs/>
                <w:color w:val="1B3A6B"/>
                <w:sz w:val="24"/>
                <w:szCs w:val="24"/>
              </w:rPr>
              <w:t>Conclusions:</w:t>
            </w:r>
          </w:p>
        </w:tc>
        <w:tc>
          <w:tcPr>
            <w:tcW w:w="8354" w:type="dxa"/>
            <w:tcBorders>
              <w:top w:val="nil"/>
              <w:left w:val="nil"/>
              <w:bottom w:val="nil"/>
              <w:right w:val="nil"/>
            </w:tcBorders>
            <w:shd w:val="clear" w:color="auto" w:fill="F2F4F7"/>
            <w:tcMar>
              <w:top w:w="80" w:type="dxa"/>
              <w:left w:w="160" w:type="dxa"/>
              <w:bottom w:w="80" w:type="dxa"/>
              <w:right w:w="120" w:type="dxa"/>
            </w:tcMar>
          </w:tcPr>
          <w:p w14:paraId="2E2451DA" w14:textId="77777777" w:rsidR="00AE4B3D" w:rsidRDefault="00000000">
            <w:pPr>
              <w:jc w:val="both"/>
              <w:rPr>
                <w:rFonts w:ascii="Times New Roman" w:hAnsi="Times New Roman" w:cs="Times New Roman"/>
                <w:sz w:val="24"/>
                <w:szCs w:val="24"/>
              </w:rPr>
            </w:pPr>
            <w:r>
              <w:rPr>
                <w:rFonts w:ascii="Times New Roman" w:hAnsi="Times New Roman" w:cs="Times New Roman"/>
                <w:color w:val="000000"/>
                <w:sz w:val="24"/>
                <w:szCs w:val="24"/>
              </w:rPr>
              <w:t>BODH represents a transformational step in responsible AI adoption in Indian healthcare. By institutionalising open, reproducible, and regulation-aligned benchmarking, it creates a verifiable trust layer that bridges the gap between AI development and clinical deployment, serving as a model for low- and middle-income country (LMIC) AI governance frameworks.</w:t>
            </w:r>
          </w:p>
        </w:tc>
      </w:tr>
      <w:tr w:rsidR="00AE4B3D" w14:paraId="66EA882E" w14:textId="77777777">
        <w:tc>
          <w:tcPr>
            <w:tcW w:w="10755" w:type="dxa"/>
            <w:gridSpan w:val="2"/>
            <w:tcBorders>
              <w:top w:val="nil"/>
              <w:left w:val="nil"/>
              <w:bottom w:val="nil"/>
              <w:right w:val="nil"/>
            </w:tcBorders>
            <w:shd w:val="clear" w:color="auto" w:fill="D6E4F0"/>
            <w:tcMar>
              <w:top w:w="80" w:type="dxa"/>
              <w:left w:w="160" w:type="dxa"/>
              <w:bottom w:w="80" w:type="dxa"/>
              <w:right w:w="160" w:type="dxa"/>
            </w:tcMar>
          </w:tcPr>
          <w:p w14:paraId="3F560BA4" w14:textId="77777777" w:rsidR="00AE4B3D" w:rsidRDefault="00000000">
            <w:pPr>
              <w:rPr>
                <w:rFonts w:ascii="Times New Roman" w:hAnsi="Times New Roman" w:cs="Times New Roman"/>
                <w:sz w:val="24"/>
                <w:szCs w:val="24"/>
                <w:lang w:val="en-US"/>
              </w:rPr>
            </w:pPr>
            <w:r>
              <w:rPr>
                <w:rFonts w:ascii="Times New Roman" w:hAnsi="Times New Roman" w:cs="Times New Roman"/>
                <w:b/>
                <w:bCs/>
                <w:color w:val="1B3A6B"/>
                <w:sz w:val="24"/>
                <w:szCs w:val="24"/>
              </w:rPr>
              <w:t xml:space="preserve">Keywords: </w:t>
            </w:r>
            <w:r>
              <w:rPr>
                <w:rFonts w:ascii="Times New Roman" w:hAnsi="Times New Roman" w:cs="Times New Roman"/>
                <w:i/>
                <w:iCs/>
                <w:color w:val="000000"/>
                <w:sz w:val="24"/>
                <w:szCs w:val="24"/>
              </w:rPr>
              <w:t>Health AI benchmarking; Clinical AI validation; Algorithmic fairness; Digital health India; AI governance; BODH platform; Open data health</w:t>
            </w:r>
            <w:r>
              <w:rPr>
                <w:rFonts w:ascii="Times New Roman" w:hAnsi="Times New Roman" w:cs="Times New Roman"/>
                <w:i/>
                <w:iCs/>
                <w:color w:val="000000"/>
                <w:sz w:val="24"/>
                <w:szCs w:val="24"/>
                <w:lang w:val="en-US"/>
              </w:rPr>
              <w:t>, India AI Summit</w:t>
            </w:r>
          </w:p>
        </w:tc>
      </w:tr>
      <w:tr w:rsidR="00AE4B3D" w14:paraId="1A6C4F92" w14:textId="77777777">
        <w:tc>
          <w:tcPr>
            <w:tcW w:w="10755" w:type="dxa"/>
            <w:gridSpan w:val="2"/>
            <w:tcBorders>
              <w:top w:val="nil"/>
              <w:left w:val="nil"/>
              <w:bottom w:val="nil"/>
              <w:right w:val="nil"/>
            </w:tcBorders>
            <w:shd w:val="clear" w:color="auto" w:fill="D6E4F0"/>
            <w:tcMar>
              <w:top w:w="80" w:type="dxa"/>
              <w:left w:w="160" w:type="dxa"/>
              <w:bottom w:w="80" w:type="dxa"/>
              <w:right w:w="160" w:type="dxa"/>
            </w:tcMar>
          </w:tcPr>
          <w:p w14:paraId="7EC77DC3" w14:textId="77777777" w:rsidR="00AE4B3D" w:rsidRDefault="00AE4B3D">
            <w:pPr>
              <w:rPr>
                <w:rFonts w:ascii="Times New Roman" w:hAnsi="Times New Roman" w:cs="Times New Roman"/>
                <w:b/>
                <w:bCs/>
                <w:color w:val="1B3A6B"/>
                <w:sz w:val="24"/>
                <w:szCs w:val="24"/>
              </w:rPr>
            </w:pPr>
          </w:p>
        </w:tc>
      </w:tr>
    </w:tbl>
    <w:p w14:paraId="2A00346B" w14:textId="77777777" w:rsidR="00AE4B3D" w:rsidRDefault="00000000">
      <w:pPr>
        <w:pStyle w:val="Heading1"/>
        <w:pBdr>
          <w:bottom w:val="single" w:sz="8" w:space="4" w:color="2C5F9E"/>
        </w:pBdr>
        <w:rPr>
          <w:rFonts w:ascii="Times New Roman" w:hAnsi="Times New Roman" w:cs="Times New Roman"/>
          <w:sz w:val="24"/>
          <w:szCs w:val="24"/>
        </w:rPr>
      </w:pPr>
      <w:r>
        <w:rPr>
          <w:rFonts w:ascii="Times New Roman" w:hAnsi="Times New Roman" w:cs="Times New Roman"/>
          <w:sz w:val="24"/>
          <w:szCs w:val="24"/>
        </w:rPr>
        <w:t>Introduction</w:t>
      </w:r>
    </w:p>
    <w:p w14:paraId="1A9573FD" w14:textId="77777777" w:rsidR="00AE4B3D" w:rsidRDefault="00000000">
      <w:pPr>
        <w:spacing w:before="80" w:after="120"/>
        <w:jc w:val="both"/>
        <w:rPr>
          <w:rFonts w:ascii="Times New Roman" w:hAnsi="Times New Roman" w:cs="Times New Roman"/>
          <w:sz w:val="24"/>
          <w:szCs w:val="24"/>
        </w:rPr>
      </w:pPr>
      <w:r>
        <w:rPr>
          <w:rFonts w:ascii="Times New Roman" w:hAnsi="Times New Roman" w:cs="Times New Roman"/>
          <w:color w:val="000000"/>
          <w:sz w:val="24"/>
          <w:szCs w:val="24"/>
        </w:rPr>
        <w:lastRenderedPageBreak/>
        <w:t>Artificial intelligence (AI) is reshaping global healthcare delivery, promising enhanced diagnostic precision, accelerated drug discovery, and personalised clinical pathways. In India, this transformation carries exceptional stakes: with a population of 1.44 billion, a physician-to-patient ratio of approximately 1:1,511, and a disease burden that spans both communicable and non-communicable conditions, the potential for AI to bridge systemic gaps is immense [1]. Yet realising this potential demands a rigorous, transparent, and institutionalised mechanism for AI model validation — one that does not yet exist at a national scale.</w:t>
      </w:r>
    </w:p>
    <w:p w14:paraId="53E02FA3" w14:textId="77777777" w:rsidR="00AE4B3D" w:rsidRDefault="00000000">
      <w:pPr>
        <w:spacing w:before="80" w:after="120"/>
        <w:jc w:val="both"/>
        <w:rPr>
          <w:rFonts w:ascii="Times New Roman" w:hAnsi="Times New Roman" w:cs="Times New Roman"/>
          <w:sz w:val="24"/>
          <w:szCs w:val="24"/>
        </w:rPr>
      </w:pPr>
      <w:r>
        <w:rPr>
          <w:rFonts w:ascii="Times New Roman" w:hAnsi="Times New Roman" w:cs="Times New Roman"/>
          <w:color w:val="000000"/>
          <w:sz w:val="24"/>
          <w:szCs w:val="24"/>
        </w:rPr>
        <w:t>The BODH (Benchmarking Open Data Platform for Health AI) platform was publicly launched at the India AI Impact Summit 2026, representing India's first sovereign, open-access digital infrastructure dedicated exclusively to evaluating AI models against healthcare-specific benchmarks. BODH addresses a critical void in the global health AI governance landscape: while international platforms such as PhysioNet, MIMIC-III, and the UK Biobank provide curated health datasets, none offers an integrated, end-to-end evaluation pipeline incorporating model submission, federated assessment, explainability analysis, fairness auditing, and regulatory compliance reporting — particularly calibrated for the Indian clinical context.</w:t>
      </w:r>
    </w:p>
    <w:p w14:paraId="33488667" w14:textId="77777777" w:rsidR="00AE4B3D" w:rsidRDefault="00000000">
      <w:pPr>
        <w:spacing w:before="80" w:after="120"/>
        <w:jc w:val="both"/>
        <w:rPr>
          <w:rFonts w:ascii="Times New Roman" w:hAnsi="Times New Roman" w:cs="Times New Roman"/>
          <w:sz w:val="24"/>
          <w:szCs w:val="24"/>
        </w:rPr>
      </w:pPr>
      <w:r>
        <w:rPr>
          <w:rFonts w:ascii="Times New Roman" w:hAnsi="Times New Roman" w:cs="Times New Roman"/>
          <w:color w:val="000000"/>
          <w:sz w:val="24"/>
          <w:szCs w:val="24"/>
        </w:rPr>
        <w:t xml:space="preserve">This article provides a comprehensive technical exposition of BODH: its foundational design principles, multi-layer software architecture, dataset ontology, evaluation metric framework, governance model, and preliminary validation results. </w:t>
      </w:r>
    </w:p>
    <w:p w14:paraId="4BE42163" w14:textId="77777777" w:rsidR="00AE4B3D" w:rsidRDefault="00000000">
      <w:pPr>
        <w:pStyle w:val="Heading1"/>
        <w:pBdr>
          <w:bottom w:val="single" w:sz="8" w:space="4" w:color="2C5F9E"/>
        </w:pBdr>
        <w:rPr>
          <w:rFonts w:ascii="Times New Roman" w:hAnsi="Times New Roman" w:cs="Times New Roman"/>
          <w:sz w:val="24"/>
          <w:szCs w:val="24"/>
        </w:rPr>
      </w:pPr>
      <w:r>
        <w:rPr>
          <w:rFonts w:ascii="Times New Roman" w:hAnsi="Times New Roman" w:cs="Times New Roman"/>
          <w:sz w:val="24"/>
          <w:szCs w:val="24"/>
        </w:rPr>
        <w:t xml:space="preserve">Background </w:t>
      </w:r>
    </w:p>
    <w:p w14:paraId="579911F8" w14:textId="77777777" w:rsidR="00AE4B3D" w:rsidRDefault="00000000">
      <w:pPr>
        <w:pStyle w:val="Heading2"/>
        <w:rPr>
          <w:rFonts w:ascii="Times New Roman" w:hAnsi="Times New Roman" w:cs="Times New Roman"/>
        </w:rPr>
      </w:pPr>
      <w:r>
        <w:rPr>
          <w:rFonts w:ascii="Times New Roman" w:hAnsi="Times New Roman" w:cs="Times New Roman"/>
        </w:rPr>
        <w:t>The Global Landscape of Health AI Benchmarking</w:t>
      </w:r>
    </w:p>
    <w:p w14:paraId="2741CA57" w14:textId="77777777" w:rsidR="00AE4B3D" w:rsidRDefault="00000000">
      <w:pPr>
        <w:spacing w:before="80" w:after="120"/>
        <w:jc w:val="both"/>
        <w:rPr>
          <w:rFonts w:ascii="Times New Roman" w:hAnsi="Times New Roman" w:cs="Times New Roman"/>
          <w:sz w:val="24"/>
          <w:szCs w:val="24"/>
        </w:rPr>
      </w:pPr>
      <w:r>
        <w:rPr>
          <w:rFonts w:ascii="Times New Roman" w:hAnsi="Times New Roman" w:cs="Times New Roman"/>
          <w:color w:val="000000"/>
          <w:sz w:val="24"/>
          <w:szCs w:val="24"/>
        </w:rPr>
        <w:t>The systematic evaluation of medical AI models has gained traction in the last decade, catalysed by landmark studies demonstrating the performance of deep learning models in ophthalmology [2], radiology [3], and dermatology [4]. However, these evaluations have predominantly been retrospective, single-institution, and conducted on datasets from high-income countries (HICs), raising fundamental concerns about generalisability to low- and middle-income countries (LMICs) [5].</w:t>
      </w:r>
    </w:p>
    <w:p w14:paraId="23C68464" w14:textId="77777777" w:rsidR="00AE4B3D" w:rsidRDefault="00000000">
      <w:pPr>
        <w:spacing w:before="80" w:after="120"/>
        <w:jc w:val="both"/>
        <w:rPr>
          <w:rFonts w:ascii="Times New Roman" w:hAnsi="Times New Roman" w:cs="Times New Roman"/>
          <w:sz w:val="24"/>
          <w:szCs w:val="24"/>
        </w:rPr>
      </w:pPr>
      <w:r>
        <w:rPr>
          <w:rFonts w:ascii="Times New Roman" w:hAnsi="Times New Roman" w:cs="Times New Roman"/>
          <w:color w:val="000000"/>
          <w:sz w:val="24"/>
          <w:szCs w:val="24"/>
        </w:rPr>
        <w:t xml:space="preserve">PhysioNet [6] provides physiological signal datasets (ECG, EEG, ICU records) with standardised access protocols but lacks an integrated model evaluation sandbox. The Medical Imaging and Data Resource </w:t>
      </w:r>
      <w:proofErr w:type="spellStart"/>
      <w:r>
        <w:rPr>
          <w:rFonts w:ascii="Times New Roman" w:hAnsi="Times New Roman" w:cs="Times New Roman"/>
          <w:color w:val="000000"/>
          <w:sz w:val="24"/>
          <w:szCs w:val="24"/>
        </w:rPr>
        <w:t>Center</w:t>
      </w:r>
      <w:proofErr w:type="spellEnd"/>
      <w:r>
        <w:rPr>
          <w:rFonts w:ascii="Times New Roman" w:hAnsi="Times New Roman" w:cs="Times New Roman"/>
          <w:color w:val="000000"/>
          <w:sz w:val="24"/>
          <w:szCs w:val="24"/>
        </w:rPr>
        <w:t xml:space="preserve"> (MIDRC) [7] </w:t>
      </w:r>
      <w:proofErr w:type="gramStart"/>
      <w:r>
        <w:rPr>
          <w:rFonts w:ascii="Times New Roman" w:hAnsi="Times New Roman" w:cs="Times New Roman"/>
          <w:color w:val="000000"/>
          <w:sz w:val="24"/>
          <w:szCs w:val="24"/>
        </w:rPr>
        <w:t>offers</w:t>
      </w:r>
      <w:proofErr w:type="gramEnd"/>
      <w:r>
        <w:rPr>
          <w:rFonts w:ascii="Times New Roman" w:hAnsi="Times New Roman" w:cs="Times New Roman"/>
          <w:color w:val="000000"/>
          <w:sz w:val="24"/>
          <w:szCs w:val="24"/>
        </w:rPr>
        <w:t xml:space="preserve"> COVID-19 imaging data but is geographically and disease-scope limited. Grand Challenge (grand-challenge.org) runs community competitions but does not support regulatory-grade continuous evaluation or federated assessments. The Open Health Data Alliance (OHDA) and OHDSI network [8] promote the OMOP Common Data Model (CDM) for observational research but are not specifically oriented toward AI model submission and scoring.</w:t>
      </w:r>
    </w:p>
    <w:p w14:paraId="4639C6AD" w14:textId="77777777" w:rsidR="00AE4B3D" w:rsidRDefault="00000000">
      <w:pPr>
        <w:spacing w:before="80" w:after="120"/>
        <w:jc w:val="both"/>
        <w:rPr>
          <w:rFonts w:ascii="Times New Roman" w:hAnsi="Times New Roman" w:cs="Times New Roman"/>
          <w:sz w:val="24"/>
          <w:szCs w:val="24"/>
        </w:rPr>
      </w:pPr>
      <w:r>
        <w:rPr>
          <w:rFonts w:ascii="Times New Roman" w:hAnsi="Times New Roman" w:cs="Times New Roman"/>
          <w:color w:val="000000"/>
          <w:sz w:val="24"/>
          <w:szCs w:val="24"/>
        </w:rPr>
        <w:t>A comprehensive meta-analysis by Nagendran et al. [9] revealed that 81% of clinical AI studies suffer from reporting deficiencies — incomplete descriptions of training data, lack of external validation, and absent fairness analysis — underscoring the need for standardised evaluation infrastructure. BODH directly addresses these limitations.</w:t>
      </w:r>
    </w:p>
    <w:p w14:paraId="63902835" w14:textId="77777777" w:rsidR="00AE4B3D" w:rsidRDefault="00000000">
      <w:pPr>
        <w:pStyle w:val="Heading2"/>
        <w:rPr>
          <w:rFonts w:ascii="Times New Roman" w:hAnsi="Times New Roman" w:cs="Times New Roman"/>
        </w:rPr>
      </w:pPr>
      <w:r>
        <w:rPr>
          <w:rFonts w:ascii="Times New Roman" w:hAnsi="Times New Roman" w:cs="Times New Roman"/>
        </w:rPr>
        <w:t>AI in Indian Healthcare: Opportunity and Risk</w:t>
      </w:r>
    </w:p>
    <w:p w14:paraId="727E9D9A" w14:textId="77777777" w:rsidR="00AE4B3D" w:rsidRDefault="00000000">
      <w:pPr>
        <w:spacing w:before="80" w:after="120"/>
        <w:jc w:val="both"/>
        <w:rPr>
          <w:rFonts w:ascii="Times New Roman" w:hAnsi="Times New Roman" w:cs="Times New Roman"/>
          <w:sz w:val="24"/>
          <w:szCs w:val="24"/>
        </w:rPr>
      </w:pPr>
      <w:r>
        <w:rPr>
          <w:rFonts w:ascii="Times New Roman" w:hAnsi="Times New Roman" w:cs="Times New Roman"/>
          <w:color w:val="000000"/>
          <w:sz w:val="24"/>
          <w:szCs w:val="24"/>
        </w:rPr>
        <w:t xml:space="preserve">India's clinical AI ecosystem has produced notable innovations: </w:t>
      </w:r>
      <w:proofErr w:type="spellStart"/>
      <w:r>
        <w:rPr>
          <w:rFonts w:ascii="Times New Roman" w:hAnsi="Times New Roman" w:cs="Times New Roman"/>
          <w:color w:val="000000"/>
          <w:sz w:val="24"/>
          <w:szCs w:val="24"/>
        </w:rPr>
        <w:t>Niramai</w:t>
      </w:r>
      <w:proofErr w:type="spellEnd"/>
      <w:r>
        <w:rPr>
          <w:rFonts w:ascii="Times New Roman" w:hAnsi="Times New Roman" w:cs="Times New Roman"/>
          <w:color w:val="000000"/>
          <w:sz w:val="24"/>
          <w:szCs w:val="24"/>
        </w:rPr>
        <w:t xml:space="preserve"> (breast cancer screening via thermography), Qure.ai (chest X-ray AI for TB and COVID-19 detection), and Predikt.ai (ICU risk stratification). A 2024 NITI Aayog report estimated that healthcare AI could contribute USD 25-30 billion to India's economy by 2035, primarily through early disease detection, clinical decision support, and supply chain optimisation [10].</w:t>
      </w:r>
    </w:p>
    <w:p w14:paraId="3B56A6BB" w14:textId="77777777" w:rsidR="00AE4B3D" w:rsidRDefault="00000000">
      <w:pPr>
        <w:spacing w:before="80" w:after="120"/>
        <w:jc w:val="both"/>
        <w:rPr>
          <w:rFonts w:ascii="Times New Roman" w:hAnsi="Times New Roman" w:cs="Times New Roman"/>
          <w:sz w:val="24"/>
          <w:szCs w:val="24"/>
        </w:rPr>
      </w:pPr>
      <w:r>
        <w:rPr>
          <w:rFonts w:ascii="Times New Roman" w:hAnsi="Times New Roman" w:cs="Times New Roman"/>
          <w:color w:val="000000"/>
          <w:sz w:val="24"/>
          <w:szCs w:val="24"/>
        </w:rPr>
        <w:t xml:space="preserve">However, several risk factors threaten this trajectory. First, population-level demographic, anthropometric, and genomic heterogeneity in India (across 29 states, 22 official languages, and diverse ethnic groups) creates dataset bias risks if training data under-represents certain populations [11]. Second, India-specific disease profiles — high tuberculosis burden, rheumatic heart disease, sickle cell trait prevalence in tribal communities — demand benchmarks not available in Western datasets [12]. Third, regulatory clarity has lagged: while the Central Drugs </w:t>
      </w:r>
      <w:r>
        <w:rPr>
          <w:rFonts w:ascii="Times New Roman" w:hAnsi="Times New Roman" w:cs="Times New Roman"/>
          <w:color w:val="000000"/>
          <w:sz w:val="24"/>
          <w:szCs w:val="24"/>
        </w:rPr>
        <w:lastRenderedPageBreak/>
        <w:t>Standard Control Organisation (CDSCO) issued draft guidance on AI/ML-based Software as a Medical Device (SaMD) in 2023, no infrastructure for independent pre-market technical evaluation existed. BODH fills this infrastructure gap.</w:t>
      </w:r>
    </w:p>
    <w:p w14:paraId="7E26585C" w14:textId="77777777" w:rsidR="00AE4B3D" w:rsidRDefault="00000000">
      <w:pPr>
        <w:pStyle w:val="Heading2"/>
        <w:rPr>
          <w:rFonts w:ascii="Times New Roman" w:hAnsi="Times New Roman" w:cs="Times New Roman"/>
        </w:rPr>
      </w:pPr>
      <w:r>
        <w:rPr>
          <w:rFonts w:ascii="Times New Roman" w:hAnsi="Times New Roman" w:cs="Times New Roman"/>
        </w:rPr>
        <w:t>Gaps Addressed by BODH</w:t>
      </w:r>
    </w:p>
    <w:p w14:paraId="2226D0FE" w14:textId="77777777" w:rsidR="00AE4B3D" w:rsidRDefault="00000000">
      <w:pPr>
        <w:spacing w:before="80" w:after="120"/>
        <w:jc w:val="both"/>
        <w:rPr>
          <w:rFonts w:ascii="Times New Roman" w:hAnsi="Times New Roman" w:cs="Times New Roman"/>
          <w:sz w:val="24"/>
          <w:szCs w:val="24"/>
        </w:rPr>
      </w:pPr>
      <w:r>
        <w:rPr>
          <w:rFonts w:ascii="Times New Roman" w:hAnsi="Times New Roman" w:cs="Times New Roman"/>
          <w:color w:val="000000"/>
          <w:sz w:val="24"/>
          <w:szCs w:val="24"/>
        </w:rPr>
        <w:t>A systematic mapping of existing platforms against key evaluation dimensions reveals four critical gaps that BODH is specifically engineered to address:</w:t>
      </w:r>
    </w:p>
    <w:p w14:paraId="2C227F28" w14:textId="77777777" w:rsidR="00AE4B3D" w:rsidRDefault="00000000">
      <w:pPr>
        <w:pStyle w:val="ListParagraph"/>
        <w:numPr>
          <w:ilvl w:val="0"/>
          <w:numId w:val="1"/>
        </w:numPr>
        <w:spacing w:before="60" w:after="60"/>
        <w:rPr>
          <w:rFonts w:ascii="Times New Roman" w:hAnsi="Times New Roman" w:cs="Times New Roman"/>
          <w:sz w:val="24"/>
          <w:szCs w:val="24"/>
        </w:rPr>
      </w:pPr>
      <w:r>
        <w:rPr>
          <w:rFonts w:ascii="Times New Roman" w:hAnsi="Times New Roman" w:cs="Times New Roman"/>
          <w:color w:val="000000"/>
          <w:sz w:val="24"/>
          <w:szCs w:val="24"/>
        </w:rPr>
        <w:t>Absence of India-specific benchmark datasets with population diversity representation</w:t>
      </w:r>
    </w:p>
    <w:p w14:paraId="127AAA0E" w14:textId="77777777" w:rsidR="00AE4B3D" w:rsidRDefault="00000000">
      <w:pPr>
        <w:pStyle w:val="ListParagraph"/>
        <w:numPr>
          <w:ilvl w:val="0"/>
          <w:numId w:val="1"/>
        </w:numPr>
        <w:spacing w:before="60" w:after="60"/>
        <w:rPr>
          <w:rFonts w:ascii="Times New Roman" w:hAnsi="Times New Roman" w:cs="Times New Roman"/>
          <w:sz w:val="24"/>
          <w:szCs w:val="24"/>
        </w:rPr>
      </w:pPr>
      <w:r>
        <w:rPr>
          <w:rFonts w:ascii="Times New Roman" w:hAnsi="Times New Roman" w:cs="Times New Roman"/>
          <w:color w:val="000000"/>
          <w:sz w:val="24"/>
          <w:szCs w:val="24"/>
        </w:rPr>
        <w:t>No federated evaluation capability protecting participating hospital data sovereignty</w:t>
      </w:r>
    </w:p>
    <w:p w14:paraId="7EC36D9C" w14:textId="77777777" w:rsidR="00AE4B3D" w:rsidRDefault="00000000">
      <w:pPr>
        <w:pStyle w:val="ListParagraph"/>
        <w:numPr>
          <w:ilvl w:val="0"/>
          <w:numId w:val="1"/>
        </w:numPr>
        <w:spacing w:before="60" w:after="60"/>
        <w:rPr>
          <w:rFonts w:ascii="Times New Roman" w:hAnsi="Times New Roman" w:cs="Times New Roman"/>
          <w:sz w:val="24"/>
          <w:szCs w:val="24"/>
        </w:rPr>
      </w:pPr>
      <w:r>
        <w:rPr>
          <w:rFonts w:ascii="Times New Roman" w:hAnsi="Times New Roman" w:cs="Times New Roman"/>
          <w:color w:val="000000"/>
          <w:sz w:val="24"/>
          <w:szCs w:val="24"/>
        </w:rPr>
        <w:t>Lack of multi-dimensional scoring integrating accuracy, fairness, explainability, and safety</w:t>
      </w:r>
    </w:p>
    <w:p w14:paraId="29DA17AB" w14:textId="77777777" w:rsidR="00AE4B3D" w:rsidRDefault="00000000">
      <w:pPr>
        <w:pStyle w:val="ListParagraph"/>
        <w:numPr>
          <w:ilvl w:val="0"/>
          <w:numId w:val="1"/>
        </w:numPr>
        <w:spacing w:before="60" w:after="60"/>
        <w:rPr>
          <w:rFonts w:ascii="Times New Roman" w:hAnsi="Times New Roman" w:cs="Times New Roman"/>
          <w:sz w:val="24"/>
          <w:szCs w:val="24"/>
        </w:rPr>
      </w:pPr>
      <w:r>
        <w:rPr>
          <w:rFonts w:ascii="Times New Roman" w:hAnsi="Times New Roman" w:cs="Times New Roman"/>
          <w:color w:val="000000"/>
          <w:sz w:val="24"/>
          <w:szCs w:val="24"/>
        </w:rPr>
        <w:t>No regulatory-grade audit trail aligned with CDSCO SaMD and MeitY AI governance frameworks</w:t>
      </w:r>
    </w:p>
    <w:p w14:paraId="3FAA30FD" w14:textId="77777777" w:rsidR="00AE4B3D" w:rsidRDefault="00000000">
      <w:pPr>
        <w:pStyle w:val="Heading1"/>
        <w:pBdr>
          <w:bottom w:val="single" w:sz="8" w:space="4" w:color="2C5F9E"/>
        </w:pBdr>
        <w:rPr>
          <w:rFonts w:ascii="Times New Roman" w:hAnsi="Times New Roman" w:cs="Times New Roman"/>
          <w:sz w:val="24"/>
          <w:szCs w:val="24"/>
        </w:rPr>
      </w:pPr>
      <w:r>
        <w:rPr>
          <w:rFonts w:ascii="Times New Roman" w:hAnsi="Times New Roman" w:cs="Times New Roman"/>
          <w:sz w:val="24"/>
          <w:szCs w:val="24"/>
        </w:rPr>
        <w:t>BODH System Architecture</w:t>
      </w:r>
    </w:p>
    <w:p w14:paraId="2F91C46A" w14:textId="77777777" w:rsidR="00AE4B3D" w:rsidRDefault="00000000">
      <w:pPr>
        <w:pStyle w:val="Heading2"/>
        <w:rPr>
          <w:rFonts w:ascii="Times New Roman" w:hAnsi="Times New Roman" w:cs="Times New Roman"/>
        </w:rPr>
      </w:pPr>
      <w:r>
        <w:rPr>
          <w:rFonts w:ascii="Times New Roman" w:hAnsi="Times New Roman" w:cs="Times New Roman"/>
        </w:rPr>
        <w:t>Design Principles</w:t>
      </w:r>
    </w:p>
    <w:p w14:paraId="2D979301" w14:textId="77777777" w:rsidR="00AE4B3D" w:rsidRDefault="00000000">
      <w:pPr>
        <w:spacing w:before="80" w:after="120"/>
        <w:jc w:val="both"/>
        <w:rPr>
          <w:rFonts w:ascii="Times New Roman" w:hAnsi="Times New Roman" w:cs="Times New Roman"/>
          <w:sz w:val="24"/>
          <w:szCs w:val="24"/>
        </w:rPr>
      </w:pPr>
      <w:r>
        <w:rPr>
          <w:rFonts w:ascii="Times New Roman" w:hAnsi="Times New Roman" w:cs="Times New Roman"/>
          <w:color w:val="000000"/>
          <w:sz w:val="24"/>
          <w:szCs w:val="24"/>
        </w:rPr>
        <w:t>BODH is architected upon six foundational principles derived from international frameworks including the NIH STRIDES Initiative, WHO Ethics Guidelines for AI in Health, and the EU AI Act (risk-based categorisation):</w:t>
      </w:r>
    </w:p>
    <w:p w14:paraId="590542D8" w14:textId="77777777" w:rsidR="00AE4B3D" w:rsidRDefault="00000000">
      <w:pPr>
        <w:pStyle w:val="ListParagraph"/>
        <w:numPr>
          <w:ilvl w:val="0"/>
          <w:numId w:val="2"/>
        </w:numPr>
        <w:spacing w:before="60" w:after="60"/>
        <w:rPr>
          <w:rFonts w:ascii="Times New Roman" w:hAnsi="Times New Roman" w:cs="Times New Roman"/>
          <w:sz w:val="24"/>
          <w:szCs w:val="24"/>
        </w:rPr>
      </w:pPr>
      <w:r>
        <w:rPr>
          <w:rFonts w:ascii="Times New Roman" w:hAnsi="Times New Roman" w:cs="Times New Roman"/>
          <w:b/>
          <w:bCs/>
          <w:color w:val="000000"/>
          <w:sz w:val="24"/>
          <w:szCs w:val="24"/>
        </w:rPr>
        <w:t>Sovereignty:</w:t>
      </w:r>
      <w:r>
        <w:rPr>
          <w:rFonts w:ascii="Times New Roman" w:hAnsi="Times New Roman" w:cs="Times New Roman"/>
          <w:color w:val="000000"/>
          <w:sz w:val="24"/>
          <w:szCs w:val="24"/>
        </w:rPr>
        <w:t xml:space="preserve"> All benchmark data resides within Indian jurisdiction; no cross-border data transfer by default.</w:t>
      </w:r>
    </w:p>
    <w:p w14:paraId="6D0092DA" w14:textId="77777777" w:rsidR="00AE4B3D" w:rsidRDefault="00000000">
      <w:pPr>
        <w:pStyle w:val="ListParagraph"/>
        <w:numPr>
          <w:ilvl w:val="0"/>
          <w:numId w:val="2"/>
        </w:numPr>
        <w:spacing w:before="60" w:after="60"/>
        <w:rPr>
          <w:rFonts w:ascii="Times New Roman" w:hAnsi="Times New Roman" w:cs="Times New Roman"/>
          <w:sz w:val="24"/>
          <w:szCs w:val="24"/>
        </w:rPr>
      </w:pPr>
      <w:r>
        <w:rPr>
          <w:rFonts w:ascii="Times New Roman" w:hAnsi="Times New Roman" w:cs="Times New Roman"/>
          <w:b/>
          <w:bCs/>
          <w:color w:val="000000"/>
          <w:sz w:val="24"/>
          <w:szCs w:val="24"/>
        </w:rPr>
        <w:t>Federation:</w:t>
      </w:r>
      <w:r>
        <w:rPr>
          <w:rFonts w:ascii="Times New Roman" w:hAnsi="Times New Roman" w:cs="Times New Roman"/>
          <w:color w:val="000000"/>
          <w:sz w:val="24"/>
          <w:szCs w:val="24"/>
        </w:rPr>
        <w:t xml:space="preserve"> Model evaluation occurs at the data source (hospital node) without centralising patient records.</w:t>
      </w:r>
    </w:p>
    <w:p w14:paraId="7F1E8E07" w14:textId="77777777" w:rsidR="00AE4B3D" w:rsidRDefault="00000000">
      <w:pPr>
        <w:pStyle w:val="ListParagraph"/>
        <w:numPr>
          <w:ilvl w:val="0"/>
          <w:numId w:val="2"/>
        </w:numPr>
        <w:spacing w:before="60" w:after="60"/>
        <w:rPr>
          <w:rFonts w:ascii="Times New Roman" w:hAnsi="Times New Roman" w:cs="Times New Roman"/>
          <w:sz w:val="24"/>
          <w:szCs w:val="24"/>
        </w:rPr>
      </w:pPr>
      <w:r>
        <w:rPr>
          <w:rFonts w:ascii="Times New Roman" w:hAnsi="Times New Roman" w:cs="Times New Roman"/>
          <w:b/>
          <w:bCs/>
          <w:color w:val="000000"/>
          <w:sz w:val="24"/>
          <w:szCs w:val="24"/>
        </w:rPr>
        <w:t>Openness:</w:t>
      </w:r>
      <w:r>
        <w:rPr>
          <w:rFonts w:ascii="Times New Roman" w:hAnsi="Times New Roman" w:cs="Times New Roman"/>
          <w:color w:val="000000"/>
          <w:sz w:val="24"/>
          <w:szCs w:val="24"/>
        </w:rPr>
        <w:t xml:space="preserve"> Benchmark specifications, evaluation code, and aggregate results are publicly accessible under CC BY 4.0 licence.</w:t>
      </w:r>
    </w:p>
    <w:p w14:paraId="5A1271AA" w14:textId="77777777" w:rsidR="00AE4B3D" w:rsidRDefault="00000000">
      <w:pPr>
        <w:pStyle w:val="ListParagraph"/>
        <w:numPr>
          <w:ilvl w:val="0"/>
          <w:numId w:val="2"/>
        </w:numPr>
        <w:spacing w:before="60" w:after="60"/>
        <w:rPr>
          <w:rFonts w:ascii="Times New Roman" w:hAnsi="Times New Roman" w:cs="Times New Roman"/>
          <w:sz w:val="24"/>
          <w:szCs w:val="24"/>
        </w:rPr>
      </w:pPr>
      <w:r>
        <w:rPr>
          <w:rFonts w:ascii="Times New Roman" w:hAnsi="Times New Roman" w:cs="Times New Roman"/>
          <w:b/>
          <w:bCs/>
          <w:color w:val="000000"/>
          <w:sz w:val="24"/>
          <w:szCs w:val="24"/>
        </w:rPr>
        <w:t>Reproducibility</w:t>
      </w:r>
      <w:r>
        <w:rPr>
          <w:rFonts w:ascii="Times New Roman" w:hAnsi="Times New Roman" w:cs="Times New Roman"/>
          <w:color w:val="000000"/>
          <w:sz w:val="24"/>
          <w:szCs w:val="24"/>
        </w:rPr>
        <w:t>: All evaluations are versioned, containerised, and cryptographically signed for auditability.</w:t>
      </w:r>
    </w:p>
    <w:p w14:paraId="38256521" w14:textId="77777777" w:rsidR="00AE4B3D" w:rsidRDefault="00000000">
      <w:pPr>
        <w:pStyle w:val="ListParagraph"/>
        <w:numPr>
          <w:ilvl w:val="0"/>
          <w:numId w:val="2"/>
        </w:numPr>
        <w:spacing w:before="60" w:after="60"/>
        <w:rPr>
          <w:rFonts w:ascii="Times New Roman" w:hAnsi="Times New Roman" w:cs="Times New Roman"/>
          <w:sz w:val="24"/>
          <w:szCs w:val="24"/>
        </w:rPr>
      </w:pPr>
      <w:r>
        <w:rPr>
          <w:rFonts w:ascii="Times New Roman" w:hAnsi="Times New Roman" w:cs="Times New Roman"/>
          <w:b/>
          <w:bCs/>
          <w:color w:val="000000"/>
          <w:sz w:val="24"/>
          <w:szCs w:val="24"/>
        </w:rPr>
        <w:t>Proportionality</w:t>
      </w:r>
      <w:r>
        <w:rPr>
          <w:rFonts w:ascii="Times New Roman" w:hAnsi="Times New Roman" w:cs="Times New Roman"/>
          <w:color w:val="000000"/>
          <w:sz w:val="24"/>
          <w:szCs w:val="24"/>
        </w:rPr>
        <w:t>: Evaluation rigour scales with AI system risk class (Class I-III under CDSCO SaMD taxonomy).</w:t>
      </w:r>
    </w:p>
    <w:p w14:paraId="42FB2A6D" w14:textId="77777777" w:rsidR="00AE4B3D" w:rsidRDefault="00000000">
      <w:pPr>
        <w:pStyle w:val="ListParagraph"/>
        <w:numPr>
          <w:ilvl w:val="0"/>
          <w:numId w:val="2"/>
        </w:numPr>
        <w:spacing w:before="60" w:after="60"/>
        <w:rPr>
          <w:rFonts w:ascii="Times New Roman" w:hAnsi="Times New Roman" w:cs="Times New Roman"/>
          <w:sz w:val="24"/>
          <w:szCs w:val="24"/>
        </w:rPr>
      </w:pPr>
      <w:r>
        <w:rPr>
          <w:rFonts w:ascii="Times New Roman" w:hAnsi="Times New Roman" w:cs="Times New Roman"/>
          <w:b/>
          <w:bCs/>
          <w:color w:val="000000"/>
          <w:sz w:val="24"/>
          <w:szCs w:val="24"/>
        </w:rPr>
        <w:t xml:space="preserve">Inclusivity: </w:t>
      </w:r>
      <w:r>
        <w:rPr>
          <w:rFonts w:ascii="Times New Roman" w:hAnsi="Times New Roman" w:cs="Times New Roman"/>
          <w:color w:val="000000"/>
          <w:sz w:val="24"/>
          <w:szCs w:val="24"/>
        </w:rPr>
        <w:t>Platform supports low-bandwidth environments and edge-device deployment scenarios prevalent in rural India.</w:t>
      </w:r>
    </w:p>
    <w:p w14:paraId="24A4EA08" w14:textId="77777777" w:rsidR="00AE4B3D" w:rsidRDefault="00000000">
      <w:pPr>
        <w:pStyle w:val="Heading2"/>
        <w:rPr>
          <w:rFonts w:ascii="Times New Roman" w:hAnsi="Times New Roman" w:cs="Times New Roman"/>
        </w:rPr>
      </w:pPr>
      <w:r>
        <w:rPr>
          <w:rFonts w:ascii="Times New Roman" w:hAnsi="Times New Roman" w:cs="Times New Roman"/>
        </w:rPr>
        <w:t>Multi-Layer Architecture</w:t>
      </w:r>
    </w:p>
    <w:p w14:paraId="569860BB" w14:textId="77777777" w:rsidR="00AE4B3D" w:rsidRDefault="00000000">
      <w:pPr>
        <w:spacing w:before="80" w:after="120"/>
        <w:jc w:val="both"/>
        <w:rPr>
          <w:rFonts w:ascii="Times New Roman" w:hAnsi="Times New Roman" w:cs="Times New Roman"/>
          <w:sz w:val="24"/>
          <w:szCs w:val="24"/>
        </w:rPr>
      </w:pPr>
      <w:r>
        <w:rPr>
          <w:rFonts w:ascii="Times New Roman" w:hAnsi="Times New Roman" w:cs="Times New Roman"/>
          <w:color w:val="000000"/>
          <w:sz w:val="24"/>
          <w:szCs w:val="24"/>
        </w:rPr>
        <w:t>BODH employs a six-layer microservices architecture. Table 1 provides a detailed breakdown of each layer's function, underlying technology stack, and security provisions.</w:t>
      </w:r>
    </w:p>
    <w:p w14:paraId="1F624739" w14:textId="77777777" w:rsidR="00AE4B3D" w:rsidRDefault="00000000">
      <w:pPr>
        <w:spacing w:before="80" w:after="40"/>
        <w:jc w:val="center"/>
        <w:rPr>
          <w:rFonts w:ascii="Times New Roman" w:hAnsi="Times New Roman" w:cs="Times New Roman"/>
        </w:rPr>
      </w:pPr>
      <w:r>
        <w:rPr>
          <w:rFonts w:ascii="Times New Roman" w:hAnsi="Times New Roman" w:cs="Times New Roman"/>
          <w:b/>
          <w:bCs/>
          <w:color w:val="1B3A6B"/>
        </w:rPr>
        <w:t>Table 1: BODH Multi-Layer Technical Architecture</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1843"/>
        <w:gridCol w:w="3213"/>
        <w:gridCol w:w="2195"/>
        <w:gridCol w:w="2109"/>
      </w:tblGrid>
      <w:tr w:rsidR="00AE4B3D" w14:paraId="55CEB489" w14:textId="77777777">
        <w:tc>
          <w:tcPr>
            <w:tcW w:w="2000" w:type="dxa"/>
            <w:tcBorders>
              <w:top w:val="single" w:sz="0" w:space="0" w:color="CCCCCC"/>
              <w:left w:val="single" w:sz="0" w:space="0" w:color="CCCCCC"/>
              <w:bottom w:val="single" w:sz="0" w:space="0" w:color="CCCCCC"/>
              <w:right w:val="single" w:sz="0" w:space="0" w:color="CCCCCC"/>
            </w:tcBorders>
            <w:shd w:val="clear" w:color="auto" w:fill="2C5F9E"/>
            <w:tcMar>
              <w:top w:w="80" w:type="dxa"/>
              <w:left w:w="120" w:type="dxa"/>
              <w:bottom w:w="80" w:type="dxa"/>
              <w:right w:w="120" w:type="dxa"/>
            </w:tcMar>
          </w:tcPr>
          <w:p w14:paraId="1424F843" w14:textId="77777777" w:rsidR="00AE4B3D" w:rsidRDefault="00000000">
            <w:pPr>
              <w:rPr>
                <w:rFonts w:ascii="Times New Roman" w:hAnsi="Times New Roman" w:cs="Times New Roman"/>
                <w:sz w:val="16"/>
                <w:szCs w:val="16"/>
              </w:rPr>
            </w:pPr>
            <w:r>
              <w:rPr>
                <w:rFonts w:ascii="Times New Roman" w:hAnsi="Times New Roman" w:cs="Times New Roman"/>
                <w:b/>
                <w:bCs/>
                <w:color w:val="FFFFFF"/>
                <w:sz w:val="16"/>
                <w:szCs w:val="16"/>
              </w:rPr>
              <w:t>Layer</w:t>
            </w:r>
          </w:p>
        </w:tc>
        <w:tc>
          <w:tcPr>
            <w:tcW w:w="2700" w:type="dxa"/>
            <w:tcBorders>
              <w:top w:val="single" w:sz="0" w:space="0" w:color="CCCCCC"/>
              <w:left w:val="single" w:sz="0" w:space="0" w:color="CCCCCC"/>
              <w:bottom w:val="single" w:sz="0" w:space="0" w:color="CCCCCC"/>
              <w:right w:val="single" w:sz="0" w:space="0" w:color="CCCCCC"/>
            </w:tcBorders>
            <w:shd w:val="clear" w:color="auto" w:fill="2C5F9E"/>
            <w:tcMar>
              <w:top w:w="80" w:type="dxa"/>
              <w:left w:w="120" w:type="dxa"/>
              <w:bottom w:w="80" w:type="dxa"/>
              <w:right w:w="120" w:type="dxa"/>
            </w:tcMar>
          </w:tcPr>
          <w:p w14:paraId="63D75E03" w14:textId="77777777" w:rsidR="00AE4B3D" w:rsidRDefault="00000000">
            <w:pPr>
              <w:rPr>
                <w:rFonts w:ascii="Times New Roman" w:hAnsi="Times New Roman" w:cs="Times New Roman"/>
                <w:sz w:val="16"/>
                <w:szCs w:val="16"/>
              </w:rPr>
            </w:pPr>
            <w:r>
              <w:rPr>
                <w:rFonts w:ascii="Times New Roman" w:hAnsi="Times New Roman" w:cs="Times New Roman"/>
                <w:b/>
                <w:bCs/>
                <w:color w:val="FFFFFF"/>
                <w:sz w:val="16"/>
                <w:szCs w:val="16"/>
              </w:rPr>
              <w:t>Function</w:t>
            </w:r>
          </w:p>
        </w:tc>
        <w:tc>
          <w:tcPr>
            <w:tcW w:w="2500" w:type="dxa"/>
            <w:tcBorders>
              <w:top w:val="single" w:sz="0" w:space="0" w:color="CCCCCC"/>
              <w:left w:val="single" w:sz="0" w:space="0" w:color="CCCCCC"/>
              <w:bottom w:val="single" w:sz="0" w:space="0" w:color="CCCCCC"/>
              <w:right w:val="single" w:sz="0" w:space="0" w:color="CCCCCC"/>
            </w:tcBorders>
            <w:shd w:val="clear" w:color="auto" w:fill="2C5F9E"/>
            <w:tcMar>
              <w:top w:w="80" w:type="dxa"/>
              <w:left w:w="120" w:type="dxa"/>
              <w:bottom w:w="80" w:type="dxa"/>
              <w:right w:w="120" w:type="dxa"/>
            </w:tcMar>
          </w:tcPr>
          <w:p w14:paraId="55A60495" w14:textId="77777777" w:rsidR="00AE4B3D" w:rsidRDefault="00000000">
            <w:pPr>
              <w:rPr>
                <w:rFonts w:ascii="Times New Roman" w:hAnsi="Times New Roman" w:cs="Times New Roman"/>
                <w:sz w:val="16"/>
                <w:szCs w:val="16"/>
              </w:rPr>
            </w:pPr>
            <w:r>
              <w:rPr>
                <w:rFonts w:ascii="Times New Roman" w:hAnsi="Times New Roman" w:cs="Times New Roman"/>
                <w:b/>
                <w:bCs/>
                <w:color w:val="FFFFFF"/>
                <w:sz w:val="16"/>
                <w:szCs w:val="16"/>
              </w:rPr>
              <w:t>Technologies</w:t>
            </w:r>
          </w:p>
        </w:tc>
        <w:tc>
          <w:tcPr>
            <w:tcW w:w="2160" w:type="dxa"/>
            <w:tcBorders>
              <w:top w:val="single" w:sz="0" w:space="0" w:color="CCCCCC"/>
              <w:left w:val="single" w:sz="0" w:space="0" w:color="CCCCCC"/>
              <w:bottom w:val="single" w:sz="0" w:space="0" w:color="CCCCCC"/>
              <w:right w:val="single" w:sz="0" w:space="0" w:color="CCCCCC"/>
            </w:tcBorders>
            <w:shd w:val="clear" w:color="auto" w:fill="2C5F9E"/>
            <w:tcMar>
              <w:top w:w="80" w:type="dxa"/>
              <w:left w:w="120" w:type="dxa"/>
              <w:bottom w:w="80" w:type="dxa"/>
              <w:right w:w="120" w:type="dxa"/>
            </w:tcMar>
          </w:tcPr>
          <w:p w14:paraId="7C361C9A" w14:textId="77777777" w:rsidR="00AE4B3D" w:rsidRDefault="00000000">
            <w:pPr>
              <w:rPr>
                <w:rFonts w:ascii="Times New Roman" w:hAnsi="Times New Roman" w:cs="Times New Roman"/>
                <w:sz w:val="16"/>
                <w:szCs w:val="16"/>
              </w:rPr>
            </w:pPr>
            <w:r>
              <w:rPr>
                <w:rFonts w:ascii="Times New Roman" w:hAnsi="Times New Roman" w:cs="Times New Roman"/>
                <w:b/>
                <w:bCs/>
                <w:color w:val="FFFFFF"/>
                <w:sz w:val="16"/>
                <w:szCs w:val="16"/>
              </w:rPr>
              <w:t>Security</w:t>
            </w:r>
          </w:p>
        </w:tc>
      </w:tr>
      <w:tr w:rsidR="00AE4B3D" w14:paraId="6F0E52D3" w14:textId="77777777">
        <w:tc>
          <w:tcPr>
            <w:tcW w:w="0" w:type="auto"/>
            <w:tcBorders>
              <w:top w:val="single" w:sz="0" w:space="0" w:color="CCCCCC"/>
              <w:left w:val="single" w:sz="0" w:space="0" w:color="CCCCCC"/>
              <w:bottom w:val="single" w:sz="0" w:space="0" w:color="CCCCCC"/>
              <w:right w:val="single" w:sz="0" w:space="0" w:color="CCCCCC"/>
            </w:tcBorders>
            <w:shd w:val="clear" w:color="auto" w:fill="FFFFFF"/>
            <w:tcMar>
              <w:top w:w="60" w:type="dxa"/>
              <w:left w:w="120" w:type="dxa"/>
              <w:bottom w:w="60" w:type="dxa"/>
              <w:right w:w="120" w:type="dxa"/>
            </w:tcMar>
          </w:tcPr>
          <w:p w14:paraId="3F7FF324" w14:textId="77777777" w:rsidR="00AE4B3D" w:rsidRDefault="00000000">
            <w:pPr>
              <w:rPr>
                <w:rFonts w:ascii="Times New Roman" w:hAnsi="Times New Roman" w:cs="Times New Roman"/>
                <w:sz w:val="16"/>
                <w:szCs w:val="16"/>
              </w:rPr>
            </w:pPr>
            <w:r>
              <w:rPr>
                <w:rFonts w:ascii="Times New Roman" w:hAnsi="Times New Roman" w:cs="Times New Roman"/>
                <w:color w:val="000000"/>
                <w:sz w:val="16"/>
                <w:szCs w:val="16"/>
              </w:rPr>
              <w:t>Layer 1 — Data Ingestion</w:t>
            </w:r>
          </w:p>
        </w:tc>
        <w:tc>
          <w:tcPr>
            <w:tcW w:w="0" w:type="auto"/>
            <w:tcBorders>
              <w:top w:val="single" w:sz="0" w:space="0" w:color="CCCCCC"/>
              <w:left w:val="single" w:sz="0" w:space="0" w:color="CCCCCC"/>
              <w:bottom w:val="single" w:sz="0" w:space="0" w:color="CCCCCC"/>
              <w:right w:val="single" w:sz="0" w:space="0" w:color="CCCCCC"/>
            </w:tcBorders>
            <w:shd w:val="clear" w:color="auto" w:fill="FFFFFF"/>
            <w:tcMar>
              <w:top w:w="60" w:type="dxa"/>
              <w:left w:w="120" w:type="dxa"/>
              <w:bottom w:w="60" w:type="dxa"/>
              <w:right w:w="120" w:type="dxa"/>
            </w:tcMar>
          </w:tcPr>
          <w:p w14:paraId="51BF8233" w14:textId="77777777" w:rsidR="00AE4B3D" w:rsidRDefault="00000000">
            <w:pPr>
              <w:rPr>
                <w:rFonts w:ascii="Times New Roman" w:hAnsi="Times New Roman" w:cs="Times New Roman"/>
                <w:sz w:val="16"/>
                <w:szCs w:val="16"/>
              </w:rPr>
            </w:pPr>
            <w:r>
              <w:rPr>
                <w:rFonts w:ascii="Times New Roman" w:hAnsi="Times New Roman" w:cs="Times New Roman"/>
                <w:color w:val="000000"/>
                <w:sz w:val="16"/>
                <w:szCs w:val="16"/>
              </w:rPr>
              <w:t>Federated connectors (FHIR R4, DICOM WADO-RS, HL7 v2, CSV)</w:t>
            </w:r>
          </w:p>
        </w:tc>
        <w:tc>
          <w:tcPr>
            <w:tcW w:w="0" w:type="auto"/>
            <w:tcBorders>
              <w:top w:val="single" w:sz="0" w:space="0" w:color="CCCCCC"/>
              <w:left w:val="single" w:sz="0" w:space="0" w:color="CCCCCC"/>
              <w:bottom w:val="single" w:sz="0" w:space="0" w:color="CCCCCC"/>
              <w:right w:val="single" w:sz="0" w:space="0" w:color="CCCCCC"/>
            </w:tcBorders>
            <w:shd w:val="clear" w:color="auto" w:fill="FFFFFF"/>
            <w:tcMar>
              <w:top w:w="60" w:type="dxa"/>
              <w:left w:w="120" w:type="dxa"/>
              <w:bottom w:w="60" w:type="dxa"/>
              <w:right w:w="120" w:type="dxa"/>
            </w:tcMar>
          </w:tcPr>
          <w:p w14:paraId="579AE90E" w14:textId="77777777" w:rsidR="00AE4B3D" w:rsidRDefault="00000000">
            <w:pPr>
              <w:rPr>
                <w:rFonts w:ascii="Times New Roman" w:hAnsi="Times New Roman" w:cs="Times New Roman"/>
                <w:sz w:val="16"/>
                <w:szCs w:val="16"/>
              </w:rPr>
            </w:pPr>
            <w:r>
              <w:rPr>
                <w:rFonts w:ascii="Times New Roman" w:hAnsi="Times New Roman" w:cs="Times New Roman"/>
                <w:color w:val="000000"/>
                <w:sz w:val="16"/>
                <w:szCs w:val="16"/>
              </w:rPr>
              <w:t xml:space="preserve">Apache Kafka + </w:t>
            </w:r>
            <w:proofErr w:type="spellStart"/>
            <w:r>
              <w:rPr>
                <w:rFonts w:ascii="Times New Roman" w:hAnsi="Times New Roman" w:cs="Times New Roman"/>
                <w:color w:val="000000"/>
                <w:sz w:val="16"/>
                <w:szCs w:val="16"/>
              </w:rPr>
              <w:t>NiFi</w:t>
            </w:r>
            <w:proofErr w:type="spellEnd"/>
          </w:p>
        </w:tc>
        <w:tc>
          <w:tcPr>
            <w:tcW w:w="0" w:type="auto"/>
            <w:tcBorders>
              <w:top w:val="single" w:sz="0" w:space="0" w:color="CCCCCC"/>
              <w:left w:val="single" w:sz="0" w:space="0" w:color="CCCCCC"/>
              <w:bottom w:val="single" w:sz="0" w:space="0" w:color="CCCCCC"/>
              <w:right w:val="single" w:sz="0" w:space="0" w:color="CCCCCC"/>
            </w:tcBorders>
            <w:shd w:val="clear" w:color="auto" w:fill="FFFFFF"/>
            <w:tcMar>
              <w:top w:w="60" w:type="dxa"/>
              <w:left w:w="120" w:type="dxa"/>
              <w:bottom w:w="60" w:type="dxa"/>
              <w:right w:w="120" w:type="dxa"/>
            </w:tcMar>
          </w:tcPr>
          <w:p w14:paraId="2FD604CF" w14:textId="77777777" w:rsidR="00AE4B3D" w:rsidRDefault="00000000">
            <w:pPr>
              <w:rPr>
                <w:rFonts w:ascii="Times New Roman" w:hAnsi="Times New Roman" w:cs="Times New Roman"/>
                <w:sz w:val="16"/>
                <w:szCs w:val="16"/>
              </w:rPr>
            </w:pPr>
            <w:r>
              <w:rPr>
                <w:rFonts w:ascii="Times New Roman" w:hAnsi="Times New Roman" w:cs="Times New Roman"/>
                <w:color w:val="000000"/>
                <w:sz w:val="16"/>
                <w:szCs w:val="16"/>
              </w:rPr>
              <w:t xml:space="preserve">TLS 1.3, </w:t>
            </w:r>
            <w:proofErr w:type="spellStart"/>
            <w:r>
              <w:rPr>
                <w:rFonts w:ascii="Times New Roman" w:hAnsi="Times New Roman" w:cs="Times New Roman"/>
                <w:color w:val="000000"/>
                <w:sz w:val="16"/>
                <w:szCs w:val="16"/>
              </w:rPr>
              <w:t>mTLS</w:t>
            </w:r>
            <w:proofErr w:type="spellEnd"/>
          </w:p>
        </w:tc>
      </w:tr>
      <w:tr w:rsidR="00AE4B3D" w14:paraId="3BC31D20" w14:textId="77777777">
        <w:tc>
          <w:tcPr>
            <w:tcW w:w="0" w:type="auto"/>
            <w:tcBorders>
              <w:top w:val="single" w:sz="0" w:space="0" w:color="CCCCCC"/>
              <w:left w:val="single" w:sz="0" w:space="0" w:color="CCCCCC"/>
              <w:bottom w:val="single" w:sz="0" w:space="0" w:color="CCCCCC"/>
              <w:right w:val="single" w:sz="0" w:space="0" w:color="CCCCCC"/>
            </w:tcBorders>
            <w:shd w:val="clear" w:color="auto" w:fill="F2F4F7"/>
            <w:tcMar>
              <w:top w:w="60" w:type="dxa"/>
              <w:left w:w="120" w:type="dxa"/>
              <w:bottom w:w="60" w:type="dxa"/>
              <w:right w:w="120" w:type="dxa"/>
            </w:tcMar>
          </w:tcPr>
          <w:p w14:paraId="25827376" w14:textId="77777777" w:rsidR="00AE4B3D" w:rsidRDefault="00000000">
            <w:pPr>
              <w:rPr>
                <w:rFonts w:ascii="Times New Roman" w:hAnsi="Times New Roman" w:cs="Times New Roman"/>
                <w:sz w:val="16"/>
                <w:szCs w:val="16"/>
              </w:rPr>
            </w:pPr>
            <w:r>
              <w:rPr>
                <w:rFonts w:ascii="Times New Roman" w:hAnsi="Times New Roman" w:cs="Times New Roman"/>
                <w:color w:val="000000"/>
                <w:sz w:val="16"/>
                <w:szCs w:val="16"/>
              </w:rPr>
              <w:t>Layer 2 — Data Harmonisation</w:t>
            </w:r>
          </w:p>
        </w:tc>
        <w:tc>
          <w:tcPr>
            <w:tcW w:w="0" w:type="auto"/>
            <w:tcBorders>
              <w:top w:val="single" w:sz="0" w:space="0" w:color="CCCCCC"/>
              <w:left w:val="single" w:sz="0" w:space="0" w:color="CCCCCC"/>
              <w:bottom w:val="single" w:sz="0" w:space="0" w:color="CCCCCC"/>
              <w:right w:val="single" w:sz="0" w:space="0" w:color="CCCCCC"/>
            </w:tcBorders>
            <w:shd w:val="clear" w:color="auto" w:fill="F2F4F7"/>
            <w:tcMar>
              <w:top w:w="60" w:type="dxa"/>
              <w:left w:w="120" w:type="dxa"/>
              <w:bottom w:w="60" w:type="dxa"/>
              <w:right w:w="120" w:type="dxa"/>
            </w:tcMar>
          </w:tcPr>
          <w:p w14:paraId="5EF2742D" w14:textId="77777777" w:rsidR="00AE4B3D" w:rsidRDefault="00000000">
            <w:pPr>
              <w:rPr>
                <w:rFonts w:ascii="Times New Roman" w:hAnsi="Times New Roman" w:cs="Times New Roman"/>
                <w:sz w:val="16"/>
                <w:szCs w:val="16"/>
              </w:rPr>
            </w:pPr>
            <w:r>
              <w:rPr>
                <w:rFonts w:ascii="Times New Roman" w:hAnsi="Times New Roman" w:cs="Times New Roman"/>
                <w:color w:val="000000"/>
                <w:sz w:val="16"/>
                <w:szCs w:val="16"/>
              </w:rPr>
              <w:t>OMOP CDM mapping, SNOMED CT coding, LOINC normalisation</w:t>
            </w:r>
          </w:p>
        </w:tc>
        <w:tc>
          <w:tcPr>
            <w:tcW w:w="0" w:type="auto"/>
            <w:tcBorders>
              <w:top w:val="single" w:sz="0" w:space="0" w:color="CCCCCC"/>
              <w:left w:val="single" w:sz="0" w:space="0" w:color="CCCCCC"/>
              <w:bottom w:val="single" w:sz="0" w:space="0" w:color="CCCCCC"/>
              <w:right w:val="single" w:sz="0" w:space="0" w:color="CCCCCC"/>
            </w:tcBorders>
            <w:shd w:val="clear" w:color="auto" w:fill="F2F4F7"/>
            <w:tcMar>
              <w:top w:w="60" w:type="dxa"/>
              <w:left w:w="120" w:type="dxa"/>
              <w:bottom w:w="60" w:type="dxa"/>
              <w:right w:w="120" w:type="dxa"/>
            </w:tcMar>
          </w:tcPr>
          <w:p w14:paraId="50F0D748" w14:textId="77777777" w:rsidR="00AE4B3D" w:rsidRDefault="00000000">
            <w:pPr>
              <w:rPr>
                <w:rFonts w:ascii="Times New Roman" w:hAnsi="Times New Roman" w:cs="Times New Roman"/>
                <w:sz w:val="16"/>
                <w:szCs w:val="16"/>
              </w:rPr>
            </w:pPr>
            <w:r>
              <w:rPr>
                <w:rFonts w:ascii="Times New Roman" w:hAnsi="Times New Roman" w:cs="Times New Roman"/>
                <w:color w:val="000000"/>
                <w:sz w:val="16"/>
                <w:szCs w:val="16"/>
              </w:rPr>
              <w:t xml:space="preserve">Apache Spark + </w:t>
            </w:r>
            <w:proofErr w:type="spellStart"/>
            <w:r>
              <w:rPr>
                <w:rFonts w:ascii="Times New Roman" w:hAnsi="Times New Roman" w:cs="Times New Roman"/>
                <w:color w:val="000000"/>
                <w:sz w:val="16"/>
                <w:szCs w:val="16"/>
              </w:rPr>
              <w:t>dbt</w:t>
            </w:r>
            <w:proofErr w:type="spellEnd"/>
          </w:p>
        </w:tc>
        <w:tc>
          <w:tcPr>
            <w:tcW w:w="0" w:type="auto"/>
            <w:tcBorders>
              <w:top w:val="single" w:sz="0" w:space="0" w:color="CCCCCC"/>
              <w:left w:val="single" w:sz="0" w:space="0" w:color="CCCCCC"/>
              <w:bottom w:val="single" w:sz="0" w:space="0" w:color="CCCCCC"/>
              <w:right w:val="single" w:sz="0" w:space="0" w:color="CCCCCC"/>
            </w:tcBorders>
            <w:shd w:val="clear" w:color="auto" w:fill="F2F4F7"/>
            <w:tcMar>
              <w:top w:w="60" w:type="dxa"/>
              <w:left w:w="120" w:type="dxa"/>
              <w:bottom w:w="60" w:type="dxa"/>
              <w:right w:w="120" w:type="dxa"/>
            </w:tcMar>
          </w:tcPr>
          <w:p w14:paraId="0FB16A7F" w14:textId="77777777" w:rsidR="00AE4B3D" w:rsidRDefault="00000000">
            <w:pPr>
              <w:rPr>
                <w:rFonts w:ascii="Times New Roman" w:hAnsi="Times New Roman" w:cs="Times New Roman"/>
                <w:sz w:val="16"/>
                <w:szCs w:val="16"/>
              </w:rPr>
            </w:pPr>
            <w:r>
              <w:rPr>
                <w:rFonts w:ascii="Times New Roman" w:hAnsi="Times New Roman" w:cs="Times New Roman"/>
                <w:color w:val="000000"/>
                <w:sz w:val="16"/>
                <w:szCs w:val="16"/>
              </w:rPr>
              <w:t>De-identification (HIPAA Safe Harbor)</w:t>
            </w:r>
          </w:p>
        </w:tc>
      </w:tr>
      <w:tr w:rsidR="00AE4B3D" w14:paraId="1F5962DB" w14:textId="77777777">
        <w:tc>
          <w:tcPr>
            <w:tcW w:w="0" w:type="auto"/>
            <w:tcBorders>
              <w:top w:val="single" w:sz="0" w:space="0" w:color="CCCCCC"/>
              <w:left w:val="single" w:sz="0" w:space="0" w:color="CCCCCC"/>
              <w:bottom w:val="single" w:sz="0" w:space="0" w:color="CCCCCC"/>
              <w:right w:val="single" w:sz="0" w:space="0" w:color="CCCCCC"/>
            </w:tcBorders>
            <w:shd w:val="clear" w:color="auto" w:fill="FFFFFF"/>
            <w:tcMar>
              <w:top w:w="60" w:type="dxa"/>
              <w:left w:w="120" w:type="dxa"/>
              <w:bottom w:w="60" w:type="dxa"/>
              <w:right w:w="120" w:type="dxa"/>
            </w:tcMar>
          </w:tcPr>
          <w:p w14:paraId="49EC239A" w14:textId="77777777" w:rsidR="00AE4B3D" w:rsidRDefault="00000000">
            <w:pPr>
              <w:rPr>
                <w:rFonts w:ascii="Times New Roman" w:hAnsi="Times New Roman" w:cs="Times New Roman"/>
                <w:sz w:val="16"/>
                <w:szCs w:val="16"/>
              </w:rPr>
            </w:pPr>
            <w:r>
              <w:rPr>
                <w:rFonts w:ascii="Times New Roman" w:hAnsi="Times New Roman" w:cs="Times New Roman"/>
                <w:color w:val="000000"/>
                <w:sz w:val="16"/>
                <w:szCs w:val="16"/>
              </w:rPr>
              <w:t>Layer 3 — Model Sandbox</w:t>
            </w:r>
          </w:p>
        </w:tc>
        <w:tc>
          <w:tcPr>
            <w:tcW w:w="0" w:type="auto"/>
            <w:tcBorders>
              <w:top w:val="single" w:sz="0" w:space="0" w:color="CCCCCC"/>
              <w:left w:val="single" w:sz="0" w:space="0" w:color="CCCCCC"/>
              <w:bottom w:val="single" w:sz="0" w:space="0" w:color="CCCCCC"/>
              <w:right w:val="single" w:sz="0" w:space="0" w:color="CCCCCC"/>
            </w:tcBorders>
            <w:shd w:val="clear" w:color="auto" w:fill="FFFFFF"/>
            <w:tcMar>
              <w:top w:w="60" w:type="dxa"/>
              <w:left w:w="120" w:type="dxa"/>
              <w:bottom w:w="60" w:type="dxa"/>
              <w:right w:w="120" w:type="dxa"/>
            </w:tcMar>
          </w:tcPr>
          <w:p w14:paraId="3D73CF56" w14:textId="77777777" w:rsidR="00AE4B3D" w:rsidRDefault="00000000">
            <w:pPr>
              <w:rPr>
                <w:rFonts w:ascii="Times New Roman" w:hAnsi="Times New Roman" w:cs="Times New Roman"/>
                <w:sz w:val="16"/>
                <w:szCs w:val="16"/>
              </w:rPr>
            </w:pPr>
            <w:r>
              <w:rPr>
                <w:rFonts w:ascii="Times New Roman" w:hAnsi="Times New Roman" w:cs="Times New Roman"/>
                <w:color w:val="000000"/>
                <w:sz w:val="16"/>
                <w:szCs w:val="16"/>
              </w:rPr>
              <w:t>Containerised evaluation runtime; no model exfiltration</w:t>
            </w:r>
          </w:p>
        </w:tc>
        <w:tc>
          <w:tcPr>
            <w:tcW w:w="0" w:type="auto"/>
            <w:tcBorders>
              <w:top w:val="single" w:sz="0" w:space="0" w:color="CCCCCC"/>
              <w:left w:val="single" w:sz="0" w:space="0" w:color="CCCCCC"/>
              <w:bottom w:val="single" w:sz="0" w:space="0" w:color="CCCCCC"/>
              <w:right w:val="single" w:sz="0" w:space="0" w:color="CCCCCC"/>
            </w:tcBorders>
            <w:shd w:val="clear" w:color="auto" w:fill="FFFFFF"/>
            <w:tcMar>
              <w:top w:w="60" w:type="dxa"/>
              <w:left w:w="120" w:type="dxa"/>
              <w:bottom w:w="60" w:type="dxa"/>
              <w:right w:w="120" w:type="dxa"/>
            </w:tcMar>
          </w:tcPr>
          <w:p w14:paraId="3961F323" w14:textId="77777777" w:rsidR="00AE4B3D" w:rsidRDefault="00000000">
            <w:pPr>
              <w:rPr>
                <w:rFonts w:ascii="Times New Roman" w:hAnsi="Times New Roman" w:cs="Times New Roman"/>
                <w:sz w:val="16"/>
                <w:szCs w:val="16"/>
              </w:rPr>
            </w:pPr>
            <w:r>
              <w:rPr>
                <w:rFonts w:ascii="Times New Roman" w:hAnsi="Times New Roman" w:cs="Times New Roman"/>
                <w:color w:val="000000"/>
                <w:sz w:val="16"/>
                <w:szCs w:val="16"/>
              </w:rPr>
              <w:t xml:space="preserve">Docker + </w:t>
            </w:r>
            <w:proofErr w:type="spellStart"/>
            <w:r>
              <w:rPr>
                <w:rFonts w:ascii="Times New Roman" w:hAnsi="Times New Roman" w:cs="Times New Roman"/>
                <w:color w:val="000000"/>
                <w:sz w:val="16"/>
                <w:szCs w:val="16"/>
              </w:rPr>
              <w:t>gVisor</w:t>
            </w:r>
            <w:proofErr w:type="spellEnd"/>
            <w:r>
              <w:rPr>
                <w:rFonts w:ascii="Times New Roman" w:hAnsi="Times New Roman" w:cs="Times New Roman"/>
                <w:color w:val="000000"/>
                <w:sz w:val="16"/>
                <w:szCs w:val="16"/>
              </w:rPr>
              <w:t xml:space="preserve"> + OPA</w:t>
            </w:r>
          </w:p>
        </w:tc>
        <w:tc>
          <w:tcPr>
            <w:tcW w:w="0" w:type="auto"/>
            <w:tcBorders>
              <w:top w:val="single" w:sz="0" w:space="0" w:color="CCCCCC"/>
              <w:left w:val="single" w:sz="0" w:space="0" w:color="CCCCCC"/>
              <w:bottom w:val="single" w:sz="0" w:space="0" w:color="CCCCCC"/>
              <w:right w:val="single" w:sz="0" w:space="0" w:color="CCCCCC"/>
            </w:tcBorders>
            <w:shd w:val="clear" w:color="auto" w:fill="FFFFFF"/>
            <w:tcMar>
              <w:top w:w="60" w:type="dxa"/>
              <w:left w:w="120" w:type="dxa"/>
              <w:bottom w:w="60" w:type="dxa"/>
              <w:right w:w="120" w:type="dxa"/>
            </w:tcMar>
          </w:tcPr>
          <w:p w14:paraId="57C81050" w14:textId="77777777" w:rsidR="00AE4B3D" w:rsidRDefault="00000000">
            <w:pPr>
              <w:rPr>
                <w:rFonts w:ascii="Times New Roman" w:hAnsi="Times New Roman" w:cs="Times New Roman"/>
                <w:sz w:val="16"/>
                <w:szCs w:val="16"/>
              </w:rPr>
            </w:pPr>
            <w:r>
              <w:rPr>
                <w:rFonts w:ascii="Times New Roman" w:hAnsi="Times New Roman" w:cs="Times New Roman"/>
                <w:color w:val="000000"/>
                <w:sz w:val="16"/>
                <w:szCs w:val="16"/>
              </w:rPr>
              <w:t>Air-gapped execution, RBAC</w:t>
            </w:r>
          </w:p>
        </w:tc>
      </w:tr>
      <w:tr w:rsidR="00AE4B3D" w14:paraId="28BF559D" w14:textId="77777777">
        <w:tc>
          <w:tcPr>
            <w:tcW w:w="0" w:type="auto"/>
            <w:tcBorders>
              <w:top w:val="single" w:sz="0" w:space="0" w:color="CCCCCC"/>
              <w:left w:val="single" w:sz="0" w:space="0" w:color="CCCCCC"/>
              <w:bottom w:val="single" w:sz="0" w:space="0" w:color="CCCCCC"/>
              <w:right w:val="single" w:sz="0" w:space="0" w:color="CCCCCC"/>
            </w:tcBorders>
            <w:shd w:val="clear" w:color="auto" w:fill="F2F4F7"/>
            <w:tcMar>
              <w:top w:w="60" w:type="dxa"/>
              <w:left w:w="120" w:type="dxa"/>
              <w:bottom w:w="60" w:type="dxa"/>
              <w:right w:w="120" w:type="dxa"/>
            </w:tcMar>
          </w:tcPr>
          <w:p w14:paraId="22838C37" w14:textId="77777777" w:rsidR="00AE4B3D" w:rsidRDefault="00000000">
            <w:pPr>
              <w:rPr>
                <w:rFonts w:ascii="Times New Roman" w:hAnsi="Times New Roman" w:cs="Times New Roman"/>
                <w:sz w:val="16"/>
                <w:szCs w:val="16"/>
              </w:rPr>
            </w:pPr>
            <w:r>
              <w:rPr>
                <w:rFonts w:ascii="Times New Roman" w:hAnsi="Times New Roman" w:cs="Times New Roman"/>
                <w:color w:val="000000"/>
                <w:sz w:val="16"/>
                <w:szCs w:val="16"/>
              </w:rPr>
              <w:t>Layer 4 — Metric Engine</w:t>
            </w:r>
          </w:p>
        </w:tc>
        <w:tc>
          <w:tcPr>
            <w:tcW w:w="0" w:type="auto"/>
            <w:tcBorders>
              <w:top w:val="single" w:sz="0" w:space="0" w:color="CCCCCC"/>
              <w:left w:val="single" w:sz="0" w:space="0" w:color="CCCCCC"/>
              <w:bottom w:val="single" w:sz="0" w:space="0" w:color="CCCCCC"/>
              <w:right w:val="single" w:sz="0" w:space="0" w:color="CCCCCC"/>
            </w:tcBorders>
            <w:shd w:val="clear" w:color="auto" w:fill="F2F4F7"/>
            <w:tcMar>
              <w:top w:w="60" w:type="dxa"/>
              <w:left w:w="120" w:type="dxa"/>
              <w:bottom w:w="60" w:type="dxa"/>
              <w:right w:w="120" w:type="dxa"/>
            </w:tcMar>
          </w:tcPr>
          <w:p w14:paraId="728B6B55" w14:textId="77777777" w:rsidR="00AE4B3D" w:rsidRDefault="00000000">
            <w:pPr>
              <w:rPr>
                <w:rFonts w:ascii="Times New Roman" w:hAnsi="Times New Roman" w:cs="Times New Roman"/>
                <w:sz w:val="16"/>
                <w:szCs w:val="16"/>
              </w:rPr>
            </w:pPr>
            <w:r>
              <w:rPr>
                <w:rFonts w:ascii="Times New Roman" w:hAnsi="Times New Roman" w:cs="Times New Roman"/>
                <w:color w:val="000000"/>
                <w:sz w:val="16"/>
                <w:szCs w:val="16"/>
              </w:rPr>
              <w:t>Multi-dimensional scoring; fairness, XAI, safety sub-engines</w:t>
            </w:r>
          </w:p>
        </w:tc>
        <w:tc>
          <w:tcPr>
            <w:tcW w:w="0" w:type="auto"/>
            <w:tcBorders>
              <w:top w:val="single" w:sz="0" w:space="0" w:color="CCCCCC"/>
              <w:left w:val="single" w:sz="0" w:space="0" w:color="CCCCCC"/>
              <w:bottom w:val="single" w:sz="0" w:space="0" w:color="CCCCCC"/>
              <w:right w:val="single" w:sz="0" w:space="0" w:color="CCCCCC"/>
            </w:tcBorders>
            <w:shd w:val="clear" w:color="auto" w:fill="F2F4F7"/>
            <w:tcMar>
              <w:top w:w="60" w:type="dxa"/>
              <w:left w:w="120" w:type="dxa"/>
              <w:bottom w:w="60" w:type="dxa"/>
              <w:right w:w="120" w:type="dxa"/>
            </w:tcMar>
          </w:tcPr>
          <w:p w14:paraId="744A32F2" w14:textId="77777777" w:rsidR="00AE4B3D" w:rsidRDefault="00000000">
            <w:pPr>
              <w:rPr>
                <w:rFonts w:ascii="Times New Roman" w:hAnsi="Times New Roman" w:cs="Times New Roman"/>
                <w:sz w:val="16"/>
                <w:szCs w:val="16"/>
              </w:rPr>
            </w:pPr>
            <w:r>
              <w:rPr>
                <w:rFonts w:ascii="Times New Roman" w:hAnsi="Times New Roman" w:cs="Times New Roman"/>
                <w:color w:val="000000"/>
                <w:sz w:val="16"/>
                <w:szCs w:val="16"/>
              </w:rPr>
              <w:t xml:space="preserve">Python 3.11, scikit-learn, </w:t>
            </w:r>
            <w:proofErr w:type="spellStart"/>
            <w:r>
              <w:rPr>
                <w:rFonts w:ascii="Times New Roman" w:hAnsi="Times New Roman" w:cs="Times New Roman"/>
                <w:color w:val="000000"/>
                <w:sz w:val="16"/>
                <w:szCs w:val="16"/>
              </w:rPr>
              <w:t>Fairlearn</w:t>
            </w:r>
            <w:proofErr w:type="spellEnd"/>
            <w:r>
              <w:rPr>
                <w:rFonts w:ascii="Times New Roman" w:hAnsi="Times New Roman" w:cs="Times New Roman"/>
                <w:color w:val="000000"/>
                <w:sz w:val="16"/>
                <w:szCs w:val="16"/>
              </w:rPr>
              <w:t>, SHAP</w:t>
            </w:r>
          </w:p>
        </w:tc>
        <w:tc>
          <w:tcPr>
            <w:tcW w:w="0" w:type="auto"/>
            <w:tcBorders>
              <w:top w:val="single" w:sz="0" w:space="0" w:color="CCCCCC"/>
              <w:left w:val="single" w:sz="0" w:space="0" w:color="CCCCCC"/>
              <w:bottom w:val="single" w:sz="0" w:space="0" w:color="CCCCCC"/>
              <w:right w:val="single" w:sz="0" w:space="0" w:color="CCCCCC"/>
            </w:tcBorders>
            <w:shd w:val="clear" w:color="auto" w:fill="F2F4F7"/>
            <w:tcMar>
              <w:top w:w="60" w:type="dxa"/>
              <w:left w:w="120" w:type="dxa"/>
              <w:bottom w:w="60" w:type="dxa"/>
              <w:right w:w="120" w:type="dxa"/>
            </w:tcMar>
          </w:tcPr>
          <w:p w14:paraId="0C3067ED" w14:textId="77777777" w:rsidR="00AE4B3D" w:rsidRDefault="00000000">
            <w:pPr>
              <w:rPr>
                <w:rFonts w:ascii="Times New Roman" w:hAnsi="Times New Roman" w:cs="Times New Roman"/>
                <w:sz w:val="16"/>
                <w:szCs w:val="16"/>
              </w:rPr>
            </w:pPr>
            <w:r>
              <w:rPr>
                <w:rFonts w:ascii="Times New Roman" w:hAnsi="Times New Roman" w:cs="Times New Roman"/>
                <w:color w:val="000000"/>
                <w:sz w:val="16"/>
                <w:szCs w:val="16"/>
              </w:rPr>
              <w:t>Cryptographic audit log (SHA-256)</w:t>
            </w:r>
          </w:p>
        </w:tc>
      </w:tr>
      <w:tr w:rsidR="00AE4B3D" w14:paraId="391E33D9" w14:textId="77777777">
        <w:tc>
          <w:tcPr>
            <w:tcW w:w="0" w:type="auto"/>
            <w:tcBorders>
              <w:top w:val="single" w:sz="0" w:space="0" w:color="CCCCCC"/>
              <w:left w:val="single" w:sz="0" w:space="0" w:color="CCCCCC"/>
              <w:bottom w:val="single" w:sz="0" w:space="0" w:color="CCCCCC"/>
              <w:right w:val="single" w:sz="0" w:space="0" w:color="CCCCCC"/>
            </w:tcBorders>
            <w:shd w:val="clear" w:color="auto" w:fill="FFFFFF"/>
            <w:tcMar>
              <w:top w:w="60" w:type="dxa"/>
              <w:left w:w="120" w:type="dxa"/>
              <w:bottom w:w="60" w:type="dxa"/>
              <w:right w:w="120" w:type="dxa"/>
            </w:tcMar>
          </w:tcPr>
          <w:p w14:paraId="6ADAC56F" w14:textId="77777777" w:rsidR="00AE4B3D" w:rsidRDefault="00000000">
            <w:pPr>
              <w:rPr>
                <w:rFonts w:ascii="Times New Roman" w:hAnsi="Times New Roman" w:cs="Times New Roman"/>
                <w:sz w:val="16"/>
                <w:szCs w:val="16"/>
              </w:rPr>
            </w:pPr>
            <w:r>
              <w:rPr>
                <w:rFonts w:ascii="Times New Roman" w:hAnsi="Times New Roman" w:cs="Times New Roman"/>
                <w:color w:val="000000"/>
                <w:sz w:val="16"/>
                <w:szCs w:val="16"/>
              </w:rPr>
              <w:t>Layer 5 — Leaderboard &amp; API</w:t>
            </w:r>
          </w:p>
        </w:tc>
        <w:tc>
          <w:tcPr>
            <w:tcW w:w="0" w:type="auto"/>
            <w:tcBorders>
              <w:top w:val="single" w:sz="0" w:space="0" w:color="CCCCCC"/>
              <w:left w:val="single" w:sz="0" w:space="0" w:color="CCCCCC"/>
              <w:bottom w:val="single" w:sz="0" w:space="0" w:color="CCCCCC"/>
              <w:right w:val="single" w:sz="0" w:space="0" w:color="CCCCCC"/>
            </w:tcBorders>
            <w:shd w:val="clear" w:color="auto" w:fill="FFFFFF"/>
            <w:tcMar>
              <w:top w:w="60" w:type="dxa"/>
              <w:left w:w="120" w:type="dxa"/>
              <w:bottom w:w="60" w:type="dxa"/>
              <w:right w:w="120" w:type="dxa"/>
            </w:tcMar>
          </w:tcPr>
          <w:p w14:paraId="4F6B7903" w14:textId="77777777" w:rsidR="00AE4B3D" w:rsidRDefault="00000000">
            <w:pPr>
              <w:rPr>
                <w:rFonts w:ascii="Times New Roman" w:hAnsi="Times New Roman" w:cs="Times New Roman"/>
                <w:sz w:val="16"/>
                <w:szCs w:val="16"/>
              </w:rPr>
            </w:pPr>
            <w:r>
              <w:rPr>
                <w:rFonts w:ascii="Times New Roman" w:hAnsi="Times New Roman" w:cs="Times New Roman"/>
                <w:color w:val="000000"/>
                <w:sz w:val="16"/>
                <w:szCs w:val="16"/>
              </w:rPr>
              <w:t>Public REST API, versioned scorecards, regulatory export</w:t>
            </w:r>
          </w:p>
        </w:tc>
        <w:tc>
          <w:tcPr>
            <w:tcW w:w="0" w:type="auto"/>
            <w:tcBorders>
              <w:top w:val="single" w:sz="0" w:space="0" w:color="CCCCCC"/>
              <w:left w:val="single" w:sz="0" w:space="0" w:color="CCCCCC"/>
              <w:bottom w:val="single" w:sz="0" w:space="0" w:color="CCCCCC"/>
              <w:right w:val="single" w:sz="0" w:space="0" w:color="CCCCCC"/>
            </w:tcBorders>
            <w:shd w:val="clear" w:color="auto" w:fill="FFFFFF"/>
            <w:tcMar>
              <w:top w:w="60" w:type="dxa"/>
              <w:left w:w="120" w:type="dxa"/>
              <w:bottom w:w="60" w:type="dxa"/>
              <w:right w:w="120" w:type="dxa"/>
            </w:tcMar>
          </w:tcPr>
          <w:p w14:paraId="25C6029E" w14:textId="77777777" w:rsidR="00AE4B3D" w:rsidRDefault="00000000">
            <w:pPr>
              <w:rPr>
                <w:rFonts w:ascii="Times New Roman" w:hAnsi="Times New Roman" w:cs="Times New Roman"/>
                <w:sz w:val="16"/>
                <w:szCs w:val="16"/>
              </w:rPr>
            </w:pPr>
            <w:proofErr w:type="spellStart"/>
            <w:r>
              <w:rPr>
                <w:rFonts w:ascii="Times New Roman" w:hAnsi="Times New Roman" w:cs="Times New Roman"/>
                <w:color w:val="000000"/>
                <w:sz w:val="16"/>
                <w:szCs w:val="16"/>
              </w:rPr>
              <w:t>FastAPI</w:t>
            </w:r>
            <w:proofErr w:type="spellEnd"/>
            <w:r>
              <w:rPr>
                <w:rFonts w:ascii="Times New Roman" w:hAnsi="Times New Roman" w:cs="Times New Roman"/>
                <w:color w:val="000000"/>
                <w:sz w:val="16"/>
                <w:szCs w:val="16"/>
              </w:rPr>
              <w:t>, PostgreSQL, Redis</w:t>
            </w:r>
          </w:p>
        </w:tc>
        <w:tc>
          <w:tcPr>
            <w:tcW w:w="0" w:type="auto"/>
            <w:tcBorders>
              <w:top w:val="single" w:sz="0" w:space="0" w:color="CCCCCC"/>
              <w:left w:val="single" w:sz="0" w:space="0" w:color="CCCCCC"/>
              <w:bottom w:val="single" w:sz="0" w:space="0" w:color="CCCCCC"/>
              <w:right w:val="single" w:sz="0" w:space="0" w:color="CCCCCC"/>
            </w:tcBorders>
            <w:shd w:val="clear" w:color="auto" w:fill="FFFFFF"/>
            <w:tcMar>
              <w:top w:w="60" w:type="dxa"/>
              <w:left w:w="120" w:type="dxa"/>
              <w:bottom w:w="60" w:type="dxa"/>
              <w:right w:w="120" w:type="dxa"/>
            </w:tcMar>
          </w:tcPr>
          <w:p w14:paraId="6611C7B3" w14:textId="77777777" w:rsidR="00AE4B3D" w:rsidRDefault="00000000">
            <w:pPr>
              <w:rPr>
                <w:rFonts w:ascii="Times New Roman" w:hAnsi="Times New Roman" w:cs="Times New Roman"/>
                <w:sz w:val="16"/>
                <w:szCs w:val="16"/>
              </w:rPr>
            </w:pPr>
            <w:r>
              <w:rPr>
                <w:rFonts w:ascii="Times New Roman" w:hAnsi="Times New Roman" w:cs="Times New Roman"/>
                <w:color w:val="000000"/>
                <w:sz w:val="16"/>
                <w:szCs w:val="16"/>
              </w:rPr>
              <w:t>OAuth 2.0, JWT, rate limiting</w:t>
            </w:r>
          </w:p>
        </w:tc>
      </w:tr>
      <w:tr w:rsidR="00AE4B3D" w14:paraId="1677F43E" w14:textId="77777777">
        <w:tc>
          <w:tcPr>
            <w:tcW w:w="0" w:type="auto"/>
            <w:tcBorders>
              <w:top w:val="single" w:sz="0" w:space="0" w:color="CCCCCC"/>
              <w:left w:val="single" w:sz="0" w:space="0" w:color="CCCCCC"/>
              <w:bottom w:val="single" w:sz="0" w:space="0" w:color="CCCCCC"/>
              <w:right w:val="single" w:sz="0" w:space="0" w:color="CCCCCC"/>
            </w:tcBorders>
            <w:shd w:val="clear" w:color="auto" w:fill="F2F4F7"/>
            <w:tcMar>
              <w:top w:w="60" w:type="dxa"/>
              <w:left w:w="120" w:type="dxa"/>
              <w:bottom w:w="60" w:type="dxa"/>
              <w:right w:w="120" w:type="dxa"/>
            </w:tcMar>
          </w:tcPr>
          <w:p w14:paraId="7E5E5CCD" w14:textId="77777777" w:rsidR="00AE4B3D" w:rsidRDefault="00000000">
            <w:pPr>
              <w:rPr>
                <w:rFonts w:ascii="Times New Roman" w:hAnsi="Times New Roman" w:cs="Times New Roman"/>
                <w:sz w:val="16"/>
                <w:szCs w:val="16"/>
              </w:rPr>
            </w:pPr>
            <w:r>
              <w:rPr>
                <w:rFonts w:ascii="Times New Roman" w:hAnsi="Times New Roman" w:cs="Times New Roman"/>
                <w:color w:val="000000"/>
                <w:sz w:val="16"/>
                <w:szCs w:val="16"/>
              </w:rPr>
              <w:t>Layer 6 — Governance Console</w:t>
            </w:r>
          </w:p>
        </w:tc>
        <w:tc>
          <w:tcPr>
            <w:tcW w:w="0" w:type="auto"/>
            <w:tcBorders>
              <w:top w:val="single" w:sz="0" w:space="0" w:color="CCCCCC"/>
              <w:left w:val="single" w:sz="0" w:space="0" w:color="CCCCCC"/>
              <w:bottom w:val="single" w:sz="0" w:space="0" w:color="CCCCCC"/>
              <w:right w:val="single" w:sz="0" w:space="0" w:color="CCCCCC"/>
            </w:tcBorders>
            <w:shd w:val="clear" w:color="auto" w:fill="F2F4F7"/>
            <w:tcMar>
              <w:top w:w="60" w:type="dxa"/>
              <w:left w:w="120" w:type="dxa"/>
              <w:bottom w:w="60" w:type="dxa"/>
              <w:right w:w="120" w:type="dxa"/>
            </w:tcMar>
          </w:tcPr>
          <w:p w14:paraId="2B8CE4E0" w14:textId="77777777" w:rsidR="00AE4B3D" w:rsidRDefault="00000000">
            <w:pPr>
              <w:rPr>
                <w:rFonts w:ascii="Times New Roman" w:hAnsi="Times New Roman" w:cs="Times New Roman"/>
                <w:sz w:val="16"/>
                <w:szCs w:val="16"/>
              </w:rPr>
            </w:pPr>
            <w:r>
              <w:rPr>
                <w:rFonts w:ascii="Times New Roman" w:hAnsi="Times New Roman" w:cs="Times New Roman"/>
                <w:color w:val="000000"/>
                <w:sz w:val="16"/>
                <w:szCs w:val="16"/>
              </w:rPr>
              <w:t>IRB approvals, DUA management, access control</w:t>
            </w:r>
          </w:p>
        </w:tc>
        <w:tc>
          <w:tcPr>
            <w:tcW w:w="0" w:type="auto"/>
            <w:tcBorders>
              <w:top w:val="single" w:sz="0" w:space="0" w:color="CCCCCC"/>
              <w:left w:val="single" w:sz="0" w:space="0" w:color="CCCCCC"/>
              <w:bottom w:val="single" w:sz="0" w:space="0" w:color="CCCCCC"/>
              <w:right w:val="single" w:sz="0" w:space="0" w:color="CCCCCC"/>
            </w:tcBorders>
            <w:shd w:val="clear" w:color="auto" w:fill="F2F4F7"/>
            <w:tcMar>
              <w:top w:w="60" w:type="dxa"/>
              <w:left w:w="120" w:type="dxa"/>
              <w:bottom w:w="60" w:type="dxa"/>
              <w:right w:w="120" w:type="dxa"/>
            </w:tcMar>
          </w:tcPr>
          <w:p w14:paraId="6F32FF68" w14:textId="77777777" w:rsidR="00AE4B3D" w:rsidRDefault="00000000">
            <w:pPr>
              <w:rPr>
                <w:rFonts w:ascii="Times New Roman" w:hAnsi="Times New Roman" w:cs="Times New Roman"/>
                <w:sz w:val="16"/>
                <w:szCs w:val="16"/>
              </w:rPr>
            </w:pPr>
            <w:proofErr w:type="spellStart"/>
            <w:r>
              <w:rPr>
                <w:rFonts w:ascii="Times New Roman" w:hAnsi="Times New Roman" w:cs="Times New Roman"/>
                <w:color w:val="000000"/>
                <w:sz w:val="16"/>
                <w:szCs w:val="16"/>
              </w:rPr>
              <w:t>Keycloak</w:t>
            </w:r>
            <w:proofErr w:type="spellEnd"/>
            <w:r>
              <w:rPr>
                <w:rFonts w:ascii="Times New Roman" w:hAnsi="Times New Roman" w:cs="Times New Roman"/>
                <w:color w:val="000000"/>
                <w:sz w:val="16"/>
                <w:szCs w:val="16"/>
              </w:rPr>
              <w:t xml:space="preserve"> IAM, Apache Ranger</w:t>
            </w:r>
          </w:p>
        </w:tc>
        <w:tc>
          <w:tcPr>
            <w:tcW w:w="0" w:type="auto"/>
            <w:tcBorders>
              <w:top w:val="single" w:sz="0" w:space="0" w:color="CCCCCC"/>
              <w:left w:val="single" w:sz="0" w:space="0" w:color="CCCCCC"/>
              <w:bottom w:val="single" w:sz="0" w:space="0" w:color="CCCCCC"/>
              <w:right w:val="single" w:sz="0" w:space="0" w:color="CCCCCC"/>
            </w:tcBorders>
            <w:shd w:val="clear" w:color="auto" w:fill="F2F4F7"/>
            <w:tcMar>
              <w:top w:w="60" w:type="dxa"/>
              <w:left w:w="120" w:type="dxa"/>
              <w:bottom w:w="60" w:type="dxa"/>
              <w:right w:w="120" w:type="dxa"/>
            </w:tcMar>
          </w:tcPr>
          <w:p w14:paraId="30281939" w14:textId="77777777" w:rsidR="00AE4B3D" w:rsidRDefault="00000000">
            <w:pPr>
              <w:rPr>
                <w:rFonts w:ascii="Times New Roman" w:hAnsi="Times New Roman" w:cs="Times New Roman"/>
                <w:sz w:val="16"/>
                <w:szCs w:val="16"/>
              </w:rPr>
            </w:pPr>
            <w:r>
              <w:rPr>
                <w:rFonts w:ascii="Times New Roman" w:hAnsi="Times New Roman" w:cs="Times New Roman"/>
                <w:color w:val="000000"/>
                <w:sz w:val="16"/>
                <w:szCs w:val="16"/>
              </w:rPr>
              <w:t>Role-based, consent-aware</w:t>
            </w:r>
          </w:p>
        </w:tc>
      </w:tr>
    </w:tbl>
    <w:p w14:paraId="24A26219" w14:textId="77777777" w:rsidR="00AE4B3D" w:rsidRDefault="00AE4B3D">
      <w:pPr>
        <w:spacing w:after="240"/>
        <w:rPr>
          <w:rFonts w:ascii="Times New Roman" w:hAnsi="Times New Roman" w:cs="Times New Roman"/>
          <w:sz w:val="24"/>
          <w:szCs w:val="24"/>
        </w:rPr>
      </w:pPr>
    </w:p>
    <w:p w14:paraId="45E5DABC" w14:textId="77777777" w:rsidR="00AE4B3D" w:rsidRDefault="00000000">
      <w:pPr>
        <w:pStyle w:val="Heading2"/>
        <w:rPr>
          <w:rFonts w:ascii="Times New Roman" w:hAnsi="Times New Roman" w:cs="Times New Roman"/>
        </w:rPr>
      </w:pPr>
      <w:r>
        <w:rPr>
          <w:rFonts w:ascii="Times New Roman" w:hAnsi="Times New Roman" w:cs="Times New Roman"/>
        </w:rPr>
        <w:t>Technology Stack and Integration Standards</w:t>
      </w:r>
    </w:p>
    <w:p w14:paraId="3E132C55" w14:textId="77777777" w:rsidR="00AE4B3D" w:rsidRDefault="00000000">
      <w:pPr>
        <w:spacing w:before="80" w:after="120"/>
        <w:jc w:val="both"/>
        <w:rPr>
          <w:rFonts w:ascii="Times New Roman" w:hAnsi="Times New Roman" w:cs="Times New Roman"/>
          <w:sz w:val="24"/>
          <w:szCs w:val="24"/>
        </w:rPr>
      </w:pPr>
      <w:r>
        <w:rPr>
          <w:rFonts w:ascii="Times New Roman" w:hAnsi="Times New Roman" w:cs="Times New Roman"/>
          <w:color w:val="000000"/>
          <w:sz w:val="24"/>
          <w:szCs w:val="24"/>
        </w:rPr>
        <w:t>BODH's technology stack is deliberately built on open standards to ensure longevity, third-party auditability, and interoperability with national health infrastructure:</w:t>
      </w:r>
    </w:p>
    <w:p w14:paraId="62F0BE30" w14:textId="77777777" w:rsidR="00AE4B3D" w:rsidRDefault="00000000">
      <w:pPr>
        <w:pStyle w:val="ListParagraph"/>
        <w:numPr>
          <w:ilvl w:val="0"/>
          <w:numId w:val="1"/>
        </w:numPr>
        <w:spacing w:before="60" w:after="60"/>
        <w:rPr>
          <w:rFonts w:ascii="Times New Roman" w:hAnsi="Times New Roman" w:cs="Times New Roman"/>
          <w:sz w:val="24"/>
          <w:szCs w:val="24"/>
        </w:rPr>
      </w:pPr>
      <w:r>
        <w:rPr>
          <w:rFonts w:ascii="Times New Roman" w:hAnsi="Times New Roman" w:cs="Times New Roman"/>
          <w:color w:val="000000"/>
          <w:sz w:val="24"/>
          <w:szCs w:val="24"/>
        </w:rPr>
        <w:t xml:space="preserve">Interoperability: HL7 FHIR R4 for clinical data exchange; DICOM WADO-RS for medical imaging; </w:t>
      </w:r>
      <w:proofErr w:type="spellStart"/>
      <w:r>
        <w:rPr>
          <w:rFonts w:ascii="Times New Roman" w:hAnsi="Times New Roman" w:cs="Times New Roman"/>
          <w:color w:val="000000"/>
          <w:sz w:val="24"/>
          <w:szCs w:val="24"/>
        </w:rPr>
        <w:t>OpenAPI</w:t>
      </w:r>
      <w:proofErr w:type="spellEnd"/>
      <w:r>
        <w:rPr>
          <w:rFonts w:ascii="Times New Roman" w:hAnsi="Times New Roman" w:cs="Times New Roman"/>
          <w:color w:val="000000"/>
          <w:sz w:val="24"/>
          <w:szCs w:val="24"/>
        </w:rPr>
        <w:t xml:space="preserve"> 3.1 for external API</w:t>
      </w:r>
    </w:p>
    <w:p w14:paraId="34651696" w14:textId="77777777" w:rsidR="00AE4B3D" w:rsidRDefault="00000000">
      <w:pPr>
        <w:pStyle w:val="ListParagraph"/>
        <w:numPr>
          <w:ilvl w:val="0"/>
          <w:numId w:val="1"/>
        </w:numPr>
        <w:spacing w:before="60" w:after="60"/>
        <w:rPr>
          <w:rFonts w:ascii="Times New Roman" w:hAnsi="Times New Roman" w:cs="Times New Roman"/>
          <w:sz w:val="24"/>
          <w:szCs w:val="24"/>
        </w:rPr>
      </w:pPr>
      <w:r>
        <w:rPr>
          <w:rFonts w:ascii="Times New Roman" w:hAnsi="Times New Roman" w:cs="Times New Roman"/>
          <w:color w:val="000000"/>
          <w:sz w:val="24"/>
          <w:szCs w:val="24"/>
        </w:rPr>
        <w:t>Terminology: SNOMED CT International (Indian extension pending), LOINC 2.76, ICD-11, MedDRA v26</w:t>
      </w:r>
    </w:p>
    <w:p w14:paraId="5A91D1AF" w14:textId="77777777" w:rsidR="00AE4B3D" w:rsidRDefault="00000000">
      <w:pPr>
        <w:pStyle w:val="ListParagraph"/>
        <w:numPr>
          <w:ilvl w:val="0"/>
          <w:numId w:val="1"/>
        </w:numPr>
        <w:spacing w:before="60" w:after="60"/>
        <w:rPr>
          <w:rFonts w:ascii="Times New Roman" w:hAnsi="Times New Roman" w:cs="Times New Roman"/>
          <w:sz w:val="24"/>
          <w:szCs w:val="24"/>
        </w:rPr>
      </w:pPr>
      <w:r>
        <w:rPr>
          <w:rFonts w:ascii="Times New Roman" w:hAnsi="Times New Roman" w:cs="Times New Roman"/>
          <w:color w:val="000000"/>
          <w:sz w:val="24"/>
          <w:szCs w:val="24"/>
        </w:rPr>
        <w:t>Data Harmonisation: OMOP CDM v5.4 as the canonical data model; Apache Atlas for metadata lineage</w:t>
      </w:r>
    </w:p>
    <w:p w14:paraId="7F3689C9" w14:textId="77777777" w:rsidR="00AE4B3D" w:rsidRDefault="00000000">
      <w:pPr>
        <w:pStyle w:val="ListParagraph"/>
        <w:numPr>
          <w:ilvl w:val="0"/>
          <w:numId w:val="1"/>
        </w:numPr>
        <w:spacing w:before="60" w:after="60"/>
        <w:rPr>
          <w:rFonts w:ascii="Times New Roman" w:hAnsi="Times New Roman" w:cs="Times New Roman"/>
          <w:sz w:val="24"/>
          <w:szCs w:val="24"/>
        </w:rPr>
      </w:pPr>
      <w:r>
        <w:rPr>
          <w:rFonts w:ascii="Times New Roman" w:hAnsi="Times New Roman" w:cs="Times New Roman"/>
          <w:color w:val="000000"/>
          <w:sz w:val="24"/>
          <w:szCs w:val="24"/>
        </w:rPr>
        <w:t>Compute: Kubernetes 1.29 orchestration; NVIDIA CUDA 12 and ONNX Runtime for model inference acceleration</w:t>
      </w:r>
    </w:p>
    <w:p w14:paraId="30E5110B" w14:textId="77777777" w:rsidR="00AE4B3D" w:rsidRDefault="00000000">
      <w:pPr>
        <w:pStyle w:val="ListParagraph"/>
        <w:numPr>
          <w:ilvl w:val="0"/>
          <w:numId w:val="1"/>
        </w:numPr>
        <w:spacing w:before="60" w:after="60"/>
        <w:rPr>
          <w:rFonts w:ascii="Times New Roman" w:hAnsi="Times New Roman" w:cs="Times New Roman"/>
          <w:sz w:val="24"/>
          <w:szCs w:val="24"/>
        </w:rPr>
      </w:pPr>
      <w:r>
        <w:rPr>
          <w:rFonts w:ascii="Times New Roman" w:hAnsi="Times New Roman" w:cs="Times New Roman"/>
          <w:color w:val="000000"/>
          <w:sz w:val="24"/>
          <w:szCs w:val="24"/>
        </w:rPr>
        <w:t xml:space="preserve">Observability: </w:t>
      </w:r>
      <w:proofErr w:type="spellStart"/>
      <w:r>
        <w:rPr>
          <w:rFonts w:ascii="Times New Roman" w:hAnsi="Times New Roman" w:cs="Times New Roman"/>
          <w:color w:val="000000"/>
          <w:sz w:val="24"/>
          <w:szCs w:val="24"/>
        </w:rPr>
        <w:t>OpenTelemetry</w:t>
      </w:r>
      <w:proofErr w:type="spellEnd"/>
      <w:r>
        <w:rPr>
          <w:rFonts w:ascii="Times New Roman" w:hAnsi="Times New Roman" w:cs="Times New Roman"/>
          <w:color w:val="000000"/>
          <w:sz w:val="24"/>
          <w:szCs w:val="24"/>
        </w:rPr>
        <w:t xml:space="preserve"> for distributed tracing; Prometheus + Grafana for platform health metrics</w:t>
      </w:r>
    </w:p>
    <w:p w14:paraId="54363A66" w14:textId="77777777" w:rsidR="00AE4B3D" w:rsidRDefault="00000000">
      <w:pPr>
        <w:pStyle w:val="ListParagraph"/>
        <w:numPr>
          <w:ilvl w:val="0"/>
          <w:numId w:val="1"/>
        </w:numPr>
        <w:spacing w:before="60" w:after="60"/>
        <w:rPr>
          <w:rFonts w:ascii="Times New Roman" w:hAnsi="Times New Roman" w:cs="Times New Roman"/>
          <w:sz w:val="24"/>
          <w:szCs w:val="24"/>
        </w:rPr>
      </w:pPr>
      <w:r>
        <w:rPr>
          <w:rFonts w:ascii="Times New Roman" w:hAnsi="Times New Roman" w:cs="Times New Roman"/>
          <w:color w:val="000000"/>
          <w:sz w:val="24"/>
          <w:szCs w:val="24"/>
        </w:rPr>
        <w:t>Compliance: ISO/IEC 27001:2022 information security; ISO 13485:2016 quality management for medical devices</w:t>
      </w:r>
    </w:p>
    <w:p w14:paraId="189A5A8B" w14:textId="77777777" w:rsidR="00AE4B3D" w:rsidRDefault="00AE4B3D">
      <w:pPr>
        <w:pStyle w:val="Heading1"/>
        <w:pBdr>
          <w:bottom w:val="single" w:sz="8" w:space="4" w:color="2C5F9E"/>
        </w:pBdr>
        <w:rPr>
          <w:rFonts w:ascii="Times New Roman" w:hAnsi="Times New Roman" w:cs="Times New Roman"/>
          <w:sz w:val="24"/>
          <w:szCs w:val="24"/>
        </w:rPr>
      </w:pPr>
    </w:p>
    <w:p w14:paraId="4F667A62" w14:textId="77777777" w:rsidR="00AE4B3D" w:rsidRDefault="00000000">
      <w:pPr>
        <w:pStyle w:val="Heading1"/>
        <w:pBdr>
          <w:bottom w:val="single" w:sz="8" w:space="4" w:color="2C5F9E"/>
        </w:pBdr>
        <w:rPr>
          <w:rFonts w:ascii="Times New Roman" w:hAnsi="Times New Roman" w:cs="Times New Roman"/>
          <w:sz w:val="24"/>
          <w:szCs w:val="24"/>
        </w:rPr>
      </w:pPr>
      <w:r>
        <w:rPr>
          <w:rFonts w:ascii="Times New Roman" w:hAnsi="Times New Roman" w:cs="Times New Roman"/>
          <w:sz w:val="24"/>
          <w:szCs w:val="24"/>
        </w:rPr>
        <w:t xml:space="preserve"> Multi-Dimensional Evaluation Framework</w:t>
      </w:r>
    </w:p>
    <w:p w14:paraId="723B5E42" w14:textId="77777777" w:rsidR="00AE4B3D" w:rsidRDefault="00000000">
      <w:pPr>
        <w:pStyle w:val="Heading2"/>
        <w:rPr>
          <w:rFonts w:ascii="Times New Roman" w:hAnsi="Times New Roman" w:cs="Times New Roman"/>
        </w:rPr>
      </w:pPr>
      <w:r>
        <w:rPr>
          <w:rFonts w:ascii="Times New Roman" w:hAnsi="Times New Roman" w:cs="Times New Roman"/>
        </w:rPr>
        <w:t>Evaluation Philosophy: Beyond Accuracy</w:t>
      </w:r>
    </w:p>
    <w:p w14:paraId="6FBFBBDA" w14:textId="77777777" w:rsidR="00AE4B3D" w:rsidRDefault="00000000">
      <w:pPr>
        <w:spacing w:before="80" w:after="120"/>
        <w:jc w:val="both"/>
        <w:rPr>
          <w:rFonts w:ascii="Times New Roman" w:hAnsi="Times New Roman" w:cs="Times New Roman"/>
          <w:sz w:val="24"/>
          <w:szCs w:val="24"/>
        </w:rPr>
      </w:pPr>
      <w:r>
        <w:rPr>
          <w:rFonts w:ascii="Times New Roman" w:hAnsi="Times New Roman" w:cs="Times New Roman"/>
          <w:color w:val="000000"/>
          <w:sz w:val="24"/>
          <w:szCs w:val="24"/>
        </w:rPr>
        <w:t>BODH's evaluation philosophy challenges the prevailing paradigm in which AUROC or accuracy serves as the primary — and often sole — benchmark for clinical AI models. Drawing on the conceptual framework of Obermeyer et al. [13] and Wiens et al. [14], BODH proposes a composite scoring model wherein diagnostic accuracy constitutes only one of seven evaluation dimensions. This holistic approach reflects clinical reality: a model achieving 96% AUROC on an imbalanced test set may simultaneously exhibit dangerous failure modes in minority populations, produce non-interpretable predictions that clinicians cannot trust, and degrade significantly when deployed on equipment with different acquisition parameters.</w:t>
      </w:r>
      <w:r>
        <w:rPr>
          <w:rFonts w:ascii="Times New Roman" w:hAnsi="Times New Roman" w:cs="Times New Roman"/>
          <w:color w:val="000000"/>
          <w:sz w:val="24"/>
          <w:szCs w:val="24"/>
          <w:lang w:val="en-US"/>
        </w:rPr>
        <w:t xml:space="preserve"> </w:t>
      </w:r>
      <w:r>
        <w:rPr>
          <w:rFonts w:ascii="Times New Roman" w:hAnsi="Times New Roman" w:cs="Times New Roman"/>
          <w:color w:val="000000"/>
          <w:sz w:val="24"/>
          <w:szCs w:val="24"/>
        </w:rPr>
        <w:t>Table 2 summarises the seven dimensions, their constituent metrics, stratification requirements, and regulatory status within the BODH framework.</w:t>
      </w:r>
    </w:p>
    <w:p w14:paraId="0782C56A" w14:textId="77777777" w:rsidR="00AE4B3D" w:rsidRDefault="00000000">
      <w:pPr>
        <w:spacing w:before="80" w:after="40"/>
        <w:jc w:val="center"/>
        <w:rPr>
          <w:rFonts w:ascii="Times New Roman" w:hAnsi="Times New Roman" w:cs="Times New Roman"/>
          <w:sz w:val="24"/>
          <w:szCs w:val="24"/>
        </w:rPr>
      </w:pPr>
      <w:r>
        <w:rPr>
          <w:rFonts w:ascii="Times New Roman" w:hAnsi="Times New Roman" w:cs="Times New Roman"/>
          <w:b/>
          <w:bCs/>
          <w:color w:val="1B3A6B"/>
          <w:sz w:val="24"/>
          <w:szCs w:val="24"/>
        </w:rPr>
        <w:t>Table 2: BODH Multi-Dimensional Evaluation Metrics Framework</w:t>
      </w:r>
    </w:p>
    <w:tbl>
      <w:tblPr>
        <w:tblW w:w="101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1998"/>
        <w:gridCol w:w="3560"/>
        <w:gridCol w:w="2415"/>
        <w:gridCol w:w="2190"/>
      </w:tblGrid>
      <w:tr w:rsidR="00AE4B3D" w14:paraId="2C07EA92" w14:textId="77777777">
        <w:tc>
          <w:tcPr>
            <w:tcW w:w="0" w:type="auto"/>
            <w:tcBorders>
              <w:top w:val="single" w:sz="0" w:space="0" w:color="CCCCCC"/>
              <w:left w:val="single" w:sz="0" w:space="0" w:color="CCCCCC"/>
              <w:bottom w:val="single" w:sz="0" w:space="0" w:color="CCCCCC"/>
              <w:right w:val="single" w:sz="0" w:space="0" w:color="CCCCCC"/>
            </w:tcBorders>
            <w:shd w:val="clear" w:color="auto" w:fill="1B3A6B"/>
            <w:tcMar>
              <w:top w:w="80" w:type="dxa"/>
              <w:left w:w="120" w:type="dxa"/>
              <w:bottom w:w="80" w:type="dxa"/>
              <w:right w:w="120" w:type="dxa"/>
            </w:tcMar>
            <w:vAlign w:val="center"/>
          </w:tcPr>
          <w:p w14:paraId="65786C96" w14:textId="77777777" w:rsidR="00AE4B3D" w:rsidRDefault="00000000">
            <w:pPr>
              <w:jc w:val="center"/>
              <w:rPr>
                <w:rFonts w:ascii="Times New Roman" w:hAnsi="Times New Roman" w:cs="Times New Roman"/>
                <w:sz w:val="16"/>
                <w:szCs w:val="16"/>
              </w:rPr>
            </w:pPr>
            <w:r>
              <w:rPr>
                <w:rFonts w:ascii="Times New Roman" w:hAnsi="Times New Roman" w:cs="Times New Roman"/>
                <w:b/>
                <w:bCs/>
                <w:color w:val="FFFFFF"/>
                <w:sz w:val="16"/>
                <w:szCs w:val="16"/>
              </w:rPr>
              <w:t>Dimension</w:t>
            </w:r>
          </w:p>
        </w:tc>
        <w:tc>
          <w:tcPr>
            <w:tcW w:w="3560" w:type="dxa"/>
            <w:tcBorders>
              <w:top w:val="single" w:sz="0" w:space="0" w:color="CCCCCC"/>
              <w:left w:val="single" w:sz="0" w:space="0" w:color="CCCCCC"/>
              <w:bottom w:val="single" w:sz="0" w:space="0" w:color="CCCCCC"/>
              <w:right w:val="single" w:sz="0" w:space="0" w:color="CCCCCC"/>
            </w:tcBorders>
            <w:shd w:val="clear" w:color="auto" w:fill="1B3A6B"/>
            <w:tcMar>
              <w:top w:w="80" w:type="dxa"/>
              <w:left w:w="120" w:type="dxa"/>
              <w:bottom w:w="80" w:type="dxa"/>
              <w:right w:w="120" w:type="dxa"/>
            </w:tcMar>
            <w:vAlign w:val="center"/>
          </w:tcPr>
          <w:p w14:paraId="40CA3DAA" w14:textId="77777777" w:rsidR="00AE4B3D" w:rsidRDefault="00000000">
            <w:pPr>
              <w:jc w:val="center"/>
              <w:rPr>
                <w:rFonts w:ascii="Times New Roman" w:hAnsi="Times New Roman" w:cs="Times New Roman"/>
                <w:sz w:val="16"/>
                <w:szCs w:val="16"/>
              </w:rPr>
            </w:pPr>
            <w:r>
              <w:rPr>
                <w:rFonts w:ascii="Times New Roman" w:hAnsi="Times New Roman" w:cs="Times New Roman"/>
                <w:b/>
                <w:bCs/>
                <w:color w:val="FFFFFF"/>
                <w:sz w:val="16"/>
                <w:szCs w:val="16"/>
              </w:rPr>
              <w:t>Key Metrics</w:t>
            </w:r>
          </w:p>
        </w:tc>
        <w:tc>
          <w:tcPr>
            <w:tcW w:w="2415" w:type="dxa"/>
            <w:tcBorders>
              <w:top w:val="single" w:sz="0" w:space="0" w:color="CCCCCC"/>
              <w:left w:val="single" w:sz="0" w:space="0" w:color="CCCCCC"/>
              <w:bottom w:val="single" w:sz="0" w:space="0" w:color="CCCCCC"/>
              <w:right w:val="single" w:sz="0" w:space="0" w:color="CCCCCC"/>
            </w:tcBorders>
            <w:shd w:val="clear" w:color="auto" w:fill="1B3A6B"/>
            <w:tcMar>
              <w:top w:w="80" w:type="dxa"/>
              <w:left w:w="120" w:type="dxa"/>
              <w:bottom w:w="80" w:type="dxa"/>
              <w:right w:w="120" w:type="dxa"/>
            </w:tcMar>
            <w:vAlign w:val="center"/>
          </w:tcPr>
          <w:p w14:paraId="74D5EF34" w14:textId="77777777" w:rsidR="00AE4B3D" w:rsidRDefault="00000000">
            <w:pPr>
              <w:jc w:val="center"/>
              <w:rPr>
                <w:rFonts w:ascii="Times New Roman" w:hAnsi="Times New Roman" w:cs="Times New Roman"/>
                <w:sz w:val="16"/>
                <w:szCs w:val="16"/>
              </w:rPr>
            </w:pPr>
            <w:r>
              <w:rPr>
                <w:rFonts w:ascii="Times New Roman" w:hAnsi="Times New Roman" w:cs="Times New Roman"/>
                <w:b/>
                <w:bCs/>
                <w:color w:val="FFFFFF"/>
                <w:sz w:val="16"/>
                <w:szCs w:val="16"/>
              </w:rPr>
              <w:t>Stratification</w:t>
            </w:r>
          </w:p>
        </w:tc>
        <w:tc>
          <w:tcPr>
            <w:tcW w:w="2190" w:type="dxa"/>
            <w:tcBorders>
              <w:top w:val="single" w:sz="0" w:space="0" w:color="CCCCCC"/>
              <w:left w:val="single" w:sz="0" w:space="0" w:color="CCCCCC"/>
              <w:bottom w:val="single" w:sz="0" w:space="0" w:color="CCCCCC"/>
              <w:right w:val="single" w:sz="0" w:space="0" w:color="CCCCCC"/>
            </w:tcBorders>
            <w:shd w:val="clear" w:color="auto" w:fill="1B3A6B"/>
            <w:tcMar>
              <w:top w:w="80" w:type="dxa"/>
              <w:left w:w="120" w:type="dxa"/>
              <w:bottom w:w="80" w:type="dxa"/>
              <w:right w:w="120" w:type="dxa"/>
            </w:tcMar>
            <w:vAlign w:val="center"/>
          </w:tcPr>
          <w:p w14:paraId="6BBFE236" w14:textId="77777777" w:rsidR="00AE4B3D" w:rsidRDefault="00000000">
            <w:pPr>
              <w:jc w:val="center"/>
              <w:rPr>
                <w:rFonts w:ascii="Times New Roman" w:hAnsi="Times New Roman" w:cs="Times New Roman"/>
                <w:sz w:val="16"/>
                <w:szCs w:val="16"/>
              </w:rPr>
            </w:pPr>
            <w:r>
              <w:rPr>
                <w:rFonts w:ascii="Times New Roman" w:hAnsi="Times New Roman" w:cs="Times New Roman"/>
                <w:b/>
                <w:bCs/>
                <w:color w:val="FFFFFF"/>
                <w:sz w:val="16"/>
                <w:szCs w:val="16"/>
              </w:rPr>
              <w:t>Status</w:t>
            </w:r>
          </w:p>
        </w:tc>
      </w:tr>
      <w:tr w:rsidR="00AE4B3D" w14:paraId="314B5EBE" w14:textId="77777777">
        <w:tc>
          <w:tcPr>
            <w:tcW w:w="0" w:type="auto"/>
            <w:tcBorders>
              <w:top w:val="single" w:sz="0" w:space="0" w:color="CCCCCC"/>
              <w:left w:val="single" w:sz="0" w:space="0" w:color="CCCCCC"/>
              <w:bottom w:val="single" w:sz="0" w:space="0" w:color="CCCCCC"/>
              <w:right w:val="single" w:sz="0" w:space="0" w:color="CCCCCC"/>
            </w:tcBorders>
            <w:shd w:val="clear" w:color="auto" w:fill="FFFFFF"/>
            <w:tcMar>
              <w:top w:w="60" w:type="dxa"/>
              <w:left w:w="120" w:type="dxa"/>
              <w:bottom w:w="60" w:type="dxa"/>
              <w:right w:w="120" w:type="dxa"/>
            </w:tcMar>
          </w:tcPr>
          <w:p w14:paraId="5A1F6AF8" w14:textId="77777777" w:rsidR="00AE4B3D" w:rsidRDefault="00000000">
            <w:pPr>
              <w:rPr>
                <w:rFonts w:ascii="Times New Roman" w:hAnsi="Times New Roman" w:cs="Times New Roman"/>
                <w:sz w:val="16"/>
                <w:szCs w:val="16"/>
              </w:rPr>
            </w:pPr>
            <w:r>
              <w:rPr>
                <w:rFonts w:ascii="Times New Roman" w:hAnsi="Times New Roman" w:cs="Times New Roman"/>
                <w:b/>
                <w:bCs/>
                <w:color w:val="000000"/>
                <w:sz w:val="16"/>
                <w:szCs w:val="16"/>
              </w:rPr>
              <w:t>Diagnostic Accuracy</w:t>
            </w:r>
          </w:p>
        </w:tc>
        <w:tc>
          <w:tcPr>
            <w:tcW w:w="3560" w:type="dxa"/>
            <w:tcBorders>
              <w:top w:val="single" w:sz="0" w:space="0" w:color="CCCCCC"/>
              <w:left w:val="single" w:sz="0" w:space="0" w:color="CCCCCC"/>
              <w:bottom w:val="single" w:sz="0" w:space="0" w:color="CCCCCC"/>
              <w:right w:val="single" w:sz="0" w:space="0" w:color="CCCCCC"/>
            </w:tcBorders>
            <w:shd w:val="clear" w:color="auto" w:fill="FFFFFF"/>
            <w:tcMar>
              <w:top w:w="60" w:type="dxa"/>
              <w:left w:w="120" w:type="dxa"/>
              <w:bottom w:w="60" w:type="dxa"/>
              <w:right w:w="120" w:type="dxa"/>
            </w:tcMar>
          </w:tcPr>
          <w:p w14:paraId="31AD20CE" w14:textId="77777777" w:rsidR="00AE4B3D" w:rsidRDefault="00000000">
            <w:pPr>
              <w:rPr>
                <w:rFonts w:ascii="Times New Roman" w:hAnsi="Times New Roman" w:cs="Times New Roman"/>
                <w:sz w:val="16"/>
                <w:szCs w:val="16"/>
              </w:rPr>
            </w:pPr>
            <w:r>
              <w:rPr>
                <w:rFonts w:ascii="Times New Roman" w:hAnsi="Times New Roman" w:cs="Times New Roman"/>
                <w:color w:val="000000"/>
                <w:sz w:val="16"/>
                <w:szCs w:val="16"/>
              </w:rPr>
              <w:t>AUROC, sensitivity, specificity, F1, calibration curves, MCC</w:t>
            </w:r>
          </w:p>
        </w:tc>
        <w:tc>
          <w:tcPr>
            <w:tcW w:w="2415" w:type="dxa"/>
            <w:tcBorders>
              <w:top w:val="single" w:sz="0" w:space="0" w:color="CCCCCC"/>
              <w:left w:val="single" w:sz="0" w:space="0" w:color="CCCCCC"/>
              <w:bottom w:val="single" w:sz="0" w:space="0" w:color="CCCCCC"/>
              <w:right w:val="single" w:sz="0" w:space="0" w:color="CCCCCC"/>
            </w:tcBorders>
            <w:shd w:val="clear" w:color="auto" w:fill="FFFFFF"/>
            <w:tcMar>
              <w:top w:w="60" w:type="dxa"/>
              <w:left w:w="120" w:type="dxa"/>
              <w:bottom w:w="60" w:type="dxa"/>
              <w:right w:w="120" w:type="dxa"/>
            </w:tcMar>
          </w:tcPr>
          <w:p w14:paraId="5D3E163B" w14:textId="77777777" w:rsidR="00AE4B3D" w:rsidRDefault="00000000">
            <w:pPr>
              <w:rPr>
                <w:rFonts w:ascii="Times New Roman" w:hAnsi="Times New Roman" w:cs="Times New Roman"/>
                <w:sz w:val="16"/>
                <w:szCs w:val="16"/>
              </w:rPr>
            </w:pPr>
            <w:r>
              <w:rPr>
                <w:rFonts w:ascii="Times New Roman" w:hAnsi="Times New Roman" w:cs="Times New Roman"/>
                <w:color w:val="000000"/>
                <w:sz w:val="16"/>
                <w:szCs w:val="16"/>
              </w:rPr>
              <w:t>Per modality, per disease class</w:t>
            </w:r>
          </w:p>
        </w:tc>
        <w:tc>
          <w:tcPr>
            <w:tcW w:w="2190" w:type="dxa"/>
            <w:tcBorders>
              <w:top w:val="single" w:sz="0" w:space="0" w:color="CCCCCC"/>
              <w:left w:val="single" w:sz="0" w:space="0" w:color="CCCCCC"/>
              <w:bottom w:val="single" w:sz="0" w:space="0" w:color="CCCCCC"/>
              <w:right w:val="single" w:sz="0" w:space="0" w:color="CCCCCC"/>
            </w:tcBorders>
            <w:shd w:val="clear" w:color="auto" w:fill="FFFFFF"/>
            <w:tcMar>
              <w:top w:w="60" w:type="dxa"/>
              <w:left w:w="120" w:type="dxa"/>
              <w:bottom w:w="60" w:type="dxa"/>
              <w:right w:w="120" w:type="dxa"/>
            </w:tcMar>
          </w:tcPr>
          <w:p w14:paraId="06288DCD" w14:textId="77777777" w:rsidR="00AE4B3D" w:rsidRDefault="00000000">
            <w:pPr>
              <w:rPr>
                <w:rFonts w:ascii="Times New Roman" w:hAnsi="Times New Roman" w:cs="Times New Roman"/>
                <w:sz w:val="16"/>
                <w:szCs w:val="16"/>
              </w:rPr>
            </w:pPr>
            <w:r>
              <w:rPr>
                <w:rFonts w:ascii="Times New Roman" w:hAnsi="Times New Roman" w:cs="Times New Roman"/>
                <w:color w:val="000000"/>
                <w:sz w:val="16"/>
                <w:szCs w:val="16"/>
              </w:rPr>
              <w:t>Primary</w:t>
            </w:r>
          </w:p>
        </w:tc>
      </w:tr>
      <w:tr w:rsidR="00AE4B3D" w14:paraId="64B53967" w14:textId="77777777">
        <w:tc>
          <w:tcPr>
            <w:tcW w:w="0" w:type="auto"/>
            <w:tcBorders>
              <w:top w:val="single" w:sz="0" w:space="0" w:color="CCCCCC"/>
              <w:left w:val="single" w:sz="0" w:space="0" w:color="CCCCCC"/>
              <w:bottom w:val="single" w:sz="0" w:space="0" w:color="CCCCCC"/>
              <w:right w:val="single" w:sz="0" w:space="0" w:color="CCCCCC"/>
            </w:tcBorders>
            <w:shd w:val="clear" w:color="auto" w:fill="F2F4F7"/>
            <w:tcMar>
              <w:top w:w="60" w:type="dxa"/>
              <w:left w:w="120" w:type="dxa"/>
              <w:bottom w:w="60" w:type="dxa"/>
              <w:right w:w="120" w:type="dxa"/>
            </w:tcMar>
          </w:tcPr>
          <w:p w14:paraId="177F34CA" w14:textId="77777777" w:rsidR="00AE4B3D" w:rsidRDefault="00000000">
            <w:pPr>
              <w:rPr>
                <w:rFonts w:ascii="Times New Roman" w:hAnsi="Times New Roman" w:cs="Times New Roman"/>
                <w:sz w:val="16"/>
                <w:szCs w:val="16"/>
              </w:rPr>
            </w:pPr>
            <w:r>
              <w:rPr>
                <w:rFonts w:ascii="Times New Roman" w:hAnsi="Times New Roman" w:cs="Times New Roman"/>
                <w:b/>
                <w:bCs/>
                <w:color w:val="000000"/>
                <w:sz w:val="16"/>
                <w:szCs w:val="16"/>
              </w:rPr>
              <w:t>Algorithmic Fairness</w:t>
            </w:r>
          </w:p>
        </w:tc>
        <w:tc>
          <w:tcPr>
            <w:tcW w:w="3560" w:type="dxa"/>
            <w:tcBorders>
              <w:top w:val="single" w:sz="0" w:space="0" w:color="CCCCCC"/>
              <w:left w:val="single" w:sz="0" w:space="0" w:color="CCCCCC"/>
              <w:bottom w:val="single" w:sz="0" w:space="0" w:color="CCCCCC"/>
              <w:right w:val="single" w:sz="0" w:space="0" w:color="CCCCCC"/>
            </w:tcBorders>
            <w:shd w:val="clear" w:color="auto" w:fill="F2F4F7"/>
            <w:tcMar>
              <w:top w:w="60" w:type="dxa"/>
              <w:left w:w="120" w:type="dxa"/>
              <w:bottom w:w="60" w:type="dxa"/>
              <w:right w:w="120" w:type="dxa"/>
            </w:tcMar>
          </w:tcPr>
          <w:p w14:paraId="35AB8788" w14:textId="77777777" w:rsidR="00AE4B3D" w:rsidRDefault="00000000">
            <w:pPr>
              <w:rPr>
                <w:rFonts w:ascii="Times New Roman" w:hAnsi="Times New Roman" w:cs="Times New Roman"/>
                <w:sz w:val="16"/>
                <w:szCs w:val="16"/>
              </w:rPr>
            </w:pPr>
            <w:r>
              <w:rPr>
                <w:rFonts w:ascii="Times New Roman" w:hAnsi="Times New Roman" w:cs="Times New Roman"/>
                <w:color w:val="000000"/>
                <w:sz w:val="16"/>
                <w:szCs w:val="16"/>
              </w:rPr>
              <w:t>Demographic parity, equalised odds, disparate impact ratio</w:t>
            </w:r>
          </w:p>
        </w:tc>
        <w:tc>
          <w:tcPr>
            <w:tcW w:w="2415" w:type="dxa"/>
            <w:tcBorders>
              <w:top w:val="single" w:sz="0" w:space="0" w:color="CCCCCC"/>
              <w:left w:val="single" w:sz="0" w:space="0" w:color="CCCCCC"/>
              <w:bottom w:val="single" w:sz="0" w:space="0" w:color="CCCCCC"/>
              <w:right w:val="single" w:sz="0" w:space="0" w:color="CCCCCC"/>
            </w:tcBorders>
            <w:shd w:val="clear" w:color="auto" w:fill="F2F4F7"/>
            <w:tcMar>
              <w:top w:w="60" w:type="dxa"/>
              <w:left w:w="120" w:type="dxa"/>
              <w:bottom w:w="60" w:type="dxa"/>
              <w:right w:w="120" w:type="dxa"/>
            </w:tcMar>
          </w:tcPr>
          <w:p w14:paraId="6B20C8D3" w14:textId="77777777" w:rsidR="00AE4B3D" w:rsidRDefault="00000000">
            <w:pPr>
              <w:rPr>
                <w:rFonts w:ascii="Times New Roman" w:hAnsi="Times New Roman" w:cs="Times New Roman"/>
                <w:sz w:val="16"/>
                <w:szCs w:val="16"/>
              </w:rPr>
            </w:pPr>
            <w:r>
              <w:rPr>
                <w:rFonts w:ascii="Times New Roman" w:hAnsi="Times New Roman" w:cs="Times New Roman"/>
                <w:color w:val="000000"/>
                <w:sz w:val="16"/>
                <w:szCs w:val="16"/>
              </w:rPr>
              <w:t>Gender, age, geography, SES</w:t>
            </w:r>
          </w:p>
        </w:tc>
        <w:tc>
          <w:tcPr>
            <w:tcW w:w="2190" w:type="dxa"/>
            <w:tcBorders>
              <w:top w:val="single" w:sz="0" w:space="0" w:color="CCCCCC"/>
              <w:left w:val="single" w:sz="0" w:space="0" w:color="CCCCCC"/>
              <w:bottom w:val="single" w:sz="0" w:space="0" w:color="CCCCCC"/>
              <w:right w:val="single" w:sz="0" w:space="0" w:color="CCCCCC"/>
            </w:tcBorders>
            <w:shd w:val="clear" w:color="auto" w:fill="F2F4F7"/>
            <w:tcMar>
              <w:top w:w="60" w:type="dxa"/>
              <w:left w:w="120" w:type="dxa"/>
              <w:bottom w:w="60" w:type="dxa"/>
              <w:right w:w="120" w:type="dxa"/>
            </w:tcMar>
          </w:tcPr>
          <w:p w14:paraId="3340970C" w14:textId="77777777" w:rsidR="00AE4B3D" w:rsidRDefault="00000000">
            <w:pPr>
              <w:rPr>
                <w:rFonts w:ascii="Times New Roman" w:hAnsi="Times New Roman" w:cs="Times New Roman"/>
                <w:sz w:val="16"/>
                <w:szCs w:val="16"/>
              </w:rPr>
            </w:pPr>
            <w:r>
              <w:rPr>
                <w:rFonts w:ascii="Times New Roman" w:hAnsi="Times New Roman" w:cs="Times New Roman"/>
                <w:color w:val="000000"/>
                <w:sz w:val="16"/>
                <w:szCs w:val="16"/>
              </w:rPr>
              <w:t>Mandatory</w:t>
            </w:r>
          </w:p>
        </w:tc>
      </w:tr>
      <w:tr w:rsidR="00AE4B3D" w14:paraId="2649F61B" w14:textId="77777777">
        <w:tc>
          <w:tcPr>
            <w:tcW w:w="0" w:type="auto"/>
            <w:tcBorders>
              <w:top w:val="single" w:sz="0" w:space="0" w:color="CCCCCC"/>
              <w:left w:val="single" w:sz="0" w:space="0" w:color="CCCCCC"/>
              <w:bottom w:val="single" w:sz="0" w:space="0" w:color="CCCCCC"/>
              <w:right w:val="single" w:sz="0" w:space="0" w:color="CCCCCC"/>
            </w:tcBorders>
            <w:shd w:val="clear" w:color="auto" w:fill="FFFFFF"/>
            <w:tcMar>
              <w:top w:w="60" w:type="dxa"/>
              <w:left w:w="120" w:type="dxa"/>
              <w:bottom w:w="60" w:type="dxa"/>
              <w:right w:w="120" w:type="dxa"/>
            </w:tcMar>
          </w:tcPr>
          <w:p w14:paraId="5BFBF1CB" w14:textId="77777777" w:rsidR="00AE4B3D" w:rsidRDefault="00000000">
            <w:pPr>
              <w:rPr>
                <w:rFonts w:ascii="Times New Roman" w:hAnsi="Times New Roman" w:cs="Times New Roman"/>
                <w:sz w:val="16"/>
                <w:szCs w:val="16"/>
              </w:rPr>
            </w:pPr>
            <w:r>
              <w:rPr>
                <w:rFonts w:ascii="Times New Roman" w:hAnsi="Times New Roman" w:cs="Times New Roman"/>
                <w:b/>
                <w:bCs/>
                <w:color w:val="000000"/>
                <w:sz w:val="16"/>
                <w:szCs w:val="16"/>
              </w:rPr>
              <w:t>Explainability (XAI)</w:t>
            </w:r>
          </w:p>
        </w:tc>
        <w:tc>
          <w:tcPr>
            <w:tcW w:w="3560" w:type="dxa"/>
            <w:tcBorders>
              <w:top w:val="single" w:sz="0" w:space="0" w:color="CCCCCC"/>
              <w:left w:val="single" w:sz="0" w:space="0" w:color="CCCCCC"/>
              <w:bottom w:val="single" w:sz="0" w:space="0" w:color="CCCCCC"/>
              <w:right w:val="single" w:sz="0" w:space="0" w:color="CCCCCC"/>
            </w:tcBorders>
            <w:shd w:val="clear" w:color="auto" w:fill="FFFFFF"/>
            <w:tcMar>
              <w:top w:w="60" w:type="dxa"/>
              <w:left w:w="120" w:type="dxa"/>
              <w:bottom w:w="60" w:type="dxa"/>
              <w:right w:w="120" w:type="dxa"/>
            </w:tcMar>
          </w:tcPr>
          <w:p w14:paraId="19D9BF45" w14:textId="77777777" w:rsidR="00AE4B3D" w:rsidRDefault="00000000">
            <w:pPr>
              <w:rPr>
                <w:rFonts w:ascii="Times New Roman" w:hAnsi="Times New Roman" w:cs="Times New Roman"/>
                <w:sz w:val="16"/>
                <w:szCs w:val="16"/>
              </w:rPr>
            </w:pPr>
            <w:r>
              <w:rPr>
                <w:rFonts w:ascii="Times New Roman" w:hAnsi="Times New Roman" w:cs="Times New Roman"/>
                <w:color w:val="000000"/>
                <w:sz w:val="16"/>
                <w:szCs w:val="16"/>
              </w:rPr>
              <w:t>SHAP mean |phi|, LIME fidelity, TCAV concept alignment, IG attribution</w:t>
            </w:r>
          </w:p>
        </w:tc>
        <w:tc>
          <w:tcPr>
            <w:tcW w:w="2415" w:type="dxa"/>
            <w:tcBorders>
              <w:top w:val="single" w:sz="0" w:space="0" w:color="CCCCCC"/>
              <w:left w:val="single" w:sz="0" w:space="0" w:color="CCCCCC"/>
              <w:bottom w:val="single" w:sz="0" w:space="0" w:color="CCCCCC"/>
              <w:right w:val="single" w:sz="0" w:space="0" w:color="CCCCCC"/>
            </w:tcBorders>
            <w:shd w:val="clear" w:color="auto" w:fill="FFFFFF"/>
            <w:tcMar>
              <w:top w:w="60" w:type="dxa"/>
              <w:left w:w="120" w:type="dxa"/>
              <w:bottom w:w="60" w:type="dxa"/>
              <w:right w:w="120" w:type="dxa"/>
            </w:tcMar>
          </w:tcPr>
          <w:p w14:paraId="7B027D16" w14:textId="77777777" w:rsidR="00AE4B3D" w:rsidRDefault="00000000">
            <w:pPr>
              <w:rPr>
                <w:rFonts w:ascii="Times New Roman" w:hAnsi="Times New Roman" w:cs="Times New Roman"/>
                <w:sz w:val="16"/>
                <w:szCs w:val="16"/>
              </w:rPr>
            </w:pPr>
            <w:r>
              <w:rPr>
                <w:rFonts w:ascii="Times New Roman" w:hAnsi="Times New Roman" w:cs="Times New Roman"/>
                <w:color w:val="000000"/>
                <w:sz w:val="16"/>
                <w:szCs w:val="16"/>
              </w:rPr>
              <w:t>Feature-level, concept-level</w:t>
            </w:r>
          </w:p>
        </w:tc>
        <w:tc>
          <w:tcPr>
            <w:tcW w:w="2190" w:type="dxa"/>
            <w:tcBorders>
              <w:top w:val="single" w:sz="0" w:space="0" w:color="CCCCCC"/>
              <w:left w:val="single" w:sz="0" w:space="0" w:color="CCCCCC"/>
              <w:bottom w:val="single" w:sz="0" w:space="0" w:color="CCCCCC"/>
              <w:right w:val="single" w:sz="0" w:space="0" w:color="CCCCCC"/>
            </w:tcBorders>
            <w:shd w:val="clear" w:color="auto" w:fill="FFFFFF"/>
            <w:tcMar>
              <w:top w:w="60" w:type="dxa"/>
              <w:left w:w="120" w:type="dxa"/>
              <w:bottom w:w="60" w:type="dxa"/>
              <w:right w:w="120" w:type="dxa"/>
            </w:tcMar>
          </w:tcPr>
          <w:p w14:paraId="5461E5C7" w14:textId="77777777" w:rsidR="00AE4B3D" w:rsidRDefault="00000000">
            <w:pPr>
              <w:rPr>
                <w:rFonts w:ascii="Times New Roman" w:hAnsi="Times New Roman" w:cs="Times New Roman"/>
                <w:sz w:val="16"/>
                <w:szCs w:val="16"/>
              </w:rPr>
            </w:pPr>
            <w:r>
              <w:rPr>
                <w:rFonts w:ascii="Times New Roman" w:hAnsi="Times New Roman" w:cs="Times New Roman"/>
                <w:color w:val="000000"/>
                <w:sz w:val="16"/>
                <w:szCs w:val="16"/>
              </w:rPr>
              <w:t>Required for Dx AI</w:t>
            </w:r>
          </w:p>
        </w:tc>
      </w:tr>
      <w:tr w:rsidR="00AE4B3D" w14:paraId="4B8AECA3" w14:textId="77777777">
        <w:tc>
          <w:tcPr>
            <w:tcW w:w="0" w:type="auto"/>
            <w:tcBorders>
              <w:top w:val="single" w:sz="0" w:space="0" w:color="CCCCCC"/>
              <w:left w:val="single" w:sz="0" w:space="0" w:color="CCCCCC"/>
              <w:bottom w:val="single" w:sz="0" w:space="0" w:color="CCCCCC"/>
              <w:right w:val="single" w:sz="0" w:space="0" w:color="CCCCCC"/>
            </w:tcBorders>
            <w:shd w:val="clear" w:color="auto" w:fill="F2F4F7"/>
            <w:tcMar>
              <w:top w:w="60" w:type="dxa"/>
              <w:left w:w="120" w:type="dxa"/>
              <w:bottom w:w="60" w:type="dxa"/>
              <w:right w:w="120" w:type="dxa"/>
            </w:tcMar>
          </w:tcPr>
          <w:p w14:paraId="6B1822AC" w14:textId="77777777" w:rsidR="00AE4B3D" w:rsidRDefault="00000000">
            <w:pPr>
              <w:rPr>
                <w:rFonts w:ascii="Times New Roman" w:hAnsi="Times New Roman" w:cs="Times New Roman"/>
                <w:sz w:val="16"/>
                <w:szCs w:val="16"/>
              </w:rPr>
            </w:pPr>
            <w:r>
              <w:rPr>
                <w:rFonts w:ascii="Times New Roman" w:hAnsi="Times New Roman" w:cs="Times New Roman"/>
                <w:b/>
                <w:bCs/>
                <w:color w:val="000000"/>
                <w:sz w:val="16"/>
                <w:szCs w:val="16"/>
              </w:rPr>
              <w:t>Clinical Safety</w:t>
            </w:r>
          </w:p>
        </w:tc>
        <w:tc>
          <w:tcPr>
            <w:tcW w:w="3560" w:type="dxa"/>
            <w:tcBorders>
              <w:top w:val="single" w:sz="0" w:space="0" w:color="CCCCCC"/>
              <w:left w:val="single" w:sz="0" w:space="0" w:color="CCCCCC"/>
              <w:bottom w:val="single" w:sz="0" w:space="0" w:color="CCCCCC"/>
              <w:right w:val="single" w:sz="0" w:space="0" w:color="CCCCCC"/>
            </w:tcBorders>
            <w:shd w:val="clear" w:color="auto" w:fill="F2F4F7"/>
            <w:tcMar>
              <w:top w:w="60" w:type="dxa"/>
              <w:left w:w="120" w:type="dxa"/>
              <w:bottom w:w="60" w:type="dxa"/>
              <w:right w:w="120" w:type="dxa"/>
            </w:tcMar>
          </w:tcPr>
          <w:p w14:paraId="2642F306" w14:textId="77777777" w:rsidR="00AE4B3D" w:rsidRDefault="00000000">
            <w:pPr>
              <w:rPr>
                <w:rFonts w:ascii="Times New Roman" w:hAnsi="Times New Roman" w:cs="Times New Roman"/>
                <w:sz w:val="16"/>
                <w:szCs w:val="16"/>
              </w:rPr>
            </w:pPr>
            <w:r>
              <w:rPr>
                <w:rFonts w:ascii="Times New Roman" w:hAnsi="Times New Roman" w:cs="Times New Roman"/>
                <w:color w:val="000000"/>
                <w:sz w:val="16"/>
                <w:szCs w:val="16"/>
              </w:rPr>
              <w:t>Clinically-weighted error matrix, near-miss rate, alarm fatigue index</w:t>
            </w:r>
          </w:p>
        </w:tc>
        <w:tc>
          <w:tcPr>
            <w:tcW w:w="2415" w:type="dxa"/>
            <w:tcBorders>
              <w:top w:val="single" w:sz="0" w:space="0" w:color="CCCCCC"/>
              <w:left w:val="single" w:sz="0" w:space="0" w:color="CCCCCC"/>
              <w:bottom w:val="single" w:sz="0" w:space="0" w:color="CCCCCC"/>
              <w:right w:val="single" w:sz="0" w:space="0" w:color="CCCCCC"/>
            </w:tcBorders>
            <w:shd w:val="clear" w:color="auto" w:fill="F2F4F7"/>
            <w:tcMar>
              <w:top w:w="60" w:type="dxa"/>
              <w:left w:w="120" w:type="dxa"/>
              <w:bottom w:w="60" w:type="dxa"/>
              <w:right w:w="120" w:type="dxa"/>
            </w:tcMar>
          </w:tcPr>
          <w:p w14:paraId="14FC95EA" w14:textId="77777777" w:rsidR="00AE4B3D" w:rsidRDefault="00000000">
            <w:pPr>
              <w:rPr>
                <w:rFonts w:ascii="Times New Roman" w:hAnsi="Times New Roman" w:cs="Times New Roman"/>
                <w:sz w:val="16"/>
                <w:szCs w:val="16"/>
              </w:rPr>
            </w:pPr>
            <w:r>
              <w:rPr>
                <w:rFonts w:ascii="Times New Roman" w:hAnsi="Times New Roman" w:cs="Times New Roman"/>
                <w:color w:val="000000"/>
                <w:sz w:val="16"/>
                <w:szCs w:val="16"/>
              </w:rPr>
              <w:t>Safety-critical use cases</w:t>
            </w:r>
          </w:p>
        </w:tc>
        <w:tc>
          <w:tcPr>
            <w:tcW w:w="2190" w:type="dxa"/>
            <w:tcBorders>
              <w:top w:val="single" w:sz="0" w:space="0" w:color="CCCCCC"/>
              <w:left w:val="single" w:sz="0" w:space="0" w:color="CCCCCC"/>
              <w:bottom w:val="single" w:sz="0" w:space="0" w:color="CCCCCC"/>
              <w:right w:val="single" w:sz="0" w:space="0" w:color="CCCCCC"/>
            </w:tcBorders>
            <w:shd w:val="clear" w:color="auto" w:fill="F2F4F7"/>
            <w:tcMar>
              <w:top w:w="60" w:type="dxa"/>
              <w:left w:w="120" w:type="dxa"/>
              <w:bottom w:w="60" w:type="dxa"/>
              <w:right w:w="120" w:type="dxa"/>
            </w:tcMar>
          </w:tcPr>
          <w:p w14:paraId="4FA63E0F" w14:textId="77777777" w:rsidR="00AE4B3D" w:rsidRDefault="00000000">
            <w:pPr>
              <w:rPr>
                <w:rFonts w:ascii="Times New Roman" w:hAnsi="Times New Roman" w:cs="Times New Roman"/>
                <w:sz w:val="16"/>
                <w:szCs w:val="16"/>
              </w:rPr>
            </w:pPr>
            <w:r>
              <w:rPr>
                <w:rFonts w:ascii="Times New Roman" w:hAnsi="Times New Roman" w:cs="Times New Roman"/>
                <w:color w:val="000000"/>
                <w:sz w:val="16"/>
                <w:szCs w:val="16"/>
              </w:rPr>
              <w:t>Regulatory</w:t>
            </w:r>
          </w:p>
        </w:tc>
      </w:tr>
      <w:tr w:rsidR="00AE4B3D" w14:paraId="60C1BC7B" w14:textId="77777777">
        <w:tc>
          <w:tcPr>
            <w:tcW w:w="0" w:type="auto"/>
            <w:tcBorders>
              <w:top w:val="single" w:sz="0" w:space="0" w:color="CCCCCC"/>
              <w:left w:val="single" w:sz="0" w:space="0" w:color="CCCCCC"/>
              <w:bottom w:val="single" w:sz="0" w:space="0" w:color="CCCCCC"/>
              <w:right w:val="single" w:sz="0" w:space="0" w:color="CCCCCC"/>
            </w:tcBorders>
            <w:shd w:val="clear" w:color="auto" w:fill="FFFFFF"/>
            <w:tcMar>
              <w:top w:w="60" w:type="dxa"/>
              <w:left w:w="120" w:type="dxa"/>
              <w:bottom w:w="60" w:type="dxa"/>
              <w:right w:w="120" w:type="dxa"/>
            </w:tcMar>
          </w:tcPr>
          <w:p w14:paraId="4AE84A32" w14:textId="77777777" w:rsidR="00AE4B3D" w:rsidRDefault="00000000">
            <w:pPr>
              <w:rPr>
                <w:rFonts w:ascii="Times New Roman" w:hAnsi="Times New Roman" w:cs="Times New Roman"/>
                <w:sz w:val="16"/>
                <w:szCs w:val="16"/>
              </w:rPr>
            </w:pPr>
            <w:r>
              <w:rPr>
                <w:rFonts w:ascii="Times New Roman" w:hAnsi="Times New Roman" w:cs="Times New Roman"/>
                <w:b/>
                <w:bCs/>
                <w:color w:val="000000"/>
                <w:sz w:val="16"/>
                <w:szCs w:val="16"/>
              </w:rPr>
              <w:t>Robustness</w:t>
            </w:r>
          </w:p>
        </w:tc>
        <w:tc>
          <w:tcPr>
            <w:tcW w:w="3560" w:type="dxa"/>
            <w:tcBorders>
              <w:top w:val="single" w:sz="0" w:space="0" w:color="CCCCCC"/>
              <w:left w:val="single" w:sz="0" w:space="0" w:color="CCCCCC"/>
              <w:bottom w:val="single" w:sz="0" w:space="0" w:color="CCCCCC"/>
              <w:right w:val="single" w:sz="0" w:space="0" w:color="CCCCCC"/>
            </w:tcBorders>
            <w:shd w:val="clear" w:color="auto" w:fill="FFFFFF"/>
            <w:tcMar>
              <w:top w:w="60" w:type="dxa"/>
              <w:left w:w="120" w:type="dxa"/>
              <w:bottom w:w="60" w:type="dxa"/>
              <w:right w:w="120" w:type="dxa"/>
            </w:tcMar>
          </w:tcPr>
          <w:p w14:paraId="7BD7192A" w14:textId="77777777" w:rsidR="00AE4B3D" w:rsidRDefault="00000000">
            <w:pPr>
              <w:rPr>
                <w:rFonts w:ascii="Times New Roman" w:hAnsi="Times New Roman" w:cs="Times New Roman"/>
                <w:sz w:val="16"/>
                <w:szCs w:val="16"/>
              </w:rPr>
            </w:pPr>
            <w:r>
              <w:rPr>
                <w:rFonts w:ascii="Times New Roman" w:hAnsi="Times New Roman" w:cs="Times New Roman"/>
                <w:color w:val="000000"/>
                <w:sz w:val="16"/>
                <w:szCs w:val="16"/>
              </w:rPr>
              <w:t>Performance under JPEG artefacts, DICOM variation, temporal drift</w:t>
            </w:r>
          </w:p>
        </w:tc>
        <w:tc>
          <w:tcPr>
            <w:tcW w:w="2415" w:type="dxa"/>
            <w:tcBorders>
              <w:top w:val="single" w:sz="0" w:space="0" w:color="CCCCCC"/>
              <w:left w:val="single" w:sz="0" w:space="0" w:color="CCCCCC"/>
              <w:bottom w:val="single" w:sz="0" w:space="0" w:color="CCCCCC"/>
              <w:right w:val="single" w:sz="0" w:space="0" w:color="CCCCCC"/>
            </w:tcBorders>
            <w:shd w:val="clear" w:color="auto" w:fill="FFFFFF"/>
            <w:tcMar>
              <w:top w:w="60" w:type="dxa"/>
              <w:left w:w="120" w:type="dxa"/>
              <w:bottom w:w="60" w:type="dxa"/>
              <w:right w:w="120" w:type="dxa"/>
            </w:tcMar>
          </w:tcPr>
          <w:p w14:paraId="3EA1B714" w14:textId="77777777" w:rsidR="00AE4B3D" w:rsidRDefault="00000000">
            <w:pPr>
              <w:rPr>
                <w:rFonts w:ascii="Times New Roman" w:hAnsi="Times New Roman" w:cs="Times New Roman"/>
                <w:sz w:val="16"/>
                <w:szCs w:val="16"/>
              </w:rPr>
            </w:pPr>
            <w:r>
              <w:rPr>
                <w:rFonts w:ascii="Times New Roman" w:hAnsi="Times New Roman" w:cs="Times New Roman"/>
                <w:color w:val="000000"/>
                <w:sz w:val="16"/>
                <w:szCs w:val="16"/>
              </w:rPr>
              <w:t>Acquisition protocol variance</w:t>
            </w:r>
          </w:p>
        </w:tc>
        <w:tc>
          <w:tcPr>
            <w:tcW w:w="2190" w:type="dxa"/>
            <w:tcBorders>
              <w:top w:val="single" w:sz="0" w:space="0" w:color="CCCCCC"/>
              <w:left w:val="single" w:sz="0" w:space="0" w:color="CCCCCC"/>
              <w:bottom w:val="single" w:sz="0" w:space="0" w:color="CCCCCC"/>
              <w:right w:val="single" w:sz="0" w:space="0" w:color="CCCCCC"/>
            </w:tcBorders>
            <w:shd w:val="clear" w:color="auto" w:fill="FFFFFF"/>
            <w:tcMar>
              <w:top w:w="60" w:type="dxa"/>
              <w:left w:w="120" w:type="dxa"/>
              <w:bottom w:w="60" w:type="dxa"/>
              <w:right w:w="120" w:type="dxa"/>
            </w:tcMar>
          </w:tcPr>
          <w:p w14:paraId="6D8F8A44" w14:textId="77777777" w:rsidR="00AE4B3D" w:rsidRDefault="00000000">
            <w:pPr>
              <w:rPr>
                <w:rFonts w:ascii="Times New Roman" w:hAnsi="Times New Roman" w:cs="Times New Roman"/>
                <w:sz w:val="16"/>
                <w:szCs w:val="16"/>
              </w:rPr>
            </w:pPr>
            <w:r>
              <w:rPr>
                <w:rFonts w:ascii="Times New Roman" w:hAnsi="Times New Roman" w:cs="Times New Roman"/>
                <w:color w:val="000000"/>
                <w:sz w:val="16"/>
                <w:szCs w:val="16"/>
              </w:rPr>
              <w:t>Mandatory</w:t>
            </w:r>
          </w:p>
        </w:tc>
      </w:tr>
      <w:tr w:rsidR="00AE4B3D" w14:paraId="693E1B6E" w14:textId="77777777">
        <w:tc>
          <w:tcPr>
            <w:tcW w:w="0" w:type="auto"/>
            <w:tcBorders>
              <w:top w:val="single" w:sz="0" w:space="0" w:color="CCCCCC"/>
              <w:left w:val="single" w:sz="0" w:space="0" w:color="CCCCCC"/>
              <w:bottom w:val="single" w:sz="0" w:space="0" w:color="CCCCCC"/>
              <w:right w:val="single" w:sz="0" w:space="0" w:color="CCCCCC"/>
            </w:tcBorders>
            <w:shd w:val="clear" w:color="auto" w:fill="F2F4F7"/>
            <w:tcMar>
              <w:top w:w="60" w:type="dxa"/>
              <w:left w:w="120" w:type="dxa"/>
              <w:bottom w:w="60" w:type="dxa"/>
              <w:right w:w="120" w:type="dxa"/>
            </w:tcMar>
          </w:tcPr>
          <w:p w14:paraId="46E26EAB" w14:textId="77777777" w:rsidR="00AE4B3D" w:rsidRDefault="00000000">
            <w:pPr>
              <w:rPr>
                <w:rFonts w:ascii="Times New Roman" w:hAnsi="Times New Roman" w:cs="Times New Roman"/>
                <w:sz w:val="16"/>
                <w:szCs w:val="16"/>
              </w:rPr>
            </w:pPr>
            <w:r>
              <w:rPr>
                <w:rFonts w:ascii="Times New Roman" w:hAnsi="Times New Roman" w:cs="Times New Roman"/>
                <w:b/>
                <w:bCs/>
                <w:color w:val="000000"/>
                <w:sz w:val="16"/>
                <w:szCs w:val="16"/>
              </w:rPr>
              <w:t>Efficiency</w:t>
            </w:r>
          </w:p>
        </w:tc>
        <w:tc>
          <w:tcPr>
            <w:tcW w:w="3560" w:type="dxa"/>
            <w:tcBorders>
              <w:top w:val="single" w:sz="0" w:space="0" w:color="CCCCCC"/>
              <w:left w:val="single" w:sz="0" w:space="0" w:color="CCCCCC"/>
              <w:bottom w:val="single" w:sz="0" w:space="0" w:color="CCCCCC"/>
              <w:right w:val="single" w:sz="0" w:space="0" w:color="CCCCCC"/>
            </w:tcBorders>
            <w:shd w:val="clear" w:color="auto" w:fill="F2F4F7"/>
            <w:tcMar>
              <w:top w:w="60" w:type="dxa"/>
              <w:left w:w="120" w:type="dxa"/>
              <w:bottom w:w="60" w:type="dxa"/>
              <w:right w:w="120" w:type="dxa"/>
            </w:tcMar>
          </w:tcPr>
          <w:p w14:paraId="06FC23F5" w14:textId="77777777" w:rsidR="00AE4B3D" w:rsidRDefault="00000000">
            <w:pPr>
              <w:rPr>
                <w:rFonts w:ascii="Times New Roman" w:hAnsi="Times New Roman" w:cs="Times New Roman"/>
                <w:sz w:val="16"/>
                <w:szCs w:val="16"/>
              </w:rPr>
            </w:pPr>
            <w:r>
              <w:rPr>
                <w:rFonts w:ascii="Times New Roman" w:hAnsi="Times New Roman" w:cs="Times New Roman"/>
                <w:color w:val="000000"/>
                <w:sz w:val="16"/>
                <w:szCs w:val="16"/>
              </w:rPr>
              <w:t xml:space="preserve">Inference latency (p50, p95, p99), FLOPs, model size, edge </w:t>
            </w:r>
            <w:proofErr w:type="spellStart"/>
            <w:r>
              <w:rPr>
                <w:rFonts w:ascii="Times New Roman" w:hAnsi="Times New Roman" w:cs="Times New Roman"/>
                <w:color w:val="000000"/>
                <w:sz w:val="16"/>
                <w:szCs w:val="16"/>
              </w:rPr>
              <w:t>deployability</w:t>
            </w:r>
            <w:proofErr w:type="spellEnd"/>
          </w:p>
        </w:tc>
        <w:tc>
          <w:tcPr>
            <w:tcW w:w="2415" w:type="dxa"/>
            <w:tcBorders>
              <w:top w:val="single" w:sz="0" w:space="0" w:color="CCCCCC"/>
              <w:left w:val="single" w:sz="0" w:space="0" w:color="CCCCCC"/>
              <w:bottom w:val="single" w:sz="0" w:space="0" w:color="CCCCCC"/>
              <w:right w:val="single" w:sz="0" w:space="0" w:color="CCCCCC"/>
            </w:tcBorders>
            <w:shd w:val="clear" w:color="auto" w:fill="F2F4F7"/>
            <w:tcMar>
              <w:top w:w="60" w:type="dxa"/>
              <w:left w:w="120" w:type="dxa"/>
              <w:bottom w:w="60" w:type="dxa"/>
              <w:right w:w="120" w:type="dxa"/>
            </w:tcMar>
          </w:tcPr>
          <w:p w14:paraId="58B29FD3" w14:textId="77777777" w:rsidR="00AE4B3D" w:rsidRDefault="00000000">
            <w:pPr>
              <w:rPr>
                <w:rFonts w:ascii="Times New Roman" w:hAnsi="Times New Roman" w:cs="Times New Roman"/>
                <w:sz w:val="16"/>
                <w:szCs w:val="16"/>
              </w:rPr>
            </w:pPr>
            <w:r>
              <w:rPr>
                <w:rFonts w:ascii="Times New Roman" w:hAnsi="Times New Roman" w:cs="Times New Roman"/>
                <w:color w:val="000000"/>
                <w:sz w:val="16"/>
                <w:szCs w:val="16"/>
              </w:rPr>
              <w:t>Resource-constrained settings</w:t>
            </w:r>
          </w:p>
        </w:tc>
        <w:tc>
          <w:tcPr>
            <w:tcW w:w="2190" w:type="dxa"/>
            <w:tcBorders>
              <w:top w:val="single" w:sz="0" w:space="0" w:color="CCCCCC"/>
              <w:left w:val="single" w:sz="0" w:space="0" w:color="CCCCCC"/>
              <w:bottom w:val="single" w:sz="0" w:space="0" w:color="CCCCCC"/>
              <w:right w:val="single" w:sz="0" w:space="0" w:color="CCCCCC"/>
            </w:tcBorders>
            <w:shd w:val="clear" w:color="auto" w:fill="F2F4F7"/>
            <w:tcMar>
              <w:top w:w="60" w:type="dxa"/>
              <w:left w:w="120" w:type="dxa"/>
              <w:bottom w:w="60" w:type="dxa"/>
              <w:right w:w="120" w:type="dxa"/>
            </w:tcMar>
          </w:tcPr>
          <w:p w14:paraId="6B1E4329" w14:textId="77777777" w:rsidR="00AE4B3D" w:rsidRDefault="00000000">
            <w:pPr>
              <w:rPr>
                <w:rFonts w:ascii="Times New Roman" w:hAnsi="Times New Roman" w:cs="Times New Roman"/>
                <w:sz w:val="16"/>
                <w:szCs w:val="16"/>
              </w:rPr>
            </w:pPr>
            <w:r>
              <w:rPr>
                <w:rFonts w:ascii="Times New Roman" w:hAnsi="Times New Roman" w:cs="Times New Roman"/>
                <w:color w:val="000000"/>
                <w:sz w:val="16"/>
                <w:szCs w:val="16"/>
              </w:rPr>
              <w:t>Recommended</w:t>
            </w:r>
          </w:p>
        </w:tc>
      </w:tr>
      <w:tr w:rsidR="00AE4B3D" w14:paraId="4C682A0F" w14:textId="77777777">
        <w:tc>
          <w:tcPr>
            <w:tcW w:w="0" w:type="auto"/>
            <w:tcBorders>
              <w:top w:val="single" w:sz="0" w:space="0" w:color="CCCCCC"/>
              <w:left w:val="single" w:sz="0" w:space="0" w:color="CCCCCC"/>
              <w:bottom w:val="single" w:sz="0" w:space="0" w:color="CCCCCC"/>
              <w:right w:val="single" w:sz="0" w:space="0" w:color="CCCCCC"/>
            </w:tcBorders>
            <w:shd w:val="clear" w:color="auto" w:fill="FFFFFF"/>
            <w:tcMar>
              <w:top w:w="60" w:type="dxa"/>
              <w:left w:w="120" w:type="dxa"/>
              <w:bottom w:w="60" w:type="dxa"/>
              <w:right w:w="120" w:type="dxa"/>
            </w:tcMar>
          </w:tcPr>
          <w:p w14:paraId="495C2A3D" w14:textId="77777777" w:rsidR="00AE4B3D" w:rsidRDefault="00000000">
            <w:pPr>
              <w:rPr>
                <w:rFonts w:ascii="Times New Roman" w:hAnsi="Times New Roman" w:cs="Times New Roman"/>
                <w:sz w:val="16"/>
                <w:szCs w:val="16"/>
              </w:rPr>
            </w:pPr>
            <w:r>
              <w:rPr>
                <w:rFonts w:ascii="Times New Roman" w:hAnsi="Times New Roman" w:cs="Times New Roman"/>
                <w:b/>
                <w:bCs/>
                <w:color w:val="000000"/>
                <w:sz w:val="16"/>
                <w:szCs w:val="16"/>
              </w:rPr>
              <w:t>Regulatory Compliance</w:t>
            </w:r>
          </w:p>
        </w:tc>
        <w:tc>
          <w:tcPr>
            <w:tcW w:w="3560" w:type="dxa"/>
            <w:tcBorders>
              <w:top w:val="single" w:sz="0" w:space="0" w:color="CCCCCC"/>
              <w:left w:val="single" w:sz="0" w:space="0" w:color="CCCCCC"/>
              <w:bottom w:val="single" w:sz="0" w:space="0" w:color="CCCCCC"/>
              <w:right w:val="single" w:sz="0" w:space="0" w:color="CCCCCC"/>
            </w:tcBorders>
            <w:shd w:val="clear" w:color="auto" w:fill="FFFFFF"/>
            <w:tcMar>
              <w:top w:w="60" w:type="dxa"/>
              <w:left w:w="120" w:type="dxa"/>
              <w:bottom w:w="60" w:type="dxa"/>
              <w:right w:w="120" w:type="dxa"/>
            </w:tcMar>
          </w:tcPr>
          <w:p w14:paraId="0A6DA6DD" w14:textId="77777777" w:rsidR="00AE4B3D" w:rsidRDefault="00000000">
            <w:pPr>
              <w:rPr>
                <w:rFonts w:ascii="Times New Roman" w:hAnsi="Times New Roman" w:cs="Times New Roman"/>
                <w:sz w:val="16"/>
                <w:szCs w:val="16"/>
              </w:rPr>
            </w:pPr>
            <w:r>
              <w:rPr>
                <w:rFonts w:ascii="Times New Roman" w:hAnsi="Times New Roman" w:cs="Times New Roman"/>
                <w:color w:val="000000"/>
                <w:sz w:val="16"/>
                <w:szCs w:val="16"/>
              </w:rPr>
              <w:t>MDR 2017 alignment score, AI Actuary index, CDSCO audit trail coverage</w:t>
            </w:r>
          </w:p>
        </w:tc>
        <w:tc>
          <w:tcPr>
            <w:tcW w:w="2415" w:type="dxa"/>
            <w:tcBorders>
              <w:top w:val="single" w:sz="0" w:space="0" w:color="CCCCCC"/>
              <w:left w:val="single" w:sz="0" w:space="0" w:color="CCCCCC"/>
              <w:bottom w:val="single" w:sz="0" w:space="0" w:color="CCCCCC"/>
              <w:right w:val="single" w:sz="0" w:space="0" w:color="CCCCCC"/>
            </w:tcBorders>
            <w:shd w:val="clear" w:color="auto" w:fill="FFFFFF"/>
            <w:tcMar>
              <w:top w:w="60" w:type="dxa"/>
              <w:left w:w="120" w:type="dxa"/>
              <w:bottom w:w="60" w:type="dxa"/>
              <w:right w:w="120" w:type="dxa"/>
            </w:tcMar>
          </w:tcPr>
          <w:p w14:paraId="590FD50F" w14:textId="77777777" w:rsidR="00AE4B3D" w:rsidRDefault="00000000">
            <w:pPr>
              <w:rPr>
                <w:rFonts w:ascii="Times New Roman" w:hAnsi="Times New Roman" w:cs="Times New Roman"/>
                <w:sz w:val="16"/>
                <w:szCs w:val="16"/>
              </w:rPr>
            </w:pPr>
            <w:r>
              <w:rPr>
                <w:rFonts w:ascii="Times New Roman" w:hAnsi="Times New Roman" w:cs="Times New Roman"/>
                <w:color w:val="000000"/>
                <w:sz w:val="16"/>
                <w:szCs w:val="16"/>
              </w:rPr>
              <w:t>Pre-market submission pathway</w:t>
            </w:r>
          </w:p>
        </w:tc>
        <w:tc>
          <w:tcPr>
            <w:tcW w:w="2190" w:type="dxa"/>
            <w:tcBorders>
              <w:top w:val="single" w:sz="0" w:space="0" w:color="CCCCCC"/>
              <w:left w:val="single" w:sz="0" w:space="0" w:color="CCCCCC"/>
              <w:bottom w:val="single" w:sz="0" w:space="0" w:color="CCCCCC"/>
              <w:right w:val="single" w:sz="0" w:space="0" w:color="CCCCCC"/>
            </w:tcBorders>
            <w:shd w:val="clear" w:color="auto" w:fill="FFFFFF"/>
            <w:tcMar>
              <w:top w:w="60" w:type="dxa"/>
              <w:left w:w="120" w:type="dxa"/>
              <w:bottom w:w="60" w:type="dxa"/>
              <w:right w:w="120" w:type="dxa"/>
            </w:tcMar>
          </w:tcPr>
          <w:p w14:paraId="255D34FF" w14:textId="77777777" w:rsidR="00AE4B3D" w:rsidRDefault="00000000">
            <w:pPr>
              <w:rPr>
                <w:rFonts w:ascii="Times New Roman" w:hAnsi="Times New Roman" w:cs="Times New Roman"/>
                <w:sz w:val="16"/>
                <w:szCs w:val="16"/>
              </w:rPr>
            </w:pPr>
            <w:r>
              <w:rPr>
                <w:rFonts w:ascii="Times New Roman" w:hAnsi="Times New Roman" w:cs="Times New Roman"/>
                <w:color w:val="000000"/>
                <w:sz w:val="16"/>
                <w:szCs w:val="16"/>
              </w:rPr>
              <w:t>Mandatory</w:t>
            </w:r>
          </w:p>
        </w:tc>
      </w:tr>
    </w:tbl>
    <w:p w14:paraId="0FEAAE2C" w14:textId="77777777" w:rsidR="00AE4B3D" w:rsidRDefault="00AE4B3D">
      <w:pPr>
        <w:spacing w:after="240"/>
        <w:rPr>
          <w:rFonts w:ascii="Times New Roman" w:hAnsi="Times New Roman" w:cs="Times New Roman"/>
          <w:sz w:val="24"/>
          <w:szCs w:val="24"/>
        </w:rPr>
      </w:pPr>
    </w:p>
    <w:p w14:paraId="324CB63F" w14:textId="77777777" w:rsidR="00AE4B3D" w:rsidRDefault="00000000">
      <w:pPr>
        <w:pStyle w:val="Heading2"/>
        <w:rPr>
          <w:rFonts w:ascii="Times New Roman" w:hAnsi="Times New Roman" w:cs="Times New Roman"/>
        </w:rPr>
      </w:pPr>
      <w:r>
        <w:rPr>
          <w:rFonts w:ascii="Times New Roman" w:hAnsi="Times New Roman" w:cs="Times New Roman"/>
        </w:rPr>
        <w:t>Diagnostic Accuracy Evaluation</w:t>
      </w:r>
    </w:p>
    <w:p w14:paraId="67E885A0" w14:textId="77777777" w:rsidR="00AE4B3D" w:rsidRDefault="00000000">
      <w:pPr>
        <w:spacing w:before="80" w:after="120"/>
        <w:jc w:val="both"/>
        <w:rPr>
          <w:rFonts w:ascii="Times New Roman" w:hAnsi="Times New Roman" w:cs="Times New Roman"/>
          <w:sz w:val="24"/>
          <w:szCs w:val="24"/>
        </w:rPr>
      </w:pPr>
      <w:r>
        <w:rPr>
          <w:rFonts w:ascii="Times New Roman" w:hAnsi="Times New Roman" w:cs="Times New Roman"/>
          <w:color w:val="000000"/>
          <w:sz w:val="24"/>
          <w:szCs w:val="24"/>
        </w:rPr>
        <w:lastRenderedPageBreak/>
        <w:t>For classification tasks, BODH computes a comprehensive set of threshold-free and threshold-dependent metrics. The area under the receiver operating characteristic curve (AUROC) is computed with DeLong's method for confidence intervals [15]. For imbalanced datasets — ubiquitous in rare disease diagnostics — the area under the precision-recall curve (AUPRC) is reported as the primary metric. Calibration is assessed via the Expected Calibration Error (ECE) with adaptive binning (n=15 bins) and visualised through reliability diagrams.</w:t>
      </w:r>
    </w:p>
    <w:p w14:paraId="09D39CB6" w14:textId="77777777" w:rsidR="00AE4B3D" w:rsidRDefault="00000000">
      <w:pPr>
        <w:pStyle w:val="Heading2"/>
        <w:rPr>
          <w:rFonts w:ascii="Times New Roman" w:hAnsi="Times New Roman" w:cs="Times New Roman"/>
        </w:rPr>
      </w:pPr>
      <w:r>
        <w:rPr>
          <w:rFonts w:ascii="Times New Roman" w:hAnsi="Times New Roman" w:cs="Times New Roman"/>
        </w:rPr>
        <w:t>Algorithmic Fairness Auditing</w:t>
      </w:r>
    </w:p>
    <w:p w14:paraId="7CE8C0E9" w14:textId="77777777" w:rsidR="00AE4B3D" w:rsidRDefault="00000000">
      <w:pPr>
        <w:spacing w:before="80" w:after="120"/>
        <w:jc w:val="both"/>
        <w:rPr>
          <w:rFonts w:ascii="Times New Roman" w:hAnsi="Times New Roman" w:cs="Times New Roman"/>
          <w:sz w:val="24"/>
          <w:szCs w:val="24"/>
        </w:rPr>
      </w:pPr>
      <w:r>
        <w:rPr>
          <w:rFonts w:ascii="Times New Roman" w:hAnsi="Times New Roman" w:cs="Times New Roman"/>
          <w:color w:val="000000"/>
          <w:sz w:val="24"/>
          <w:szCs w:val="24"/>
        </w:rPr>
        <w:t>Fairness evaluation is mandatory for all AI models submitted to BODH. The fairness sub-engine implements three complementary fairness criteria, recognising that no single criterion is universally appropriate [16]:</w:t>
      </w:r>
      <w:r>
        <w:rPr>
          <w:rFonts w:ascii="Times New Roman" w:hAnsi="Times New Roman" w:cs="Times New Roman"/>
          <w:color w:val="000000"/>
          <w:sz w:val="24"/>
          <w:szCs w:val="24"/>
          <w:lang w:val="en-US"/>
        </w:rPr>
        <w:t xml:space="preserve"> </w:t>
      </w:r>
      <w:r>
        <w:rPr>
          <w:rFonts w:ascii="Times New Roman" w:hAnsi="Times New Roman" w:cs="Times New Roman"/>
          <w:color w:val="000000"/>
          <w:sz w:val="24"/>
          <w:szCs w:val="24"/>
        </w:rPr>
        <w:t>Importantly, BODH recognises the fairness-accuracy trade-off and does not impose binary pass/fail fairness thresholds for most use cases. Instead, it produces Fairness Profile Cards — inspired by Google's Model Cards [17] and Microsoft's Datasheets for Datasets [18] — that transparently document performance disparities for clinical procurement officers and regulatory reviewers.</w:t>
      </w:r>
    </w:p>
    <w:p w14:paraId="0588FFE4" w14:textId="77777777" w:rsidR="00AE4B3D" w:rsidRDefault="00000000">
      <w:pPr>
        <w:pStyle w:val="Heading2"/>
        <w:rPr>
          <w:rFonts w:ascii="Times New Roman" w:hAnsi="Times New Roman" w:cs="Times New Roman"/>
        </w:rPr>
      </w:pPr>
      <w:r>
        <w:rPr>
          <w:rFonts w:ascii="Times New Roman" w:hAnsi="Times New Roman" w:cs="Times New Roman"/>
        </w:rPr>
        <w:t>Clinical Safety Scoring</w:t>
      </w:r>
    </w:p>
    <w:p w14:paraId="196CC037" w14:textId="77777777" w:rsidR="00AE4B3D" w:rsidRDefault="00000000">
      <w:pPr>
        <w:spacing w:before="80" w:after="120"/>
        <w:jc w:val="both"/>
        <w:rPr>
          <w:rFonts w:ascii="Times New Roman" w:hAnsi="Times New Roman" w:cs="Times New Roman"/>
          <w:sz w:val="24"/>
          <w:szCs w:val="24"/>
        </w:rPr>
      </w:pPr>
      <w:r>
        <w:rPr>
          <w:rFonts w:ascii="Times New Roman" w:hAnsi="Times New Roman" w:cs="Times New Roman"/>
          <w:color w:val="000000"/>
          <w:sz w:val="24"/>
          <w:szCs w:val="24"/>
        </w:rPr>
        <w:t>Safety evaluation is unique to BODH among comparable platforms and directly addresses the concern that standard accuracy metrics do not capture asymmetric clinical consequences of errors. A False Negative for a malignant lesion is categorically different from a False Positive — yet both contribute equally to standard error rate metrics.</w:t>
      </w:r>
    </w:p>
    <w:p w14:paraId="4383E684" w14:textId="77777777" w:rsidR="00AE4B3D" w:rsidRDefault="00000000">
      <w:pPr>
        <w:spacing w:before="80" w:after="120"/>
        <w:jc w:val="both"/>
        <w:rPr>
          <w:rFonts w:ascii="Times New Roman" w:hAnsi="Times New Roman" w:cs="Times New Roman"/>
          <w:sz w:val="24"/>
          <w:szCs w:val="24"/>
        </w:rPr>
      </w:pPr>
      <w:r>
        <w:rPr>
          <w:rFonts w:ascii="Times New Roman" w:hAnsi="Times New Roman" w:cs="Times New Roman"/>
          <w:color w:val="000000"/>
          <w:sz w:val="24"/>
          <w:szCs w:val="24"/>
        </w:rPr>
        <w:t>BODH's Clinical Safety Score (CSS) is computed as: CSS = 1 - (</w:t>
      </w:r>
      <w:proofErr w:type="spellStart"/>
      <w:r>
        <w:rPr>
          <w:rFonts w:ascii="Times New Roman" w:hAnsi="Times New Roman" w:cs="Times New Roman"/>
          <w:color w:val="000000"/>
          <w:sz w:val="24"/>
          <w:szCs w:val="24"/>
        </w:rPr>
        <w:t>weighted_error_cost</w:t>
      </w:r>
      <w:proofErr w:type="spellEnd"/>
      <w:r>
        <w:rPr>
          <w:rFonts w:ascii="Times New Roman" w:hAnsi="Times New Roman" w:cs="Times New Roman"/>
          <w:color w:val="000000"/>
          <w:sz w:val="24"/>
          <w:szCs w:val="24"/>
        </w:rPr>
        <w:t xml:space="preserve"> / </w:t>
      </w:r>
      <w:proofErr w:type="spellStart"/>
      <w:r>
        <w:rPr>
          <w:rFonts w:ascii="Times New Roman" w:hAnsi="Times New Roman" w:cs="Times New Roman"/>
          <w:color w:val="000000"/>
          <w:sz w:val="24"/>
          <w:szCs w:val="24"/>
        </w:rPr>
        <w:t>maximum_possible_cost</w:t>
      </w:r>
      <w:proofErr w:type="spellEnd"/>
      <w:r>
        <w:rPr>
          <w:rFonts w:ascii="Times New Roman" w:hAnsi="Times New Roman" w:cs="Times New Roman"/>
          <w:color w:val="000000"/>
          <w:sz w:val="24"/>
          <w:szCs w:val="24"/>
        </w:rPr>
        <w:t>), where error costs are defined in a Clinical Consequence Matrix (CCM) populated by a multi-disciplinary clinical advisory board for each benchmark task. For example, in the TB screening benchmark, a false negative receives a cost weight of 8 (risk of delayed treatment, transmission), while a false positive receives a weight of 2 (unnecessary follow-up workup). The CSS is stratified by risk class and reported alongside a Near-Miss Rate (NMR) — the proportion of high-confidence erroneous predictions that would not have triggered clinician review under standard workflow integration.</w:t>
      </w:r>
    </w:p>
    <w:p w14:paraId="4910806F" w14:textId="77777777" w:rsidR="00AE4B3D" w:rsidRDefault="00000000">
      <w:pPr>
        <w:pStyle w:val="Heading1"/>
        <w:pBdr>
          <w:bottom w:val="single" w:sz="8" w:space="4" w:color="2C5F9E"/>
        </w:pBdr>
        <w:rPr>
          <w:rFonts w:ascii="Times New Roman" w:hAnsi="Times New Roman" w:cs="Times New Roman"/>
          <w:sz w:val="24"/>
          <w:szCs w:val="24"/>
        </w:rPr>
      </w:pPr>
      <w:r>
        <w:rPr>
          <w:rFonts w:ascii="Times New Roman" w:hAnsi="Times New Roman" w:cs="Times New Roman"/>
          <w:sz w:val="24"/>
          <w:szCs w:val="24"/>
        </w:rPr>
        <w:t>BODH Dataset Repository</w:t>
      </w:r>
    </w:p>
    <w:p w14:paraId="793F4AD9" w14:textId="77777777" w:rsidR="00AE4B3D" w:rsidRDefault="00000000">
      <w:pPr>
        <w:pStyle w:val="Heading2"/>
        <w:rPr>
          <w:rFonts w:ascii="Times New Roman" w:hAnsi="Times New Roman" w:cs="Times New Roman"/>
        </w:rPr>
      </w:pPr>
      <w:r>
        <w:rPr>
          <w:rFonts w:ascii="Times New Roman" w:hAnsi="Times New Roman" w:cs="Times New Roman"/>
        </w:rPr>
        <w:t>Dataset Ontology and Modalities</w:t>
      </w:r>
    </w:p>
    <w:p w14:paraId="239E5AC9" w14:textId="77777777" w:rsidR="00AE4B3D" w:rsidRDefault="00000000">
      <w:pPr>
        <w:spacing w:before="80" w:after="120"/>
        <w:jc w:val="both"/>
        <w:rPr>
          <w:rFonts w:ascii="Times New Roman" w:hAnsi="Times New Roman" w:cs="Times New Roman"/>
          <w:sz w:val="24"/>
          <w:szCs w:val="24"/>
        </w:rPr>
      </w:pPr>
      <w:r>
        <w:rPr>
          <w:rFonts w:ascii="Times New Roman" w:hAnsi="Times New Roman" w:cs="Times New Roman"/>
          <w:color w:val="000000"/>
          <w:sz w:val="24"/>
          <w:szCs w:val="24"/>
        </w:rPr>
        <w:t>BODH's dataset repository is structured around six clinical modality domains, each with sub-domains reflecting India's specific disease epidemiology and healthcare infrastructure. All datasets undergo a standardised five-stage pipeline: (1) source curation and IRB documentation, (2) de-identification (HIPAA Safe Harbor + k-anonymity k≥5), (3) OMOP CDM harmonisation, (4) quality validation (completeness &gt; 95%, inter-annotator agreement kappa &gt; 0.80), and (5) versioning and cryptographic fingerprinting.</w:t>
      </w:r>
    </w:p>
    <w:p w14:paraId="07CDA2C7" w14:textId="77777777" w:rsidR="00AE4B3D" w:rsidRDefault="00000000">
      <w:pPr>
        <w:pStyle w:val="Heading2"/>
        <w:rPr>
          <w:rFonts w:ascii="Times New Roman" w:hAnsi="Times New Roman" w:cs="Times New Roman"/>
        </w:rPr>
      </w:pPr>
      <w:r>
        <w:rPr>
          <w:rFonts w:ascii="Times New Roman" w:hAnsi="Times New Roman" w:cs="Times New Roman"/>
        </w:rPr>
        <w:t>Flagship Benchmark Datasets</w:t>
      </w:r>
    </w:p>
    <w:p w14:paraId="79F5AFB5" w14:textId="77777777" w:rsidR="00AE4B3D" w:rsidRDefault="00000000">
      <w:pPr>
        <w:spacing w:before="80" w:after="120"/>
        <w:jc w:val="both"/>
        <w:rPr>
          <w:rFonts w:ascii="Times New Roman" w:hAnsi="Times New Roman" w:cs="Times New Roman"/>
          <w:sz w:val="24"/>
          <w:szCs w:val="24"/>
        </w:rPr>
      </w:pPr>
      <w:r>
        <w:rPr>
          <w:rFonts w:ascii="Times New Roman" w:hAnsi="Times New Roman" w:cs="Times New Roman"/>
          <w:color w:val="000000"/>
          <w:sz w:val="24"/>
          <w:szCs w:val="24"/>
        </w:rPr>
        <w:t>Radiology — BODH-CXR-IN (Chest X-ray, India): 85,000 PA chest radiographs from 14 hospitals across 7 states, annotated for 18 findings including tuberculosis (active and healed), COVID-19 pneumonia, cardiomegaly, pleural effusion, and malignancy. Annotations by 3 board-certified radiologists per image; consensus adjudication for discordant cases. Demographic coverage: 58% male, 42% female; age 6 months to 94 years; economic strata: 31% tertiary private, 42% district public, 27% primary health centres.</w:t>
      </w:r>
    </w:p>
    <w:p w14:paraId="41AB070B" w14:textId="77777777" w:rsidR="00AE4B3D" w:rsidRDefault="00000000">
      <w:pPr>
        <w:spacing w:before="80" w:after="120"/>
        <w:jc w:val="both"/>
        <w:rPr>
          <w:rFonts w:ascii="Times New Roman" w:hAnsi="Times New Roman" w:cs="Times New Roman"/>
          <w:sz w:val="24"/>
          <w:szCs w:val="24"/>
        </w:rPr>
      </w:pPr>
      <w:r>
        <w:rPr>
          <w:rFonts w:ascii="Times New Roman" w:hAnsi="Times New Roman" w:cs="Times New Roman"/>
          <w:color w:val="000000"/>
          <w:sz w:val="24"/>
          <w:szCs w:val="24"/>
        </w:rPr>
        <w:t xml:space="preserve">Pathology — BODH-PATH-CERVIX: 34,000 digitised Pap smear slides at 40x magnification annotated for Bethesda classification (NILM, ASCUS, LSIL, HSIL, SCC). Developed in partnership with regional cancer registries. BODH-PATH-SKIN: 18,000 </w:t>
      </w:r>
      <w:proofErr w:type="spellStart"/>
      <w:r>
        <w:rPr>
          <w:rFonts w:ascii="Times New Roman" w:hAnsi="Times New Roman" w:cs="Times New Roman"/>
          <w:color w:val="000000"/>
          <w:sz w:val="24"/>
          <w:szCs w:val="24"/>
        </w:rPr>
        <w:t>dermoscopy</w:t>
      </w:r>
      <w:proofErr w:type="spellEnd"/>
      <w:r>
        <w:rPr>
          <w:rFonts w:ascii="Times New Roman" w:hAnsi="Times New Roman" w:cs="Times New Roman"/>
          <w:color w:val="000000"/>
          <w:sz w:val="24"/>
          <w:szCs w:val="24"/>
        </w:rPr>
        <w:t xml:space="preserve"> images covering 12 conditions including leishmaniasis, leprosy (leproma, tuberculoid), and vitiligo — critically underrepresented in international benchmarks.</w:t>
      </w:r>
    </w:p>
    <w:p w14:paraId="4022C85F" w14:textId="77777777" w:rsidR="00AE4B3D" w:rsidRDefault="00000000">
      <w:pPr>
        <w:spacing w:before="80" w:after="120"/>
        <w:jc w:val="both"/>
        <w:rPr>
          <w:rFonts w:ascii="Times New Roman" w:hAnsi="Times New Roman" w:cs="Times New Roman"/>
          <w:sz w:val="24"/>
          <w:szCs w:val="24"/>
        </w:rPr>
      </w:pPr>
      <w:r>
        <w:rPr>
          <w:rFonts w:ascii="Times New Roman" w:hAnsi="Times New Roman" w:cs="Times New Roman"/>
          <w:color w:val="000000"/>
          <w:sz w:val="24"/>
          <w:szCs w:val="24"/>
        </w:rPr>
        <w:t xml:space="preserve">Genomics — BODH-GEN-HAEM: Whole exome sequencing (WES) data for 6,200 patients with haematological conditions including sickle cell disease (high tribal population representation), thalassaemia, and G6PD deficiency. </w:t>
      </w:r>
      <w:r>
        <w:rPr>
          <w:rFonts w:ascii="Times New Roman" w:hAnsi="Times New Roman" w:cs="Times New Roman"/>
          <w:color w:val="000000"/>
          <w:sz w:val="24"/>
          <w:szCs w:val="24"/>
        </w:rPr>
        <w:lastRenderedPageBreak/>
        <w:t>Pharmacogenomics annotations for CYP2C19, CYP2D6 polymorphisms relevant to standard-of-care drug metabolism in Indian populations.</w:t>
      </w:r>
    </w:p>
    <w:p w14:paraId="78309D0F" w14:textId="77777777" w:rsidR="00AE4B3D" w:rsidRDefault="00000000">
      <w:pPr>
        <w:spacing w:before="80" w:after="120"/>
        <w:jc w:val="both"/>
        <w:rPr>
          <w:rFonts w:ascii="Times New Roman" w:hAnsi="Times New Roman" w:cs="Times New Roman"/>
          <w:sz w:val="24"/>
          <w:szCs w:val="24"/>
        </w:rPr>
      </w:pPr>
      <w:r>
        <w:rPr>
          <w:rFonts w:ascii="Times New Roman" w:hAnsi="Times New Roman" w:cs="Times New Roman"/>
          <w:color w:val="000000"/>
          <w:sz w:val="24"/>
          <w:szCs w:val="24"/>
        </w:rPr>
        <w:t>Clinical NLP — BODH-NLP-DISCHARGE: 120,000 de-identified discharge summaries from tertiary hospitals, annotated with ICD-11 codes, medication mentions, and named entities. Critically, summaries are in 4 languages (English, Hindi, Tamil, Telugu) and code-switched variants — addressing the Indian clinical documentation reality. BODH-NLP-RADIOLOGY-REPORT: 65,000 radiology reports with structured finding annotations for training and evaluating report generation models.</w:t>
      </w:r>
    </w:p>
    <w:p w14:paraId="3E46D997" w14:textId="77777777" w:rsidR="00AE4B3D" w:rsidRDefault="00000000">
      <w:pPr>
        <w:spacing w:before="80" w:after="120"/>
        <w:jc w:val="both"/>
        <w:rPr>
          <w:rFonts w:ascii="Times New Roman" w:hAnsi="Times New Roman" w:cs="Times New Roman"/>
          <w:sz w:val="24"/>
          <w:szCs w:val="24"/>
        </w:rPr>
      </w:pPr>
      <w:r>
        <w:rPr>
          <w:rFonts w:ascii="Times New Roman" w:hAnsi="Times New Roman" w:cs="Times New Roman"/>
          <w:color w:val="000000"/>
          <w:sz w:val="24"/>
          <w:szCs w:val="24"/>
        </w:rPr>
        <w:t xml:space="preserve">Wearables and Remote Monitoring — BODH-ECG-PRIMARY: 220,000 12-lead ECG traces from rural primary care settings, capturing device heterogeneity (MAC 5500, Schiller, BPL </w:t>
      </w:r>
      <w:proofErr w:type="spellStart"/>
      <w:r>
        <w:rPr>
          <w:rFonts w:ascii="Times New Roman" w:hAnsi="Times New Roman" w:cs="Times New Roman"/>
          <w:color w:val="000000"/>
          <w:sz w:val="24"/>
          <w:szCs w:val="24"/>
        </w:rPr>
        <w:t>Cardiart</w:t>
      </w:r>
      <w:proofErr w:type="spellEnd"/>
      <w:r>
        <w:rPr>
          <w:rFonts w:ascii="Times New Roman" w:hAnsi="Times New Roman" w:cs="Times New Roman"/>
          <w:color w:val="000000"/>
          <w:sz w:val="24"/>
          <w:szCs w:val="24"/>
        </w:rPr>
        <w:t>). Annotated for 14 rhythm and conduction abnormalities with special attention to rheumatic heart disease sequelae.</w:t>
      </w:r>
    </w:p>
    <w:p w14:paraId="499ABD72" w14:textId="77777777" w:rsidR="00AE4B3D" w:rsidRDefault="00000000">
      <w:pPr>
        <w:spacing w:before="80" w:after="120"/>
        <w:jc w:val="both"/>
        <w:rPr>
          <w:rFonts w:ascii="Times New Roman" w:hAnsi="Times New Roman" w:cs="Times New Roman"/>
          <w:sz w:val="24"/>
          <w:szCs w:val="24"/>
        </w:rPr>
      </w:pPr>
      <w:r>
        <w:rPr>
          <w:rFonts w:ascii="Times New Roman" w:hAnsi="Times New Roman" w:cs="Times New Roman"/>
          <w:color w:val="000000"/>
          <w:sz w:val="24"/>
          <w:szCs w:val="24"/>
        </w:rPr>
        <w:t>Ophthalmology — BODH-FUNDUS-DR: 110,000 fundus photographs from diabetic retinopathy screening camps across 8 states, annotated with International Clinical Diabetic Retinopathy (ICDR) severity scale. Includes images from portable fundus cameras (</w:t>
      </w:r>
      <w:proofErr w:type="spellStart"/>
      <w:r>
        <w:rPr>
          <w:rFonts w:ascii="Times New Roman" w:hAnsi="Times New Roman" w:cs="Times New Roman"/>
          <w:color w:val="000000"/>
          <w:sz w:val="24"/>
          <w:szCs w:val="24"/>
        </w:rPr>
        <w:t>Remidio</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Forus</w:t>
      </w:r>
      <w:proofErr w:type="spellEnd"/>
      <w:r>
        <w:rPr>
          <w:rFonts w:ascii="Times New Roman" w:hAnsi="Times New Roman" w:cs="Times New Roman"/>
          <w:color w:val="000000"/>
          <w:sz w:val="24"/>
          <w:szCs w:val="24"/>
        </w:rPr>
        <w:t>) used in community screening — reflecting real-world deployment conditions.</w:t>
      </w:r>
    </w:p>
    <w:p w14:paraId="548B5D4E" w14:textId="77777777" w:rsidR="00AE4B3D" w:rsidRDefault="00000000">
      <w:pPr>
        <w:pStyle w:val="Heading1"/>
        <w:pBdr>
          <w:bottom w:val="single" w:sz="8" w:space="4" w:color="2C5F9E"/>
        </w:pBdr>
        <w:rPr>
          <w:rFonts w:ascii="Times New Roman" w:hAnsi="Times New Roman" w:cs="Times New Roman"/>
          <w:sz w:val="24"/>
          <w:szCs w:val="24"/>
        </w:rPr>
      </w:pPr>
      <w:r>
        <w:rPr>
          <w:rFonts w:ascii="Times New Roman" w:hAnsi="Times New Roman" w:cs="Times New Roman"/>
          <w:sz w:val="24"/>
          <w:szCs w:val="24"/>
        </w:rPr>
        <w:t>Governance, Ethics, and Data Access Framework</w:t>
      </w:r>
    </w:p>
    <w:p w14:paraId="1325FCDB" w14:textId="77777777" w:rsidR="00AE4B3D" w:rsidRDefault="00000000">
      <w:pPr>
        <w:pStyle w:val="Heading2"/>
        <w:rPr>
          <w:rFonts w:ascii="Times New Roman" w:hAnsi="Times New Roman" w:cs="Times New Roman"/>
        </w:rPr>
      </w:pPr>
      <w:r>
        <w:rPr>
          <w:rFonts w:ascii="Times New Roman" w:hAnsi="Times New Roman" w:cs="Times New Roman"/>
        </w:rPr>
        <w:t xml:space="preserve"> Institutional Governance Structure</w:t>
      </w:r>
    </w:p>
    <w:p w14:paraId="5D0C4063" w14:textId="77777777" w:rsidR="00AE4B3D" w:rsidRDefault="00000000">
      <w:pPr>
        <w:spacing w:before="80" w:after="120"/>
        <w:jc w:val="both"/>
        <w:rPr>
          <w:rFonts w:ascii="Times New Roman" w:hAnsi="Times New Roman" w:cs="Times New Roman"/>
          <w:sz w:val="24"/>
          <w:szCs w:val="24"/>
        </w:rPr>
      </w:pPr>
      <w:r>
        <w:rPr>
          <w:rFonts w:ascii="Times New Roman" w:hAnsi="Times New Roman" w:cs="Times New Roman"/>
          <w:color w:val="000000"/>
          <w:sz w:val="24"/>
          <w:szCs w:val="24"/>
        </w:rPr>
        <w:t>BODH operates under a three-tier governance structure. The Strategic Governance Council (SGC) comprises representatives from MeitY, the Ministry of Health and Family Welfare (</w:t>
      </w:r>
      <w:proofErr w:type="spellStart"/>
      <w:r>
        <w:rPr>
          <w:rFonts w:ascii="Times New Roman" w:hAnsi="Times New Roman" w:cs="Times New Roman"/>
          <w:color w:val="000000"/>
          <w:sz w:val="24"/>
          <w:szCs w:val="24"/>
        </w:rPr>
        <w:t>MoHFW</w:t>
      </w:r>
      <w:proofErr w:type="spellEnd"/>
      <w:r>
        <w:rPr>
          <w:rFonts w:ascii="Times New Roman" w:hAnsi="Times New Roman" w:cs="Times New Roman"/>
          <w:color w:val="000000"/>
          <w:sz w:val="24"/>
          <w:szCs w:val="24"/>
        </w:rPr>
        <w:t>), ICMR, NHA (National Health Authority), and three civil society organisations. The SGC sets platform policies, benchmark inclusion criteria, and regulatory linkage protocols. The Technical Oversight Committee (TOC) — composed of 15 domain experts in biomedical informatics, clinical medicine, data science, and ethics — reviews benchmark validity, adjudicates appeals, and approves new dataset additions. The Data Custodian Network (DCN) represents contributing hospitals and ensures data agreements are honoured.</w:t>
      </w:r>
    </w:p>
    <w:p w14:paraId="241BCAB4" w14:textId="77777777" w:rsidR="00AE4B3D" w:rsidRDefault="00000000">
      <w:pPr>
        <w:pStyle w:val="Heading2"/>
        <w:rPr>
          <w:rFonts w:ascii="Times New Roman" w:hAnsi="Times New Roman" w:cs="Times New Roman"/>
        </w:rPr>
      </w:pPr>
      <w:r>
        <w:rPr>
          <w:rFonts w:ascii="Times New Roman" w:hAnsi="Times New Roman" w:cs="Times New Roman"/>
        </w:rPr>
        <w:t xml:space="preserve"> Data Access and Licensing</w:t>
      </w:r>
    </w:p>
    <w:p w14:paraId="7D6DDE4F" w14:textId="77777777" w:rsidR="00AE4B3D" w:rsidRDefault="00000000">
      <w:pPr>
        <w:spacing w:before="80" w:after="120"/>
        <w:jc w:val="both"/>
        <w:rPr>
          <w:rFonts w:ascii="Times New Roman" w:hAnsi="Times New Roman" w:cs="Times New Roman"/>
          <w:sz w:val="24"/>
          <w:szCs w:val="24"/>
        </w:rPr>
      </w:pPr>
      <w:r>
        <w:rPr>
          <w:rFonts w:ascii="Times New Roman" w:hAnsi="Times New Roman" w:cs="Times New Roman"/>
          <w:color w:val="000000"/>
          <w:sz w:val="24"/>
          <w:szCs w:val="24"/>
        </w:rPr>
        <w:t>BODH implements a tiered data access model aligned with global best practices from the GA4GH (Global Alliance for Genomics and Health) Data Access Framework:</w:t>
      </w:r>
    </w:p>
    <w:p w14:paraId="183B7042" w14:textId="77777777" w:rsidR="00AE4B3D" w:rsidRDefault="00000000">
      <w:pPr>
        <w:pStyle w:val="ListParagraph"/>
        <w:numPr>
          <w:ilvl w:val="0"/>
          <w:numId w:val="1"/>
        </w:numPr>
        <w:spacing w:before="60" w:after="60"/>
        <w:rPr>
          <w:rFonts w:ascii="Times New Roman" w:hAnsi="Times New Roman" w:cs="Times New Roman"/>
          <w:sz w:val="24"/>
          <w:szCs w:val="24"/>
        </w:rPr>
      </w:pPr>
      <w:r>
        <w:rPr>
          <w:rFonts w:ascii="Times New Roman" w:hAnsi="Times New Roman" w:cs="Times New Roman"/>
          <w:color w:val="000000"/>
          <w:sz w:val="24"/>
          <w:szCs w:val="24"/>
        </w:rPr>
        <w:t>Tier 1 — Open Access: Aggregate statistics, benchmark specifications, evaluation code, and de-identified summary datasets available without registration under CC BY 4.0.</w:t>
      </w:r>
    </w:p>
    <w:p w14:paraId="614D4C88" w14:textId="77777777" w:rsidR="00AE4B3D" w:rsidRDefault="00000000">
      <w:pPr>
        <w:pStyle w:val="ListParagraph"/>
        <w:numPr>
          <w:ilvl w:val="0"/>
          <w:numId w:val="1"/>
        </w:numPr>
        <w:spacing w:before="60" w:after="60"/>
        <w:rPr>
          <w:rFonts w:ascii="Times New Roman" w:hAnsi="Times New Roman" w:cs="Times New Roman"/>
          <w:sz w:val="24"/>
          <w:szCs w:val="24"/>
        </w:rPr>
      </w:pPr>
      <w:r>
        <w:rPr>
          <w:rFonts w:ascii="Times New Roman" w:hAnsi="Times New Roman" w:cs="Times New Roman"/>
          <w:color w:val="000000"/>
          <w:sz w:val="24"/>
          <w:szCs w:val="24"/>
        </w:rPr>
        <w:t>Tier 2 — Registered Access: Full benchmark datasets available to verified researchers upon institutional registration, IRB attestation, and Data Use Agreement (DUA) acceptance. Access granted within 10 business days.</w:t>
      </w:r>
    </w:p>
    <w:p w14:paraId="6DE6EFB0" w14:textId="77777777" w:rsidR="00AE4B3D" w:rsidRDefault="00000000">
      <w:pPr>
        <w:pStyle w:val="ListParagraph"/>
        <w:numPr>
          <w:ilvl w:val="0"/>
          <w:numId w:val="1"/>
        </w:numPr>
        <w:spacing w:before="60" w:after="60"/>
        <w:rPr>
          <w:rFonts w:ascii="Times New Roman" w:hAnsi="Times New Roman" w:cs="Times New Roman"/>
          <w:sz w:val="24"/>
          <w:szCs w:val="24"/>
        </w:rPr>
      </w:pPr>
      <w:r>
        <w:rPr>
          <w:rFonts w:ascii="Times New Roman" w:hAnsi="Times New Roman" w:cs="Times New Roman"/>
          <w:color w:val="000000"/>
          <w:sz w:val="24"/>
          <w:szCs w:val="24"/>
        </w:rPr>
        <w:t>Tier 3 — Controlled Access: Genomic and rare disease datasets requiring individual-level access review by the Data Access Committee (DAC). 30-day review cycle.</w:t>
      </w:r>
    </w:p>
    <w:p w14:paraId="6EBB2966" w14:textId="77777777" w:rsidR="00AE4B3D" w:rsidRDefault="00000000">
      <w:pPr>
        <w:pStyle w:val="ListParagraph"/>
        <w:numPr>
          <w:ilvl w:val="0"/>
          <w:numId w:val="1"/>
        </w:numPr>
        <w:spacing w:before="60" w:after="60"/>
        <w:rPr>
          <w:rFonts w:ascii="Times New Roman" w:hAnsi="Times New Roman" w:cs="Times New Roman"/>
          <w:sz w:val="24"/>
          <w:szCs w:val="24"/>
        </w:rPr>
      </w:pPr>
      <w:r>
        <w:rPr>
          <w:rFonts w:ascii="Times New Roman" w:hAnsi="Times New Roman" w:cs="Times New Roman"/>
          <w:color w:val="000000"/>
          <w:sz w:val="24"/>
          <w:szCs w:val="24"/>
        </w:rPr>
        <w:t>Tier 4 — Federated-Only: High-sensitivity datasets (HIV, mental health, substance use) accessible exclusively via federated evaluation — data never leaves hospital nodes.</w:t>
      </w:r>
    </w:p>
    <w:p w14:paraId="11F3D909" w14:textId="77777777" w:rsidR="00AE4B3D" w:rsidRDefault="00000000">
      <w:pPr>
        <w:pStyle w:val="Heading2"/>
        <w:rPr>
          <w:rFonts w:ascii="Times New Roman" w:hAnsi="Times New Roman" w:cs="Times New Roman"/>
        </w:rPr>
      </w:pPr>
      <w:r>
        <w:rPr>
          <w:rFonts w:ascii="Times New Roman" w:hAnsi="Times New Roman" w:cs="Times New Roman"/>
        </w:rPr>
        <w:t>Ethical Framework and Bias Mitigation</w:t>
      </w:r>
    </w:p>
    <w:p w14:paraId="2A3D9D34" w14:textId="77777777" w:rsidR="00AE4B3D" w:rsidRDefault="00000000">
      <w:pPr>
        <w:spacing w:before="80" w:after="120"/>
        <w:jc w:val="both"/>
        <w:rPr>
          <w:rFonts w:ascii="Times New Roman" w:hAnsi="Times New Roman" w:cs="Times New Roman"/>
          <w:sz w:val="24"/>
          <w:szCs w:val="24"/>
        </w:rPr>
      </w:pPr>
      <w:r>
        <w:rPr>
          <w:rFonts w:ascii="Times New Roman" w:hAnsi="Times New Roman" w:cs="Times New Roman"/>
          <w:color w:val="000000"/>
          <w:sz w:val="24"/>
          <w:szCs w:val="24"/>
        </w:rPr>
        <w:t>BODH embeds ethics throughout its data lifecycle rather than treating it as a compliance checkpoint. Dataset curation teams are required to complete an India-adapted Algorithmic Impact Assessment (AIA) — modelled on Canada's Directive on Automated Decision-Making — before any dataset is admitted to the repository. The AIA evaluates representational harms (who is under-represented?), allocative harms (how might errors differentially impact groups?), and historical bias (does the dataset reflect historical healthcare inequities?).</w:t>
      </w:r>
    </w:p>
    <w:p w14:paraId="5FD9EA45" w14:textId="77777777" w:rsidR="00AE4B3D" w:rsidRDefault="00000000">
      <w:pPr>
        <w:pStyle w:val="Heading1"/>
        <w:pBdr>
          <w:bottom w:val="single" w:sz="8" w:space="4" w:color="2C5F9E"/>
        </w:pBdr>
        <w:rPr>
          <w:rFonts w:ascii="Times New Roman" w:hAnsi="Times New Roman" w:cs="Times New Roman"/>
          <w:sz w:val="24"/>
          <w:szCs w:val="24"/>
        </w:rPr>
      </w:pPr>
      <w:r>
        <w:rPr>
          <w:rFonts w:ascii="Times New Roman" w:hAnsi="Times New Roman" w:cs="Times New Roman"/>
          <w:sz w:val="24"/>
          <w:szCs w:val="24"/>
        </w:rPr>
        <w:lastRenderedPageBreak/>
        <w:t xml:space="preserve"> Preliminary Validation Results</w:t>
      </w:r>
    </w:p>
    <w:p w14:paraId="434F0228" w14:textId="77777777" w:rsidR="00AE4B3D" w:rsidRDefault="00000000">
      <w:pPr>
        <w:pStyle w:val="Heading2"/>
        <w:rPr>
          <w:rFonts w:ascii="Times New Roman" w:hAnsi="Times New Roman" w:cs="Times New Roman"/>
        </w:rPr>
      </w:pPr>
      <w:r>
        <w:rPr>
          <w:rFonts w:ascii="Times New Roman" w:hAnsi="Times New Roman" w:cs="Times New Roman"/>
        </w:rPr>
        <w:t>Pilot Evaluation: 12 AI Models Across 5 Hospital Networks</w:t>
      </w:r>
    </w:p>
    <w:p w14:paraId="11765DB8" w14:textId="77777777" w:rsidR="00AE4B3D" w:rsidRDefault="00000000">
      <w:pPr>
        <w:spacing w:before="80" w:after="120"/>
        <w:jc w:val="both"/>
        <w:rPr>
          <w:rFonts w:ascii="Times New Roman" w:hAnsi="Times New Roman" w:cs="Times New Roman"/>
          <w:sz w:val="24"/>
          <w:szCs w:val="24"/>
        </w:rPr>
      </w:pPr>
      <w:r>
        <w:rPr>
          <w:rFonts w:ascii="Times New Roman" w:hAnsi="Times New Roman" w:cs="Times New Roman"/>
          <w:color w:val="000000"/>
          <w:sz w:val="24"/>
          <w:szCs w:val="24"/>
        </w:rPr>
        <w:t>Between October 2025 and February 2026, BODH conducted a structured pilot evaluation with 12 AI model submissions from 7 organisations (4 startups, 2 academic institutes, 1 public sector undertaking) across 5 benchmark tasks: chest X-ray TB detection, diabetic retinopathy grading, ECG arrhythmia classification, clinical discharge summary ICD coding, and sepsis risk prediction from ICU vitals.</w:t>
      </w:r>
    </w:p>
    <w:p w14:paraId="3B2E533A" w14:textId="77777777" w:rsidR="00AE4B3D" w:rsidRDefault="00000000">
      <w:pPr>
        <w:spacing w:before="80" w:after="120"/>
        <w:jc w:val="both"/>
        <w:rPr>
          <w:rFonts w:ascii="Times New Roman" w:hAnsi="Times New Roman" w:cs="Times New Roman"/>
          <w:sz w:val="24"/>
          <w:szCs w:val="24"/>
        </w:rPr>
      </w:pPr>
      <w:r>
        <w:rPr>
          <w:rFonts w:ascii="Times New Roman" w:hAnsi="Times New Roman" w:cs="Times New Roman"/>
          <w:b/>
          <w:bCs/>
          <w:color w:val="000000"/>
          <w:sz w:val="24"/>
          <w:szCs w:val="24"/>
        </w:rPr>
        <w:t xml:space="preserve">Key finding 1 </w:t>
      </w:r>
      <w:r>
        <w:rPr>
          <w:rFonts w:ascii="Times New Roman" w:hAnsi="Times New Roman" w:cs="Times New Roman"/>
          <w:color w:val="000000"/>
          <w:sz w:val="24"/>
          <w:szCs w:val="24"/>
        </w:rPr>
        <w:t xml:space="preserve">— Accuracy overestimation: Models evaluated on BODH's diverse Indian benchmark datasets achieved AUROC values 0.04 to 0.17 lower than those reported in vendor validation studies — a statistically significant reduction (paired t-test, t=4.72, </w:t>
      </w:r>
      <w:proofErr w:type="spellStart"/>
      <w:r>
        <w:rPr>
          <w:rFonts w:ascii="Times New Roman" w:hAnsi="Times New Roman" w:cs="Times New Roman"/>
          <w:color w:val="000000"/>
          <w:sz w:val="24"/>
          <w:szCs w:val="24"/>
        </w:rPr>
        <w:t>df</w:t>
      </w:r>
      <w:proofErr w:type="spellEnd"/>
      <w:r>
        <w:rPr>
          <w:rFonts w:ascii="Times New Roman" w:hAnsi="Times New Roman" w:cs="Times New Roman"/>
          <w:color w:val="000000"/>
          <w:sz w:val="24"/>
          <w:szCs w:val="24"/>
        </w:rPr>
        <w:t>=11, p&lt;0.001). This overestimation was primarily attributable to the narrower demographic distribution in vendor test sets (predominantly urban, tertiary-hospital patients from 1-2 states) versus BODH's nationally representative multi-site data.</w:t>
      </w:r>
    </w:p>
    <w:p w14:paraId="6167618E" w14:textId="77777777" w:rsidR="00AE4B3D" w:rsidRDefault="00000000">
      <w:pPr>
        <w:spacing w:before="80" w:after="120"/>
        <w:jc w:val="both"/>
        <w:rPr>
          <w:rFonts w:ascii="Times New Roman" w:hAnsi="Times New Roman" w:cs="Times New Roman"/>
          <w:sz w:val="24"/>
          <w:szCs w:val="24"/>
        </w:rPr>
      </w:pPr>
      <w:r>
        <w:rPr>
          <w:rFonts w:ascii="Times New Roman" w:hAnsi="Times New Roman" w:cs="Times New Roman"/>
          <w:b/>
          <w:bCs/>
          <w:color w:val="000000"/>
          <w:sz w:val="24"/>
          <w:szCs w:val="24"/>
        </w:rPr>
        <w:t>Key finding 2</w:t>
      </w:r>
      <w:r>
        <w:rPr>
          <w:rFonts w:ascii="Times New Roman" w:hAnsi="Times New Roman" w:cs="Times New Roman"/>
          <w:color w:val="000000"/>
          <w:sz w:val="24"/>
          <w:szCs w:val="24"/>
        </w:rPr>
        <w:t xml:space="preserve"> — Fairness disparities: Seven of 12 models exhibited statistically significant performance disparities (p &lt; 0.01, Bonferroni-corrected) across at least one protected attribute. The most prevalent disparity was gender: chest X-ray models showed 8.2 percentage points lower sensitivity in female patients (95% CI: 4.1-12.3 pp), likely attributable to differences in chest morphology representation in training datasets. Two models showed significant state-level performance variation (AUROC gap &gt; 0.08), correlating with equipment vintage and acquisition protocol diversity.</w:t>
      </w:r>
    </w:p>
    <w:p w14:paraId="685F8FD9" w14:textId="77777777" w:rsidR="00AE4B3D" w:rsidRDefault="00000000">
      <w:pPr>
        <w:spacing w:before="80" w:after="120"/>
        <w:jc w:val="both"/>
        <w:rPr>
          <w:rFonts w:ascii="Times New Roman" w:hAnsi="Times New Roman" w:cs="Times New Roman"/>
          <w:sz w:val="24"/>
          <w:szCs w:val="24"/>
        </w:rPr>
      </w:pPr>
      <w:r>
        <w:rPr>
          <w:rFonts w:ascii="Times New Roman" w:hAnsi="Times New Roman" w:cs="Times New Roman"/>
          <w:b/>
          <w:bCs/>
          <w:color w:val="000000"/>
          <w:sz w:val="24"/>
          <w:szCs w:val="24"/>
        </w:rPr>
        <w:t>Key finding 3</w:t>
      </w:r>
      <w:r>
        <w:rPr>
          <w:rFonts w:ascii="Times New Roman" w:hAnsi="Times New Roman" w:cs="Times New Roman"/>
          <w:color w:val="000000"/>
          <w:sz w:val="24"/>
          <w:szCs w:val="24"/>
        </w:rPr>
        <w:t xml:space="preserve"> — Explainability quality: LIME fidelity scores below the 0.80 threshold were observed in 5 of 8 image models evaluated, suggesting that local linear approximations were insufficient to explain model behaviour in complex chest X-ray and fundus photograph tasks. SHAP evaluation on EHR models revealed that 3 of 4 clinical prediction models relied on demographic features (age, gender) in the top-3 SHAP contributors — flagging potential proxy discrimination.</w:t>
      </w:r>
    </w:p>
    <w:p w14:paraId="309C080F" w14:textId="77777777" w:rsidR="00AE4B3D" w:rsidRDefault="00000000">
      <w:pPr>
        <w:spacing w:before="80" w:after="120"/>
        <w:jc w:val="both"/>
        <w:rPr>
          <w:rFonts w:ascii="Times New Roman" w:hAnsi="Times New Roman" w:cs="Times New Roman"/>
          <w:sz w:val="24"/>
          <w:szCs w:val="24"/>
        </w:rPr>
      </w:pPr>
      <w:r>
        <w:rPr>
          <w:rFonts w:ascii="Times New Roman" w:hAnsi="Times New Roman" w:cs="Times New Roman"/>
          <w:b/>
          <w:bCs/>
          <w:color w:val="000000"/>
          <w:sz w:val="24"/>
          <w:szCs w:val="24"/>
        </w:rPr>
        <w:t xml:space="preserve">Key finding 4 </w:t>
      </w:r>
      <w:r>
        <w:rPr>
          <w:rFonts w:ascii="Times New Roman" w:hAnsi="Times New Roman" w:cs="Times New Roman"/>
          <w:color w:val="000000"/>
          <w:sz w:val="24"/>
          <w:szCs w:val="24"/>
        </w:rPr>
        <w:t>— Federated vs centralised evaluation concordance: A methodological sub-study comparing federated evaluation results (across 3 hospital nodes) with centralised evaluation on pooled data found a mean absolute metric deviation of 0.012 AUROC (SD: 0.008) — within the accepted tolerance of 0.02 — validating BODH's federated evaluation approach as computationally equivalent to centralised benchmarking.</w:t>
      </w:r>
    </w:p>
    <w:p w14:paraId="08446A9D" w14:textId="77777777" w:rsidR="00AE4B3D" w:rsidRDefault="00000000">
      <w:pPr>
        <w:pStyle w:val="Heading2"/>
        <w:rPr>
          <w:rFonts w:ascii="Times New Roman" w:hAnsi="Times New Roman" w:cs="Times New Roman"/>
        </w:rPr>
      </w:pPr>
      <w:r>
        <w:rPr>
          <w:rFonts w:ascii="Times New Roman" w:hAnsi="Times New Roman" w:cs="Times New Roman"/>
        </w:rPr>
        <w:t>Platform Performance Metrics</w:t>
      </w:r>
    </w:p>
    <w:p w14:paraId="0E11048C" w14:textId="77777777" w:rsidR="00AE4B3D" w:rsidRDefault="00000000">
      <w:pPr>
        <w:spacing w:before="80" w:after="120"/>
        <w:jc w:val="both"/>
        <w:rPr>
          <w:rFonts w:ascii="Times New Roman" w:hAnsi="Times New Roman" w:cs="Times New Roman"/>
          <w:color w:val="000000"/>
          <w:sz w:val="24"/>
          <w:szCs w:val="24"/>
        </w:rPr>
      </w:pPr>
      <w:r>
        <w:rPr>
          <w:rFonts w:ascii="Times New Roman" w:hAnsi="Times New Roman" w:cs="Times New Roman"/>
          <w:color w:val="000000"/>
          <w:sz w:val="24"/>
          <w:szCs w:val="24"/>
        </w:rPr>
        <w:t>At full pilot load (12 concurrent model evaluations), BODH's evaluation pipeline achieved a mean end-to-end evaluation time of 4.2 hours for imaging tasks (95th percentile: 7.8 hours) and 1.1 hours for tabular/NLP tasks. The federated orchestration layer maintained 99.3% task completion rate across hospital nodes, with 2 federated evaluation failures attributable to network connectivity interruptions at a rural primary care site — highlighting the need for robust offline fallback mechanisms currently in development. The BODH API sustained 2,400 requests per minute at 95th-percentile latency of 340ms, within target SLA of &lt; 500ms.</w:t>
      </w:r>
    </w:p>
    <w:p w14:paraId="64262C53" w14:textId="77777777" w:rsidR="00AE4B3D" w:rsidRDefault="00AE4B3D">
      <w:pPr>
        <w:spacing w:before="80" w:after="120"/>
        <w:jc w:val="both"/>
        <w:rPr>
          <w:rFonts w:ascii="Times New Roman" w:hAnsi="Times New Roman" w:cs="Times New Roman"/>
          <w:color w:val="000000"/>
          <w:sz w:val="24"/>
          <w:szCs w:val="24"/>
        </w:rPr>
      </w:pPr>
    </w:p>
    <w:p w14:paraId="7A486E77" w14:textId="77777777" w:rsidR="00AE4B3D" w:rsidRDefault="00000000">
      <w:pPr>
        <w:pStyle w:val="Heading1"/>
        <w:pBdr>
          <w:bottom w:val="single" w:sz="8" w:space="4" w:color="2C5F9E"/>
        </w:pBdr>
        <w:rPr>
          <w:rFonts w:ascii="Times New Roman" w:hAnsi="Times New Roman" w:cs="Times New Roman"/>
          <w:sz w:val="24"/>
          <w:szCs w:val="24"/>
          <w:lang w:val="en-US"/>
        </w:rPr>
      </w:pPr>
      <w:r>
        <w:rPr>
          <w:rFonts w:ascii="Times New Roman" w:hAnsi="Times New Roman" w:cs="Times New Roman"/>
          <w:sz w:val="24"/>
          <w:szCs w:val="24"/>
        </w:rPr>
        <w:t xml:space="preserve"> </w:t>
      </w:r>
      <w:r>
        <w:rPr>
          <w:rFonts w:ascii="Times New Roman" w:hAnsi="Times New Roman" w:cs="Times New Roman"/>
          <w:sz w:val="24"/>
          <w:szCs w:val="24"/>
          <w:lang w:val="en-US"/>
        </w:rPr>
        <w:t>Direction</w:t>
      </w:r>
    </w:p>
    <w:p w14:paraId="10C4A90B" w14:textId="77777777" w:rsidR="00AE4B3D" w:rsidRDefault="00000000">
      <w:pPr>
        <w:pStyle w:val="Heading2"/>
        <w:rPr>
          <w:rFonts w:ascii="Times New Roman" w:hAnsi="Times New Roman" w:cs="Times New Roman"/>
        </w:rPr>
      </w:pPr>
      <w:r>
        <w:rPr>
          <w:rFonts w:ascii="Times New Roman" w:hAnsi="Times New Roman" w:cs="Times New Roman"/>
        </w:rPr>
        <w:t>BODH in the International Benchmarking Landscape</w:t>
      </w:r>
    </w:p>
    <w:p w14:paraId="4B894C7F" w14:textId="77777777" w:rsidR="00AE4B3D" w:rsidRDefault="00000000">
      <w:pPr>
        <w:spacing w:before="80" w:after="120"/>
        <w:jc w:val="both"/>
        <w:rPr>
          <w:rFonts w:ascii="Times New Roman" w:hAnsi="Times New Roman" w:cs="Times New Roman"/>
          <w:color w:val="000000"/>
          <w:sz w:val="24"/>
          <w:szCs w:val="24"/>
        </w:rPr>
      </w:pPr>
      <w:r>
        <w:rPr>
          <w:rFonts w:ascii="Times New Roman" w:hAnsi="Times New Roman" w:cs="Times New Roman"/>
          <w:color w:val="000000"/>
          <w:sz w:val="24"/>
          <w:szCs w:val="24"/>
        </w:rPr>
        <w:t>Table 3 provides a structured comparison of BODH against major existing health AI platforms across eight key dimensions. BODH's distinguishing characteristics — sovereign federated evaluation, mandatory fairness auditing, integrated XAI, and regulatory pathway alignment — position it uniquely within the global landscape.</w:t>
      </w:r>
    </w:p>
    <w:p w14:paraId="7A39E612" w14:textId="77777777" w:rsidR="00AE4B3D" w:rsidRDefault="00AE4B3D">
      <w:pPr>
        <w:spacing w:before="80" w:after="120"/>
        <w:jc w:val="both"/>
        <w:rPr>
          <w:rFonts w:ascii="Times New Roman" w:hAnsi="Times New Roman" w:cs="Times New Roman"/>
          <w:color w:val="000000"/>
          <w:sz w:val="24"/>
          <w:szCs w:val="24"/>
        </w:rPr>
      </w:pPr>
    </w:p>
    <w:p w14:paraId="7136CA63" w14:textId="77777777" w:rsidR="00AE4B3D" w:rsidRDefault="00AE4B3D">
      <w:pPr>
        <w:spacing w:before="80" w:after="120"/>
        <w:jc w:val="both"/>
        <w:rPr>
          <w:rFonts w:ascii="Times New Roman" w:hAnsi="Times New Roman" w:cs="Times New Roman"/>
          <w:color w:val="000000"/>
          <w:sz w:val="24"/>
          <w:szCs w:val="24"/>
        </w:rPr>
      </w:pPr>
    </w:p>
    <w:p w14:paraId="62271863" w14:textId="77777777" w:rsidR="00AE4B3D" w:rsidRDefault="00000000">
      <w:pPr>
        <w:spacing w:before="80" w:after="40"/>
        <w:jc w:val="center"/>
        <w:rPr>
          <w:rFonts w:ascii="Times New Roman" w:hAnsi="Times New Roman" w:cs="Times New Roman"/>
          <w:sz w:val="24"/>
          <w:szCs w:val="24"/>
        </w:rPr>
      </w:pPr>
      <w:r>
        <w:rPr>
          <w:rFonts w:ascii="Times New Roman" w:hAnsi="Times New Roman" w:cs="Times New Roman"/>
          <w:b/>
          <w:bCs/>
          <w:color w:val="1B3A6B"/>
          <w:sz w:val="24"/>
          <w:szCs w:val="24"/>
        </w:rPr>
        <w:t>Table 3: Comparative Analysis of Health AI Benchmarking Platforms</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2200"/>
        <w:gridCol w:w="1432"/>
        <w:gridCol w:w="1432"/>
        <w:gridCol w:w="1432"/>
        <w:gridCol w:w="1432"/>
        <w:gridCol w:w="1432"/>
      </w:tblGrid>
      <w:tr w:rsidR="00AE4B3D" w14:paraId="2FC53542" w14:textId="77777777">
        <w:tc>
          <w:tcPr>
            <w:tcW w:w="2200" w:type="dxa"/>
            <w:tcBorders>
              <w:top w:val="single" w:sz="0" w:space="0" w:color="CCCCCC"/>
              <w:left w:val="single" w:sz="0" w:space="0" w:color="CCCCCC"/>
              <w:bottom w:val="single" w:sz="0" w:space="0" w:color="CCCCCC"/>
              <w:right w:val="single" w:sz="0" w:space="0" w:color="CCCCCC"/>
            </w:tcBorders>
            <w:shd w:val="clear" w:color="auto" w:fill="1B3A6B"/>
            <w:tcMar>
              <w:top w:w="80" w:type="dxa"/>
              <w:left w:w="100" w:type="dxa"/>
              <w:bottom w:w="80" w:type="dxa"/>
              <w:right w:w="100" w:type="dxa"/>
            </w:tcMar>
          </w:tcPr>
          <w:p w14:paraId="4E0DE882" w14:textId="77777777" w:rsidR="00AE4B3D" w:rsidRDefault="00000000">
            <w:pPr>
              <w:jc w:val="center"/>
              <w:rPr>
                <w:rFonts w:ascii="Times New Roman" w:hAnsi="Times New Roman" w:cs="Times New Roman"/>
                <w:sz w:val="16"/>
                <w:szCs w:val="16"/>
              </w:rPr>
            </w:pPr>
            <w:r>
              <w:rPr>
                <w:rFonts w:ascii="Times New Roman" w:hAnsi="Times New Roman" w:cs="Times New Roman"/>
                <w:b/>
                <w:bCs/>
                <w:color w:val="FFFFFF"/>
                <w:sz w:val="16"/>
                <w:szCs w:val="16"/>
              </w:rPr>
              <w:lastRenderedPageBreak/>
              <w:t>Feature</w:t>
            </w:r>
          </w:p>
        </w:tc>
        <w:tc>
          <w:tcPr>
            <w:tcW w:w="1432" w:type="dxa"/>
            <w:tcBorders>
              <w:top w:val="single" w:sz="0" w:space="0" w:color="CCCCCC"/>
              <w:left w:val="single" w:sz="0" w:space="0" w:color="CCCCCC"/>
              <w:bottom w:val="single" w:sz="0" w:space="0" w:color="CCCCCC"/>
              <w:right w:val="single" w:sz="0" w:space="0" w:color="CCCCCC"/>
            </w:tcBorders>
            <w:shd w:val="clear" w:color="auto" w:fill="1B3A6B"/>
            <w:tcMar>
              <w:top w:w="80" w:type="dxa"/>
              <w:left w:w="100" w:type="dxa"/>
              <w:bottom w:w="80" w:type="dxa"/>
              <w:right w:w="100" w:type="dxa"/>
            </w:tcMar>
          </w:tcPr>
          <w:p w14:paraId="45D7C440" w14:textId="77777777" w:rsidR="00AE4B3D" w:rsidRDefault="00000000">
            <w:pPr>
              <w:jc w:val="center"/>
              <w:rPr>
                <w:rFonts w:ascii="Times New Roman" w:hAnsi="Times New Roman" w:cs="Times New Roman"/>
                <w:sz w:val="16"/>
                <w:szCs w:val="16"/>
              </w:rPr>
            </w:pPr>
            <w:r>
              <w:rPr>
                <w:rFonts w:ascii="Times New Roman" w:hAnsi="Times New Roman" w:cs="Times New Roman"/>
                <w:b/>
                <w:bCs/>
                <w:color w:val="FFFFFF"/>
                <w:sz w:val="16"/>
                <w:szCs w:val="16"/>
              </w:rPr>
              <w:t>BODH</w:t>
            </w:r>
          </w:p>
        </w:tc>
        <w:tc>
          <w:tcPr>
            <w:tcW w:w="1432" w:type="dxa"/>
            <w:tcBorders>
              <w:top w:val="single" w:sz="0" w:space="0" w:color="CCCCCC"/>
              <w:left w:val="single" w:sz="0" w:space="0" w:color="CCCCCC"/>
              <w:bottom w:val="single" w:sz="0" w:space="0" w:color="CCCCCC"/>
              <w:right w:val="single" w:sz="0" w:space="0" w:color="CCCCCC"/>
            </w:tcBorders>
            <w:shd w:val="clear" w:color="auto" w:fill="1B3A6B"/>
            <w:tcMar>
              <w:top w:w="80" w:type="dxa"/>
              <w:left w:w="100" w:type="dxa"/>
              <w:bottom w:w="80" w:type="dxa"/>
              <w:right w:w="100" w:type="dxa"/>
            </w:tcMar>
          </w:tcPr>
          <w:p w14:paraId="4173268C" w14:textId="77777777" w:rsidR="00AE4B3D" w:rsidRDefault="00000000">
            <w:pPr>
              <w:jc w:val="center"/>
              <w:rPr>
                <w:rFonts w:ascii="Times New Roman" w:hAnsi="Times New Roman" w:cs="Times New Roman"/>
                <w:sz w:val="16"/>
                <w:szCs w:val="16"/>
              </w:rPr>
            </w:pPr>
            <w:r>
              <w:rPr>
                <w:rFonts w:ascii="Times New Roman" w:hAnsi="Times New Roman" w:cs="Times New Roman"/>
                <w:b/>
                <w:bCs/>
                <w:color w:val="FFFFFF"/>
                <w:sz w:val="16"/>
                <w:szCs w:val="16"/>
              </w:rPr>
              <w:t>PhysioNet</w:t>
            </w:r>
          </w:p>
        </w:tc>
        <w:tc>
          <w:tcPr>
            <w:tcW w:w="1432" w:type="dxa"/>
            <w:tcBorders>
              <w:top w:val="single" w:sz="0" w:space="0" w:color="CCCCCC"/>
              <w:left w:val="single" w:sz="0" w:space="0" w:color="CCCCCC"/>
              <w:bottom w:val="single" w:sz="0" w:space="0" w:color="CCCCCC"/>
              <w:right w:val="single" w:sz="0" w:space="0" w:color="CCCCCC"/>
            </w:tcBorders>
            <w:shd w:val="clear" w:color="auto" w:fill="1B3A6B"/>
            <w:tcMar>
              <w:top w:w="80" w:type="dxa"/>
              <w:left w:w="100" w:type="dxa"/>
              <w:bottom w:w="80" w:type="dxa"/>
              <w:right w:w="100" w:type="dxa"/>
            </w:tcMar>
          </w:tcPr>
          <w:p w14:paraId="663D522C" w14:textId="77777777" w:rsidR="00AE4B3D" w:rsidRDefault="00000000">
            <w:pPr>
              <w:jc w:val="center"/>
              <w:rPr>
                <w:rFonts w:ascii="Times New Roman" w:hAnsi="Times New Roman" w:cs="Times New Roman"/>
                <w:sz w:val="16"/>
                <w:szCs w:val="16"/>
              </w:rPr>
            </w:pPr>
            <w:r>
              <w:rPr>
                <w:rFonts w:ascii="Times New Roman" w:hAnsi="Times New Roman" w:cs="Times New Roman"/>
                <w:b/>
                <w:bCs/>
                <w:color w:val="FFFFFF"/>
                <w:sz w:val="16"/>
                <w:szCs w:val="16"/>
              </w:rPr>
              <w:t>MIMIC-III</w:t>
            </w:r>
          </w:p>
        </w:tc>
        <w:tc>
          <w:tcPr>
            <w:tcW w:w="1432" w:type="dxa"/>
            <w:tcBorders>
              <w:top w:val="single" w:sz="0" w:space="0" w:color="CCCCCC"/>
              <w:left w:val="single" w:sz="0" w:space="0" w:color="CCCCCC"/>
              <w:bottom w:val="single" w:sz="0" w:space="0" w:color="CCCCCC"/>
              <w:right w:val="single" w:sz="0" w:space="0" w:color="CCCCCC"/>
            </w:tcBorders>
            <w:shd w:val="clear" w:color="auto" w:fill="1B3A6B"/>
            <w:tcMar>
              <w:top w:w="80" w:type="dxa"/>
              <w:left w:w="100" w:type="dxa"/>
              <w:bottom w:w="80" w:type="dxa"/>
              <w:right w:w="100" w:type="dxa"/>
            </w:tcMar>
          </w:tcPr>
          <w:p w14:paraId="71C323C3" w14:textId="77777777" w:rsidR="00AE4B3D" w:rsidRDefault="00000000">
            <w:pPr>
              <w:jc w:val="center"/>
              <w:rPr>
                <w:rFonts w:ascii="Times New Roman" w:hAnsi="Times New Roman" w:cs="Times New Roman"/>
                <w:sz w:val="16"/>
                <w:szCs w:val="16"/>
              </w:rPr>
            </w:pPr>
            <w:r>
              <w:rPr>
                <w:rFonts w:ascii="Times New Roman" w:hAnsi="Times New Roman" w:cs="Times New Roman"/>
                <w:b/>
                <w:bCs/>
                <w:color w:val="FFFFFF"/>
                <w:sz w:val="16"/>
                <w:szCs w:val="16"/>
              </w:rPr>
              <w:t>Grand Challenge</w:t>
            </w:r>
          </w:p>
        </w:tc>
        <w:tc>
          <w:tcPr>
            <w:tcW w:w="1432" w:type="dxa"/>
            <w:tcBorders>
              <w:top w:val="single" w:sz="0" w:space="0" w:color="CCCCCC"/>
              <w:left w:val="single" w:sz="0" w:space="0" w:color="CCCCCC"/>
              <w:bottom w:val="single" w:sz="0" w:space="0" w:color="CCCCCC"/>
              <w:right w:val="single" w:sz="0" w:space="0" w:color="CCCCCC"/>
            </w:tcBorders>
            <w:shd w:val="clear" w:color="auto" w:fill="1B3A6B"/>
            <w:tcMar>
              <w:top w:w="80" w:type="dxa"/>
              <w:left w:w="100" w:type="dxa"/>
              <w:bottom w:w="80" w:type="dxa"/>
              <w:right w:w="100" w:type="dxa"/>
            </w:tcMar>
          </w:tcPr>
          <w:p w14:paraId="682962B2" w14:textId="77777777" w:rsidR="00AE4B3D" w:rsidRDefault="00000000">
            <w:pPr>
              <w:jc w:val="center"/>
              <w:rPr>
                <w:rFonts w:ascii="Times New Roman" w:hAnsi="Times New Roman" w:cs="Times New Roman"/>
                <w:sz w:val="16"/>
                <w:szCs w:val="16"/>
              </w:rPr>
            </w:pPr>
            <w:r>
              <w:rPr>
                <w:rFonts w:ascii="Times New Roman" w:hAnsi="Times New Roman" w:cs="Times New Roman"/>
                <w:b/>
                <w:bCs/>
                <w:color w:val="FFFFFF"/>
                <w:sz w:val="16"/>
                <w:szCs w:val="16"/>
              </w:rPr>
              <w:t>OHDSI ATLAS</w:t>
            </w:r>
          </w:p>
        </w:tc>
      </w:tr>
      <w:tr w:rsidR="00AE4B3D" w14:paraId="25CBA38B" w14:textId="77777777">
        <w:tc>
          <w:tcPr>
            <w:tcW w:w="0" w:type="auto"/>
            <w:tcBorders>
              <w:top w:val="single" w:sz="0" w:space="0" w:color="CCCCCC"/>
              <w:left w:val="single" w:sz="0" w:space="0" w:color="CCCCCC"/>
              <w:bottom w:val="single" w:sz="0" w:space="0" w:color="CCCCCC"/>
              <w:right w:val="single" w:sz="0" w:space="0" w:color="CCCCCC"/>
            </w:tcBorders>
            <w:shd w:val="clear" w:color="auto" w:fill="FFFFFF"/>
            <w:tcMar>
              <w:top w:w="60" w:type="dxa"/>
              <w:left w:w="100" w:type="dxa"/>
              <w:bottom w:w="60" w:type="dxa"/>
              <w:right w:w="100" w:type="dxa"/>
            </w:tcMar>
          </w:tcPr>
          <w:p w14:paraId="57A2B7C1" w14:textId="77777777" w:rsidR="00AE4B3D" w:rsidRDefault="00000000">
            <w:pPr>
              <w:rPr>
                <w:rFonts w:ascii="Times New Roman" w:hAnsi="Times New Roman" w:cs="Times New Roman"/>
                <w:sz w:val="16"/>
                <w:szCs w:val="16"/>
              </w:rPr>
            </w:pPr>
            <w:r>
              <w:rPr>
                <w:rFonts w:ascii="Times New Roman" w:hAnsi="Times New Roman" w:cs="Times New Roman"/>
                <w:b/>
                <w:bCs/>
                <w:color w:val="000000"/>
                <w:sz w:val="16"/>
                <w:szCs w:val="16"/>
              </w:rPr>
              <w:t>Open Data Access</w:t>
            </w:r>
          </w:p>
        </w:tc>
        <w:tc>
          <w:tcPr>
            <w:tcW w:w="0" w:type="auto"/>
            <w:tcBorders>
              <w:top w:val="single" w:sz="0" w:space="0" w:color="CCCCCC"/>
              <w:left w:val="single" w:sz="0" w:space="0" w:color="CCCCCC"/>
              <w:bottom w:val="single" w:sz="0" w:space="0" w:color="CCCCCC"/>
              <w:right w:val="single" w:sz="0" w:space="0" w:color="CCCCCC"/>
            </w:tcBorders>
            <w:shd w:val="clear" w:color="auto" w:fill="FFFFFF"/>
            <w:tcMar>
              <w:top w:w="60" w:type="dxa"/>
              <w:left w:w="100" w:type="dxa"/>
              <w:bottom w:w="60" w:type="dxa"/>
              <w:right w:w="100" w:type="dxa"/>
            </w:tcMar>
          </w:tcPr>
          <w:p w14:paraId="13B7C85A" w14:textId="77777777" w:rsidR="00AE4B3D" w:rsidRDefault="00000000">
            <w:pPr>
              <w:jc w:val="center"/>
              <w:rPr>
                <w:rFonts w:ascii="Times New Roman" w:hAnsi="Times New Roman" w:cs="Times New Roman"/>
                <w:sz w:val="16"/>
                <w:szCs w:val="16"/>
              </w:rPr>
            </w:pPr>
            <w:r>
              <w:rPr>
                <w:rFonts w:ascii="Times New Roman" w:hAnsi="Times New Roman" w:cs="Times New Roman"/>
                <w:color w:val="1B6B2E"/>
                <w:sz w:val="16"/>
                <w:szCs w:val="16"/>
              </w:rPr>
              <w:t>✔ Full</w:t>
            </w:r>
          </w:p>
        </w:tc>
        <w:tc>
          <w:tcPr>
            <w:tcW w:w="0" w:type="auto"/>
            <w:tcBorders>
              <w:top w:val="single" w:sz="0" w:space="0" w:color="CCCCCC"/>
              <w:left w:val="single" w:sz="0" w:space="0" w:color="CCCCCC"/>
              <w:bottom w:val="single" w:sz="0" w:space="0" w:color="CCCCCC"/>
              <w:right w:val="single" w:sz="0" w:space="0" w:color="CCCCCC"/>
            </w:tcBorders>
            <w:shd w:val="clear" w:color="auto" w:fill="FFFFFF"/>
            <w:tcMar>
              <w:top w:w="60" w:type="dxa"/>
              <w:left w:w="100" w:type="dxa"/>
              <w:bottom w:w="60" w:type="dxa"/>
              <w:right w:w="100" w:type="dxa"/>
            </w:tcMar>
          </w:tcPr>
          <w:p w14:paraId="6C98006E" w14:textId="77777777" w:rsidR="00AE4B3D" w:rsidRDefault="00000000">
            <w:pPr>
              <w:jc w:val="center"/>
              <w:rPr>
                <w:rFonts w:ascii="Times New Roman" w:hAnsi="Times New Roman" w:cs="Times New Roman"/>
                <w:sz w:val="16"/>
                <w:szCs w:val="16"/>
              </w:rPr>
            </w:pPr>
            <w:r>
              <w:rPr>
                <w:rFonts w:ascii="Times New Roman" w:hAnsi="Times New Roman" w:cs="Times New Roman"/>
                <w:color w:val="1B6B2E"/>
                <w:sz w:val="16"/>
                <w:szCs w:val="16"/>
              </w:rPr>
              <w:t>✔ Full</w:t>
            </w:r>
          </w:p>
        </w:tc>
        <w:tc>
          <w:tcPr>
            <w:tcW w:w="0" w:type="auto"/>
            <w:tcBorders>
              <w:top w:val="single" w:sz="0" w:space="0" w:color="CCCCCC"/>
              <w:left w:val="single" w:sz="0" w:space="0" w:color="CCCCCC"/>
              <w:bottom w:val="single" w:sz="0" w:space="0" w:color="CCCCCC"/>
              <w:right w:val="single" w:sz="0" w:space="0" w:color="CCCCCC"/>
            </w:tcBorders>
            <w:shd w:val="clear" w:color="auto" w:fill="FFFFFF"/>
            <w:tcMar>
              <w:top w:w="60" w:type="dxa"/>
              <w:left w:w="100" w:type="dxa"/>
              <w:bottom w:w="60" w:type="dxa"/>
              <w:right w:w="100" w:type="dxa"/>
            </w:tcMar>
          </w:tcPr>
          <w:p w14:paraId="672D2DB1" w14:textId="77777777" w:rsidR="00AE4B3D" w:rsidRDefault="00000000">
            <w:pPr>
              <w:jc w:val="center"/>
              <w:rPr>
                <w:rFonts w:ascii="Times New Roman" w:hAnsi="Times New Roman" w:cs="Times New Roman"/>
                <w:sz w:val="16"/>
                <w:szCs w:val="16"/>
              </w:rPr>
            </w:pPr>
            <w:r>
              <w:rPr>
                <w:rFonts w:ascii="Times New Roman" w:hAnsi="Times New Roman" w:cs="Times New Roman"/>
                <w:color w:val="000000"/>
                <w:sz w:val="16"/>
                <w:szCs w:val="16"/>
              </w:rPr>
              <w:t>Partial</w:t>
            </w:r>
          </w:p>
        </w:tc>
        <w:tc>
          <w:tcPr>
            <w:tcW w:w="0" w:type="auto"/>
            <w:tcBorders>
              <w:top w:val="single" w:sz="0" w:space="0" w:color="CCCCCC"/>
              <w:left w:val="single" w:sz="0" w:space="0" w:color="CCCCCC"/>
              <w:bottom w:val="single" w:sz="0" w:space="0" w:color="CCCCCC"/>
              <w:right w:val="single" w:sz="0" w:space="0" w:color="CCCCCC"/>
            </w:tcBorders>
            <w:shd w:val="clear" w:color="auto" w:fill="FFFFFF"/>
            <w:tcMar>
              <w:top w:w="60" w:type="dxa"/>
              <w:left w:w="100" w:type="dxa"/>
              <w:bottom w:w="60" w:type="dxa"/>
              <w:right w:w="100" w:type="dxa"/>
            </w:tcMar>
          </w:tcPr>
          <w:p w14:paraId="360C488F" w14:textId="77777777" w:rsidR="00AE4B3D" w:rsidRDefault="00000000">
            <w:pPr>
              <w:jc w:val="center"/>
              <w:rPr>
                <w:rFonts w:ascii="Times New Roman" w:hAnsi="Times New Roman" w:cs="Times New Roman"/>
                <w:sz w:val="16"/>
                <w:szCs w:val="16"/>
              </w:rPr>
            </w:pPr>
            <w:r>
              <w:rPr>
                <w:rFonts w:ascii="Times New Roman" w:hAnsi="Times New Roman" w:cs="Times New Roman"/>
                <w:color w:val="000000"/>
                <w:sz w:val="16"/>
                <w:szCs w:val="16"/>
              </w:rPr>
              <w:t>Partial</w:t>
            </w:r>
          </w:p>
        </w:tc>
        <w:tc>
          <w:tcPr>
            <w:tcW w:w="0" w:type="auto"/>
            <w:tcBorders>
              <w:top w:val="single" w:sz="0" w:space="0" w:color="CCCCCC"/>
              <w:left w:val="single" w:sz="0" w:space="0" w:color="CCCCCC"/>
              <w:bottom w:val="single" w:sz="0" w:space="0" w:color="CCCCCC"/>
              <w:right w:val="single" w:sz="0" w:space="0" w:color="CCCCCC"/>
            </w:tcBorders>
            <w:shd w:val="clear" w:color="auto" w:fill="FFFFFF"/>
            <w:tcMar>
              <w:top w:w="60" w:type="dxa"/>
              <w:left w:w="100" w:type="dxa"/>
              <w:bottom w:w="60" w:type="dxa"/>
              <w:right w:w="100" w:type="dxa"/>
            </w:tcMar>
          </w:tcPr>
          <w:p w14:paraId="5D30C67E" w14:textId="77777777" w:rsidR="00AE4B3D" w:rsidRDefault="00000000">
            <w:pPr>
              <w:jc w:val="center"/>
              <w:rPr>
                <w:rFonts w:ascii="Times New Roman" w:hAnsi="Times New Roman" w:cs="Times New Roman"/>
                <w:sz w:val="16"/>
                <w:szCs w:val="16"/>
              </w:rPr>
            </w:pPr>
            <w:r>
              <w:rPr>
                <w:rFonts w:ascii="Times New Roman" w:hAnsi="Times New Roman" w:cs="Times New Roman"/>
                <w:color w:val="1B6B2E"/>
                <w:sz w:val="16"/>
                <w:szCs w:val="16"/>
              </w:rPr>
              <w:t>✔ Full</w:t>
            </w:r>
          </w:p>
        </w:tc>
      </w:tr>
      <w:tr w:rsidR="00AE4B3D" w14:paraId="00B1B179" w14:textId="77777777">
        <w:tc>
          <w:tcPr>
            <w:tcW w:w="0" w:type="auto"/>
            <w:tcBorders>
              <w:top w:val="single" w:sz="0" w:space="0" w:color="CCCCCC"/>
              <w:left w:val="single" w:sz="0" w:space="0" w:color="CCCCCC"/>
              <w:bottom w:val="single" w:sz="0" w:space="0" w:color="CCCCCC"/>
              <w:right w:val="single" w:sz="0" w:space="0" w:color="CCCCCC"/>
            </w:tcBorders>
            <w:shd w:val="clear" w:color="auto" w:fill="F2F4F7"/>
            <w:tcMar>
              <w:top w:w="60" w:type="dxa"/>
              <w:left w:w="100" w:type="dxa"/>
              <w:bottom w:w="60" w:type="dxa"/>
              <w:right w:w="100" w:type="dxa"/>
            </w:tcMar>
          </w:tcPr>
          <w:p w14:paraId="38042798" w14:textId="77777777" w:rsidR="00AE4B3D" w:rsidRDefault="00000000">
            <w:pPr>
              <w:rPr>
                <w:rFonts w:ascii="Times New Roman" w:hAnsi="Times New Roman" w:cs="Times New Roman"/>
                <w:sz w:val="16"/>
                <w:szCs w:val="16"/>
              </w:rPr>
            </w:pPr>
            <w:r>
              <w:rPr>
                <w:rFonts w:ascii="Times New Roman" w:hAnsi="Times New Roman" w:cs="Times New Roman"/>
                <w:b/>
                <w:bCs/>
                <w:color w:val="000000"/>
                <w:sz w:val="16"/>
                <w:szCs w:val="16"/>
              </w:rPr>
              <w:t>Federated Evaluation</w:t>
            </w:r>
          </w:p>
        </w:tc>
        <w:tc>
          <w:tcPr>
            <w:tcW w:w="0" w:type="auto"/>
            <w:tcBorders>
              <w:top w:val="single" w:sz="0" w:space="0" w:color="CCCCCC"/>
              <w:left w:val="single" w:sz="0" w:space="0" w:color="CCCCCC"/>
              <w:bottom w:val="single" w:sz="0" w:space="0" w:color="CCCCCC"/>
              <w:right w:val="single" w:sz="0" w:space="0" w:color="CCCCCC"/>
            </w:tcBorders>
            <w:shd w:val="clear" w:color="auto" w:fill="F2F4F7"/>
            <w:tcMar>
              <w:top w:w="60" w:type="dxa"/>
              <w:left w:w="100" w:type="dxa"/>
              <w:bottom w:w="60" w:type="dxa"/>
              <w:right w:w="100" w:type="dxa"/>
            </w:tcMar>
          </w:tcPr>
          <w:p w14:paraId="20AF1D7B" w14:textId="77777777" w:rsidR="00AE4B3D" w:rsidRDefault="00000000">
            <w:pPr>
              <w:jc w:val="center"/>
              <w:rPr>
                <w:rFonts w:ascii="Times New Roman" w:hAnsi="Times New Roman" w:cs="Times New Roman"/>
                <w:sz w:val="16"/>
                <w:szCs w:val="16"/>
              </w:rPr>
            </w:pPr>
            <w:r>
              <w:rPr>
                <w:rFonts w:ascii="Times New Roman" w:hAnsi="Times New Roman" w:cs="Times New Roman"/>
                <w:color w:val="1B6B2E"/>
                <w:sz w:val="16"/>
                <w:szCs w:val="16"/>
              </w:rPr>
              <w:t>✔ Yes</w:t>
            </w:r>
          </w:p>
        </w:tc>
        <w:tc>
          <w:tcPr>
            <w:tcW w:w="0" w:type="auto"/>
            <w:tcBorders>
              <w:top w:val="single" w:sz="0" w:space="0" w:color="CCCCCC"/>
              <w:left w:val="single" w:sz="0" w:space="0" w:color="CCCCCC"/>
              <w:bottom w:val="single" w:sz="0" w:space="0" w:color="CCCCCC"/>
              <w:right w:val="single" w:sz="0" w:space="0" w:color="CCCCCC"/>
            </w:tcBorders>
            <w:shd w:val="clear" w:color="auto" w:fill="F2F4F7"/>
            <w:tcMar>
              <w:top w:w="60" w:type="dxa"/>
              <w:left w:w="100" w:type="dxa"/>
              <w:bottom w:w="60" w:type="dxa"/>
              <w:right w:w="100" w:type="dxa"/>
            </w:tcMar>
          </w:tcPr>
          <w:p w14:paraId="203329A8" w14:textId="77777777" w:rsidR="00AE4B3D" w:rsidRDefault="00000000">
            <w:pPr>
              <w:jc w:val="center"/>
              <w:rPr>
                <w:rFonts w:ascii="Times New Roman" w:hAnsi="Times New Roman" w:cs="Times New Roman"/>
                <w:sz w:val="16"/>
                <w:szCs w:val="16"/>
              </w:rPr>
            </w:pPr>
            <w:r>
              <w:rPr>
                <w:rFonts w:ascii="Times New Roman" w:hAnsi="Times New Roman" w:cs="Times New Roman"/>
                <w:color w:val="000000"/>
                <w:sz w:val="16"/>
                <w:szCs w:val="16"/>
              </w:rPr>
              <w:t>No</w:t>
            </w:r>
          </w:p>
        </w:tc>
        <w:tc>
          <w:tcPr>
            <w:tcW w:w="0" w:type="auto"/>
            <w:tcBorders>
              <w:top w:val="single" w:sz="0" w:space="0" w:color="CCCCCC"/>
              <w:left w:val="single" w:sz="0" w:space="0" w:color="CCCCCC"/>
              <w:bottom w:val="single" w:sz="0" w:space="0" w:color="CCCCCC"/>
              <w:right w:val="single" w:sz="0" w:space="0" w:color="CCCCCC"/>
            </w:tcBorders>
            <w:shd w:val="clear" w:color="auto" w:fill="F2F4F7"/>
            <w:tcMar>
              <w:top w:w="60" w:type="dxa"/>
              <w:left w:w="100" w:type="dxa"/>
              <w:bottom w:w="60" w:type="dxa"/>
              <w:right w:w="100" w:type="dxa"/>
            </w:tcMar>
          </w:tcPr>
          <w:p w14:paraId="689945B7" w14:textId="77777777" w:rsidR="00AE4B3D" w:rsidRDefault="00000000">
            <w:pPr>
              <w:jc w:val="center"/>
              <w:rPr>
                <w:rFonts w:ascii="Times New Roman" w:hAnsi="Times New Roman" w:cs="Times New Roman"/>
                <w:sz w:val="16"/>
                <w:szCs w:val="16"/>
              </w:rPr>
            </w:pPr>
            <w:r>
              <w:rPr>
                <w:rFonts w:ascii="Times New Roman" w:hAnsi="Times New Roman" w:cs="Times New Roman"/>
                <w:color w:val="000000"/>
                <w:sz w:val="16"/>
                <w:szCs w:val="16"/>
              </w:rPr>
              <w:t>No</w:t>
            </w:r>
          </w:p>
        </w:tc>
        <w:tc>
          <w:tcPr>
            <w:tcW w:w="0" w:type="auto"/>
            <w:tcBorders>
              <w:top w:val="single" w:sz="0" w:space="0" w:color="CCCCCC"/>
              <w:left w:val="single" w:sz="0" w:space="0" w:color="CCCCCC"/>
              <w:bottom w:val="single" w:sz="0" w:space="0" w:color="CCCCCC"/>
              <w:right w:val="single" w:sz="0" w:space="0" w:color="CCCCCC"/>
            </w:tcBorders>
            <w:shd w:val="clear" w:color="auto" w:fill="F2F4F7"/>
            <w:tcMar>
              <w:top w:w="60" w:type="dxa"/>
              <w:left w:w="100" w:type="dxa"/>
              <w:bottom w:w="60" w:type="dxa"/>
              <w:right w:w="100" w:type="dxa"/>
            </w:tcMar>
          </w:tcPr>
          <w:p w14:paraId="38D8621E" w14:textId="77777777" w:rsidR="00AE4B3D" w:rsidRDefault="00000000">
            <w:pPr>
              <w:jc w:val="center"/>
              <w:rPr>
                <w:rFonts w:ascii="Times New Roman" w:hAnsi="Times New Roman" w:cs="Times New Roman"/>
                <w:sz w:val="16"/>
                <w:szCs w:val="16"/>
              </w:rPr>
            </w:pPr>
            <w:r>
              <w:rPr>
                <w:rFonts w:ascii="Times New Roman" w:hAnsi="Times New Roman" w:cs="Times New Roman"/>
                <w:color w:val="000000"/>
                <w:sz w:val="16"/>
                <w:szCs w:val="16"/>
              </w:rPr>
              <w:t>No</w:t>
            </w:r>
          </w:p>
        </w:tc>
        <w:tc>
          <w:tcPr>
            <w:tcW w:w="0" w:type="auto"/>
            <w:tcBorders>
              <w:top w:val="single" w:sz="0" w:space="0" w:color="CCCCCC"/>
              <w:left w:val="single" w:sz="0" w:space="0" w:color="CCCCCC"/>
              <w:bottom w:val="single" w:sz="0" w:space="0" w:color="CCCCCC"/>
              <w:right w:val="single" w:sz="0" w:space="0" w:color="CCCCCC"/>
            </w:tcBorders>
            <w:shd w:val="clear" w:color="auto" w:fill="F2F4F7"/>
            <w:tcMar>
              <w:top w:w="60" w:type="dxa"/>
              <w:left w:w="100" w:type="dxa"/>
              <w:bottom w:w="60" w:type="dxa"/>
              <w:right w:w="100" w:type="dxa"/>
            </w:tcMar>
          </w:tcPr>
          <w:p w14:paraId="4B227853" w14:textId="77777777" w:rsidR="00AE4B3D" w:rsidRDefault="00000000">
            <w:pPr>
              <w:jc w:val="center"/>
              <w:rPr>
                <w:rFonts w:ascii="Times New Roman" w:hAnsi="Times New Roman" w:cs="Times New Roman"/>
                <w:sz w:val="16"/>
                <w:szCs w:val="16"/>
              </w:rPr>
            </w:pPr>
            <w:r>
              <w:rPr>
                <w:rFonts w:ascii="Times New Roman" w:hAnsi="Times New Roman" w:cs="Times New Roman"/>
                <w:color w:val="000000"/>
                <w:sz w:val="16"/>
                <w:szCs w:val="16"/>
              </w:rPr>
              <w:t>No</w:t>
            </w:r>
          </w:p>
        </w:tc>
      </w:tr>
      <w:tr w:rsidR="00AE4B3D" w14:paraId="7A15B57B" w14:textId="77777777">
        <w:tc>
          <w:tcPr>
            <w:tcW w:w="0" w:type="auto"/>
            <w:tcBorders>
              <w:top w:val="single" w:sz="0" w:space="0" w:color="CCCCCC"/>
              <w:left w:val="single" w:sz="0" w:space="0" w:color="CCCCCC"/>
              <w:bottom w:val="single" w:sz="0" w:space="0" w:color="CCCCCC"/>
              <w:right w:val="single" w:sz="0" w:space="0" w:color="CCCCCC"/>
            </w:tcBorders>
            <w:shd w:val="clear" w:color="auto" w:fill="FFFFFF"/>
            <w:tcMar>
              <w:top w:w="60" w:type="dxa"/>
              <w:left w:w="100" w:type="dxa"/>
              <w:bottom w:w="60" w:type="dxa"/>
              <w:right w:w="100" w:type="dxa"/>
            </w:tcMar>
          </w:tcPr>
          <w:p w14:paraId="4957DC42" w14:textId="77777777" w:rsidR="00AE4B3D" w:rsidRDefault="00000000">
            <w:pPr>
              <w:rPr>
                <w:rFonts w:ascii="Times New Roman" w:hAnsi="Times New Roman" w:cs="Times New Roman"/>
                <w:sz w:val="16"/>
                <w:szCs w:val="16"/>
              </w:rPr>
            </w:pPr>
            <w:r>
              <w:rPr>
                <w:rFonts w:ascii="Times New Roman" w:hAnsi="Times New Roman" w:cs="Times New Roman"/>
                <w:b/>
                <w:bCs/>
                <w:color w:val="000000"/>
                <w:sz w:val="16"/>
                <w:szCs w:val="16"/>
              </w:rPr>
              <w:t>FHIR R4 Native</w:t>
            </w:r>
          </w:p>
        </w:tc>
        <w:tc>
          <w:tcPr>
            <w:tcW w:w="0" w:type="auto"/>
            <w:tcBorders>
              <w:top w:val="single" w:sz="0" w:space="0" w:color="CCCCCC"/>
              <w:left w:val="single" w:sz="0" w:space="0" w:color="CCCCCC"/>
              <w:bottom w:val="single" w:sz="0" w:space="0" w:color="CCCCCC"/>
              <w:right w:val="single" w:sz="0" w:space="0" w:color="CCCCCC"/>
            </w:tcBorders>
            <w:shd w:val="clear" w:color="auto" w:fill="FFFFFF"/>
            <w:tcMar>
              <w:top w:w="60" w:type="dxa"/>
              <w:left w:w="100" w:type="dxa"/>
              <w:bottom w:w="60" w:type="dxa"/>
              <w:right w:w="100" w:type="dxa"/>
            </w:tcMar>
          </w:tcPr>
          <w:p w14:paraId="6F2B8125" w14:textId="77777777" w:rsidR="00AE4B3D" w:rsidRDefault="00000000">
            <w:pPr>
              <w:jc w:val="center"/>
              <w:rPr>
                <w:rFonts w:ascii="Times New Roman" w:hAnsi="Times New Roman" w:cs="Times New Roman"/>
                <w:sz w:val="16"/>
                <w:szCs w:val="16"/>
              </w:rPr>
            </w:pPr>
            <w:r>
              <w:rPr>
                <w:rFonts w:ascii="Times New Roman" w:hAnsi="Times New Roman" w:cs="Times New Roman"/>
                <w:color w:val="1B6B2E"/>
                <w:sz w:val="16"/>
                <w:szCs w:val="16"/>
              </w:rPr>
              <w:t>✔ Yes</w:t>
            </w:r>
          </w:p>
        </w:tc>
        <w:tc>
          <w:tcPr>
            <w:tcW w:w="0" w:type="auto"/>
            <w:tcBorders>
              <w:top w:val="single" w:sz="0" w:space="0" w:color="CCCCCC"/>
              <w:left w:val="single" w:sz="0" w:space="0" w:color="CCCCCC"/>
              <w:bottom w:val="single" w:sz="0" w:space="0" w:color="CCCCCC"/>
              <w:right w:val="single" w:sz="0" w:space="0" w:color="CCCCCC"/>
            </w:tcBorders>
            <w:shd w:val="clear" w:color="auto" w:fill="FFFFFF"/>
            <w:tcMar>
              <w:top w:w="60" w:type="dxa"/>
              <w:left w:w="100" w:type="dxa"/>
              <w:bottom w:w="60" w:type="dxa"/>
              <w:right w:w="100" w:type="dxa"/>
            </w:tcMar>
          </w:tcPr>
          <w:p w14:paraId="51B5567C" w14:textId="77777777" w:rsidR="00AE4B3D" w:rsidRDefault="00000000">
            <w:pPr>
              <w:jc w:val="center"/>
              <w:rPr>
                <w:rFonts w:ascii="Times New Roman" w:hAnsi="Times New Roman" w:cs="Times New Roman"/>
                <w:sz w:val="16"/>
                <w:szCs w:val="16"/>
              </w:rPr>
            </w:pPr>
            <w:r>
              <w:rPr>
                <w:rFonts w:ascii="Times New Roman" w:hAnsi="Times New Roman" w:cs="Times New Roman"/>
                <w:color w:val="000000"/>
                <w:sz w:val="16"/>
                <w:szCs w:val="16"/>
              </w:rPr>
              <w:t>No</w:t>
            </w:r>
          </w:p>
        </w:tc>
        <w:tc>
          <w:tcPr>
            <w:tcW w:w="0" w:type="auto"/>
            <w:tcBorders>
              <w:top w:val="single" w:sz="0" w:space="0" w:color="CCCCCC"/>
              <w:left w:val="single" w:sz="0" w:space="0" w:color="CCCCCC"/>
              <w:bottom w:val="single" w:sz="0" w:space="0" w:color="CCCCCC"/>
              <w:right w:val="single" w:sz="0" w:space="0" w:color="CCCCCC"/>
            </w:tcBorders>
            <w:shd w:val="clear" w:color="auto" w:fill="FFFFFF"/>
            <w:tcMar>
              <w:top w:w="60" w:type="dxa"/>
              <w:left w:w="100" w:type="dxa"/>
              <w:bottom w:w="60" w:type="dxa"/>
              <w:right w:w="100" w:type="dxa"/>
            </w:tcMar>
          </w:tcPr>
          <w:p w14:paraId="6BC24A1E" w14:textId="77777777" w:rsidR="00AE4B3D" w:rsidRDefault="00000000">
            <w:pPr>
              <w:jc w:val="center"/>
              <w:rPr>
                <w:rFonts w:ascii="Times New Roman" w:hAnsi="Times New Roman" w:cs="Times New Roman"/>
                <w:sz w:val="16"/>
                <w:szCs w:val="16"/>
              </w:rPr>
            </w:pPr>
            <w:r>
              <w:rPr>
                <w:rFonts w:ascii="Times New Roman" w:hAnsi="Times New Roman" w:cs="Times New Roman"/>
                <w:color w:val="1B6B2E"/>
                <w:sz w:val="16"/>
                <w:szCs w:val="16"/>
              </w:rPr>
              <w:t>✔ Yes</w:t>
            </w:r>
          </w:p>
        </w:tc>
        <w:tc>
          <w:tcPr>
            <w:tcW w:w="0" w:type="auto"/>
            <w:tcBorders>
              <w:top w:val="single" w:sz="0" w:space="0" w:color="CCCCCC"/>
              <w:left w:val="single" w:sz="0" w:space="0" w:color="CCCCCC"/>
              <w:bottom w:val="single" w:sz="0" w:space="0" w:color="CCCCCC"/>
              <w:right w:val="single" w:sz="0" w:space="0" w:color="CCCCCC"/>
            </w:tcBorders>
            <w:shd w:val="clear" w:color="auto" w:fill="FFFFFF"/>
            <w:tcMar>
              <w:top w:w="60" w:type="dxa"/>
              <w:left w:w="100" w:type="dxa"/>
              <w:bottom w:w="60" w:type="dxa"/>
              <w:right w:w="100" w:type="dxa"/>
            </w:tcMar>
          </w:tcPr>
          <w:p w14:paraId="0FB07F5D" w14:textId="77777777" w:rsidR="00AE4B3D" w:rsidRDefault="00000000">
            <w:pPr>
              <w:jc w:val="center"/>
              <w:rPr>
                <w:rFonts w:ascii="Times New Roman" w:hAnsi="Times New Roman" w:cs="Times New Roman"/>
                <w:sz w:val="16"/>
                <w:szCs w:val="16"/>
              </w:rPr>
            </w:pPr>
            <w:r>
              <w:rPr>
                <w:rFonts w:ascii="Times New Roman" w:hAnsi="Times New Roman" w:cs="Times New Roman"/>
                <w:color w:val="000000"/>
                <w:sz w:val="16"/>
                <w:szCs w:val="16"/>
              </w:rPr>
              <w:t>No</w:t>
            </w:r>
          </w:p>
        </w:tc>
        <w:tc>
          <w:tcPr>
            <w:tcW w:w="0" w:type="auto"/>
            <w:tcBorders>
              <w:top w:val="single" w:sz="0" w:space="0" w:color="CCCCCC"/>
              <w:left w:val="single" w:sz="0" w:space="0" w:color="CCCCCC"/>
              <w:bottom w:val="single" w:sz="0" w:space="0" w:color="CCCCCC"/>
              <w:right w:val="single" w:sz="0" w:space="0" w:color="CCCCCC"/>
            </w:tcBorders>
            <w:shd w:val="clear" w:color="auto" w:fill="FFFFFF"/>
            <w:tcMar>
              <w:top w:w="60" w:type="dxa"/>
              <w:left w:w="100" w:type="dxa"/>
              <w:bottom w:w="60" w:type="dxa"/>
              <w:right w:w="100" w:type="dxa"/>
            </w:tcMar>
          </w:tcPr>
          <w:p w14:paraId="42DDCA05" w14:textId="77777777" w:rsidR="00AE4B3D" w:rsidRDefault="00000000">
            <w:pPr>
              <w:jc w:val="center"/>
              <w:rPr>
                <w:rFonts w:ascii="Times New Roman" w:hAnsi="Times New Roman" w:cs="Times New Roman"/>
                <w:sz w:val="16"/>
                <w:szCs w:val="16"/>
              </w:rPr>
            </w:pPr>
            <w:r>
              <w:rPr>
                <w:rFonts w:ascii="Times New Roman" w:hAnsi="Times New Roman" w:cs="Times New Roman"/>
                <w:color w:val="000000"/>
                <w:sz w:val="16"/>
                <w:szCs w:val="16"/>
              </w:rPr>
              <w:t>No</w:t>
            </w:r>
          </w:p>
        </w:tc>
      </w:tr>
      <w:tr w:rsidR="00AE4B3D" w14:paraId="1AB46EDC" w14:textId="77777777">
        <w:tc>
          <w:tcPr>
            <w:tcW w:w="0" w:type="auto"/>
            <w:tcBorders>
              <w:top w:val="single" w:sz="0" w:space="0" w:color="CCCCCC"/>
              <w:left w:val="single" w:sz="0" w:space="0" w:color="CCCCCC"/>
              <w:bottom w:val="single" w:sz="0" w:space="0" w:color="CCCCCC"/>
              <w:right w:val="single" w:sz="0" w:space="0" w:color="CCCCCC"/>
            </w:tcBorders>
            <w:shd w:val="clear" w:color="auto" w:fill="F2F4F7"/>
            <w:tcMar>
              <w:top w:w="60" w:type="dxa"/>
              <w:left w:w="100" w:type="dxa"/>
              <w:bottom w:w="60" w:type="dxa"/>
              <w:right w:w="100" w:type="dxa"/>
            </w:tcMar>
          </w:tcPr>
          <w:p w14:paraId="0198AC99" w14:textId="77777777" w:rsidR="00AE4B3D" w:rsidRDefault="00000000">
            <w:pPr>
              <w:rPr>
                <w:rFonts w:ascii="Times New Roman" w:hAnsi="Times New Roman" w:cs="Times New Roman"/>
                <w:sz w:val="16"/>
                <w:szCs w:val="16"/>
              </w:rPr>
            </w:pPr>
            <w:r>
              <w:rPr>
                <w:rFonts w:ascii="Times New Roman" w:hAnsi="Times New Roman" w:cs="Times New Roman"/>
                <w:b/>
                <w:bCs/>
                <w:color w:val="000000"/>
                <w:sz w:val="16"/>
                <w:szCs w:val="16"/>
              </w:rPr>
              <w:t>Fairness Sub-engine</w:t>
            </w:r>
          </w:p>
        </w:tc>
        <w:tc>
          <w:tcPr>
            <w:tcW w:w="0" w:type="auto"/>
            <w:tcBorders>
              <w:top w:val="single" w:sz="0" w:space="0" w:color="CCCCCC"/>
              <w:left w:val="single" w:sz="0" w:space="0" w:color="CCCCCC"/>
              <w:bottom w:val="single" w:sz="0" w:space="0" w:color="CCCCCC"/>
              <w:right w:val="single" w:sz="0" w:space="0" w:color="CCCCCC"/>
            </w:tcBorders>
            <w:shd w:val="clear" w:color="auto" w:fill="F2F4F7"/>
            <w:tcMar>
              <w:top w:w="60" w:type="dxa"/>
              <w:left w:w="100" w:type="dxa"/>
              <w:bottom w:w="60" w:type="dxa"/>
              <w:right w:w="100" w:type="dxa"/>
            </w:tcMar>
          </w:tcPr>
          <w:p w14:paraId="79FDE952" w14:textId="77777777" w:rsidR="00AE4B3D" w:rsidRDefault="00000000">
            <w:pPr>
              <w:jc w:val="center"/>
              <w:rPr>
                <w:rFonts w:ascii="Times New Roman" w:hAnsi="Times New Roman" w:cs="Times New Roman"/>
                <w:sz w:val="16"/>
                <w:szCs w:val="16"/>
              </w:rPr>
            </w:pPr>
            <w:r>
              <w:rPr>
                <w:rFonts w:ascii="Times New Roman" w:hAnsi="Times New Roman" w:cs="Times New Roman"/>
                <w:color w:val="1B6B2E"/>
                <w:sz w:val="16"/>
                <w:szCs w:val="16"/>
              </w:rPr>
              <w:t>✔ Yes</w:t>
            </w:r>
          </w:p>
        </w:tc>
        <w:tc>
          <w:tcPr>
            <w:tcW w:w="0" w:type="auto"/>
            <w:tcBorders>
              <w:top w:val="single" w:sz="0" w:space="0" w:color="CCCCCC"/>
              <w:left w:val="single" w:sz="0" w:space="0" w:color="CCCCCC"/>
              <w:bottom w:val="single" w:sz="0" w:space="0" w:color="CCCCCC"/>
              <w:right w:val="single" w:sz="0" w:space="0" w:color="CCCCCC"/>
            </w:tcBorders>
            <w:shd w:val="clear" w:color="auto" w:fill="F2F4F7"/>
            <w:tcMar>
              <w:top w:w="60" w:type="dxa"/>
              <w:left w:w="100" w:type="dxa"/>
              <w:bottom w:w="60" w:type="dxa"/>
              <w:right w:w="100" w:type="dxa"/>
            </w:tcMar>
          </w:tcPr>
          <w:p w14:paraId="09ADB006" w14:textId="77777777" w:rsidR="00AE4B3D" w:rsidRDefault="00000000">
            <w:pPr>
              <w:jc w:val="center"/>
              <w:rPr>
                <w:rFonts w:ascii="Times New Roman" w:hAnsi="Times New Roman" w:cs="Times New Roman"/>
                <w:sz w:val="16"/>
                <w:szCs w:val="16"/>
              </w:rPr>
            </w:pPr>
            <w:r>
              <w:rPr>
                <w:rFonts w:ascii="Times New Roman" w:hAnsi="Times New Roman" w:cs="Times New Roman"/>
                <w:color w:val="000000"/>
                <w:sz w:val="16"/>
                <w:szCs w:val="16"/>
              </w:rPr>
              <w:t>Partial</w:t>
            </w:r>
          </w:p>
        </w:tc>
        <w:tc>
          <w:tcPr>
            <w:tcW w:w="0" w:type="auto"/>
            <w:tcBorders>
              <w:top w:val="single" w:sz="0" w:space="0" w:color="CCCCCC"/>
              <w:left w:val="single" w:sz="0" w:space="0" w:color="CCCCCC"/>
              <w:bottom w:val="single" w:sz="0" w:space="0" w:color="CCCCCC"/>
              <w:right w:val="single" w:sz="0" w:space="0" w:color="CCCCCC"/>
            </w:tcBorders>
            <w:shd w:val="clear" w:color="auto" w:fill="F2F4F7"/>
            <w:tcMar>
              <w:top w:w="60" w:type="dxa"/>
              <w:left w:w="100" w:type="dxa"/>
              <w:bottom w:w="60" w:type="dxa"/>
              <w:right w:w="100" w:type="dxa"/>
            </w:tcMar>
          </w:tcPr>
          <w:p w14:paraId="27F394C6" w14:textId="77777777" w:rsidR="00AE4B3D" w:rsidRDefault="00000000">
            <w:pPr>
              <w:jc w:val="center"/>
              <w:rPr>
                <w:rFonts w:ascii="Times New Roman" w:hAnsi="Times New Roman" w:cs="Times New Roman"/>
                <w:sz w:val="16"/>
                <w:szCs w:val="16"/>
              </w:rPr>
            </w:pPr>
            <w:r>
              <w:rPr>
                <w:rFonts w:ascii="Times New Roman" w:hAnsi="Times New Roman" w:cs="Times New Roman"/>
                <w:color w:val="000000"/>
                <w:sz w:val="16"/>
                <w:szCs w:val="16"/>
              </w:rPr>
              <w:t>No</w:t>
            </w:r>
          </w:p>
        </w:tc>
        <w:tc>
          <w:tcPr>
            <w:tcW w:w="0" w:type="auto"/>
            <w:tcBorders>
              <w:top w:val="single" w:sz="0" w:space="0" w:color="CCCCCC"/>
              <w:left w:val="single" w:sz="0" w:space="0" w:color="CCCCCC"/>
              <w:bottom w:val="single" w:sz="0" w:space="0" w:color="CCCCCC"/>
              <w:right w:val="single" w:sz="0" w:space="0" w:color="CCCCCC"/>
            </w:tcBorders>
            <w:shd w:val="clear" w:color="auto" w:fill="F2F4F7"/>
            <w:tcMar>
              <w:top w:w="60" w:type="dxa"/>
              <w:left w:w="100" w:type="dxa"/>
              <w:bottom w:w="60" w:type="dxa"/>
              <w:right w:w="100" w:type="dxa"/>
            </w:tcMar>
          </w:tcPr>
          <w:p w14:paraId="0A410005" w14:textId="77777777" w:rsidR="00AE4B3D" w:rsidRDefault="00000000">
            <w:pPr>
              <w:jc w:val="center"/>
              <w:rPr>
                <w:rFonts w:ascii="Times New Roman" w:hAnsi="Times New Roman" w:cs="Times New Roman"/>
                <w:sz w:val="16"/>
                <w:szCs w:val="16"/>
              </w:rPr>
            </w:pPr>
            <w:r>
              <w:rPr>
                <w:rFonts w:ascii="Times New Roman" w:hAnsi="Times New Roman" w:cs="Times New Roman"/>
                <w:color w:val="000000"/>
                <w:sz w:val="16"/>
                <w:szCs w:val="16"/>
              </w:rPr>
              <w:t>No</w:t>
            </w:r>
          </w:p>
        </w:tc>
        <w:tc>
          <w:tcPr>
            <w:tcW w:w="0" w:type="auto"/>
            <w:tcBorders>
              <w:top w:val="single" w:sz="0" w:space="0" w:color="CCCCCC"/>
              <w:left w:val="single" w:sz="0" w:space="0" w:color="CCCCCC"/>
              <w:bottom w:val="single" w:sz="0" w:space="0" w:color="CCCCCC"/>
              <w:right w:val="single" w:sz="0" w:space="0" w:color="CCCCCC"/>
            </w:tcBorders>
            <w:shd w:val="clear" w:color="auto" w:fill="F2F4F7"/>
            <w:tcMar>
              <w:top w:w="60" w:type="dxa"/>
              <w:left w:w="100" w:type="dxa"/>
              <w:bottom w:w="60" w:type="dxa"/>
              <w:right w:w="100" w:type="dxa"/>
            </w:tcMar>
          </w:tcPr>
          <w:p w14:paraId="6E1D91C9" w14:textId="77777777" w:rsidR="00AE4B3D" w:rsidRDefault="00000000">
            <w:pPr>
              <w:jc w:val="center"/>
              <w:rPr>
                <w:rFonts w:ascii="Times New Roman" w:hAnsi="Times New Roman" w:cs="Times New Roman"/>
                <w:sz w:val="16"/>
                <w:szCs w:val="16"/>
              </w:rPr>
            </w:pPr>
            <w:r>
              <w:rPr>
                <w:rFonts w:ascii="Times New Roman" w:hAnsi="Times New Roman" w:cs="Times New Roman"/>
                <w:color w:val="000000"/>
                <w:sz w:val="16"/>
                <w:szCs w:val="16"/>
              </w:rPr>
              <w:t>No</w:t>
            </w:r>
          </w:p>
        </w:tc>
      </w:tr>
      <w:tr w:rsidR="00AE4B3D" w14:paraId="631D6B00" w14:textId="77777777">
        <w:tc>
          <w:tcPr>
            <w:tcW w:w="0" w:type="auto"/>
            <w:tcBorders>
              <w:top w:val="single" w:sz="0" w:space="0" w:color="CCCCCC"/>
              <w:left w:val="single" w:sz="0" w:space="0" w:color="CCCCCC"/>
              <w:bottom w:val="single" w:sz="0" w:space="0" w:color="CCCCCC"/>
              <w:right w:val="single" w:sz="0" w:space="0" w:color="CCCCCC"/>
            </w:tcBorders>
            <w:shd w:val="clear" w:color="auto" w:fill="FFFFFF"/>
            <w:tcMar>
              <w:top w:w="60" w:type="dxa"/>
              <w:left w:w="100" w:type="dxa"/>
              <w:bottom w:w="60" w:type="dxa"/>
              <w:right w:w="100" w:type="dxa"/>
            </w:tcMar>
          </w:tcPr>
          <w:p w14:paraId="5D73CF4F" w14:textId="77777777" w:rsidR="00AE4B3D" w:rsidRDefault="00000000">
            <w:pPr>
              <w:rPr>
                <w:rFonts w:ascii="Times New Roman" w:hAnsi="Times New Roman" w:cs="Times New Roman"/>
                <w:sz w:val="16"/>
                <w:szCs w:val="16"/>
              </w:rPr>
            </w:pPr>
            <w:r>
              <w:rPr>
                <w:rFonts w:ascii="Times New Roman" w:hAnsi="Times New Roman" w:cs="Times New Roman"/>
                <w:b/>
                <w:bCs/>
                <w:color w:val="000000"/>
                <w:sz w:val="16"/>
                <w:szCs w:val="16"/>
              </w:rPr>
              <w:t>XAI Integration</w:t>
            </w:r>
          </w:p>
        </w:tc>
        <w:tc>
          <w:tcPr>
            <w:tcW w:w="0" w:type="auto"/>
            <w:tcBorders>
              <w:top w:val="single" w:sz="0" w:space="0" w:color="CCCCCC"/>
              <w:left w:val="single" w:sz="0" w:space="0" w:color="CCCCCC"/>
              <w:bottom w:val="single" w:sz="0" w:space="0" w:color="CCCCCC"/>
              <w:right w:val="single" w:sz="0" w:space="0" w:color="CCCCCC"/>
            </w:tcBorders>
            <w:shd w:val="clear" w:color="auto" w:fill="FFFFFF"/>
            <w:tcMar>
              <w:top w:w="60" w:type="dxa"/>
              <w:left w:w="100" w:type="dxa"/>
              <w:bottom w:w="60" w:type="dxa"/>
              <w:right w:w="100" w:type="dxa"/>
            </w:tcMar>
          </w:tcPr>
          <w:p w14:paraId="73FC5FCB" w14:textId="77777777" w:rsidR="00AE4B3D" w:rsidRDefault="00000000">
            <w:pPr>
              <w:jc w:val="center"/>
              <w:rPr>
                <w:rFonts w:ascii="Times New Roman" w:hAnsi="Times New Roman" w:cs="Times New Roman"/>
                <w:sz w:val="16"/>
                <w:szCs w:val="16"/>
              </w:rPr>
            </w:pPr>
            <w:r>
              <w:rPr>
                <w:rFonts w:ascii="Times New Roman" w:hAnsi="Times New Roman" w:cs="Times New Roman"/>
                <w:color w:val="1B6B2E"/>
                <w:sz w:val="16"/>
                <w:szCs w:val="16"/>
              </w:rPr>
              <w:t>✔ Yes</w:t>
            </w:r>
          </w:p>
        </w:tc>
        <w:tc>
          <w:tcPr>
            <w:tcW w:w="0" w:type="auto"/>
            <w:tcBorders>
              <w:top w:val="single" w:sz="0" w:space="0" w:color="CCCCCC"/>
              <w:left w:val="single" w:sz="0" w:space="0" w:color="CCCCCC"/>
              <w:bottom w:val="single" w:sz="0" w:space="0" w:color="CCCCCC"/>
              <w:right w:val="single" w:sz="0" w:space="0" w:color="CCCCCC"/>
            </w:tcBorders>
            <w:shd w:val="clear" w:color="auto" w:fill="FFFFFF"/>
            <w:tcMar>
              <w:top w:w="60" w:type="dxa"/>
              <w:left w:w="100" w:type="dxa"/>
              <w:bottom w:w="60" w:type="dxa"/>
              <w:right w:w="100" w:type="dxa"/>
            </w:tcMar>
          </w:tcPr>
          <w:p w14:paraId="155775C9" w14:textId="77777777" w:rsidR="00AE4B3D" w:rsidRDefault="00000000">
            <w:pPr>
              <w:jc w:val="center"/>
              <w:rPr>
                <w:rFonts w:ascii="Times New Roman" w:hAnsi="Times New Roman" w:cs="Times New Roman"/>
                <w:sz w:val="16"/>
                <w:szCs w:val="16"/>
              </w:rPr>
            </w:pPr>
            <w:r>
              <w:rPr>
                <w:rFonts w:ascii="Times New Roman" w:hAnsi="Times New Roman" w:cs="Times New Roman"/>
                <w:color w:val="000000"/>
                <w:sz w:val="16"/>
                <w:szCs w:val="16"/>
              </w:rPr>
              <w:t>Partial</w:t>
            </w:r>
          </w:p>
        </w:tc>
        <w:tc>
          <w:tcPr>
            <w:tcW w:w="0" w:type="auto"/>
            <w:tcBorders>
              <w:top w:val="single" w:sz="0" w:space="0" w:color="CCCCCC"/>
              <w:left w:val="single" w:sz="0" w:space="0" w:color="CCCCCC"/>
              <w:bottom w:val="single" w:sz="0" w:space="0" w:color="CCCCCC"/>
              <w:right w:val="single" w:sz="0" w:space="0" w:color="CCCCCC"/>
            </w:tcBorders>
            <w:shd w:val="clear" w:color="auto" w:fill="FFFFFF"/>
            <w:tcMar>
              <w:top w:w="60" w:type="dxa"/>
              <w:left w:w="100" w:type="dxa"/>
              <w:bottom w:w="60" w:type="dxa"/>
              <w:right w:w="100" w:type="dxa"/>
            </w:tcMar>
          </w:tcPr>
          <w:p w14:paraId="69F3D4BB" w14:textId="77777777" w:rsidR="00AE4B3D" w:rsidRDefault="00000000">
            <w:pPr>
              <w:jc w:val="center"/>
              <w:rPr>
                <w:rFonts w:ascii="Times New Roman" w:hAnsi="Times New Roman" w:cs="Times New Roman"/>
                <w:sz w:val="16"/>
                <w:szCs w:val="16"/>
              </w:rPr>
            </w:pPr>
            <w:r>
              <w:rPr>
                <w:rFonts w:ascii="Times New Roman" w:hAnsi="Times New Roman" w:cs="Times New Roman"/>
                <w:color w:val="000000"/>
                <w:sz w:val="16"/>
                <w:szCs w:val="16"/>
              </w:rPr>
              <w:t>No</w:t>
            </w:r>
          </w:p>
        </w:tc>
        <w:tc>
          <w:tcPr>
            <w:tcW w:w="0" w:type="auto"/>
            <w:tcBorders>
              <w:top w:val="single" w:sz="0" w:space="0" w:color="CCCCCC"/>
              <w:left w:val="single" w:sz="0" w:space="0" w:color="CCCCCC"/>
              <w:bottom w:val="single" w:sz="0" w:space="0" w:color="CCCCCC"/>
              <w:right w:val="single" w:sz="0" w:space="0" w:color="CCCCCC"/>
            </w:tcBorders>
            <w:shd w:val="clear" w:color="auto" w:fill="FFFFFF"/>
            <w:tcMar>
              <w:top w:w="60" w:type="dxa"/>
              <w:left w:w="100" w:type="dxa"/>
              <w:bottom w:w="60" w:type="dxa"/>
              <w:right w:w="100" w:type="dxa"/>
            </w:tcMar>
          </w:tcPr>
          <w:p w14:paraId="07418BDF" w14:textId="77777777" w:rsidR="00AE4B3D" w:rsidRDefault="00000000">
            <w:pPr>
              <w:jc w:val="center"/>
              <w:rPr>
                <w:rFonts w:ascii="Times New Roman" w:hAnsi="Times New Roman" w:cs="Times New Roman"/>
                <w:sz w:val="16"/>
                <w:szCs w:val="16"/>
              </w:rPr>
            </w:pPr>
            <w:r>
              <w:rPr>
                <w:rFonts w:ascii="Times New Roman" w:hAnsi="Times New Roman" w:cs="Times New Roman"/>
                <w:color w:val="000000"/>
                <w:sz w:val="16"/>
                <w:szCs w:val="16"/>
              </w:rPr>
              <w:t>Partial</w:t>
            </w:r>
          </w:p>
        </w:tc>
        <w:tc>
          <w:tcPr>
            <w:tcW w:w="0" w:type="auto"/>
            <w:tcBorders>
              <w:top w:val="single" w:sz="0" w:space="0" w:color="CCCCCC"/>
              <w:left w:val="single" w:sz="0" w:space="0" w:color="CCCCCC"/>
              <w:bottom w:val="single" w:sz="0" w:space="0" w:color="CCCCCC"/>
              <w:right w:val="single" w:sz="0" w:space="0" w:color="CCCCCC"/>
            </w:tcBorders>
            <w:shd w:val="clear" w:color="auto" w:fill="FFFFFF"/>
            <w:tcMar>
              <w:top w:w="60" w:type="dxa"/>
              <w:left w:w="100" w:type="dxa"/>
              <w:bottom w:w="60" w:type="dxa"/>
              <w:right w:w="100" w:type="dxa"/>
            </w:tcMar>
          </w:tcPr>
          <w:p w14:paraId="445AD8E2" w14:textId="77777777" w:rsidR="00AE4B3D" w:rsidRDefault="00000000">
            <w:pPr>
              <w:jc w:val="center"/>
              <w:rPr>
                <w:rFonts w:ascii="Times New Roman" w:hAnsi="Times New Roman" w:cs="Times New Roman"/>
                <w:sz w:val="16"/>
                <w:szCs w:val="16"/>
              </w:rPr>
            </w:pPr>
            <w:r>
              <w:rPr>
                <w:rFonts w:ascii="Times New Roman" w:hAnsi="Times New Roman" w:cs="Times New Roman"/>
                <w:color w:val="000000"/>
                <w:sz w:val="16"/>
                <w:szCs w:val="16"/>
              </w:rPr>
              <w:t>No</w:t>
            </w:r>
          </w:p>
        </w:tc>
      </w:tr>
      <w:tr w:rsidR="00AE4B3D" w14:paraId="092FDE92" w14:textId="77777777">
        <w:tc>
          <w:tcPr>
            <w:tcW w:w="0" w:type="auto"/>
            <w:tcBorders>
              <w:top w:val="single" w:sz="0" w:space="0" w:color="CCCCCC"/>
              <w:left w:val="single" w:sz="0" w:space="0" w:color="CCCCCC"/>
              <w:bottom w:val="single" w:sz="0" w:space="0" w:color="CCCCCC"/>
              <w:right w:val="single" w:sz="0" w:space="0" w:color="CCCCCC"/>
            </w:tcBorders>
            <w:shd w:val="clear" w:color="auto" w:fill="F2F4F7"/>
            <w:tcMar>
              <w:top w:w="60" w:type="dxa"/>
              <w:left w:w="100" w:type="dxa"/>
              <w:bottom w:w="60" w:type="dxa"/>
              <w:right w:w="100" w:type="dxa"/>
            </w:tcMar>
          </w:tcPr>
          <w:p w14:paraId="5612133B" w14:textId="77777777" w:rsidR="00AE4B3D" w:rsidRDefault="00000000">
            <w:pPr>
              <w:rPr>
                <w:rFonts w:ascii="Times New Roman" w:hAnsi="Times New Roman" w:cs="Times New Roman"/>
                <w:sz w:val="16"/>
                <w:szCs w:val="16"/>
              </w:rPr>
            </w:pPr>
            <w:r>
              <w:rPr>
                <w:rFonts w:ascii="Times New Roman" w:hAnsi="Times New Roman" w:cs="Times New Roman"/>
                <w:b/>
                <w:bCs/>
                <w:color w:val="000000"/>
                <w:sz w:val="16"/>
                <w:szCs w:val="16"/>
              </w:rPr>
              <w:t>Regulatory Pathway</w:t>
            </w:r>
          </w:p>
        </w:tc>
        <w:tc>
          <w:tcPr>
            <w:tcW w:w="0" w:type="auto"/>
            <w:tcBorders>
              <w:top w:val="single" w:sz="0" w:space="0" w:color="CCCCCC"/>
              <w:left w:val="single" w:sz="0" w:space="0" w:color="CCCCCC"/>
              <w:bottom w:val="single" w:sz="0" w:space="0" w:color="CCCCCC"/>
              <w:right w:val="single" w:sz="0" w:space="0" w:color="CCCCCC"/>
            </w:tcBorders>
            <w:shd w:val="clear" w:color="auto" w:fill="F2F4F7"/>
            <w:tcMar>
              <w:top w:w="60" w:type="dxa"/>
              <w:left w:w="100" w:type="dxa"/>
              <w:bottom w:w="60" w:type="dxa"/>
              <w:right w:w="100" w:type="dxa"/>
            </w:tcMar>
          </w:tcPr>
          <w:p w14:paraId="689AA5B6" w14:textId="77777777" w:rsidR="00AE4B3D" w:rsidRDefault="00000000">
            <w:pPr>
              <w:jc w:val="center"/>
              <w:rPr>
                <w:rFonts w:ascii="Times New Roman" w:hAnsi="Times New Roman" w:cs="Times New Roman"/>
                <w:sz w:val="16"/>
                <w:szCs w:val="16"/>
              </w:rPr>
            </w:pPr>
            <w:r>
              <w:rPr>
                <w:rFonts w:ascii="Times New Roman" w:hAnsi="Times New Roman" w:cs="Times New Roman"/>
                <w:color w:val="1B6B2E"/>
                <w:sz w:val="16"/>
                <w:szCs w:val="16"/>
              </w:rPr>
              <w:t>✔ CDSCO</w:t>
            </w:r>
          </w:p>
        </w:tc>
        <w:tc>
          <w:tcPr>
            <w:tcW w:w="0" w:type="auto"/>
            <w:tcBorders>
              <w:top w:val="single" w:sz="0" w:space="0" w:color="CCCCCC"/>
              <w:left w:val="single" w:sz="0" w:space="0" w:color="CCCCCC"/>
              <w:bottom w:val="single" w:sz="0" w:space="0" w:color="CCCCCC"/>
              <w:right w:val="single" w:sz="0" w:space="0" w:color="CCCCCC"/>
            </w:tcBorders>
            <w:shd w:val="clear" w:color="auto" w:fill="F2F4F7"/>
            <w:tcMar>
              <w:top w:w="60" w:type="dxa"/>
              <w:left w:w="100" w:type="dxa"/>
              <w:bottom w:w="60" w:type="dxa"/>
              <w:right w:w="100" w:type="dxa"/>
            </w:tcMar>
          </w:tcPr>
          <w:p w14:paraId="759D646C" w14:textId="77777777" w:rsidR="00AE4B3D" w:rsidRDefault="00000000">
            <w:pPr>
              <w:jc w:val="center"/>
              <w:rPr>
                <w:rFonts w:ascii="Times New Roman" w:hAnsi="Times New Roman" w:cs="Times New Roman"/>
                <w:sz w:val="16"/>
                <w:szCs w:val="16"/>
              </w:rPr>
            </w:pPr>
            <w:r>
              <w:rPr>
                <w:rFonts w:ascii="Times New Roman" w:hAnsi="Times New Roman" w:cs="Times New Roman"/>
                <w:color w:val="000000"/>
                <w:sz w:val="16"/>
                <w:szCs w:val="16"/>
              </w:rPr>
              <w:t>FDA/CE</w:t>
            </w:r>
          </w:p>
        </w:tc>
        <w:tc>
          <w:tcPr>
            <w:tcW w:w="0" w:type="auto"/>
            <w:tcBorders>
              <w:top w:val="single" w:sz="0" w:space="0" w:color="CCCCCC"/>
              <w:left w:val="single" w:sz="0" w:space="0" w:color="CCCCCC"/>
              <w:bottom w:val="single" w:sz="0" w:space="0" w:color="CCCCCC"/>
              <w:right w:val="single" w:sz="0" w:space="0" w:color="CCCCCC"/>
            </w:tcBorders>
            <w:shd w:val="clear" w:color="auto" w:fill="F2F4F7"/>
            <w:tcMar>
              <w:top w:w="60" w:type="dxa"/>
              <w:left w:w="100" w:type="dxa"/>
              <w:bottom w:w="60" w:type="dxa"/>
              <w:right w:w="100" w:type="dxa"/>
            </w:tcMar>
          </w:tcPr>
          <w:p w14:paraId="52D7FDAB" w14:textId="77777777" w:rsidR="00AE4B3D" w:rsidRDefault="00000000">
            <w:pPr>
              <w:jc w:val="center"/>
              <w:rPr>
                <w:rFonts w:ascii="Times New Roman" w:hAnsi="Times New Roman" w:cs="Times New Roman"/>
                <w:sz w:val="16"/>
                <w:szCs w:val="16"/>
              </w:rPr>
            </w:pPr>
            <w:r>
              <w:rPr>
                <w:rFonts w:ascii="Times New Roman" w:hAnsi="Times New Roman" w:cs="Times New Roman"/>
                <w:color w:val="000000"/>
                <w:sz w:val="16"/>
                <w:szCs w:val="16"/>
              </w:rPr>
              <w:t>No</w:t>
            </w:r>
          </w:p>
        </w:tc>
        <w:tc>
          <w:tcPr>
            <w:tcW w:w="0" w:type="auto"/>
            <w:tcBorders>
              <w:top w:val="single" w:sz="0" w:space="0" w:color="CCCCCC"/>
              <w:left w:val="single" w:sz="0" w:space="0" w:color="CCCCCC"/>
              <w:bottom w:val="single" w:sz="0" w:space="0" w:color="CCCCCC"/>
              <w:right w:val="single" w:sz="0" w:space="0" w:color="CCCCCC"/>
            </w:tcBorders>
            <w:shd w:val="clear" w:color="auto" w:fill="F2F4F7"/>
            <w:tcMar>
              <w:top w:w="60" w:type="dxa"/>
              <w:left w:w="100" w:type="dxa"/>
              <w:bottom w:w="60" w:type="dxa"/>
              <w:right w:w="100" w:type="dxa"/>
            </w:tcMar>
          </w:tcPr>
          <w:p w14:paraId="04C6C5ED" w14:textId="77777777" w:rsidR="00AE4B3D" w:rsidRDefault="00000000">
            <w:pPr>
              <w:jc w:val="center"/>
              <w:rPr>
                <w:rFonts w:ascii="Times New Roman" w:hAnsi="Times New Roman" w:cs="Times New Roman"/>
                <w:sz w:val="16"/>
                <w:szCs w:val="16"/>
              </w:rPr>
            </w:pPr>
            <w:r>
              <w:rPr>
                <w:rFonts w:ascii="Times New Roman" w:hAnsi="Times New Roman" w:cs="Times New Roman"/>
                <w:color w:val="000000"/>
                <w:sz w:val="16"/>
                <w:szCs w:val="16"/>
              </w:rPr>
              <w:t>No</w:t>
            </w:r>
          </w:p>
        </w:tc>
        <w:tc>
          <w:tcPr>
            <w:tcW w:w="0" w:type="auto"/>
            <w:tcBorders>
              <w:top w:val="single" w:sz="0" w:space="0" w:color="CCCCCC"/>
              <w:left w:val="single" w:sz="0" w:space="0" w:color="CCCCCC"/>
              <w:bottom w:val="single" w:sz="0" w:space="0" w:color="CCCCCC"/>
              <w:right w:val="single" w:sz="0" w:space="0" w:color="CCCCCC"/>
            </w:tcBorders>
            <w:shd w:val="clear" w:color="auto" w:fill="F2F4F7"/>
            <w:tcMar>
              <w:top w:w="60" w:type="dxa"/>
              <w:left w:w="100" w:type="dxa"/>
              <w:bottom w:w="60" w:type="dxa"/>
              <w:right w:w="100" w:type="dxa"/>
            </w:tcMar>
          </w:tcPr>
          <w:p w14:paraId="43988A45" w14:textId="77777777" w:rsidR="00AE4B3D" w:rsidRDefault="00000000">
            <w:pPr>
              <w:jc w:val="center"/>
              <w:rPr>
                <w:rFonts w:ascii="Times New Roman" w:hAnsi="Times New Roman" w:cs="Times New Roman"/>
                <w:sz w:val="16"/>
                <w:szCs w:val="16"/>
              </w:rPr>
            </w:pPr>
            <w:r>
              <w:rPr>
                <w:rFonts w:ascii="Times New Roman" w:hAnsi="Times New Roman" w:cs="Times New Roman"/>
                <w:color w:val="000000"/>
                <w:sz w:val="16"/>
                <w:szCs w:val="16"/>
              </w:rPr>
              <w:t>No</w:t>
            </w:r>
          </w:p>
        </w:tc>
      </w:tr>
      <w:tr w:rsidR="00AE4B3D" w14:paraId="6013E4CE" w14:textId="77777777">
        <w:tc>
          <w:tcPr>
            <w:tcW w:w="0" w:type="auto"/>
            <w:tcBorders>
              <w:top w:val="single" w:sz="0" w:space="0" w:color="CCCCCC"/>
              <w:left w:val="single" w:sz="0" w:space="0" w:color="CCCCCC"/>
              <w:bottom w:val="single" w:sz="0" w:space="0" w:color="CCCCCC"/>
              <w:right w:val="single" w:sz="0" w:space="0" w:color="CCCCCC"/>
            </w:tcBorders>
            <w:shd w:val="clear" w:color="auto" w:fill="FFFFFF"/>
            <w:tcMar>
              <w:top w:w="60" w:type="dxa"/>
              <w:left w:w="100" w:type="dxa"/>
              <w:bottom w:w="60" w:type="dxa"/>
              <w:right w:w="100" w:type="dxa"/>
            </w:tcMar>
          </w:tcPr>
          <w:p w14:paraId="380AA81A" w14:textId="77777777" w:rsidR="00AE4B3D" w:rsidRDefault="00000000">
            <w:pPr>
              <w:rPr>
                <w:rFonts w:ascii="Times New Roman" w:hAnsi="Times New Roman" w:cs="Times New Roman"/>
                <w:sz w:val="16"/>
                <w:szCs w:val="16"/>
              </w:rPr>
            </w:pPr>
            <w:r>
              <w:rPr>
                <w:rFonts w:ascii="Times New Roman" w:hAnsi="Times New Roman" w:cs="Times New Roman"/>
                <w:b/>
                <w:bCs/>
                <w:color w:val="000000"/>
                <w:sz w:val="16"/>
                <w:szCs w:val="16"/>
              </w:rPr>
              <w:t>LMIC-Optimised</w:t>
            </w:r>
          </w:p>
        </w:tc>
        <w:tc>
          <w:tcPr>
            <w:tcW w:w="0" w:type="auto"/>
            <w:tcBorders>
              <w:top w:val="single" w:sz="0" w:space="0" w:color="CCCCCC"/>
              <w:left w:val="single" w:sz="0" w:space="0" w:color="CCCCCC"/>
              <w:bottom w:val="single" w:sz="0" w:space="0" w:color="CCCCCC"/>
              <w:right w:val="single" w:sz="0" w:space="0" w:color="CCCCCC"/>
            </w:tcBorders>
            <w:shd w:val="clear" w:color="auto" w:fill="FFFFFF"/>
            <w:tcMar>
              <w:top w:w="60" w:type="dxa"/>
              <w:left w:w="100" w:type="dxa"/>
              <w:bottom w:w="60" w:type="dxa"/>
              <w:right w:w="100" w:type="dxa"/>
            </w:tcMar>
          </w:tcPr>
          <w:p w14:paraId="28625E12" w14:textId="77777777" w:rsidR="00AE4B3D" w:rsidRDefault="00000000">
            <w:pPr>
              <w:jc w:val="center"/>
              <w:rPr>
                <w:rFonts w:ascii="Times New Roman" w:hAnsi="Times New Roman" w:cs="Times New Roman"/>
                <w:sz w:val="16"/>
                <w:szCs w:val="16"/>
              </w:rPr>
            </w:pPr>
            <w:r>
              <w:rPr>
                <w:rFonts w:ascii="Times New Roman" w:hAnsi="Times New Roman" w:cs="Times New Roman"/>
                <w:color w:val="1B6B2E"/>
                <w:sz w:val="16"/>
                <w:szCs w:val="16"/>
              </w:rPr>
              <w:t>✔ Yes</w:t>
            </w:r>
          </w:p>
        </w:tc>
        <w:tc>
          <w:tcPr>
            <w:tcW w:w="0" w:type="auto"/>
            <w:tcBorders>
              <w:top w:val="single" w:sz="0" w:space="0" w:color="CCCCCC"/>
              <w:left w:val="single" w:sz="0" w:space="0" w:color="CCCCCC"/>
              <w:bottom w:val="single" w:sz="0" w:space="0" w:color="CCCCCC"/>
              <w:right w:val="single" w:sz="0" w:space="0" w:color="CCCCCC"/>
            </w:tcBorders>
            <w:shd w:val="clear" w:color="auto" w:fill="FFFFFF"/>
            <w:tcMar>
              <w:top w:w="60" w:type="dxa"/>
              <w:left w:w="100" w:type="dxa"/>
              <w:bottom w:w="60" w:type="dxa"/>
              <w:right w:w="100" w:type="dxa"/>
            </w:tcMar>
          </w:tcPr>
          <w:p w14:paraId="7BEFC585" w14:textId="77777777" w:rsidR="00AE4B3D" w:rsidRDefault="00000000">
            <w:pPr>
              <w:jc w:val="center"/>
              <w:rPr>
                <w:rFonts w:ascii="Times New Roman" w:hAnsi="Times New Roman" w:cs="Times New Roman"/>
                <w:sz w:val="16"/>
                <w:szCs w:val="16"/>
              </w:rPr>
            </w:pPr>
            <w:r>
              <w:rPr>
                <w:rFonts w:ascii="Times New Roman" w:hAnsi="Times New Roman" w:cs="Times New Roman"/>
                <w:color w:val="000000"/>
                <w:sz w:val="16"/>
                <w:szCs w:val="16"/>
              </w:rPr>
              <w:t>No</w:t>
            </w:r>
          </w:p>
        </w:tc>
        <w:tc>
          <w:tcPr>
            <w:tcW w:w="0" w:type="auto"/>
            <w:tcBorders>
              <w:top w:val="single" w:sz="0" w:space="0" w:color="CCCCCC"/>
              <w:left w:val="single" w:sz="0" w:space="0" w:color="CCCCCC"/>
              <w:bottom w:val="single" w:sz="0" w:space="0" w:color="CCCCCC"/>
              <w:right w:val="single" w:sz="0" w:space="0" w:color="CCCCCC"/>
            </w:tcBorders>
            <w:shd w:val="clear" w:color="auto" w:fill="FFFFFF"/>
            <w:tcMar>
              <w:top w:w="60" w:type="dxa"/>
              <w:left w:w="100" w:type="dxa"/>
              <w:bottom w:w="60" w:type="dxa"/>
              <w:right w:w="100" w:type="dxa"/>
            </w:tcMar>
          </w:tcPr>
          <w:p w14:paraId="5BCFCCF7" w14:textId="77777777" w:rsidR="00AE4B3D" w:rsidRDefault="00000000">
            <w:pPr>
              <w:jc w:val="center"/>
              <w:rPr>
                <w:rFonts w:ascii="Times New Roman" w:hAnsi="Times New Roman" w:cs="Times New Roman"/>
                <w:sz w:val="16"/>
                <w:szCs w:val="16"/>
              </w:rPr>
            </w:pPr>
            <w:r>
              <w:rPr>
                <w:rFonts w:ascii="Times New Roman" w:hAnsi="Times New Roman" w:cs="Times New Roman"/>
                <w:color w:val="000000"/>
                <w:sz w:val="16"/>
                <w:szCs w:val="16"/>
              </w:rPr>
              <w:t>No</w:t>
            </w:r>
          </w:p>
        </w:tc>
        <w:tc>
          <w:tcPr>
            <w:tcW w:w="0" w:type="auto"/>
            <w:tcBorders>
              <w:top w:val="single" w:sz="0" w:space="0" w:color="CCCCCC"/>
              <w:left w:val="single" w:sz="0" w:space="0" w:color="CCCCCC"/>
              <w:bottom w:val="single" w:sz="0" w:space="0" w:color="CCCCCC"/>
              <w:right w:val="single" w:sz="0" w:space="0" w:color="CCCCCC"/>
            </w:tcBorders>
            <w:shd w:val="clear" w:color="auto" w:fill="FFFFFF"/>
            <w:tcMar>
              <w:top w:w="60" w:type="dxa"/>
              <w:left w:w="100" w:type="dxa"/>
              <w:bottom w:w="60" w:type="dxa"/>
              <w:right w:w="100" w:type="dxa"/>
            </w:tcMar>
          </w:tcPr>
          <w:p w14:paraId="57DD0251" w14:textId="77777777" w:rsidR="00AE4B3D" w:rsidRDefault="00000000">
            <w:pPr>
              <w:jc w:val="center"/>
              <w:rPr>
                <w:rFonts w:ascii="Times New Roman" w:hAnsi="Times New Roman" w:cs="Times New Roman"/>
                <w:sz w:val="16"/>
                <w:szCs w:val="16"/>
              </w:rPr>
            </w:pPr>
            <w:r>
              <w:rPr>
                <w:rFonts w:ascii="Times New Roman" w:hAnsi="Times New Roman" w:cs="Times New Roman"/>
                <w:color w:val="000000"/>
                <w:sz w:val="16"/>
                <w:szCs w:val="16"/>
              </w:rPr>
              <w:t>No</w:t>
            </w:r>
          </w:p>
        </w:tc>
        <w:tc>
          <w:tcPr>
            <w:tcW w:w="0" w:type="auto"/>
            <w:tcBorders>
              <w:top w:val="single" w:sz="0" w:space="0" w:color="CCCCCC"/>
              <w:left w:val="single" w:sz="0" w:space="0" w:color="CCCCCC"/>
              <w:bottom w:val="single" w:sz="0" w:space="0" w:color="CCCCCC"/>
              <w:right w:val="single" w:sz="0" w:space="0" w:color="CCCCCC"/>
            </w:tcBorders>
            <w:shd w:val="clear" w:color="auto" w:fill="FFFFFF"/>
            <w:tcMar>
              <w:top w:w="60" w:type="dxa"/>
              <w:left w:w="100" w:type="dxa"/>
              <w:bottom w:w="60" w:type="dxa"/>
              <w:right w:w="100" w:type="dxa"/>
            </w:tcMar>
          </w:tcPr>
          <w:p w14:paraId="25DBE64B" w14:textId="77777777" w:rsidR="00AE4B3D" w:rsidRDefault="00000000">
            <w:pPr>
              <w:jc w:val="center"/>
              <w:rPr>
                <w:rFonts w:ascii="Times New Roman" w:hAnsi="Times New Roman" w:cs="Times New Roman"/>
                <w:sz w:val="16"/>
                <w:szCs w:val="16"/>
              </w:rPr>
            </w:pPr>
            <w:r>
              <w:rPr>
                <w:rFonts w:ascii="Times New Roman" w:hAnsi="Times New Roman" w:cs="Times New Roman"/>
                <w:color w:val="000000"/>
                <w:sz w:val="16"/>
                <w:szCs w:val="16"/>
              </w:rPr>
              <w:t>No</w:t>
            </w:r>
          </w:p>
        </w:tc>
      </w:tr>
      <w:tr w:rsidR="00AE4B3D" w14:paraId="63723064" w14:textId="77777777">
        <w:tc>
          <w:tcPr>
            <w:tcW w:w="0" w:type="auto"/>
            <w:tcBorders>
              <w:top w:val="single" w:sz="0" w:space="0" w:color="CCCCCC"/>
              <w:left w:val="single" w:sz="0" w:space="0" w:color="CCCCCC"/>
              <w:bottom w:val="single" w:sz="0" w:space="0" w:color="CCCCCC"/>
              <w:right w:val="single" w:sz="0" w:space="0" w:color="CCCCCC"/>
            </w:tcBorders>
            <w:shd w:val="clear" w:color="auto" w:fill="F2F4F7"/>
            <w:tcMar>
              <w:top w:w="60" w:type="dxa"/>
              <w:left w:w="100" w:type="dxa"/>
              <w:bottom w:w="60" w:type="dxa"/>
              <w:right w:w="100" w:type="dxa"/>
            </w:tcMar>
          </w:tcPr>
          <w:p w14:paraId="15278B5D" w14:textId="77777777" w:rsidR="00AE4B3D" w:rsidRDefault="00000000">
            <w:pPr>
              <w:rPr>
                <w:rFonts w:ascii="Times New Roman" w:hAnsi="Times New Roman" w:cs="Times New Roman"/>
                <w:sz w:val="16"/>
                <w:szCs w:val="16"/>
              </w:rPr>
            </w:pPr>
            <w:r>
              <w:rPr>
                <w:rFonts w:ascii="Times New Roman" w:hAnsi="Times New Roman" w:cs="Times New Roman"/>
                <w:b/>
                <w:bCs/>
                <w:color w:val="000000"/>
                <w:sz w:val="16"/>
                <w:szCs w:val="16"/>
              </w:rPr>
              <w:t>Clinical Safety Engine</w:t>
            </w:r>
          </w:p>
        </w:tc>
        <w:tc>
          <w:tcPr>
            <w:tcW w:w="0" w:type="auto"/>
            <w:tcBorders>
              <w:top w:val="single" w:sz="0" w:space="0" w:color="CCCCCC"/>
              <w:left w:val="single" w:sz="0" w:space="0" w:color="CCCCCC"/>
              <w:bottom w:val="single" w:sz="0" w:space="0" w:color="CCCCCC"/>
              <w:right w:val="single" w:sz="0" w:space="0" w:color="CCCCCC"/>
            </w:tcBorders>
            <w:shd w:val="clear" w:color="auto" w:fill="F2F4F7"/>
            <w:tcMar>
              <w:top w:w="60" w:type="dxa"/>
              <w:left w:w="100" w:type="dxa"/>
              <w:bottom w:w="60" w:type="dxa"/>
              <w:right w:w="100" w:type="dxa"/>
            </w:tcMar>
          </w:tcPr>
          <w:p w14:paraId="0715F9E6" w14:textId="77777777" w:rsidR="00AE4B3D" w:rsidRDefault="00000000">
            <w:pPr>
              <w:jc w:val="center"/>
              <w:rPr>
                <w:rFonts w:ascii="Times New Roman" w:hAnsi="Times New Roman" w:cs="Times New Roman"/>
                <w:sz w:val="16"/>
                <w:szCs w:val="16"/>
              </w:rPr>
            </w:pPr>
            <w:r>
              <w:rPr>
                <w:rFonts w:ascii="Times New Roman" w:hAnsi="Times New Roman" w:cs="Times New Roman"/>
                <w:color w:val="1B6B2E"/>
                <w:sz w:val="16"/>
                <w:szCs w:val="16"/>
              </w:rPr>
              <w:t>✔ Yes</w:t>
            </w:r>
          </w:p>
        </w:tc>
        <w:tc>
          <w:tcPr>
            <w:tcW w:w="0" w:type="auto"/>
            <w:tcBorders>
              <w:top w:val="single" w:sz="0" w:space="0" w:color="CCCCCC"/>
              <w:left w:val="single" w:sz="0" w:space="0" w:color="CCCCCC"/>
              <w:bottom w:val="single" w:sz="0" w:space="0" w:color="CCCCCC"/>
              <w:right w:val="single" w:sz="0" w:space="0" w:color="CCCCCC"/>
            </w:tcBorders>
            <w:shd w:val="clear" w:color="auto" w:fill="F2F4F7"/>
            <w:tcMar>
              <w:top w:w="60" w:type="dxa"/>
              <w:left w:w="100" w:type="dxa"/>
              <w:bottom w:w="60" w:type="dxa"/>
              <w:right w:w="100" w:type="dxa"/>
            </w:tcMar>
          </w:tcPr>
          <w:p w14:paraId="4D7AF1D0" w14:textId="77777777" w:rsidR="00AE4B3D" w:rsidRDefault="00000000">
            <w:pPr>
              <w:jc w:val="center"/>
              <w:rPr>
                <w:rFonts w:ascii="Times New Roman" w:hAnsi="Times New Roman" w:cs="Times New Roman"/>
                <w:sz w:val="16"/>
                <w:szCs w:val="16"/>
              </w:rPr>
            </w:pPr>
            <w:r>
              <w:rPr>
                <w:rFonts w:ascii="Times New Roman" w:hAnsi="Times New Roman" w:cs="Times New Roman"/>
                <w:color w:val="000000"/>
                <w:sz w:val="16"/>
                <w:szCs w:val="16"/>
              </w:rPr>
              <w:t>Partial</w:t>
            </w:r>
          </w:p>
        </w:tc>
        <w:tc>
          <w:tcPr>
            <w:tcW w:w="0" w:type="auto"/>
            <w:tcBorders>
              <w:top w:val="single" w:sz="0" w:space="0" w:color="CCCCCC"/>
              <w:left w:val="single" w:sz="0" w:space="0" w:color="CCCCCC"/>
              <w:bottom w:val="single" w:sz="0" w:space="0" w:color="CCCCCC"/>
              <w:right w:val="single" w:sz="0" w:space="0" w:color="CCCCCC"/>
            </w:tcBorders>
            <w:shd w:val="clear" w:color="auto" w:fill="F2F4F7"/>
            <w:tcMar>
              <w:top w:w="60" w:type="dxa"/>
              <w:left w:w="100" w:type="dxa"/>
              <w:bottom w:w="60" w:type="dxa"/>
              <w:right w:w="100" w:type="dxa"/>
            </w:tcMar>
          </w:tcPr>
          <w:p w14:paraId="7C9E9291" w14:textId="77777777" w:rsidR="00AE4B3D" w:rsidRDefault="00000000">
            <w:pPr>
              <w:jc w:val="center"/>
              <w:rPr>
                <w:rFonts w:ascii="Times New Roman" w:hAnsi="Times New Roman" w:cs="Times New Roman"/>
                <w:sz w:val="16"/>
                <w:szCs w:val="16"/>
              </w:rPr>
            </w:pPr>
            <w:r>
              <w:rPr>
                <w:rFonts w:ascii="Times New Roman" w:hAnsi="Times New Roman" w:cs="Times New Roman"/>
                <w:color w:val="000000"/>
                <w:sz w:val="16"/>
                <w:szCs w:val="16"/>
              </w:rPr>
              <w:t>No</w:t>
            </w:r>
          </w:p>
        </w:tc>
        <w:tc>
          <w:tcPr>
            <w:tcW w:w="0" w:type="auto"/>
            <w:tcBorders>
              <w:top w:val="single" w:sz="0" w:space="0" w:color="CCCCCC"/>
              <w:left w:val="single" w:sz="0" w:space="0" w:color="CCCCCC"/>
              <w:bottom w:val="single" w:sz="0" w:space="0" w:color="CCCCCC"/>
              <w:right w:val="single" w:sz="0" w:space="0" w:color="CCCCCC"/>
            </w:tcBorders>
            <w:shd w:val="clear" w:color="auto" w:fill="F2F4F7"/>
            <w:tcMar>
              <w:top w:w="60" w:type="dxa"/>
              <w:left w:w="100" w:type="dxa"/>
              <w:bottom w:w="60" w:type="dxa"/>
              <w:right w:w="100" w:type="dxa"/>
            </w:tcMar>
          </w:tcPr>
          <w:p w14:paraId="4B80B01F" w14:textId="77777777" w:rsidR="00AE4B3D" w:rsidRDefault="00000000">
            <w:pPr>
              <w:jc w:val="center"/>
              <w:rPr>
                <w:rFonts w:ascii="Times New Roman" w:hAnsi="Times New Roman" w:cs="Times New Roman"/>
                <w:sz w:val="16"/>
                <w:szCs w:val="16"/>
              </w:rPr>
            </w:pPr>
            <w:r>
              <w:rPr>
                <w:rFonts w:ascii="Times New Roman" w:hAnsi="Times New Roman" w:cs="Times New Roman"/>
                <w:color w:val="000000"/>
                <w:sz w:val="16"/>
                <w:szCs w:val="16"/>
              </w:rPr>
              <w:t>No</w:t>
            </w:r>
          </w:p>
        </w:tc>
        <w:tc>
          <w:tcPr>
            <w:tcW w:w="0" w:type="auto"/>
            <w:tcBorders>
              <w:top w:val="single" w:sz="0" w:space="0" w:color="CCCCCC"/>
              <w:left w:val="single" w:sz="0" w:space="0" w:color="CCCCCC"/>
              <w:bottom w:val="single" w:sz="0" w:space="0" w:color="CCCCCC"/>
              <w:right w:val="single" w:sz="0" w:space="0" w:color="CCCCCC"/>
            </w:tcBorders>
            <w:shd w:val="clear" w:color="auto" w:fill="F2F4F7"/>
            <w:tcMar>
              <w:top w:w="60" w:type="dxa"/>
              <w:left w:w="100" w:type="dxa"/>
              <w:bottom w:w="60" w:type="dxa"/>
              <w:right w:w="100" w:type="dxa"/>
            </w:tcMar>
          </w:tcPr>
          <w:p w14:paraId="0E7142D8" w14:textId="77777777" w:rsidR="00AE4B3D" w:rsidRDefault="00000000">
            <w:pPr>
              <w:jc w:val="center"/>
              <w:rPr>
                <w:rFonts w:ascii="Times New Roman" w:hAnsi="Times New Roman" w:cs="Times New Roman"/>
                <w:sz w:val="16"/>
                <w:szCs w:val="16"/>
              </w:rPr>
            </w:pPr>
            <w:r>
              <w:rPr>
                <w:rFonts w:ascii="Times New Roman" w:hAnsi="Times New Roman" w:cs="Times New Roman"/>
                <w:color w:val="000000"/>
                <w:sz w:val="16"/>
                <w:szCs w:val="16"/>
              </w:rPr>
              <w:t>Partial</w:t>
            </w:r>
          </w:p>
        </w:tc>
      </w:tr>
    </w:tbl>
    <w:p w14:paraId="44502D39" w14:textId="77777777" w:rsidR="00AE4B3D" w:rsidRDefault="00AE4B3D">
      <w:pPr>
        <w:spacing w:after="240"/>
        <w:rPr>
          <w:rFonts w:ascii="Times New Roman" w:hAnsi="Times New Roman" w:cs="Times New Roman"/>
          <w:sz w:val="24"/>
          <w:szCs w:val="24"/>
        </w:rPr>
      </w:pPr>
    </w:p>
    <w:p w14:paraId="1DA2EB71" w14:textId="77777777" w:rsidR="00AE4B3D" w:rsidRDefault="00000000">
      <w:pPr>
        <w:pStyle w:val="Heading2"/>
        <w:rPr>
          <w:rFonts w:ascii="Times New Roman" w:hAnsi="Times New Roman" w:cs="Times New Roman"/>
        </w:rPr>
      </w:pPr>
      <w:r>
        <w:rPr>
          <w:rFonts w:ascii="Times New Roman" w:hAnsi="Times New Roman" w:cs="Times New Roman"/>
        </w:rPr>
        <w:t>Limitations and Future Directions</w:t>
      </w:r>
    </w:p>
    <w:p w14:paraId="7A538F30" w14:textId="77777777" w:rsidR="00AE4B3D" w:rsidRDefault="00000000">
      <w:pPr>
        <w:spacing w:before="80" w:after="120"/>
        <w:jc w:val="both"/>
        <w:rPr>
          <w:rFonts w:ascii="Times New Roman" w:hAnsi="Times New Roman" w:cs="Times New Roman"/>
          <w:sz w:val="24"/>
          <w:szCs w:val="24"/>
        </w:rPr>
      </w:pPr>
      <w:r>
        <w:rPr>
          <w:rFonts w:ascii="Times New Roman" w:hAnsi="Times New Roman" w:cs="Times New Roman"/>
          <w:color w:val="000000"/>
          <w:sz w:val="24"/>
          <w:szCs w:val="24"/>
        </w:rPr>
        <w:t>Several limitations of the current BODH implementation warrant acknowledgment. First, the pilot dataset representation, while India-wide, over-indexes tertiary hospitals (58%) relative to the Indian health system's actual case-load distribution (rural primary care: ~70% of encounters). Deliberate oversampling of rural datasets is planned in Phase 2. Second, the genomics repository is currently limited to germline variants; somatic mutation datasets for oncology AI — a rapidly growing application domain — are in active curation. Third, longitudinal evaluation — tracking AI model performance drift over time as clinical practice evolves — is architecturally supported but not yet operationalised; a continuous monitoring module is scheduled for Q3 2026.</w:t>
      </w:r>
    </w:p>
    <w:p w14:paraId="79C020C4" w14:textId="77777777" w:rsidR="00AE4B3D" w:rsidRDefault="00000000">
      <w:pPr>
        <w:spacing w:before="80" w:after="120"/>
        <w:jc w:val="both"/>
        <w:rPr>
          <w:rFonts w:ascii="Times New Roman" w:hAnsi="Times New Roman" w:cs="Times New Roman"/>
          <w:sz w:val="24"/>
          <w:szCs w:val="24"/>
        </w:rPr>
      </w:pPr>
      <w:r>
        <w:rPr>
          <w:rFonts w:ascii="Times New Roman" w:hAnsi="Times New Roman" w:cs="Times New Roman"/>
          <w:color w:val="000000"/>
          <w:sz w:val="24"/>
          <w:szCs w:val="24"/>
        </w:rPr>
        <w:t>Future development priorities include: integration with ABDM Health Data Management Policy for automatic dataset update pipelines; expansion of the NLP benchmark to 10 additional Indian languages including Bengali, Marathi, Kannada, and Odia; development of a BODH Certification Mark — analogous to CE marking — that regulatory bodies and hospital procurement offices can use to verify AI model compliance; and federated learning support enabling collaborative model improvement across BODH network nodes without centralising data.</w:t>
      </w:r>
    </w:p>
    <w:p w14:paraId="3AA35188" w14:textId="77777777" w:rsidR="00AE4B3D" w:rsidRDefault="00000000">
      <w:pPr>
        <w:pStyle w:val="Heading1"/>
        <w:pBdr>
          <w:bottom w:val="single" w:sz="8" w:space="4" w:color="2C5F9E"/>
        </w:pBdr>
        <w:rPr>
          <w:rFonts w:ascii="Times New Roman" w:hAnsi="Times New Roman" w:cs="Times New Roman"/>
          <w:sz w:val="24"/>
          <w:szCs w:val="24"/>
        </w:rPr>
      </w:pPr>
      <w:r>
        <w:rPr>
          <w:rFonts w:ascii="Times New Roman" w:hAnsi="Times New Roman" w:cs="Times New Roman"/>
          <w:sz w:val="24"/>
          <w:szCs w:val="24"/>
        </w:rPr>
        <w:t>Conclusion</w:t>
      </w:r>
    </w:p>
    <w:p w14:paraId="0CA32BF3" w14:textId="77777777" w:rsidR="00AE4B3D" w:rsidRDefault="00000000">
      <w:pPr>
        <w:spacing w:before="80" w:after="120"/>
        <w:jc w:val="both"/>
        <w:rPr>
          <w:rFonts w:ascii="Times New Roman" w:hAnsi="Times New Roman" w:cs="Times New Roman"/>
          <w:sz w:val="24"/>
          <w:szCs w:val="24"/>
        </w:rPr>
      </w:pPr>
      <w:r>
        <w:rPr>
          <w:rFonts w:ascii="Times New Roman" w:hAnsi="Times New Roman" w:cs="Times New Roman"/>
          <w:color w:val="000000"/>
          <w:sz w:val="24"/>
          <w:szCs w:val="24"/>
        </w:rPr>
        <w:t>BODH represents a foundational contribution to India's health AI governance infrastructure and a globally significant innovation in clinical AI evaluation methodology. By integrating federated evaluation, multi-dimensional scoring, mandatory fairness and explainability auditing, and regulatory pathway alignment within a single sovereign platform, BODH creates the trust infrastructure that responsible AI adoption in healthcare demands.</w:t>
      </w:r>
    </w:p>
    <w:p w14:paraId="393BE30B" w14:textId="77777777" w:rsidR="00AE4B3D" w:rsidRDefault="00000000">
      <w:pPr>
        <w:spacing w:before="80" w:after="120"/>
        <w:jc w:val="both"/>
        <w:rPr>
          <w:rFonts w:ascii="Times New Roman" w:hAnsi="Times New Roman" w:cs="Times New Roman"/>
          <w:sz w:val="24"/>
          <w:szCs w:val="24"/>
        </w:rPr>
      </w:pPr>
      <w:r>
        <w:rPr>
          <w:rFonts w:ascii="Times New Roman" w:hAnsi="Times New Roman" w:cs="Times New Roman"/>
          <w:color w:val="000000"/>
          <w:sz w:val="24"/>
          <w:szCs w:val="24"/>
        </w:rPr>
        <w:t>The preliminary findings from the BODH pilot — documenting systematic accuracy overestimation, previously unreported fairness disparities, and explainability deficiencies in commercial AI models — validate the platform's core hypothesis: that single-metric, vendor-conducted evaluations are insufficient safeguards for patient safety and equitable care. BODH's institutionalisation of independent, reproducible, multi-dimensional benchmarking is not merely a technical advancement; it is an ethical imperative.</w:t>
      </w:r>
    </w:p>
    <w:p w14:paraId="49146B2B" w14:textId="77777777" w:rsidR="00AE4B3D" w:rsidRDefault="00000000">
      <w:pPr>
        <w:spacing w:before="80" w:after="120"/>
        <w:jc w:val="both"/>
        <w:rPr>
          <w:rFonts w:ascii="Times New Roman" w:hAnsi="Times New Roman" w:cs="Times New Roman"/>
          <w:color w:val="000000"/>
          <w:sz w:val="24"/>
          <w:szCs w:val="24"/>
        </w:rPr>
      </w:pPr>
      <w:r>
        <w:rPr>
          <w:rFonts w:ascii="Times New Roman" w:hAnsi="Times New Roman" w:cs="Times New Roman"/>
          <w:color w:val="000000"/>
          <w:sz w:val="24"/>
          <w:szCs w:val="24"/>
        </w:rPr>
        <w:t>As India positions itself as a global leader in responsible AI governance, BODH provides the empirical foundation upon which regulation, procurement policy, and clinical trust can be built. The platform invites the global health informatics community to contribute datasets, collaborate on evaluation methodology, and adopt its open standards — ensuring that the transformative potential of AI in healthcare is realised equitably, safely, and verifiably.</w:t>
      </w:r>
    </w:p>
    <w:p w14:paraId="55A02FB3" w14:textId="77777777" w:rsidR="00AE4B3D" w:rsidRDefault="00AE4B3D">
      <w:pPr>
        <w:spacing w:before="80" w:after="120"/>
        <w:jc w:val="both"/>
        <w:rPr>
          <w:rFonts w:ascii="Times New Roman" w:hAnsi="Times New Roman" w:cs="Times New Roman"/>
          <w:color w:val="000000" w:themeColor="text1"/>
          <w:sz w:val="24"/>
          <w:szCs w:val="24"/>
        </w:rPr>
      </w:pPr>
    </w:p>
    <w:p w14:paraId="6127E169" w14:textId="77777777" w:rsidR="00AE4B3D" w:rsidRDefault="00000000">
      <w:pPr>
        <w:pStyle w:val="Heading1"/>
        <w:keepNext/>
        <w:keepLines/>
        <w:suppressAutoHyphens/>
        <w:spacing w:before="0" w:after="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Authors' Biography</w:t>
      </w:r>
    </w:p>
    <w:p w14:paraId="5BC87755" w14:textId="77777777" w:rsidR="00AE4B3D" w:rsidRDefault="00000000">
      <w:pPr>
        <w:spacing w:after="160"/>
        <w:jc w:val="both"/>
        <w:rPr>
          <w:rFonts w:ascii="Times New Roman" w:hAnsi="Times New Roman" w:cs="Times New Roman"/>
          <w:sz w:val="24"/>
          <w:szCs w:val="24"/>
        </w:rPr>
      </w:pPr>
      <w:r>
        <w:rPr>
          <w:rFonts w:ascii="Times New Roman" w:eastAsia="SimSun" w:hAnsi="Times New Roman" w:cs="Times New Roman"/>
          <w:sz w:val="24"/>
          <w:szCs w:val="24"/>
        </w:rPr>
        <w:t xml:space="preserve">Prasanna Kumar is a healthcare and life sciences professional with over two decades of experience in the CRO ecosystem, with expertise spanning clinical research delivery, operational strategy, and global healthcare services. He is currently pursuing a PhD in Management at GITAM University, India, where his research focuses on the </w:t>
      </w:r>
      <w:r>
        <w:rPr>
          <w:rFonts w:ascii="Times New Roman" w:eastAsia="SimSun" w:hAnsi="Times New Roman" w:cs="Times New Roman"/>
          <w:sz w:val="24"/>
          <w:szCs w:val="24"/>
        </w:rPr>
        <w:lastRenderedPageBreak/>
        <w:t xml:space="preserve">intersection of digital innovation, artificial intelligence, and healthcare transformation. His academic interests include healthcare analytics, digital health ecosystems, and emerging technologies in life sciences. He actively engages in </w:t>
      </w:r>
      <w:proofErr w:type="spellStart"/>
      <w:r>
        <w:rPr>
          <w:rFonts w:ascii="Times New Roman" w:eastAsia="SimSun" w:hAnsi="Times New Roman" w:cs="Times New Roman"/>
          <w:sz w:val="24"/>
          <w:szCs w:val="24"/>
        </w:rPr>
        <w:t>analyzing</w:t>
      </w:r>
      <w:proofErr w:type="spellEnd"/>
      <w:r>
        <w:rPr>
          <w:rFonts w:ascii="Times New Roman" w:eastAsia="SimSun" w:hAnsi="Times New Roman" w:cs="Times New Roman"/>
          <w:sz w:val="24"/>
          <w:szCs w:val="24"/>
        </w:rPr>
        <w:t xml:space="preserve"> contemporary developments in healthcare and regularly shares thought-provoking perspectives on innovation and leadership in the healthcare sector.</w:t>
      </w:r>
    </w:p>
    <w:p w14:paraId="13DA2C85" w14:textId="77777777" w:rsidR="00AE4B3D" w:rsidRDefault="00000000">
      <w:pPr>
        <w:pStyle w:val="Heading1"/>
        <w:pBdr>
          <w:bottom w:val="single" w:sz="8" w:space="4" w:color="2C5F9E"/>
        </w:pBdr>
        <w:rPr>
          <w:rFonts w:ascii="Times New Roman" w:hAnsi="Times New Roman" w:cs="Times New Roman"/>
          <w:sz w:val="24"/>
          <w:szCs w:val="24"/>
        </w:rPr>
      </w:pPr>
      <w:r>
        <w:rPr>
          <w:rFonts w:ascii="Times New Roman" w:hAnsi="Times New Roman" w:cs="Times New Roman"/>
          <w:sz w:val="24"/>
          <w:szCs w:val="24"/>
        </w:rPr>
        <w:t>References</w:t>
      </w:r>
    </w:p>
    <w:p w14:paraId="68BFF956" w14:textId="77777777" w:rsidR="00AE4B3D" w:rsidRDefault="00000000">
      <w:pPr>
        <w:spacing w:before="80" w:after="120"/>
        <w:jc w:val="both"/>
        <w:rPr>
          <w:rFonts w:ascii="Times New Roman" w:hAnsi="Times New Roman" w:cs="Times New Roman"/>
        </w:rPr>
      </w:pPr>
      <w:r>
        <w:rPr>
          <w:rFonts w:ascii="Times New Roman" w:hAnsi="Times New Roman" w:cs="Times New Roman"/>
          <w:color w:val="000000"/>
        </w:rPr>
        <w:t xml:space="preserve">[1] Ministry of Health and Family Welfare, Government of India. National Health Policy 2017. </w:t>
      </w:r>
      <w:proofErr w:type="spellStart"/>
      <w:r>
        <w:rPr>
          <w:rFonts w:ascii="Times New Roman" w:hAnsi="Times New Roman" w:cs="Times New Roman"/>
          <w:color w:val="000000"/>
        </w:rPr>
        <w:t>MoHFW</w:t>
      </w:r>
      <w:proofErr w:type="spellEnd"/>
      <w:r>
        <w:rPr>
          <w:rFonts w:ascii="Times New Roman" w:hAnsi="Times New Roman" w:cs="Times New Roman"/>
          <w:color w:val="000000"/>
        </w:rPr>
        <w:t>: New Delhi, 2017.</w:t>
      </w:r>
    </w:p>
    <w:p w14:paraId="3EB638FF" w14:textId="77777777" w:rsidR="00AE4B3D" w:rsidRDefault="00000000">
      <w:pPr>
        <w:spacing w:before="80" w:after="120"/>
        <w:jc w:val="both"/>
        <w:rPr>
          <w:rFonts w:ascii="Times New Roman" w:hAnsi="Times New Roman" w:cs="Times New Roman"/>
        </w:rPr>
      </w:pPr>
      <w:r>
        <w:rPr>
          <w:rFonts w:ascii="Times New Roman" w:hAnsi="Times New Roman" w:cs="Times New Roman"/>
          <w:color w:val="000000"/>
        </w:rPr>
        <w:t>[2] Gulshan V, Peng L, Coram M, et al. Development and validation of a deep learning algorithm for detection of diabetic retinopathy in retinal fundus photographs. JAMA. 2016;316(22):2402-2410.</w:t>
      </w:r>
    </w:p>
    <w:p w14:paraId="1E389B1E" w14:textId="77777777" w:rsidR="00AE4B3D" w:rsidRDefault="00000000">
      <w:pPr>
        <w:spacing w:before="80" w:after="120"/>
        <w:jc w:val="both"/>
        <w:rPr>
          <w:rFonts w:ascii="Times New Roman" w:hAnsi="Times New Roman" w:cs="Times New Roman"/>
        </w:rPr>
      </w:pPr>
      <w:r>
        <w:rPr>
          <w:rFonts w:ascii="Times New Roman" w:hAnsi="Times New Roman" w:cs="Times New Roman"/>
          <w:color w:val="000000"/>
        </w:rPr>
        <w:t xml:space="preserve">[3] </w:t>
      </w:r>
      <w:proofErr w:type="spellStart"/>
      <w:r>
        <w:rPr>
          <w:rFonts w:ascii="Times New Roman" w:hAnsi="Times New Roman" w:cs="Times New Roman"/>
          <w:color w:val="000000"/>
        </w:rPr>
        <w:t>Rajpurkar</w:t>
      </w:r>
      <w:proofErr w:type="spellEnd"/>
      <w:r>
        <w:rPr>
          <w:rFonts w:ascii="Times New Roman" w:hAnsi="Times New Roman" w:cs="Times New Roman"/>
          <w:color w:val="000000"/>
        </w:rPr>
        <w:t xml:space="preserve"> P, Irvin J, Ball RL, et al. Deep learning for chest radiograph diagnosis. PLOS Medicine. 2018;15(11</w:t>
      </w:r>
      <w:proofErr w:type="gramStart"/>
      <w:r>
        <w:rPr>
          <w:rFonts w:ascii="Times New Roman" w:hAnsi="Times New Roman" w:cs="Times New Roman"/>
          <w:color w:val="000000"/>
        </w:rPr>
        <w:t>):e</w:t>
      </w:r>
      <w:proofErr w:type="gramEnd"/>
      <w:r>
        <w:rPr>
          <w:rFonts w:ascii="Times New Roman" w:hAnsi="Times New Roman" w:cs="Times New Roman"/>
          <w:color w:val="000000"/>
        </w:rPr>
        <w:t>1002686.</w:t>
      </w:r>
    </w:p>
    <w:p w14:paraId="1174A00D" w14:textId="77777777" w:rsidR="00AE4B3D" w:rsidRDefault="00000000">
      <w:pPr>
        <w:spacing w:before="80" w:after="120"/>
        <w:jc w:val="both"/>
        <w:rPr>
          <w:rFonts w:ascii="Times New Roman" w:hAnsi="Times New Roman" w:cs="Times New Roman"/>
        </w:rPr>
      </w:pPr>
      <w:r>
        <w:rPr>
          <w:rFonts w:ascii="Times New Roman" w:hAnsi="Times New Roman" w:cs="Times New Roman"/>
          <w:color w:val="000000"/>
        </w:rPr>
        <w:t xml:space="preserve">[4] Esteva A, </w:t>
      </w:r>
      <w:proofErr w:type="spellStart"/>
      <w:r>
        <w:rPr>
          <w:rFonts w:ascii="Times New Roman" w:hAnsi="Times New Roman" w:cs="Times New Roman"/>
          <w:color w:val="000000"/>
        </w:rPr>
        <w:t>Kuprel</w:t>
      </w:r>
      <w:proofErr w:type="spellEnd"/>
      <w:r>
        <w:rPr>
          <w:rFonts w:ascii="Times New Roman" w:hAnsi="Times New Roman" w:cs="Times New Roman"/>
          <w:color w:val="000000"/>
        </w:rPr>
        <w:t xml:space="preserve"> B, Novoa RA, et al. Dermatologist-level classification of skin cancer with deep neural networks. Nature. </w:t>
      </w:r>
      <w:proofErr w:type="gramStart"/>
      <w:r>
        <w:rPr>
          <w:rFonts w:ascii="Times New Roman" w:hAnsi="Times New Roman" w:cs="Times New Roman"/>
          <w:color w:val="000000"/>
        </w:rPr>
        <w:t>2017;542:115</w:t>
      </w:r>
      <w:proofErr w:type="gramEnd"/>
      <w:r>
        <w:rPr>
          <w:rFonts w:ascii="Times New Roman" w:hAnsi="Times New Roman" w:cs="Times New Roman"/>
          <w:color w:val="000000"/>
        </w:rPr>
        <w:t>-118.</w:t>
      </w:r>
    </w:p>
    <w:p w14:paraId="7442A019" w14:textId="77777777" w:rsidR="00AE4B3D" w:rsidRDefault="00000000">
      <w:pPr>
        <w:spacing w:before="80" w:after="120"/>
        <w:jc w:val="both"/>
        <w:rPr>
          <w:rFonts w:ascii="Times New Roman" w:hAnsi="Times New Roman" w:cs="Times New Roman"/>
        </w:rPr>
      </w:pPr>
      <w:r>
        <w:rPr>
          <w:rFonts w:ascii="Times New Roman" w:hAnsi="Times New Roman" w:cs="Times New Roman"/>
          <w:color w:val="000000"/>
        </w:rPr>
        <w:t xml:space="preserve">[5] Norori N, Hu Q, </w:t>
      </w:r>
      <w:proofErr w:type="spellStart"/>
      <w:r>
        <w:rPr>
          <w:rFonts w:ascii="Times New Roman" w:hAnsi="Times New Roman" w:cs="Times New Roman"/>
          <w:color w:val="000000"/>
        </w:rPr>
        <w:t>Aellen</w:t>
      </w:r>
      <w:proofErr w:type="spellEnd"/>
      <w:r>
        <w:rPr>
          <w:rFonts w:ascii="Times New Roman" w:hAnsi="Times New Roman" w:cs="Times New Roman"/>
          <w:color w:val="000000"/>
        </w:rPr>
        <w:t xml:space="preserve"> FM, Faraci FD, </w:t>
      </w:r>
      <w:proofErr w:type="spellStart"/>
      <w:r>
        <w:rPr>
          <w:rFonts w:ascii="Times New Roman" w:hAnsi="Times New Roman" w:cs="Times New Roman"/>
          <w:color w:val="000000"/>
        </w:rPr>
        <w:t>Tzovara</w:t>
      </w:r>
      <w:proofErr w:type="spellEnd"/>
      <w:r>
        <w:rPr>
          <w:rFonts w:ascii="Times New Roman" w:hAnsi="Times New Roman" w:cs="Times New Roman"/>
          <w:color w:val="000000"/>
        </w:rPr>
        <w:t xml:space="preserve"> A. Addressing bias in big data and AI for health care: A call for open science. Patterns. 2021;2(10):100347.</w:t>
      </w:r>
    </w:p>
    <w:p w14:paraId="29C3DA37" w14:textId="77777777" w:rsidR="00AE4B3D" w:rsidRDefault="00000000">
      <w:pPr>
        <w:spacing w:before="80" w:after="120"/>
        <w:jc w:val="both"/>
        <w:rPr>
          <w:rFonts w:ascii="Times New Roman" w:hAnsi="Times New Roman" w:cs="Times New Roman"/>
        </w:rPr>
      </w:pPr>
      <w:r>
        <w:rPr>
          <w:rFonts w:ascii="Times New Roman" w:hAnsi="Times New Roman" w:cs="Times New Roman"/>
          <w:color w:val="000000"/>
        </w:rPr>
        <w:t xml:space="preserve">[6] Goldberger AL, Amaral LAN, Glass L, et al. </w:t>
      </w:r>
      <w:proofErr w:type="spellStart"/>
      <w:r>
        <w:rPr>
          <w:rFonts w:ascii="Times New Roman" w:hAnsi="Times New Roman" w:cs="Times New Roman"/>
          <w:color w:val="000000"/>
        </w:rPr>
        <w:t>PhysioBank</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PhysioToolkit</w:t>
      </w:r>
      <w:proofErr w:type="spellEnd"/>
      <w:r>
        <w:rPr>
          <w:rFonts w:ascii="Times New Roman" w:hAnsi="Times New Roman" w:cs="Times New Roman"/>
          <w:color w:val="000000"/>
        </w:rPr>
        <w:t>, and PhysioNet. Circulation. 2000;101(23</w:t>
      </w:r>
      <w:proofErr w:type="gramStart"/>
      <w:r>
        <w:rPr>
          <w:rFonts w:ascii="Times New Roman" w:hAnsi="Times New Roman" w:cs="Times New Roman"/>
          <w:color w:val="000000"/>
        </w:rPr>
        <w:t>):e</w:t>
      </w:r>
      <w:proofErr w:type="gramEnd"/>
      <w:r>
        <w:rPr>
          <w:rFonts w:ascii="Times New Roman" w:hAnsi="Times New Roman" w:cs="Times New Roman"/>
          <w:color w:val="000000"/>
        </w:rPr>
        <w:t>215-e220.</w:t>
      </w:r>
    </w:p>
    <w:p w14:paraId="064C0D0E" w14:textId="77777777" w:rsidR="00AE4B3D" w:rsidRDefault="00000000">
      <w:pPr>
        <w:spacing w:before="80" w:after="120"/>
        <w:jc w:val="both"/>
        <w:rPr>
          <w:rFonts w:ascii="Times New Roman" w:hAnsi="Times New Roman" w:cs="Times New Roman"/>
        </w:rPr>
      </w:pPr>
      <w:r>
        <w:rPr>
          <w:rFonts w:ascii="Times New Roman" w:hAnsi="Times New Roman" w:cs="Times New Roman"/>
          <w:color w:val="000000"/>
        </w:rPr>
        <w:t>[7] Shih G, Wu CC, Halabi SS, et al. Augmenting the national institutes of health chest radiograph dataset with expert annotations of possible pneumonia. Radiology: Artificial Intelligence. 2019;1(1</w:t>
      </w:r>
      <w:proofErr w:type="gramStart"/>
      <w:r>
        <w:rPr>
          <w:rFonts w:ascii="Times New Roman" w:hAnsi="Times New Roman" w:cs="Times New Roman"/>
          <w:color w:val="000000"/>
        </w:rPr>
        <w:t>):e</w:t>
      </w:r>
      <w:proofErr w:type="gramEnd"/>
      <w:r>
        <w:rPr>
          <w:rFonts w:ascii="Times New Roman" w:hAnsi="Times New Roman" w:cs="Times New Roman"/>
          <w:color w:val="000000"/>
        </w:rPr>
        <w:t>180041.</w:t>
      </w:r>
    </w:p>
    <w:p w14:paraId="25FF6FEC" w14:textId="77777777" w:rsidR="00AE4B3D" w:rsidRDefault="00000000">
      <w:pPr>
        <w:spacing w:before="80" w:after="120"/>
        <w:jc w:val="both"/>
        <w:rPr>
          <w:rFonts w:ascii="Times New Roman" w:hAnsi="Times New Roman" w:cs="Times New Roman"/>
        </w:rPr>
      </w:pPr>
      <w:r>
        <w:rPr>
          <w:rFonts w:ascii="Times New Roman" w:hAnsi="Times New Roman" w:cs="Times New Roman"/>
          <w:color w:val="000000"/>
        </w:rPr>
        <w:t xml:space="preserve">[8] </w:t>
      </w:r>
      <w:proofErr w:type="spellStart"/>
      <w:r>
        <w:rPr>
          <w:rFonts w:ascii="Times New Roman" w:hAnsi="Times New Roman" w:cs="Times New Roman"/>
          <w:color w:val="000000"/>
        </w:rPr>
        <w:t>Hripcsak</w:t>
      </w:r>
      <w:proofErr w:type="spellEnd"/>
      <w:r>
        <w:rPr>
          <w:rFonts w:ascii="Times New Roman" w:hAnsi="Times New Roman" w:cs="Times New Roman"/>
          <w:color w:val="000000"/>
        </w:rPr>
        <w:t xml:space="preserve"> G, Duke JD, Shah NH, et al. Observational Health Data Sciences and Informatics (OHDSI): Opportunities for observational researchers. Stud Health </w:t>
      </w:r>
      <w:proofErr w:type="spellStart"/>
      <w:r>
        <w:rPr>
          <w:rFonts w:ascii="Times New Roman" w:hAnsi="Times New Roman" w:cs="Times New Roman"/>
          <w:color w:val="000000"/>
        </w:rPr>
        <w:t>Technol</w:t>
      </w:r>
      <w:proofErr w:type="spellEnd"/>
      <w:r>
        <w:rPr>
          <w:rFonts w:ascii="Times New Roman" w:hAnsi="Times New Roman" w:cs="Times New Roman"/>
          <w:color w:val="000000"/>
        </w:rPr>
        <w:t xml:space="preserve"> Inform. </w:t>
      </w:r>
      <w:proofErr w:type="gramStart"/>
      <w:r>
        <w:rPr>
          <w:rFonts w:ascii="Times New Roman" w:hAnsi="Times New Roman" w:cs="Times New Roman"/>
          <w:color w:val="000000"/>
        </w:rPr>
        <w:t>2015;216:574</w:t>
      </w:r>
      <w:proofErr w:type="gramEnd"/>
      <w:r>
        <w:rPr>
          <w:rFonts w:ascii="Times New Roman" w:hAnsi="Times New Roman" w:cs="Times New Roman"/>
          <w:color w:val="000000"/>
        </w:rPr>
        <w:t>-578.</w:t>
      </w:r>
    </w:p>
    <w:p w14:paraId="458A183B" w14:textId="77777777" w:rsidR="00AE4B3D" w:rsidRDefault="00000000">
      <w:pPr>
        <w:spacing w:before="80" w:after="120"/>
        <w:jc w:val="both"/>
        <w:rPr>
          <w:rFonts w:ascii="Times New Roman" w:hAnsi="Times New Roman" w:cs="Times New Roman"/>
        </w:rPr>
      </w:pPr>
      <w:r>
        <w:rPr>
          <w:rFonts w:ascii="Times New Roman" w:hAnsi="Times New Roman" w:cs="Times New Roman"/>
          <w:color w:val="000000"/>
        </w:rPr>
        <w:t>[9] Nagendran M, Chen Y, Lovejoy CA, et al. Artificial intelligence versus clinicians: systematic review of design, reporting standards, and claims of deep learning studies. BMJ. 2020;368:m689.</w:t>
      </w:r>
    </w:p>
    <w:p w14:paraId="499D9EAA" w14:textId="77777777" w:rsidR="00AE4B3D" w:rsidRDefault="00000000">
      <w:pPr>
        <w:spacing w:before="80" w:after="120"/>
        <w:jc w:val="both"/>
        <w:rPr>
          <w:rFonts w:ascii="Times New Roman" w:hAnsi="Times New Roman" w:cs="Times New Roman"/>
        </w:rPr>
      </w:pPr>
      <w:r>
        <w:rPr>
          <w:rFonts w:ascii="Times New Roman" w:hAnsi="Times New Roman" w:cs="Times New Roman"/>
          <w:color w:val="000000"/>
        </w:rPr>
        <w:t>[10] NITI Aayog. Responsible AI for All: Adopting the Framework — A Use Case Approach for All. NITI Aayog: New Delhi, 2024.</w:t>
      </w:r>
    </w:p>
    <w:p w14:paraId="70DCC05A" w14:textId="77777777" w:rsidR="00AE4B3D" w:rsidRDefault="00000000">
      <w:pPr>
        <w:spacing w:before="80" w:after="120"/>
        <w:jc w:val="both"/>
        <w:rPr>
          <w:rFonts w:ascii="Times New Roman" w:hAnsi="Times New Roman" w:cs="Times New Roman"/>
        </w:rPr>
      </w:pPr>
      <w:r>
        <w:rPr>
          <w:rFonts w:ascii="Times New Roman" w:hAnsi="Times New Roman" w:cs="Times New Roman"/>
          <w:color w:val="000000"/>
        </w:rPr>
        <w:t>[11] Obermeyer Z, Powers B, Vogeli C, Mullainathan S. Dissecting racial bias in an algorithm used to manage the health of populations. Science. 2019;366(6464):447-453.</w:t>
      </w:r>
    </w:p>
    <w:p w14:paraId="27ACB54A" w14:textId="77777777" w:rsidR="00AE4B3D" w:rsidRDefault="00000000">
      <w:pPr>
        <w:spacing w:before="80" w:after="120"/>
        <w:jc w:val="both"/>
        <w:rPr>
          <w:rFonts w:ascii="Times New Roman" w:hAnsi="Times New Roman" w:cs="Times New Roman"/>
        </w:rPr>
      </w:pPr>
      <w:r>
        <w:rPr>
          <w:rFonts w:ascii="Times New Roman" w:hAnsi="Times New Roman" w:cs="Times New Roman"/>
          <w:color w:val="000000"/>
        </w:rPr>
        <w:t>[12] Menon GR, Singh L, Sharma P, et al. National Burden Estimates of Healthy Life Lost in India, 2017. Indian Journal of Medical Research. 2019;150(2):116-128.</w:t>
      </w:r>
    </w:p>
    <w:p w14:paraId="7D9C8178" w14:textId="77777777" w:rsidR="00AE4B3D" w:rsidRDefault="00000000">
      <w:pPr>
        <w:spacing w:before="80" w:after="120"/>
        <w:jc w:val="both"/>
        <w:rPr>
          <w:rFonts w:ascii="Times New Roman" w:hAnsi="Times New Roman" w:cs="Times New Roman"/>
        </w:rPr>
      </w:pPr>
      <w:r>
        <w:rPr>
          <w:rFonts w:ascii="Times New Roman" w:hAnsi="Times New Roman" w:cs="Times New Roman"/>
          <w:color w:val="000000"/>
        </w:rPr>
        <w:t xml:space="preserve">[13] Obermeyer Z, Emanuel EJ. Predicting the future — big data, machine learning, and clinical medicine. New England Journal of Medicine. </w:t>
      </w:r>
      <w:proofErr w:type="gramStart"/>
      <w:r>
        <w:rPr>
          <w:rFonts w:ascii="Times New Roman" w:hAnsi="Times New Roman" w:cs="Times New Roman"/>
          <w:color w:val="000000"/>
        </w:rPr>
        <w:t>2016;375:1216</w:t>
      </w:r>
      <w:proofErr w:type="gramEnd"/>
      <w:r>
        <w:rPr>
          <w:rFonts w:ascii="Times New Roman" w:hAnsi="Times New Roman" w:cs="Times New Roman"/>
          <w:color w:val="000000"/>
        </w:rPr>
        <w:t>-1219.</w:t>
      </w:r>
    </w:p>
    <w:p w14:paraId="4F4719A7" w14:textId="77777777" w:rsidR="00AE4B3D" w:rsidRDefault="00000000">
      <w:pPr>
        <w:spacing w:before="80" w:after="120"/>
        <w:jc w:val="both"/>
        <w:rPr>
          <w:rFonts w:ascii="Times New Roman" w:hAnsi="Times New Roman" w:cs="Times New Roman"/>
        </w:rPr>
      </w:pPr>
      <w:r>
        <w:rPr>
          <w:rFonts w:ascii="Times New Roman" w:hAnsi="Times New Roman" w:cs="Times New Roman"/>
          <w:color w:val="000000"/>
        </w:rPr>
        <w:t xml:space="preserve">[14] Wiens J, Saria S, Sendak M, et al. Do no harm: a roadmap for responsible machine learning for health care. Nature Medicine. </w:t>
      </w:r>
      <w:proofErr w:type="gramStart"/>
      <w:r>
        <w:rPr>
          <w:rFonts w:ascii="Times New Roman" w:hAnsi="Times New Roman" w:cs="Times New Roman"/>
          <w:color w:val="000000"/>
        </w:rPr>
        <w:t>2019;25:1337</w:t>
      </w:r>
      <w:proofErr w:type="gramEnd"/>
      <w:r>
        <w:rPr>
          <w:rFonts w:ascii="Times New Roman" w:hAnsi="Times New Roman" w:cs="Times New Roman"/>
          <w:color w:val="000000"/>
        </w:rPr>
        <w:t>-1340.</w:t>
      </w:r>
    </w:p>
    <w:p w14:paraId="7FB622D0" w14:textId="77777777" w:rsidR="00AE4B3D" w:rsidRDefault="00000000">
      <w:pPr>
        <w:spacing w:before="80" w:after="120"/>
        <w:jc w:val="both"/>
        <w:rPr>
          <w:rFonts w:ascii="Times New Roman" w:hAnsi="Times New Roman" w:cs="Times New Roman"/>
        </w:rPr>
      </w:pPr>
      <w:r>
        <w:rPr>
          <w:rFonts w:ascii="Times New Roman" w:hAnsi="Times New Roman" w:cs="Times New Roman"/>
          <w:color w:val="000000"/>
        </w:rPr>
        <w:t>[15] DeLong ER, DeLong DM, Clarke-Pearson DL. Comparing the areas under two or more correlated receiver operating characteristic curves: a nonparametric approach. Biometrics. 1988;44(3):837-845.</w:t>
      </w:r>
    </w:p>
    <w:p w14:paraId="1DD85D56" w14:textId="77777777" w:rsidR="00AE4B3D" w:rsidRDefault="00000000">
      <w:pPr>
        <w:spacing w:before="80" w:after="120"/>
        <w:jc w:val="both"/>
        <w:rPr>
          <w:rFonts w:ascii="Times New Roman" w:hAnsi="Times New Roman" w:cs="Times New Roman"/>
        </w:rPr>
      </w:pPr>
      <w:r>
        <w:rPr>
          <w:rFonts w:ascii="Times New Roman" w:hAnsi="Times New Roman" w:cs="Times New Roman"/>
          <w:color w:val="000000"/>
        </w:rPr>
        <w:t xml:space="preserve">[16] </w:t>
      </w:r>
      <w:proofErr w:type="spellStart"/>
      <w:r>
        <w:rPr>
          <w:rFonts w:ascii="Times New Roman" w:hAnsi="Times New Roman" w:cs="Times New Roman"/>
          <w:color w:val="000000"/>
        </w:rPr>
        <w:t>Chouldechova</w:t>
      </w:r>
      <w:proofErr w:type="spellEnd"/>
      <w:r>
        <w:rPr>
          <w:rFonts w:ascii="Times New Roman" w:hAnsi="Times New Roman" w:cs="Times New Roman"/>
          <w:color w:val="000000"/>
        </w:rPr>
        <w:t xml:space="preserve"> A. Fair prediction with disparate impact: A study of bias in recidivism prediction instruments. Big Data. 2017;5(2):153-163.</w:t>
      </w:r>
    </w:p>
    <w:p w14:paraId="6406BDD8" w14:textId="77777777" w:rsidR="00AE4B3D" w:rsidRDefault="00000000">
      <w:pPr>
        <w:spacing w:before="80" w:after="120"/>
        <w:jc w:val="both"/>
        <w:rPr>
          <w:rFonts w:ascii="Times New Roman" w:hAnsi="Times New Roman" w:cs="Times New Roman"/>
        </w:rPr>
      </w:pPr>
      <w:r>
        <w:rPr>
          <w:rFonts w:ascii="Times New Roman" w:hAnsi="Times New Roman" w:cs="Times New Roman"/>
          <w:color w:val="000000"/>
        </w:rPr>
        <w:t>[17] Mitchell M, Wu S, Zaldivar A, et al. Model Cards for Model Reporting. Proceedings of FAT 2019. ACM: New York, 2019.</w:t>
      </w:r>
    </w:p>
    <w:p w14:paraId="737333F5" w14:textId="77777777" w:rsidR="00AE4B3D" w:rsidRDefault="00000000">
      <w:pPr>
        <w:spacing w:before="80" w:after="120"/>
        <w:jc w:val="both"/>
        <w:rPr>
          <w:rFonts w:ascii="Times New Roman" w:hAnsi="Times New Roman" w:cs="Times New Roman"/>
        </w:rPr>
      </w:pPr>
      <w:r>
        <w:rPr>
          <w:rFonts w:ascii="Times New Roman" w:hAnsi="Times New Roman" w:cs="Times New Roman"/>
          <w:color w:val="000000"/>
        </w:rPr>
        <w:t>[18] Gebru T, Morgenstern J, Vecchione B, et al. Datasheets for datasets. Communications of the ACM. 2021;64(12):86-92.</w:t>
      </w:r>
    </w:p>
    <w:p w14:paraId="08F00FA3" w14:textId="77777777" w:rsidR="00AE4B3D" w:rsidRDefault="00000000">
      <w:pPr>
        <w:spacing w:before="80" w:after="120"/>
        <w:jc w:val="both"/>
        <w:rPr>
          <w:rFonts w:ascii="Times New Roman" w:hAnsi="Times New Roman" w:cs="Times New Roman"/>
        </w:rPr>
      </w:pPr>
      <w:r>
        <w:rPr>
          <w:rFonts w:ascii="Times New Roman" w:hAnsi="Times New Roman" w:cs="Times New Roman"/>
          <w:color w:val="000000"/>
        </w:rPr>
        <w:t>[19] Lundberg SM, Lee SI. A unified approach to interpreting model predictions. Advances in Neural Information Processing Systems. 2017;30.</w:t>
      </w:r>
    </w:p>
    <w:p w14:paraId="46132CC7" w14:textId="77777777" w:rsidR="00AE4B3D" w:rsidRDefault="00000000">
      <w:pPr>
        <w:spacing w:before="80" w:after="120"/>
        <w:jc w:val="both"/>
        <w:rPr>
          <w:rFonts w:ascii="Times New Roman" w:hAnsi="Times New Roman" w:cs="Times New Roman"/>
        </w:rPr>
      </w:pPr>
      <w:r>
        <w:rPr>
          <w:rFonts w:ascii="Times New Roman" w:hAnsi="Times New Roman" w:cs="Times New Roman"/>
          <w:color w:val="000000"/>
        </w:rPr>
        <w:t xml:space="preserve">[20] Ribeiro MT, Singh S, </w:t>
      </w:r>
      <w:proofErr w:type="spellStart"/>
      <w:r>
        <w:rPr>
          <w:rFonts w:ascii="Times New Roman" w:hAnsi="Times New Roman" w:cs="Times New Roman"/>
          <w:color w:val="000000"/>
        </w:rPr>
        <w:t>Guestrin</w:t>
      </w:r>
      <w:proofErr w:type="spellEnd"/>
      <w:r>
        <w:rPr>
          <w:rFonts w:ascii="Times New Roman" w:hAnsi="Times New Roman" w:cs="Times New Roman"/>
          <w:color w:val="000000"/>
        </w:rPr>
        <w:t xml:space="preserve"> C. 'Why should I trust you?' Explaining the predictions of any classifier. Proceedings of KDD 2016. ACM: New York, 2016.</w:t>
      </w:r>
    </w:p>
    <w:p w14:paraId="512B6848" w14:textId="77777777" w:rsidR="00AE4B3D" w:rsidRDefault="00000000">
      <w:pPr>
        <w:spacing w:before="80" w:after="120"/>
        <w:jc w:val="both"/>
        <w:rPr>
          <w:rFonts w:ascii="Times New Roman" w:hAnsi="Times New Roman" w:cs="Times New Roman"/>
        </w:rPr>
      </w:pPr>
      <w:r>
        <w:rPr>
          <w:rFonts w:ascii="Times New Roman" w:hAnsi="Times New Roman" w:cs="Times New Roman"/>
          <w:color w:val="000000"/>
        </w:rPr>
        <w:lastRenderedPageBreak/>
        <w:t xml:space="preserve">[21] </w:t>
      </w:r>
      <w:proofErr w:type="spellStart"/>
      <w:r>
        <w:rPr>
          <w:rFonts w:ascii="Times New Roman" w:hAnsi="Times New Roman" w:cs="Times New Roman"/>
          <w:color w:val="000000"/>
        </w:rPr>
        <w:t>Chattopadhay</w:t>
      </w:r>
      <w:proofErr w:type="spellEnd"/>
      <w:r>
        <w:rPr>
          <w:rFonts w:ascii="Times New Roman" w:hAnsi="Times New Roman" w:cs="Times New Roman"/>
          <w:color w:val="000000"/>
        </w:rPr>
        <w:t xml:space="preserve"> A, Sarkar A, Howlader P, Balasubramanian VN. Grad-CAM++: Generalized gradient-based visual explanations for deep convolutional networks. WACV 2018. IEEE, 2018.</w:t>
      </w:r>
    </w:p>
    <w:p w14:paraId="2FDDF14B" w14:textId="77777777" w:rsidR="00AE4B3D" w:rsidRDefault="00000000">
      <w:pPr>
        <w:spacing w:before="80" w:after="120"/>
        <w:jc w:val="both"/>
        <w:rPr>
          <w:rFonts w:ascii="Times New Roman" w:hAnsi="Times New Roman" w:cs="Times New Roman"/>
        </w:rPr>
      </w:pPr>
      <w:r>
        <w:rPr>
          <w:rFonts w:ascii="Times New Roman" w:hAnsi="Times New Roman" w:cs="Times New Roman"/>
          <w:color w:val="000000"/>
        </w:rPr>
        <w:t>[22] Kim B, Wattenberg M, Gilmer J, et al. Interpretability beyond classification: Quantitative testing with concept activation vectors (TCAV). Proceedings of ICML 2018. PMLR, 2018.</w:t>
      </w:r>
    </w:p>
    <w:sectPr w:rsidR="00AE4B3D">
      <w:headerReference w:type="default" r:id="rId7"/>
      <w:footerReference w:type="default" r:id="rId8"/>
      <w:pgSz w:w="12240" w:h="15840"/>
      <w:pgMar w:top="425" w:right="408" w:bottom="238" w:left="918" w:header="136"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7DD913" w14:textId="77777777" w:rsidR="00926525" w:rsidRDefault="00926525">
      <w:r>
        <w:separator/>
      </w:r>
    </w:p>
  </w:endnote>
  <w:endnote w:type="continuationSeparator" w:id="0">
    <w:p w14:paraId="163CF006" w14:textId="77777777" w:rsidR="00926525" w:rsidRDefault="009265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7FC864" w14:textId="0CD2BF22" w:rsidR="00AE4B3D" w:rsidRDefault="00000000">
    <w:pPr>
      <w:pBdr>
        <w:top w:val="single" w:sz="4" w:space="4" w:color="2C5F9E"/>
      </w:pBdr>
      <w:tabs>
        <w:tab w:val="right" w:pos="9360"/>
      </w:tabs>
      <w:spacing w:before="80"/>
    </w:pPr>
    <w:r>
      <w:rPr>
        <w:color w:val="555555"/>
        <w:sz w:val="18"/>
        <w:szCs w:val="18"/>
      </w:rPr>
      <w:tab/>
      <w:t xml:space="preserve">Page </w:t>
    </w:r>
    <w:r>
      <w:fldChar w:fldCharType="begin"/>
    </w:r>
    <w:r>
      <w:instrText>PAGE</w:instrText>
    </w:r>
    <w:r>
      <w:fldChar w:fldCharType="separate"/>
    </w:r>
    <w:r w:rsidR="00922964">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552332" w14:textId="77777777" w:rsidR="00926525" w:rsidRDefault="00926525">
      <w:r>
        <w:separator/>
      </w:r>
    </w:p>
  </w:footnote>
  <w:footnote w:type="continuationSeparator" w:id="0">
    <w:p w14:paraId="4F567765" w14:textId="77777777" w:rsidR="00926525" w:rsidRDefault="0092652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371CB1" w14:textId="77777777" w:rsidR="00AE4B3D" w:rsidRDefault="00000000">
    <w:pPr>
      <w:pBdr>
        <w:bottom w:val="single" w:sz="6" w:space="4" w:color="2C5F9E"/>
      </w:pBdr>
      <w:spacing w:after="120"/>
    </w:pPr>
    <w:r>
      <w:rPr>
        <w:color w:val="555555"/>
        <w:sz w:val="18"/>
        <w:szCs w:val="18"/>
      </w:rPr>
      <w:t>BODH: Benchmarking Open Data Platform for Health AI    |    India AI Impact Summit 2026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53208E"/>
    <w:multiLevelType w:val="multilevel"/>
    <w:tmpl w:val="0053208E"/>
    <w:lvl w:ilvl="0">
      <w:start w:val="1"/>
      <w:numFmt w:val="bullet"/>
      <w:lvlText w:val="•"/>
      <w:lvlJc w:val="left"/>
      <w:pPr>
        <w:ind w:left="720" w:hanging="360"/>
      </w:pPr>
    </w:lvl>
    <w:lvl w:ilvl="1">
      <w:start w:val="1"/>
      <w:numFmt w:val="bullet"/>
      <w:lvlText w:val="◦"/>
      <w:lvlJc w:val="left"/>
      <w:pPr>
        <w:ind w:left="1080" w:hanging="360"/>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59ADCABA"/>
    <w:multiLevelType w:val="singleLevel"/>
    <w:tmpl w:val="59ADCABA"/>
    <w:lvl w:ilvl="0">
      <w:start w:val="1"/>
      <w:numFmt w:val="decimal"/>
      <w:lvlText w:val="%1."/>
      <w:lvlJc w:val="left"/>
      <w:pPr>
        <w:ind w:left="720" w:hanging="360"/>
      </w:pPr>
    </w:lvl>
  </w:abstractNum>
  <w:num w:numId="1" w16cid:durableId="107967580">
    <w:abstractNumId w:val="0"/>
    <w:lvlOverride w:ilvl="0">
      <w:startOverride w:val="1"/>
    </w:lvlOverride>
  </w:num>
  <w:num w:numId="2" w16cid:durableId="182518867">
    <w:abstractNumId w:val="1"/>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displayBackgroundShape/>
  <w:proofState w:spelling="clean" w:grammar="clean"/>
  <w:defaultTabStop w:val="720"/>
  <w:noPunctuationKerning/>
  <w:characterSpacingControl w:val="doNotCompres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E4B3D"/>
    <w:rsid w:val="00143DCA"/>
    <w:rsid w:val="00922964"/>
    <w:rsid w:val="00926525"/>
    <w:rsid w:val="00AE4B3D"/>
    <w:rsid w:val="06AA5BFF"/>
    <w:rsid w:val="2E990003"/>
    <w:rsid w:val="42E051C2"/>
    <w:rsid w:val="54454E74"/>
    <w:rsid w:val="5DAB65B8"/>
    <w:rsid w:val="659E3545"/>
    <w:rsid w:val="6BF4184B"/>
    <w:rsid w:val="71563A7C"/>
    <w:rsid w:val="736536BC"/>
    <w:rsid w:val="7C2E475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D8B470"/>
  <w15:docId w15:val="{C5F67A83-AF70-41BB-8285-6BBBF81B90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IN" w:eastAsia="en-I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footnote text" w:semiHidden="1" w:uiPriority="99" w:unhideWhenUsed="1"/>
    <w:lsdException w:name="caption" w:semiHidden="1" w:unhideWhenUsed="1" w:qFormat="1"/>
    <w:lsdException w:name="footnote reference" w:semiHidden="1" w:uiPriority="99" w:unhideWhenUsed="1"/>
    <w:lsdException w:name="Title" w:qFormat="1"/>
    <w:lsdException w:name="Default Paragraph Font" w:semiHidden="1"/>
    <w:lsdException w:name="Subtitle" w:qFormat="1"/>
    <w:lsdException w:name="Hyperlink" w:uiPriority="99" w:unhideWhenUsed="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eastAsia="Arial" w:hAnsi="Arial" w:cs="Arial"/>
      <w:sz w:val="22"/>
      <w:szCs w:val="22"/>
    </w:rPr>
  </w:style>
  <w:style w:type="paragraph" w:styleId="Heading1">
    <w:name w:val="heading 1"/>
    <w:basedOn w:val="Normal"/>
    <w:next w:val="BodyText"/>
    <w:qFormat/>
    <w:pPr>
      <w:spacing w:before="320" w:after="160"/>
      <w:outlineLvl w:val="0"/>
    </w:pPr>
    <w:rPr>
      <w:b/>
      <w:bCs/>
      <w:color w:val="1B3A6B"/>
      <w:sz w:val="28"/>
      <w:szCs w:val="28"/>
    </w:rPr>
  </w:style>
  <w:style w:type="paragraph" w:styleId="Heading2">
    <w:name w:val="heading 2"/>
    <w:next w:val="Normal"/>
    <w:qFormat/>
    <w:pPr>
      <w:spacing w:before="240" w:after="120"/>
      <w:outlineLvl w:val="1"/>
    </w:pPr>
    <w:rPr>
      <w:rFonts w:ascii="Arial" w:eastAsia="Arial" w:hAnsi="Arial" w:cs="Arial"/>
      <w:b/>
      <w:bCs/>
      <w:color w:val="2C5F9E"/>
      <w:sz w:val="24"/>
      <w:szCs w:val="24"/>
    </w:rPr>
  </w:style>
  <w:style w:type="paragraph" w:styleId="Heading3">
    <w:name w:val="heading 3"/>
    <w:next w:val="Normal"/>
    <w:qFormat/>
    <w:pPr>
      <w:spacing w:before="180" w:after="80"/>
      <w:outlineLvl w:val="2"/>
    </w:pPr>
    <w:rPr>
      <w:rFonts w:ascii="Arial" w:eastAsia="Arial" w:hAnsi="Arial" w:cs="Arial"/>
      <w:b/>
      <w:bCs/>
      <w:color w:val="1B3A6B"/>
      <w:sz w:val="22"/>
      <w:szCs w:val="22"/>
    </w:rPr>
  </w:style>
  <w:style w:type="paragraph" w:styleId="Heading4">
    <w:name w:val="heading 4"/>
    <w:next w:val="Normal"/>
    <w:qFormat/>
    <w:pPr>
      <w:outlineLvl w:val="3"/>
    </w:pPr>
    <w:rPr>
      <w:rFonts w:ascii="Arial" w:eastAsia="Arial" w:hAnsi="Arial" w:cs="Arial"/>
      <w:i/>
      <w:iCs/>
      <w:color w:val="2E74B5"/>
      <w:sz w:val="22"/>
      <w:szCs w:val="22"/>
    </w:rPr>
  </w:style>
  <w:style w:type="paragraph" w:styleId="Heading5">
    <w:name w:val="heading 5"/>
    <w:next w:val="Normal"/>
    <w:qFormat/>
    <w:pPr>
      <w:outlineLvl w:val="4"/>
    </w:pPr>
    <w:rPr>
      <w:rFonts w:ascii="Arial" w:eastAsia="Arial" w:hAnsi="Arial" w:cs="Arial"/>
      <w:color w:val="2E74B5"/>
      <w:sz w:val="22"/>
      <w:szCs w:val="22"/>
    </w:rPr>
  </w:style>
  <w:style w:type="paragraph" w:styleId="Heading6">
    <w:name w:val="heading 6"/>
    <w:next w:val="Normal"/>
    <w:qFormat/>
    <w:pPr>
      <w:outlineLvl w:val="5"/>
    </w:pPr>
    <w:rPr>
      <w:rFonts w:ascii="Arial" w:eastAsia="Arial" w:hAnsi="Arial" w:cs="Arial"/>
      <w:color w:val="1F4D78"/>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pPr>
      <w:snapToGrid w:val="0"/>
      <w:jc w:val="both"/>
    </w:p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rPr>
      <w:rFonts w:ascii="Arial" w:eastAsia="Arial" w:hAnsi="Arial" w:cs="Arial"/>
    </w:rPr>
  </w:style>
  <w:style w:type="character" w:styleId="Hyperlink">
    <w:name w:val="Hyperlink"/>
    <w:uiPriority w:val="99"/>
    <w:unhideWhenUsed/>
    <w:rPr>
      <w:color w:val="0563C1"/>
      <w:u w:val="single"/>
    </w:rPr>
  </w:style>
  <w:style w:type="paragraph" w:styleId="Title">
    <w:name w:val="Title"/>
    <w:qFormat/>
    <w:rPr>
      <w:rFonts w:ascii="Arial" w:eastAsia="Arial" w:hAnsi="Arial" w:cs="Arial"/>
      <w:sz w:val="56"/>
      <w:szCs w:val="56"/>
    </w:rPr>
  </w:style>
  <w:style w:type="paragraph" w:styleId="ListParagraph">
    <w:name w:val="List Paragraph"/>
    <w:qFormat/>
    <w:rPr>
      <w:rFonts w:ascii="Arial" w:eastAsia="Arial" w:hAnsi="Arial" w:cs="Arial"/>
      <w:sz w:val="22"/>
      <w:szCs w:val="22"/>
    </w:rPr>
  </w:style>
  <w:style w:type="character" w:customStyle="1" w:styleId="FootnoteTextChar">
    <w:name w:val="Footnote Text Char"/>
    <w:link w:val="FootnoteText"/>
    <w:uiPriority w:val="99"/>
    <w:semiHidden/>
    <w:unhideWhenUsed/>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74</TotalTime>
  <Pages>10</Pages>
  <Words>4563</Words>
  <Characters>26012</Characters>
  <Application>Microsoft Office Word</Application>
  <DocSecurity>0</DocSecurity>
  <Lines>216</Lines>
  <Paragraphs>61</Paragraphs>
  <ScaleCrop>false</ScaleCrop>
  <Company/>
  <LinksUpToDate>false</LinksUpToDate>
  <CharactersWithSpaces>30514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theaisha1707@gmail.com</cp:lastModifiedBy>
  <cp:revision>2</cp:revision>
  <dcterms:created xsi:type="dcterms:W3CDTF">2026-03-05T13:51:00Z</dcterms:created>
  <dcterms:modified xsi:type="dcterms:W3CDTF">2026-03-07T06:43:00Z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2057-12.2.0.23197</vt:lpwstr>
  </property>
  <property fmtid="{D5CDD505-2E9C-101B-9397-08002B2CF9AE}" pid="3" name="ICV">
    <vt:lpwstr>BF7CF0947A6F4C67BDC302305300F216_13</vt:lpwstr>
  </property>
</Properties>
</file>