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6009" w:rsidRDefault="00832D5D">
      <w:pPr>
        <w:pageBreakBefore/>
        <w:spacing w:after="240" w:line="480" w:lineRule="auto"/>
        <w:ind w:left="720"/>
        <w:jc w:val="center"/>
        <w:rPr>
          <w:rFonts w:ascii="Times New Roman" w:eastAsia="Times New Roman" w:hAnsi="Times New Roman" w:cs="Times New Roman"/>
          <w:b/>
          <w:bCs/>
          <w:color w:val="1F1F1F"/>
          <w:sz w:val="36"/>
          <w:szCs w:val="36"/>
        </w:rPr>
      </w:pPr>
      <w:r>
        <w:rPr>
          <w:rFonts w:ascii="Times New Roman" w:eastAsia="Times New Roman" w:hAnsi="Times New Roman" w:cs="Times New Roman"/>
          <w:b/>
          <w:bCs/>
          <w:color w:val="1F1F1F"/>
          <w:sz w:val="36"/>
          <w:szCs w:val="36"/>
        </w:rPr>
        <w:t>FINANCING SDG 3 (GOOD HEALTH AND WELL-BEING): PARTNERSHIPS, INVESTMENT, AND ACCOUNTABILITY IN NIGERIA</w:t>
      </w:r>
    </w:p>
    <w:p w:rsidR="00E36009" w:rsidRDefault="00832D5D">
      <w:pPr>
        <w:pStyle w:val="Heading2"/>
        <w:keepNext w:val="0"/>
        <w:keepLines w:val="0"/>
        <w:spacing w:after="80" w:line="480" w:lineRule="auto"/>
        <w:rPr>
          <w:rFonts w:ascii="Times New Roman" w:eastAsia="Times New Roman" w:hAnsi="Times New Roman" w:cs="Times New Roman"/>
          <w:b/>
          <w:bCs/>
          <w:color w:val="1F1F1F"/>
          <w:sz w:val="24"/>
          <w:szCs w:val="24"/>
        </w:rPr>
      </w:pPr>
      <w:bookmarkStart w:id="0" w:name="_sdvz6fb48hjq" w:colFirst="0" w:colLast="0"/>
      <w:bookmarkStart w:id="1" w:name="_GoBack"/>
      <w:bookmarkEnd w:id="0"/>
      <w:bookmarkEnd w:id="1"/>
      <w:r>
        <w:rPr>
          <w:rFonts w:ascii="Times New Roman" w:eastAsia="Times New Roman" w:hAnsi="Times New Roman" w:cs="Times New Roman"/>
          <w:b/>
          <w:bCs/>
          <w:color w:val="1F1F1F"/>
          <w:sz w:val="24"/>
          <w:szCs w:val="24"/>
        </w:rPr>
        <w:t xml:space="preserve">ABSTRACT </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This study examines the financing architecture of Sustainable Development Goal 3 (Good Health and Well-Being) through the interconnected pill</w:t>
      </w:r>
      <w:r>
        <w:rPr>
          <w:rFonts w:ascii="Times New Roman" w:eastAsia="Times New Roman" w:hAnsi="Times New Roman" w:cs="Times New Roman"/>
          <w:color w:val="1F1F1F"/>
          <w:sz w:val="24"/>
          <w:szCs w:val="24"/>
        </w:rPr>
        <w:t>ars of Partnerships, Investment, and Accountability, with specific attention to West Africa, using Nigeria as a case study and comparable developing economies. Despite global commitment to the 2030 Agenda, the financing gap for Universal Health Coverage (U</w:t>
      </w:r>
      <w:r>
        <w:rPr>
          <w:rFonts w:ascii="Times New Roman" w:eastAsia="Times New Roman" w:hAnsi="Times New Roman" w:cs="Times New Roman"/>
          <w:color w:val="1F1F1F"/>
          <w:sz w:val="24"/>
          <w:szCs w:val="24"/>
        </w:rPr>
        <w:t>HC) in Sub-Saharan Africa remains substantial, worsened by macroeconomic instability, currency depreciation, post–COVID-19 fiscal pressures, and, in some cases, a lack of accountability.</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Using a qualitative descriptive design grounded in interpretivism, th</w:t>
      </w:r>
      <w:r>
        <w:rPr>
          <w:rFonts w:ascii="Times New Roman" w:eastAsia="Times New Roman" w:hAnsi="Times New Roman" w:cs="Times New Roman"/>
          <w:color w:val="1F1F1F"/>
          <w:sz w:val="24"/>
          <w:szCs w:val="24"/>
        </w:rPr>
        <w:t>e study analyses secondary data from the World Health Organisation (WHO), the World Bank, and Nigerian fiscal policy frameworks. The theoretical foundation integrates the Human Capital Framework (World Bank, 2018), the Fiscal Space for Health Framework (Ba</w:t>
      </w:r>
      <w:r>
        <w:rPr>
          <w:rFonts w:ascii="Times New Roman" w:eastAsia="Times New Roman" w:hAnsi="Times New Roman" w:cs="Times New Roman"/>
          <w:color w:val="1F1F1F"/>
          <w:sz w:val="24"/>
          <w:szCs w:val="24"/>
        </w:rPr>
        <w:t>rasa et al., 2018), the Health Governance Model (Brinkerhoff &amp; Bossert, 2020), and the Health Systems Resilience Framework (Thomas et al., 2020) to examine structural constraints in health financing.</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Research shows that Nigeria’s reliance on Out-of-Pocket </w:t>
      </w:r>
      <w:r>
        <w:rPr>
          <w:rFonts w:ascii="Times New Roman" w:eastAsia="Times New Roman" w:hAnsi="Times New Roman" w:cs="Times New Roman"/>
          <w:color w:val="1F1F1F"/>
          <w:sz w:val="24"/>
          <w:szCs w:val="24"/>
        </w:rPr>
        <w:t xml:space="preserve">(OOP) payments—exceeding 70% of total health expenditure—continues to expose households to catastrophic costs and undermines equity objectives (World Bank, 2024; Adewole et al., 2021). While Public-Private Partnerships </w:t>
      </w:r>
      <w:r>
        <w:rPr>
          <w:rFonts w:ascii="Times New Roman" w:eastAsia="Times New Roman" w:hAnsi="Times New Roman" w:cs="Times New Roman"/>
          <w:color w:val="1F1F1F"/>
          <w:sz w:val="24"/>
          <w:szCs w:val="24"/>
        </w:rPr>
        <w:lastRenderedPageBreak/>
        <w:t xml:space="preserve">(PPPs) and Foreign Direct Investment </w:t>
      </w:r>
      <w:r>
        <w:rPr>
          <w:rFonts w:ascii="Times New Roman" w:eastAsia="Times New Roman" w:hAnsi="Times New Roman" w:cs="Times New Roman"/>
          <w:color w:val="1F1F1F"/>
          <w:sz w:val="24"/>
          <w:szCs w:val="24"/>
        </w:rPr>
        <w:t>(FDI) offer potential pathways for infrastructure expansion, they remain constrained by exchange rate volatility, regulatory uncertainty, and political risk. The study also identifies weaknesses in domestic accountability systems, particularly in the admin</w:t>
      </w:r>
      <w:r>
        <w:rPr>
          <w:rFonts w:ascii="Times New Roman" w:eastAsia="Times New Roman" w:hAnsi="Times New Roman" w:cs="Times New Roman"/>
          <w:color w:val="1F1F1F"/>
          <w:sz w:val="24"/>
          <w:szCs w:val="24"/>
        </w:rPr>
        <w:t>istration of the Basic Health Care Provision Fund (BHCPF) at sub-national levels (Eboreime et al., 2020).</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The study concludes that sustainable progress toward SDG 3 requires a shift from donor dependence to strengthened domestic resource mobilisation, mand</w:t>
      </w:r>
      <w:r>
        <w:rPr>
          <w:rFonts w:ascii="Times New Roman" w:eastAsia="Times New Roman" w:hAnsi="Times New Roman" w:cs="Times New Roman"/>
          <w:color w:val="1F1F1F"/>
          <w:sz w:val="24"/>
          <w:szCs w:val="24"/>
        </w:rPr>
        <w:t xml:space="preserve">atory social health insurance under the NHIA Act (2022), and institutionalised procurement transparency. Policy recommendations emphasise blended finance mechanisms, ring-fenced health taxes, Direct Facility Financing, and the adoption of Open Contracting </w:t>
      </w:r>
      <w:r>
        <w:rPr>
          <w:rFonts w:ascii="Times New Roman" w:eastAsia="Times New Roman" w:hAnsi="Times New Roman" w:cs="Times New Roman"/>
          <w:color w:val="1F1F1F"/>
          <w:sz w:val="24"/>
          <w:szCs w:val="24"/>
        </w:rPr>
        <w:t>Data Standards in health procurement.</w:t>
      </w:r>
    </w:p>
    <w:p w:rsidR="00E36009" w:rsidRDefault="00832D5D">
      <w:pPr>
        <w:spacing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Keywords</w:t>
      </w:r>
      <w:r>
        <w:rPr>
          <w:rFonts w:ascii="Times New Roman" w:eastAsia="Times New Roman" w:hAnsi="Times New Roman" w:cs="Times New Roman"/>
          <w:color w:val="1F1F1F"/>
          <w:sz w:val="24"/>
          <w:szCs w:val="24"/>
        </w:rPr>
        <w:t>: Sustainable Development Goal 3, Health Financing, Universal Health Coverage, Public-Private Partnerships, Out-of-Pocket Expenditure, NHIA ACT  2022.</w:t>
      </w:r>
    </w:p>
    <w:p w:rsidR="00E36009" w:rsidRDefault="00832D5D">
      <w:pPr>
        <w:pStyle w:val="Heading2"/>
        <w:keepNext w:val="0"/>
        <w:keepLines w:val="0"/>
        <w:spacing w:after="80" w:line="480" w:lineRule="auto"/>
        <w:rPr>
          <w:rFonts w:ascii="Times New Roman" w:eastAsia="Times New Roman" w:hAnsi="Times New Roman" w:cs="Times New Roman"/>
          <w:b/>
          <w:bCs/>
          <w:color w:val="1F1F1F"/>
          <w:sz w:val="24"/>
          <w:szCs w:val="24"/>
        </w:rPr>
      </w:pPr>
      <w:bookmarkStart w:id="2" w:name="_ccocc7n4qsiz" w:colFirst="0" w:colLast="0"/>
      <w:bookmarkEnd w:id="2"/>
      <w:r>
        <w:br w:type="page"/>
      </w:r>
    </w:p>
    <w:p w:rsidR="00E36009" w:rsidRDefault="00832D5D">
      <w:pPr>
        <w:pStyle w:val="Heading2"/>
        <w:keepNext w:val="0"/>
        <w:keepLines w:val="0"/>
        <w:spacing w:after="80" w:line="480" w:lineRule="auto"/>
        <w:jc w:val="center"/>
        <w:rPr>
          <w:rFonts w:ascii="Times New Roman" w:eastAsia="Times New Roman" w:hAnsi="Times New Roman" w:cs="Times New Roman"/>
          <w:b/>
          <w:bCs/>
          <w:color w:val="1F1F1F"/>
          <w:sz w:val="24"/>
          <w:szCs w:val="24"/>
        </w:rPr>
      </w:pPr>
      <w:bookmarkStart w:id="3" w:name="_ji5nqzpv7vui" w:colFirst="0" w:colLast="0"/>
      <w:bookmarkEnd w:id="3"/>
      <w:r>
        <w:rPr>
          <w:rFonts w:ascii="Times New Roman" w:eastAsia="Times New Roman" w:hAnsi="Times New Roman" w:cs="Times New Roman"/>
          <w:b/>
          <w:bCs/>
          <w:color w:val="1F1F1F"/>
          <w:sz w:val="24"/>
          <w:szCs w:val="24"/>
        </w:rPr>
        <w:lastRenderedPageBreak/>
        <w:t>CHAPTER ONE</w:t>
      </w:r>
    </w:p>
    <w:p w:rsidR="00E36009" w:rsidRDefault="00832D5D">
      <w:pPr>
        <w:pStyle w:val="Heading3"/>
        <w:keepNext w:val="0"/>
        <w:keepLines w:val="0"/>
        <w:spacing w:before="280" w:line="480" w:lineRule="auto"/>
        <w:rPr>
          <w:rFonts w:ascii="Times New Roman" w:eastAsia="Times New Roman" w:hAnsi="Times New Roman" w:cs="Times New Roman"/>
          <w:b/>
          <w:bCs/>
          <w:color w:val="1F1F1F"/>
          <w:sz w:val="24"/>
          <w:szCs w:val="24"/>
        </w:rPr>
      </w:pPr>
      <w:bookmarkStart w:id="4" w:name="_ajcnoindt3wt" w:colFirst="0" w:colLast="0"/>
      <w:bookmarkEnd w:id="4"/>
      <w:r>
        <w:rPr>
          <w:rFonts w:ascii="Times New Roman" w:eastAsia="Times New Roman" w:hAnsi="Times New Roman" w:cs="Times New Roman"/>
          <w:b/>
          <w:bCs/>
          <w:color w:val="1F1F1F"/>
          <w:sz w:val="24"/>
          <w:szCs w:val="24"/>
        </w:rPr>
        <w:t xml:space="preserve">1.1 Background to the Study </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Sustainable deve</w:t>
      </w:r>
      <w:r>
        <w:rPr>
          <w:rFonts w:ascii="Times New Roman" w:eastAsia="Times New Roman" w:hAnsi="Times New Roman" w:cs="Times New Roman"/>
          <w:color w:val="1F1F1F"/>
          <w:sz w:val="24"/>
          <w:szCs w:val="24"/>
        </w:rPr>
        <w:t>lopment cannot occur without a healthy population. Contemporary development economics increasingly recognises health not merely as a social outcome but as productive capital. The transition from the Millennium Development Goals (MDGs) to the Sustainable De</w:t>
      </w:r>
      <w:r>
        <w:rPr>
          <w:rFonts w:ascii="Times New Roman" w:eastAsia="Times New Roman" w:hAnsi="Times New Roman" w:cs="Times New Roman"/>
          <w:color w:val="1F1F1F"/>
          <w:sz w:val="24"/>
          <w:szCs w:val="24"/>
        </w:rPr>
        <w:t xml:space="preserve">velopment Goals (SDGs) reflected this broader understanding. While MDGs 4, 5, and 6 focused on specific disease burdens and maternal-child health outcomes, SDG 3 adopts a comprehensive mandate: to ensure healthy lives and promote well-being for all at all </w:t>
      </w:r>
      <w:r>
        <w:rPr>
          <w:rFonts w:ascii="Times New Roman" w:eastAsia="Times New Roman" w:hAnsi="Times New Roman" w:cs="Times New Roman"/>
          <w:color w:val="1F1F1F"/>
          <w:sz w:val="24"/>
          <w:szCs w:val="24"/>
        </w:rPr>
        <w:t>ages (United Nations [UN], 2023).</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Central to SDG 3 is Target 3.8—Universal Health Coverage (UHC)—which guarantees access to essential services without financial hardship. Achieving this target requires substantial and sustained reform of financing. The Wor</w:t>
      </w:r>
      <w:r>
        <w:rPr>
          <w:rFonts w:ascii="Times New Roman" w:eastAsia="Times New Roman" w:hAnsi="Times New Roman" w:cs="Times New Roman"/>
          <w:color w:val="1F1F1F"/>
          <w:sz w:val="24"/>
          <w:szCs w:val="24"/>
        </w:rPr>
        <w:t>ld Health Organisation (WHO, 2023) estimates that low- and middle-income countries require an additional $371 billion annually to meet baseline health targets by 2030. In Sub-Saharan Africa, financing efforts are constrained by high disease burdens, limite</w:t>
      </w:r>
      <w:r>
        <w:rPr>
          <w:rFonts w:ascii="Times New Roman" w:eastAsia="Times New Roman" w:hAnsi="Times New Roman" w:cs="Times New Roman"/>
          <w:color w:val="1F1F1F"/>
          <w:sz w:val="24"/>
          <w:szCs w:val="24"/>
        </w:rPr>
        <w:t>d fiscal space, and rising sovereign debt (Coulibaly &amp; Gandhi, 2021).</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Nigeria illustrates these tensions sharply. Although a signatory to the 2001 Abuja Declaration, which requires African countries to commit 15% of national budgets to health, federal allo</w:t>
      </w:r>
      <w:r>
        <w:rPr>
          <w:rFonts w:ascii="Times New Roman" w:eastAsia="Times New Roman" w:hAnsi="Times New Roman" w:cs="Times New Roman"/>
          <w:color w:val="1F1F1F"/>
          <w:sz w:val="24"/>
          <w:szCs w:val="24"/>
        </w:rPr>
        <w:t>cations have remained between 4% and 6% over the past decade (Federal Ministry of Health [FMoH], 2022). As a result, health financing is dominated by Out-of-Pocket (OOP) payments. According to the World Bank (2024), OOP accounts for approximately 75% of To</w:t>
      </w:r>
      <w:r>
        <w:rPr>
          <w:rFonts w:ascii="Times New Roman" w:eastAsia="Times New Roman" w:hAnsi="Times New Roman" w:cs="Times New Roman"/>
          <w:color w:val="1F1F1F"/>
          <w:sz w:val="24"/>
          <w:szCs w:val="24"/>
        </w:rPr>
        <w:t>tal Health Expenditure, one of the highest rates globally. Such reliance disproportionately burdens low-income households and increases the risk of catastrophic expenditure (Adewole et al., 2021).</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lastRenderedPageBreak/>
        <w:t>Macroeconomic instability has compounded these structural weaknesses. Following COVID-19, fiscal pressures intensified due to subsidy cuts and exchange rate reforms. With over 70% of medical commodities imported, inflation has significantly increased healt</w:t>
      </w:r>
      <w:r>
        <w:rPr>
          <w:rFonts w:ascii="Times New Roman" w:eastAsia="Times New Roman" w:hAnsi="Times New Roman" w:cs="Times New Roman"/>
          <w:color w:val="1F1F1F"/>
          <w:sz w:val="24"/>
          <w:szCs w:val="24"/>
        </w:rPr>
        <w:t>hcare costs (CSEA, 2024). Under these conditions, traditional aid flows alone cannot sustain SDG 3 commitments. Sustainable financing must integrate strategic partnerships (SDG 17), private investment, and enforceable accountability mechanisms.</w:t>
      </w:r>
    </w:p>
    <w:p w:rsidR="00E36009" w:rsidRDefault="00E36009">
      <w:pPr>
        <w:spacing w:after="240" w:line="480" w:lineRule="auto"/>
        <w:rPr>
          <w:rFonts w:ascii="Times New Roman" w:eastAsia="Times New Roman" w:hAnsi="Times New Roman" w:cs="Times New Roman"/>
          <w:color w:val="1F1F1F"/>
          <w:sz w:val="24"/>
          <w:szCs w:val="24"/>
        </w:rPr>
      </w:pPr>
    </w:p>
    <w:p w:rsidR="00E36009" w:rsidRDefault="00832D5D">
      <w:pPr>
        <w:pStyle w:val="Heading3"/>
        <w:keepNext w:val="0"/>
        <w:keepLines w:val="0"/>
        <w:spacing w:before="280" w:line="480" w:lineRule="auto"/>
        <w:rPr>
          <w:rFonts w:ascii="Times New Roman" w:eastAsia="Times New Roman" w:hAnsi="Times New Roman" w:cs="Times New Roman"/>
          <w:b/>
          <w:bCs/>
          <w:color w:val="1F1F1F"/>
          <w:sz w:val="24"/>
          <w:szCs w:val="24"/>
        </w:rPr>
      </w:pPr>
      <w:bookmarkStart w:id="5" w:name="_qc4i56ow0rdu" w:colFirst="0" w:colLast="0"/>
      <w:bookmarkEnd w:id="5"/>
      <w:r>
        <w:rPr>
          <w:rFonts w:ascii="Times New Roman" w:eastAsia="Times New Roman" w:hAnsi="Times New Roman" w:cs="Times New Roman"/>
          <w:b/>
          <w:bCs/>
          <w:color w:val="1F1F1F"/>
          <w:sz w:val="24"/>
          <w:szCs w:val="24"/>
        </w:rPr>
        <w:t>1.2 Statem</w:t>
      </w:r>
      <w:r>
        <w:rPr>
          <w:rFonts w:ascii="Times New Roman" w:eastAsia="Times New Roman" w:hAnsi="Times New Roman" w:cs="Times New Roman"/>
          <w:b/>
          <w:bCs/>
          <w:color w:val="1F1F1F"/>
          <w:sz w:val="24"/>
          <w:szCs w:val="24"/>
        </w:rPr>
        <w:t>ent of the Problem</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With fewer than five years remaining before 2030, progress toward SDG 3 in Nigeria remains off track. The central problem is structural: ambitious health targets are being pursued within financing systems that remain fragmented, underfun</w:t>
      </w:r>
      <w:r>
        <w:rPr>
          <w:rFonts w:ascii="Times New Roman" w:eastAsia="Times New Roman" w:hAnsi="Times New Roman" w:cs="Times New Roman"/>
          <w:color w:val="1F1F1F"/>
          <w:sz w:val="24"/>
          <w:szCs w:val="24"/>
        </w:rPr>
        <w:t>ded, and weakly regulated.</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Three interrelated challenges define this gap.</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First, the investment deficit. Public capital expenditure is insufficient to close infrastructure gaps estimated in the tens of billions of dollars (IFC, 2022). Many Primary Healthcare Centres lack essential utilities and equipment, while private capital r</w:t>
      </w:r>
      <w:r>
        <w:rPr>
          <w:rFonts w:ascii="Times New Roman" w:eastAsia="Times New Roman" w:hAnsi="Times New Roman" w:cs="Times New Roman"/>
          <w:color w:val="1F1F1F"/>
          <w:sz w:val="24"/>
          <w:szCs w:val="24"/>
        </w:rPr>
        <w:t>emains cautious due to macroeconomic volatility and regulatory uncertainty.</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Second, the partnership paradox. Although Global Health Initiatives have financed disease-specific programs, they have often operated through parallel systems, raising sustainabili</w:t>
      </w:r>
      <w:r>
        <w:rPr>
          <w:rFonts w:ascii="Times New Roman" w:eastAsia="Times New Roman" w:hAnsi="Times New Roman" w:cs="Times New Roman"/>
          <w:color w:val="1F1F1F"/>
          <w:sz w:val="24"/>
          <w:szCs w:val="24"/>
        </w:rPr>
        <w:t>ty concerns as donor transitions accelerate (Mathauer et al., 2017).</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lastRenderedPageBreak/>
        <w:t>Third, the accountability gap. Even when funds are allocated, implementation weaknesses limit impact. The Basic Health Care Provision Fund (BHCPF) has faced bureaucratic delays, inadequat</w:t>
      </w:r>
      <w:r>
        <w:rPr>
          <w:rFonts w:ascii="Times New Roman" w:eastAsia="Times New Roman" w:hAnsi="Times New Roman" w:cs="Times New Roman"/>
          <w:color w:val="1F1F1F"/>
          <w:sz w:val="24"/>
          <w:szCs w:val="24"/>
        </w:rPr>
        <w:t>e counterpart funding, and transparency challenges at sub-national levels (Eboreime et al., 2020).</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This study, therefore, examines how Nigeria can redesign its health financing architecture to attract sustainable investment, strengthen partnerships, and in</w:t>
      </w:r>
      <w:r>
        <w:rPr>
          <w:rFonts w:ascii="Times New Roman" w:eastAsia="Times New Roman" w:hAnsi="Times New Roman" w:cs="Times New Roman"/>
          <w:color w:val="1F1F1F"/>
          <w:sz w:val="24"/>
          <w:szCs w:val="24"/>
        </w:rPr>
        <w:t>stitutionalise accountability in pursuit of SDG 3.</w:t>
      </w:r>
    </w:p>
    <w:p w:rsidR="00E36009" w:rsidRDefault="00832D5D">
      <w:pPr>
        <w:spacing w:after="240" w:line="480" w:lineRule="auto"/>
        <w:rPr>
          <w:rFonts w:ascii="Times New Roman" w:eastAsia="Times New Roman" w:hAnsi="Times New Roman" w:cs="Times New Roman"/>
          <w:color w:val="1F1F1F"/>
          <w:sz w:val="24"/>
          <w:szCs w:val="24"/>
        </w:rPr>
      </w:pPr>
      <w:r>
        <w:pict>
          <v:rect id="_x0000_i1025" style="width:0;height:1.5pt" o:hralign="center" o:hrstd="t" o:hr="t" fillcolor="#a0a0a0" stroked="f"/>
        </w:pict>
      </w:r>
    </w:p>
    <w:p w:rsidR="00E36009" w:rsidRDefault="00832D5D">
      <w:pPr>
        <w:pStyle w:val="Heading3"/>
        <w:keepNext w:val="0"/>
        <w:keepLines w:val="0"/>
        <w:spacing w:before="280" w:line="480" w:lineRule="auto"/>
        <w:rPr>
          <w:rFonts w:ascii="Times New Roman" w:eastAsia="Times New Roman" w:hAnsi="Times New Roman" w:cs="Times New Roman"/>
          <w:b/>
          <w:bCs/>
          <w:color w:val="1F1F1F"/>
          <w:sz w:val="24"/>
          <w:szCs w:val="24"/>
        </w:rPr>
      </w:pPr>
      <w:bookmarkStart w:id="6" w:name="_hqaviao355ye" w:colFirst="0" w:colLast="0"/>
      <w:bookmarkEnd w:id="6"/>
      <w:r>
        <w:rPr>
          <w:rFonts w:ascii="Times New Roman" w:eastAsia="Times New Roman" w:hAnsi="Times New Roman" w:cs="Times New Roman"/>
          <w:b/>
          <w:bCs/>
          <w:color w:val="1F1F1F"/>
          <w:sz w:val="24"/>
          <w:szCs w:val="24"/>
        </w:rPr>
        <w:t>1.3 Research Questions</w:t>
      </w:r>
    </w:p>
    <w:p w:rsidR="00E36009" w:rsidRDefault="00832D5D">
      <w:pPr>
        <w:numPr>
          <w:ilvl w:val="0"/>
          <w:numId w:val="2"/>
        </w:numPr>
        <w:spacing w:before="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What macroeconomic and structural barriers hinder the sustainable financing of SDG 3 in Nigeria?</w:t>
      </w:r>
    </w:p>
    <w:p w:rsidR="00E36009" w:rsidRDefault="00832D5D">
      <w:pPr>
        <w:numPr>
          <w:ilvl w:val="0"/>
          <w:numId w:val="2"/>
        </w:numPr>
        <w:spacing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How can PPPs and blended finance mechanisms reduce investment risk in health infras</w:t>
      </w:r>
      <w:r>
        <w:rPr>
          <w:rFonts w:ascii="Times New Roman" w:eastAsia="Times New Roman" w:hAnsi="Times New Roman" w:cs="Times New Roman"/>
          <w:color w:val="1F1F1F"/>
          <w:sz w:val="24"/>
          <w:szCs w:val="24"/>
        </w:rPr>
        <w:t>tructure?</w:t>
      </w:r>
    </w:p>
    <w:p w:rsidR="00E36009" w:rsidRDefault="00832D5D">
      <w:pPr>
        <w:numPr>
          <w:ilvl w:val="0"/>
          <w:numId w:val="2"/>
        </w:numPr>
        <w:spacing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How does reliance on OOP financing affect progress toward UHC?</w:t>
      </w:r>
    </w:p>
    <w:p w:rsidR="00E36009" w:rsidRDefault="00832D5D">
      <w:pPr>
        <w:numPr>
          <w:ilvl w:val="0"/>
          <w:numId w:val="2"/>
        </w:numPr>
        <w:spacing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What role do transparency and accountability mechanisms play in improving allocative efficiency?</w:t>
      </w:r>
    </w:p>
    <w:p w:rsidR="00E36009" w:rsidRDefault="00832D5D">
      <w:pPr>
        <w:pStyle w:val="Heading3"/>
        <w:keepNext w:val="0"/>
        <w:keepLines w:val="0"/>
        <w:spacing w:before="280" w:line="480" w:lineRule="auto"/>
        <w:rPr>
          <w:rFonts w:ascii="Times New Roman" w:eastAsia="Times New Roman" w:hAnsi="Times New Roman" w:cs="Times New Roman"/>
          <w:b/>
          <w:bCs/>
          <w:color w:val="1F1F1F"/>
          <w:sz w:val="24"/>
          <w:szCs w:val="24"/>
        </w:rPr>
      </w:pPr>
      <w:bookmarkStart w:id="7" w:name="_rw20tr98rjq1" w:colFirst="0" w:colLast="0"/>
      <w:bookmarkEnd w:id="7"/>
      <w:r>
        <w:rPr>
          <w:rFonts w:ascii="Times New Roman" w:eastAsia="Times New Roman" w:hAnsi="Times New Roman" w:cs="Times New Roman"/>
          <w:b/>
          <w:bCs/>
          <w:color w:val="1F1F1F"/>
          <w:sz w:val="24"/>
          <w:szCs w:val="24"/>
        </w:rPr>
        <w:t xml:space="preserve">1.4 Objectives of the Study </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The study aims to analyse health financing reforms necess</w:t>
      </w:r>
      <w:r>
        <w:rPr>
          <w:rFonts w:ascii="Times New Roman" w:eastAsia="Times New Roman" w:hAnsi="Times New Roman" w:cs="Times New Roman"/>
          <w:color w:val="1F1F1F"/>
          <w:sz w:val="24"/>
          <w:szCs w:val="24"/>
        </w:rPr>
        <w:t>ary to advance SDG 3 in Nigeria. Specifically, it seeks to:</w:t>
      </w:r>
    </w:p>
    <w:p w:rsidR="00E36009" w:rsidRDefault="00832D5D">
      <w:pPr>
        <w:numPr>
          <w:ilvl w:val="0"/>
          <w:numId w:val="8"/>
        </w:numPr>
        <w:spacing w:before="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Evaluate the effects of debt, inflation, and fiscal constraints on public health spending.</w:t>
      </w:r>
    </w:p>
    <w:p w:rsidR="00E36009" w:rsidRDefault="00832D5D">
      <w:pPr>
        <w:numPr>
          <w:ilvl w:val="0"/>
          <w:numId w:val="8"/>
        </w:numPr>
        <w:spacing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lastRenderedPageBreak/>
        <w:t>Examine multi-stakeholder partnerships in mobilising capital and expertise.</w:t>
      </w:r>
    </w:p>
    <w:p w:rsidR="00E36009" w:rsidRDefault="00832D5D">
      <w:pPr>
        <w:numPr>
          <w:ilvl w:val="0"/>
          <w:numId w:val="8"/>
        </w:numPr>
        <w:spacing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Assess the implications of tr</w:t>
      </w:r>
      <w:r>
        <w:rPr>
          <w:rFonts w:ascii="Times New Roman" w:eastAsia="Times New Roman" w:hAnsi="Times New Roman" w:cs="Times New Roman"/>
          <w:color w:val="1F1F1F"/>
          <w:sz w:val="24"/>
          <w:szCs w:val="24"/>
        </w:rPr>
        <w:t>ansitioning from OOP to mandatory social health insurance under the NHIA Act (2022).</w:t>
      </w:r>
    </w:p>
    <w:p w:rsidR="00E36009" w:rsidRDefault="00832D5D">
      <w:pPr>
        <w:numPr>
          <w:ilvl w:val="0"/>
          <w:numId w:val="8"/>
        </w:numPr>
        <w:spacing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Propose policy measures to strengthen accountability in procurement and service delivery.</w:t>
      </w:r>
    </w:p>
    <w:p w:rsidR="00E36009" w:rsidRDefault="00E36009">
      <w:pPr>
        <w:spacing w:after="240" w:line="480" w:lineRule="auto"/>
        <w:rPr>
          <w:rFonts w:ascii="Times New Roman" w:eastAsia="Times New Roman" w:hAnsi="Times New Roman" w:cs="Times New Roman"/>
          <w:color w:val="1F1F1F"/>
          <w:sz w:val="24"/>
          <w:szCs w:val="24"/>
        </w:rPr>
      </w:pPr>
    </w:p>
    <w:p w:rsidR="00E36009" w:rsidRDefault="00832D5D">
      <w:pPr>
        <w:pStyle w:val="Heading3"/>
        <w:keepNext w:val="0"/>
        <w:keepLines w:val="0"/>
        <w:spacing w:before="280" w:line="480" w:lineRule="auto"/>
        <w:rPr>
          <w:rFonts w:ascii="Times New Roman" w:eastAsia="Times New Roman" w:hAnsi="Times New Roman" w:cs="Times New Roman"/>
          <w:b/>
          <w:bCs/>
          <w:color w:val="1F1F1F"/>
          <w:sz w:val="24"/>
          <w:szCs w:val="24"/>
        </w:rPr>
      </w:pPr>
      <w:bookmarkStart w:id="8" w:name="_9qbaqsp2ke1r" w:colFirst="0" w:colLast="0"/>
      <w:bookmarkEnd w:id="8"/>
      <w:r>
        <w:rPr>
          <w:rFonts w:ascii="Times New Roman" w:eastAsia="Times New Roman" w:hAnsi="Times New Roman" w:cs="Times New Roman"/>
          <w:b/>
          <w:bCs/>
          <w:color w:val="1F1F1F"/>
          <w:sz w:val="24"/>
          <w:szCs w:val="24"/>
        </w:rPr>
        <w:t xml:space="preserve">1.5 Significance of the Study </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This study contributes to policy, investment stra</w:t>
      </w:r>
      <w:r>
        <w:rPr>
          <w:rFonts w:ascii="Times New Roman" w:eastAsia="Times New Roman" w:hAnsi="Times New Roman" w:cs="Times New Roman"/>
          <w:color w:val="1F1F1F"/>
          <w:sz w:val="24"/>
          <w:szCs w:val="24"/>
        </w:rPr>
        <w:t>tegy, and academic discourse.</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For policymakers, it provides guidance on operationalising the NHIA Act and expanding domestic resource mobilisation.</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For private investors, it identifies regulatory and financial mechanisms necessary to reduce risk in health-sector PPPs.</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For academia, it links macroeconomic financing theory with practical governance realities in Sub-Saharan Africa.</w:t>
      </w:r>
    </w:p>
    <w:p w:rsidR="00E36009" w:rsidRDefault="00E36009">
      <w:pPr>
        <w:spacing w:after="240" w:line="480" w:lineRule="auto"/>
        <w:rPr>
          <w:rFonts w:ascii="Times New Roman" w:eastAsia="Times New Roman" w:hAnsi="Times New Roman" w:cs="Times New Roman"/>
          <w:color w:val="1F1F1F"/>
          <w:sz w:val="24"/>
          <w:szCs w:val="24"/>
        </w:rPr>
      </w:pPr>
    </w:p>
    <w:p w:rsidR="00E36009" w:rsidRDefault="00832D5D">
      <w:pPr>
        <w:pStyle w:val="Heading3"/>
        <w:keepNext w:val="0"/>
        <w:keepLines w:val="0"/>
        <w:spacing w:before="280" w:line="480" w:lineRule="auto"/>
        <w:rPr>
          <w:rFonts w:ascii="Times New Roman" w:eastAsia="Times New Roman" w:hAnsi="Times New Roman" w:cs="Times New Roman"/>
          <w:b/>
          <w:bCs/>
          <w:color w:val="1F1F1F"/>
          <w:sz w:val="24"/>
          <w:szCs w:val="24"/>
        </w:rPr>
      </w:pPr>
      <w:bookmarkStart w:id="9" w:name="_tzvl6yms2mla" w:colFirst="0" w:colLast="0"/>
      <w:bookmarkEnd w:id="9"/>
      <w:r>
        <w:rPr>
          <w:rFonts w:ascii="Times New Roman" w:eastAsia="Times New Roman" w:hAnsi="Times New Roman" w:cs="Times New Roman"/>
          <w:b/>
          <w:bCs/>
          <w:color w:val="1F1F1F"/>
          <w:sz w:val="24"/>
          <w:szCs w:val="24"/>
        </w:rPr>
        <w:t>1.6 Scope and Limitat</w:t>
      </w:r>
      <w:r>
        <w:rPr>
          <w:rFonts w:ascii="Times New Roman" w:eastAsia="Times New Roman" w:hAnsi="Times New Roman" w:cs="Times New Roman"/>
          <w:b/>
          <w:bCs/>
          <w:color w:val="1F1F1F"/>
          <w:sz w:val="24"/>
          <w:szCs w:val="24"/>
        </w:rPr>
        <w:t xml:space="preserve">ions </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The study focuses on health financing reforms between 2017 and early 2026, capturing pre-pandemic trends, COVID-19 disruptions, and subsequent policy shifts. While referencing </w:t>
      </w:r>
      <w:r>
        <w:rPr>
          <w:rFonts w:ascii="Times New Roman" w:eastAsia="Times New Roman" w:hAnsi="Times New Roman" w:cs="Times New Roman"/>
          <w:color w:val="1F1F1F"/>
          <w:sz w:val="24"/>
          <w:szCs w:val="24"/>
        </w:rPr>
        <w:lastRenderedPageBreak/>
        <w:t>broader developing-economy experiences, Nigeria serves as the primary case</w:t>
      </w:r>
      <w:r>
        <w:rPr>
          <w:rFonts w:ascii="Times New Roman" w:eastAsia="Times New Roman" w:hAnsi="Times New Roman" w:cs="Times New Roman"/>
          <w:color w:val="1F1F1F"/>
          <w:sz w:val="24"/>
          <w:szCs w:val="24"/>
        </w:rPr>
        <w:t xml:space="preserve"> study. The analysis centres on Partnerships, Investment, and Accountability.</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Limitations include reliance on secondary data and possible reporting discrepancies across institutional datasets. However, triangulation across peer-reviewed and multilateral sources strengthens validity.</w:t>
      </w:r>
    </w:p>
    <w:p w:rsidR="00E36009" w:rsidRDefault="00E36009">
      <w:pPr>
        <w:spacing w:after="240" w:line="480" w:lineRule="auto"/>
        <w:rPr>
          <w:rFonts w:ascii="Times New Roman" w:eastAsia="Times New Roman" w:hAnsi="Times New Roman" w:cs="Times New Roman"/>
          <w:color w:val="1F1F1F"/>
          <w:sz w:val="24"/>
          <w:szCs w:val="24"/>
        </w:rPr>
      </w:pPr>
    </w:p>
    <w:p w:rsidR="00E36009" w:rsidRDefault="00832D5D">
      <w:pPr>
        <w:pStyle w:val="Heading3"/>
        <w:keepNext w:val="0"/>
        <w:keepLines w:val="0"/>
        <w:spacing w:before="280" w:line="480" w:lineRule="auto"/>
        <w:rPr>
          <w:rFonts w:ascii="Times New Roman" w:eastAsia="Times New Roman" w:hAnsi="Times New Roman" w:cs="Times New Roman"/>
          <w:b/>
          <w:bCs/>
          <w:color w:val="1F1F1F"/>
          <w:sz w:val="24"/>
          <w:szCs w:val="24"/>
        </w:rPr>
      </w:pPr>
      <w:bookmarkStart w:id="10" w:name="_obggio83ec7v" w:colFirst="0" w:colLast="0"/>
      <w:bookmarkEnd w:id="10"/>
      <w:r>
        <w:rPr>
          <w:rFonts w:ascii="Times New Roman" w:eastAsia="Times New Roman" w:hAnsi="Times New Roman" w:cs="Times New Roman"/>
          <w:b/>
          <w:bCs/>
          <w:color w:val="1F1F1F"/>
          <w:sz w:val="24"/>
          <w:szCs w:val="24"/>
        </w:rPr>
        <w:t xml:space="preserve">1.7 Operational Definitions </w:t>
      </w:r>
    </w:p>
    <w:p w:rsidR="00E36009" w:rsidRDefault="00832D5D">
      <w:pPr>
        <w:numPr>
          <w:ilvl w:val="0"/>
          <w:numId w:val="6"/>
        </w:numPr>
        <w:spacing w:before="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Universal Health Cov</w:t>
      </w:r>
      <w:r>
        <w:rPr>
          <w:rFonts w:ascii="Times New Roman" w:eastAsia="Times New Roman" w:hAnsi="Times New Roman" w:cs="Times New Roman"/>
          <w:b/>
          <w:bCs/>
          <w:color w:val="1F1F1F"/>
          <w:sz w:val="24"/>
          <w:szCs w:val="24"/>
        </w:rPr>
        <w:t>erage (UHC):</w:t>
      </w:r>
      <w:r>
        <w:rPr>
          <w:rFonts w:ascii="Times New Roman" w:eastAsia="Times New Roman" w:hAnsi="Times New Roman" w:cs="Times New Roman"/>
          <w:color w:val="1F1F1F"/>
          <w:sz w:val="24"/>
          <w:szCs w:val="24"/>
        </w:rPr>
        <w:t xml:space="preserve"> Access to needed health services without financial hardship.</w:t>
      </w:r>
    </w:p>
    <w:p w:rsidR="00E36009" w:rsidRDefault="00832D5D">
      <w:pPr>
        <w:numPr>
          <w:ilvl w:val="0"/>
          <w:numId w:val="6"/>
        </w:numPr>
        <w:spacing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Out-of-Pocket (OOP) Expenditure:</w:t>
      </w:r>
      <w:r>
        <w:rPr>
          <w:rFonts w:ascii="Times New Roman" w:eastAsia="Times New Roman" w:hAnsi="Times New Roman" w:cs="Times New Roman"/>
          <w:color w:val="1F1F1F"/>
          <w:sz w:val="24"/>
          <w:szCs w:val="24"/>
        </w:rPr>
        <w:t xml:space="preserve"> Direct payments made at the point of service, excluding pre-paid insurance or tax-based financing.</w:t>
      </w:r>
    </w:p>
    <w:p w:rsidR="00E36009" w:rsidRDefault="00832D5D">
      <w:pPr>
        <w:numPr>
          <w:ilvl w:val="0"/>
          <w:numId w:val="6"/>
        </w:numPr>
        <w:spacing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Basic Health Care Provision Fund (BHCPF):</w:t>
      </w:r>
      <w:r>
        <w:rPr>
          <w:rFonts w:ascii="Times New Roman" w:eastAsia="Times New Roman" w:hAnsi="Times New Roman" w:cs="Times New Roman"/>
          <w:color w:val="1F1F1F"/>
          <w:sz w:val="24"/>
          <w:szCs w:val="24"/>
        </w:rPr>
        <w:t xml:space="preserve"> A statut</w:t>
      </w:r>
      <w:r>
        <w:rPr>
          <w:rFonts w:ascii="Times New Roman" w:eastAsia="Times New Roman" w:hAnsi="Times New Roman" w:cs="Times New Roman"/>
          <w:color w:val="1F1F1F"/>
          <w:sz w:val="24"/>
          <w:szCs w:val="24"/>
        </w:rPr>
        <w:t>ory fund under the National Health Act (2014), financed by at least 1% of the Consolidated Revenue Fund to support primary healthcare.</w:t>
      </w:r>
    </w:p>
    <w:p w:rsidR="00E36009" w:rsidRDefault="00832D5D">
      <w:pPr>
        <w:numPr>
          <w:ilvl w:val="0"/>
          <w:numId w:val="6"/>
        </w:numPr>
        <w:spacing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Blended Finance:</w:t>
      </w:r>
      <w:r>
        <w:rPr>
          <w:rFonts w:ascii="Times New Roman" w:eastAsia="Times New Roman" w:hAnsi="Times New Roman" w:cs="Times New Roman"/>
          <w:color w:val="1F1F1F"/>
          <w:sz w:val="24"/>
          <w:szCs w:val="24"/>
        </w:rPr>
        <w:t xml:space="preserve"> Use of concessional or development finance to mobilise private capital by reducing risk exposure.</w:t>
      </w:r>
    </w:p>
    <w:p w:rsidR="00E36009" w:rsidRDefault="00832D5D">
      <w:pPr>
        <w:numPr>
          <w:ilvl w:val="0"/>
          <w:numId w:val="6"/>
        </w:numPr>
        <w:spacing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Strate</w:t>
      </w:r>
      <w:r>
        <w:rPr>
          <w:rFonts w:ascii="Times New Roman" w:eastAsia="Times New Roman" w:hAnsi="Times New Roman" w:cs="Times New Roman"/>
          <w:b/>
          <w:bCs/>
          <w:color w:val="1F1F1F"/>
          <w:sz w:val="24"/>
          <w:szCs w:val="24"/>
        </w:rPr>
        <w:t>gic Purchasing:</w:t>
      </w:r>
      <w:r>
        <w:rPr>
          <w:rFonts w:ascii="Times New Roman" w:eastAsia="Times New Roman" w:hAnsi="Times New Roman" w:cs="Times New Roman"/>
          <w:color w:val="1F1F1F"/>
          <w:sz w:val="24"/>
          <w:szCs w:val="24"/>
        </w:rPr>
        <w:t xml:space="preserve"> Evidence-based allocation of pooled funds based on performance and health system priorities.</w:t>
      </w:r>
    </w:p>
    <w:p w:rsidR="00E36009" w:rsidRDefault="00832D5D">
      <w:pPr>
        <w:pStyle w:val="Heading1"/>
        <w:keepNext w:val="0"/>
        <w:keepLines w:val="0"/>
        <w:spacing w:before="480" w:line="480" w:lineRule="auto"/>
        <w:jc w:val="center"/>
        <w:rPr>
          <w:rFonts w:ascii="Times New Roman" w:eastAsia="Times New Roman" w:hAnsi="Times New Roman" w:cs="Times New Roman"/>
          <w:b/>
          <w:bCs/>
          <w:color w:val="1F1F1F"/>
          <w:sz w:val="24"/>
          <w:szCs w:val="24"/>
        </w:rPr>
      </w:pPr>
      <w:bookmarkStart w:id="11" w:name="_esf2ay5ac3qy" w:colFirst="0" w:colLast="0"/>
      <w:bookmarkEnd w:id="11"/>
      <w:r>
        <w:br w:type="page"/>
      </w:r>
    </w:p>
    <w:p w:rsidR="00E36009" w:rsidRDefault="00832D5D">
      <w:pPr>
        <w:pStyle w:val="Heading1"/>
        <w:keepNext w:val="0"/>
        <w:keepLines w:val="0"/>
        <w:spacing w:before="480" w:line="480" w:lineRule="auto"/>
        <w:jc w:val="center"/>
        <w:rPr>
          <w:rFonts w:ascii="Times New Roman" w:eastAsia="Times New Roman" w:hAnsi="Times New Roman" w:cs="Times New Roman"/>
          <w:b/>
          <w:bCs/>
          <w:color w:val="1F1F1F"/>
          <w:sz w:val="24"/>
          <w:szCs w:val="24"/>
        </w:rPr>
      </w:pPr>
      <w:bookmarkStart w:id="12" w:name="_u3lhe0egmqfb" w:colFirst="0" w:colLast="0"/>
      <w:bookmarkEnd w:id="12"/>
      <w:r>
        <w:rPr>
          <w:rFonts w:ascii="Times New Roman" w:eastAsia="Times New Roman" w:hAnsi="Times New Roman" w:cs="Times New Roman"/>
          <w:b/>
          <w:bCs/>
          <w:color w:val="1F1F1F"/>
          <w:sz w:val="24"/>
          <w:szCs w:val="24"/>
        </w:rPr>
        <w:lastRenderedPageBreak/>
        <w:t>CHAPTER TWO</w:t>
      </w:r>
    </w:p>
    <w:p w:rsidR="00E36009" w:rsidRDefault="00832D5D">
      <w:pPr>
        <w:pStyle w:val="Heading2"/>
        <w:keepNext w:val="0"/>
        <w:keepLines w:val="0"/>
        <w:spacing w:after="80" w:line="480" w:lineRule="auto"/>
        <w:jc w:val="center"/>
        <w:rPr>
          <w:rFonts w:ascii="Times New Roman" w:eastAsia="Times New Roman" w:hAnsi="Times New Roman" w:cs="Times New Roman"/>
          <w:color w:val="1F1F1F"/>
          <w:sz w:val="24"/>
          <w:szCs w:val="24"/>
        </w:rPr>
      </w:pPr>
      <w:bookmarkStart w:id="13" w:name="_qcddo5z2b55a" w:colFirst="0" w:colLast="0"/>
      <w:bookmarkEnd w:id="13"/>
      <w:r>
        <w:rPr>
          <w:rFonts w:ascii="Times New Roman" w:eastAsia="Times New Roman" w:hAnsi="Times New Roman" w:cs="Times New Roman"/>
          <w:b/>
          <w:bCs/>
          <w:color w:val="1F1F1F"/>
          <w:sz w:val="24"/>
          <w:szCs w:val="24"/>
        </w:rPr>
        <w:t>LITERATURE REVIEW AND THEORETICAL FRAMEWORK</w:t>
      </w:r>
    </w:p>
    <w:p w:rsidR="00E36009" w:rsidRDefault="00832D5D">
      <w:pPr>
        <w:pStyle w:val="Heading2"/>
        <w:keepNext w:val="0"/>
        <w:keepLines w:val="0"/>
        <w:spacing w:after="80" w:line="480" w:lineRule="auto"/>
        <w:rPr>
          <w:rFonts w:ascii="Times New Roman" w:eastAsia="Times New Roman" w:hAnsi="Times New Roman" w:cs="Times New Roman"/>
          <w:b/>
          <w:bCs/>
          <w:color w:val="1F1F1F"/>
          <w:sz w:val="24"/>
          <w:szCs w:val="24"/>
        </w:rPr>
      </w:pPr>
      <w:bookmarkStart w:id="14" w:name="_wjllfsx8t4p1" w:colFirst="0" w:colLast="0"/>
      <w:bookmarkEnd w:id="14"/>
      <w:r>
        <w:rPr>
          <w:rFonts w:ascii="Times New Roman" w:eastAsia="Times New Roman" w:hAnsi="Times New Roman" w:cs="Times New Roman"/>
          <w:b/>
          <w:bCs/>
          <w:color w:val="1F1F1F"/>
          <w:sz w:val="24"/>
          <w:szCs w:val="24"/>
        </w:rPr>
        <w:t>2.1 Conceptual Review: Core Functions of Health Financing</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Analysis of SDG 3 financing req</w:t>
      </w:r>
      <w:r>
        <w:rPr>
          <w:rFonts w:ascii="Times New Roman" w:eastAsia="Times New Roman" w:hAnsi="Times New Roman" w:cs="Times New Roman"/>
          <w:color w:val="1F1F1F"/>
          <w:sz w:val="24"/>
          <w:szCs w:val="24"/>
        </w:rPr>
        <w:t>uires disaggregation of health financing into its three established functions: revenue collection, risk pooling, and purchasing (WHO, 2020).</w:t>
      </w:r>
    </w:p>
    <w:p w:rsidR="00E36009" w:rsidRDefault="00832D5D">
      <w:pPr>
        <w:pStyle w:val="Heading3"/>
        <w:keepNext w:val="0"/>
        <w:keepLines w:val="0"/>
        <w:spacing w:before="280" w:line="480" w:lineRule="auto"/>
        <w:rPr>
          <w:rFonts w:ascii="Times New Roman" w:eastAsia="Times New Roman" w:hAnsi="Times New Roman" w:cs="Times New Roman"/>
          <w:b/>
          <w:bCs/>
          <w:color w:val="1F1F1F"/>
          <w:sz w:val="24"/>
          <w:szCs w:val="24"/>
        </w:rPr>
      </w:pPr>
      <w:bookmarkStart w:id="15" w:name="_169zw983vpao" w:colFirst="0" w:colLast="0"/>
      <w:bookmarkEnd w:id="15"/>
      <w:r>
        <w:rPr>
          <w:rFonts w:ascii="Times New Roman" w:eastAsia="Times New Roman" w:hAnsi="Times New Roman" w:cs="Times New Roman"/>
          <w:b/>
          <w:bCs/>
          <w:color w:val="1F1F1F"/>
          <w:sz w:val="24"/>
          <w:szCs w:val="24"/>
        </w:rPr>
        <w:t>2.1.1 Revenue Collection</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Revenue collection refers to the mobilisation of funds from households, firms, governments, and donors to finance health services. In many developing economies, including Nigeria, revenue generation remains fragmented and heavily dependent on out-of-pocket</w:t>
      </w:r>
      <w:r>
        <w:rPr>
          <w:rFonts w:ascii="Times New Roman" w:eastAsia="Times New Roman" w:hAnsi="Times New Roman" w:cs="Times New Roman"/>
          <w:color w:val="1F1F1F"/>
          <w:sz w:val="24"/>
          <w:szCs w:val="24"/>
        </w:rPr>
        <w:t xml:space="preserve"> (OOP) payments and external aid.</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Transitioning toward SDG 3 requires shifting from voluntary and point-of-service payments to predictable, compulsory prepayment mechanisms, particularly through general taxation and mandatory insurance contributions (Olaku</w:t>
      </w:r>
      <w:r>
        <w:rPr>
          <w:rFonts w:ascii="Times New Roman" w:eastAsia="Times New Roman" w:hAnsi="Times New Roman" w:cs="Times New Roman"/>
          <w:color w:val="1F1F1F"/>
          <w:sz w:val="24"/>
          <w:szCs w:val="24"/>
        </w:rPr>
        <w:t>nde, 2020). Such restructuring enhances equity and stabilises funding flows.</w:t>
      </w:r>
    </w:p>
    <w:p w:rsidR="00E36009" w:rsidRDefault="00832D5D">
      <w:pPr>
        <w:pStyle w:val="Heading3"/>
        <w:keepNext w:val="0"/>
        <w:keepLines w:val="0"/>
        <w:spacing w:before="280" w:line="480" w:lineRule="auto"/>
        <w:rPr>
          <w:rFonts w:ascii="Times New Roman" w:eastAsia="Times New Roman" w:hAnsi="Times New Roman" w:cs="Times New Roman"/>
          <w:b/>
          <w:bCs/>
          <w:color w:val="1F1F1F"/>
          <w:sz w:val="24"/>
          <w:szCs w:val="24"/>
        </w:rPr>
      </w:pPr>
      <w:bookmarkStart w:id="16" w:name="_cvbt9rhfgg5z" w:colFirst="0" w:colLast="0"/>
      <w:bookmarkEnd w:id="16"/>
      <w:r>
        <w:rPr>
          <w:rFonts w:ascii="Times New Roman" w:eastAsia="Times New Roman" w:hAnsi="Times New Roman" w:cs="Times New Roman"/>
          <w:b/>
          <w:bCs/>
          <w:color w:val="1F1F1F"/>
          <w:sz w:val="24"/>
          <w:szCs w:val="24"/>
        </w:rPr>
        <w:t>2.1.2 Risk Pooling</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Risk pooling involves the accumulation and management of prepaid funds to spread financial risk across populations. Fragmented pools—where private insurance cov</w:t>
      </w:r>
      <w:r>
        <w:rPr>
          <w:rFonts w:ascii="Times New Roman" w:eastAsia="Times New Roman" w:hAnsi="Times New Roman" w:cs="Times New Roman"/>
          <w:color w:val="1F1F1F"/>
          <w:sz w:val="24"/>
          <w:szCs w:val="24"/>
        </w:rPr>
        <w:t>ers high-income groups, formal workers are insured separately, and informal workers remain excluded—limit cross-subsidisation between income and health risks.</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lastRenderedPageBreak/>
        <w:t>Achieving Universal Health Coverage (UHC) requires consolidating pools at the national or state l</w:t>
      </w:r>
      <w:r>
        <w:rPr>
          <w:rFonts w:ascii="Times New Roman" w:eastAsia="Times New Roman" w:hAnsi="Times New Roman" w:cs="Times New Roman"/>
          <w:color w:val="1F1F1F"/>
          <w:sz w:val="24"/>
          <w:szCs w:val="24"/>
        </w:rPr>
        <w:t>evel to enable redistribution from higher-income to lower-income groups and from healthier to sicker populations (Barasa et al., 2018). Without large, integrated pools, financial protection targets under SDG 3 remain unattainable.</w:t>
      </w:r>
    </w:p>
    <w:p w:rsidR="00E36009" w:rsidRDefault="00832D5D">
      <w:pPr>
        <w:pStyle w:val="Heading3"/>
        <w:keepNext w:val="0"/>
        <w:keepLines w:val="0"/>
        <w:spacing w:before="280" w:line="480" w:lineRule="auto"/>
        <w:rPr>
          <w:rFonts w:ascii="Times New Roman" w:eastAsia="Times New Roman" w:hAnsi="Times New Roman" w:cs="Times New Roman"/>
          <w:b/>
          <w:bCs/>
          <w:color w:val="1F1F1F"/>
          <w:sz w:val="24"/>
          <w:szCs w:val="24"/>
        </w:rPr>
      </w:pPr>
      <w:bookmarkStart w:id="17" w:name="_lxo8p5kolu9a" w:colFirst="0" w:colLast="0"/>
      <w:bookmarkEnd w:id="17"/>
      <w:r>
        <w:rPr>
          <w:rFonts w:ascii="Times New Roman" w:eastAsia="Times New Roman" w:hAnsi="Times New Roman" w:cs="Times New Roman"/>
          <w:b/>
          <w:bCs/>
          <w:color w:val="1F1F1F"/>
          <w:sz w:val="24"/>
          <w:szCs w:val="24"/>
        </w:rPr>
        <w:t>2.1.3 Strategic Purchasin</w:t>
      </w:r>
      <w:r>
        <w:rPr>
          <w:rFonts w:ascii="Times New Roman" w:eastAsia="Times New Roman" w:hAnsi="Times New Roman" w:cs="Times New Roman"/>
          <w:b/>
          <w:bCs/>
          <w:color w:val="1F1F1F"/>
          <w:sz w:val="24"/>
          <w:szCs w:val="24"/>
        </w:rPr>
        <w:t>g</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Purchasing refers to the allocation of pooled funds to providers for service delivery. Passive purchasing—characterised by historical budgeting or fee-for-service arrangements—often leads to inefficiency and cost escalation.</w:t>
      </w:r>
    </w:p>
    <w:p w:rsidR="00E36009" w:rsidRDefault="00832D5D">
      <w:pPr>
        <w:spacing w:before="240" w:after="240" w:line="480" w:lineRule="auto"/>
        <w:rPr>
          <w:rFonts w:ascii="Times New Roman" w:eastAsia="Times New Roman" w:hAnsi="Times New Roman" w:cs="Times New Roman"/>
          <w:i/>
          <w:iCs/>
          <w:color w:val="1F1F1F"/>
          <w:sz w:val="24"/>
          <w:szCs w:val="24"/>
        </w:rPr>
      </w:pPr>
      <w:r>
        <w:rPr>
          <w:rFonts w:ascii="Times New Roman" w:eastAsia="Times New Roman" w:hAnsi="Times New Roman" w:cs="Times New Roman"/>
          <w:color w:val="1F1F1F"/>
          <w:sz w:val="24"/>
          <w:szCs w:val="24"/>
        </w:rPr>
        <w:t>Strategic purchasing, in cont</w:t>
      </w:r>
      <w:r>
        <w:rPr>
          <w:rFonts w:ascii="Times New Roman" w:eastAsia="Times New Roman" w:hAnsi="Times New Roman" w:cs="Times New Roman"/>
          <w:color w:val="1F1F1F"/>
          <w:sz w:val="24"/>
          <w:szCs w:val="24"/>
        </w:rPr>
        <w:t>rast, aligns provider payment mechanisms with system objectives by determining what services to buy, from whom, and how to pay (e.g., capitation or performance-based financing) (Mathauer et al., 2017). Strengthening purchasing mechanisms is therefore centr</w:t>
      </w:r>
      <w:r>
        <w:rPr>
          <w:rFonts w:ascii="Times New Roman" w:eastAsia="Times New Roman" w:hAnsi="Times New Roman" w:cs="Times New Roman"/>
          <w:color w:val="1F1F1F"/>
          <w:sz w:val="24"/>
          <w:szCs w:val="24"/>
        </w:rPr>
        <w:t>al to improving efficiency and accountability in health financing.</w:t>
      </w:r>
    </w:p>
    <w:p w:rsidR="00E36009" w:rsidRDefault="00832D5D">
      <w:pPr>
        <w:pStyle w:val="Heading3"/>
        <w:keepNext w:val="0"/>
        <w:keepLines w:val="0"/>
        <w:spacing w:before="280" w:line="480" w:lineRule="auto"/>
        <w:rPr>
          <w:rFonts w:ascii="Times New Roman" w:eastAsia="Times New Roman" w:hAnsi="Times New Roman" w:cs="Times New Roman"/>
          <w:b/>
          <w:bCs/>
          <w:color w:val="1F1F1F"/>
          <w:sz w:val="24"/>
          <w:szCs w:val="24"/>
        </w:rPr>
      </w:pPr>
      <w:bookmarkStart w:id="18" w:name="_hnphodntmc7" w:colFirst="0" w:colLast="0"/>
      <w:bookmarkEnd w:id="18"/>
      <w:r>
        <w:rPr>
          <w:rFonts w:ascii="Times New Roman" w:eastAsia="Times New Roman" w:hAnsi="Times New Roman" w:cs="Times New Roman"/>
          <w:b/>
          <w:bCs/>
          <w:color w:val="1F1F1F"/>
          <w:sz w:val="24"/>
          <w:szCs w:val="24"/>
        </w:rPr>
        <w:t>2.2 Conceptual Framework</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Achieving Sustainable Development Goal 3 (SDG 3), which seeks to ensure healthy lives and promote well-being for all at all ages, requires a multidimensional financ</w:t>
      </w:r>
      <w:r>
        <w:rPr>
          <w:rFonts w:ascii="Times New Roman" w:eastAsia="Times New Roman" w:hAnsi="Times New Roman" w:cs="Times New Roman"/>
          <w:color w:val="1F1F1F"/>
          <w:sz w:val="24"/>
          <w:szCs w:val="24"/>
        </w:rPr>
        <w:t>ing architecture that integrates governance, investment, and institutional partnerships. Health financing is not solely a matter of public expenditure but involves a complex interplay among fiscal capacity, governance structures, and collaborative arrangem</w:t>
      </w:r>
      <w:r>
        <w:rPr>
          <w:rFonts w:ascii="Times New Roman" w:eastAsia="Times New Roman" w:hAnsi="Times New Roman" w:cs="Times New Roman"/>
          <w:color w:val="1F1F1F"/>
          <w:sz w:val="24"/>
          <w:szCs w:val="24"/>
        </w:rPr>
        <w:t xml:space="preserve">ents across the public and private sectors. In the Nigerian context, these dynamics are particularly important due to persistent fiscal constraints, high out-of-pocket health expenditure, and systemic inefficiencies in resource allocation (Olakunde, 2020; </w:t>
      </w:r>
      <w:r>
        <w:rPr>
          <w:rFonts w:ascii="Times New Roman" w:eastAsia="Times New Roman" w:hAnsi="Times New Roman" w:cs="Times New Roman"/>
          <w:color w:val="1F1F1F"/>
          <w:sz w:val="24"/>
          <w:szCs w:val="24"/>
        </w:rPr>
        <w:t>McIntyre et al., 2017).</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lastRenderedPageBreak/>
        <w:t xml:space="preserve">This study adopts a conceptual framework that positions </w:t>
      </w:r>
      <w:r>
        <w:rPr>
          <w:rFonts w:ascii="Times New Roman" w:eastAsia="Times New Roman" w:hAnsi="Times New Roman" w:cs="Times New Roman"/>
          <w:b/>
          <w:bCs/>
          <w:color w:val="1F1F1F"/>
          <w:sz w:val="24"/>
          <w:szCs w:val="24"/>
        </w:rPr>
        <w:t>partnerships, investment, and accountability</w:t>
      </w:r>
      <w:r>
        <w:rPr>
          <w:rFonts w:ascii="Times New Roman" w:eastAsia="Times New Roman" w:hAnsi="Times New Roman" w:cs="Times New Roman"/>
          <w:color w:val="1F1F1F"/>
          <w:sz w:val="24"/>
          <w:szCs w:val="24"/>
        </w:rPr>
        <w:t xml:space="preserve"> as the core drivers of sustainable health financing. Partnerships—particularly public-private collaborations—facilitate the mobilis</w:t>
      </w:r>
      <w:r>
        <w:rPr>
          <w:rFonts w:ascii="Times New Roman" w:eastAsia="Times New Roman" w:hAnsi="Times New Roman" w:cs="Times New Roman"/>
          <w:color w:val="1F1F1F"/>
          <w:sz w:val="24"/>
          <w:szCs w:val="24"/>
        </w:rPr>
        <w:t>ation of additional resources, technical expertise, and infrastructure development within the health sector. Empirical evidence from health system reforms in developing countries suggests that well-structured partnerships can improve healthcare service del</w:t>
      </w:r>
      <w:r>
        <w:rPr>
          <w:rFonts w:ascii="Times New Roman" w:eastAsia="Times New Roman" w:hAnsi="Times New Roman" w:cs="Times New Roman"/>
          <w:color w:val="1F1F1F"/>
          <w:sz w:val="24"/>
          <w:szCs w:val="24"/>
        </w:rPr>
        <w:t>ivery and expand access to quality medical services (Inuwa et al., 2021; IFC, 2022).</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Investment represents the financial commitment required to build resilient health systems capable of delivering Universal Health Coverage. These investments include public</w:t>
      </w:r>
      <w:r>
        <w:rPr>
          <w:rFonts w:ascii="Times New Roman" w:eastAsia="Times New Roman" w:hAnsi="Times New Roman" w:cs="Times New Roman"/>
          <w:color w:val="1F1F1F"/>
          <w:sz w:val="24"/>
          <w:szCs w:val="24"/>
        </w:rPr>
        <w:t xml:space="preserve"> budgetary allocations, international development assistance, private capital inflows, and innovative financing mechanisms. Strategic investment in health infrastructure, medical technologies, and human capital strengthens system capacity and enhances heal</w:t>
      </w:r>
      <w:r>
        <w:rPr>
          <w:rFonts w:ascii="Times New Roman" w:eastAsia="Times New Roman" w:hAnsi="Times New Roman" w:cs="Times New Roman"/>
          <w:color w:val="1F1F1F"/>
          <w:sz w:val="24"/>
          <w:szCs w:val="24"/>
        </w:rPr>
        <w:t>thcare outcomes (WHO, 2020; World Bank, 2018).</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Accountability mechanisms ensure that mobilised resources are allocated efficiently and managed transparently. Strong governance systems, regulatory oversight, and institutional transparency are essential to prevent corruption, improve efficiency in health</w:t>
      </w:r>
      <w:r>
        <w:rPr>
          <w:rFonts w:ascii="Times New Roman" w:eastAsia="Times New Roman" w:hAnsi="Times New Roman" w:cs="Times New Roman"/>
          <w:color w:val="1F1F1F"/>
          <w:sz w:val="24"/>
          <w:szCs w:val="24"/>
        </w:rPr>
        <w:t xml:space="preserve"> spending, and ensure that financial resources translate into tangible health outcomes (Brinkerhoff &amp; Bossert, 2020; Nigeria Health Watch, 2023).</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Within this framework, the interaction of partnerships, investment, and accountability directly influences the</w:t>
      </w:r>
      <w:r>
        <w:rPr>
          <w:rFonts w:ascii="Times New Roman" w:eastAsia="Times New Roman" w:hAnsi="Times New Roman" w:cs="Times New Roman"/>
          <w:color w:val="1F1F1F"/>
          <w:sz w:val="24"/>
          <w:szCs w:val="24"/>
        </w:rPr>
        <w:t xml:space="preserve"> performance of the health system. Effective coordination among these factors reduces financial barriers to healthcare access, strengthens service delivery, and enhances </w:t>
      </w:r>
      <w:r>
        <w:rPr>
          <w:rFonts w:ascii="Times New Roman" w:eastAsia="Times New Roman" w:hAnsi="Times New Roman" w:cs="Times New Roman"/>
          <w:color w:val="1F1F1F"/>
          <w:sz w:val="24"/>
          <w:szCs w:val="24"/>
        </w:rPr>
        <w:lastRenderedPageBreak/>
        <w:t>financial risk protection for households. Ultimately, these outcomes contribute to the</w:t>
      </w:r>
      <w:r>
        <w:rPr>
          <w:rFonts w:ascii="Times New Roman" w:eastAsia="Times New Roman" w:hAnsi="Times New Roman" w:cs="Times New Roman"/>
          <w:color w:val="1F1F1F"/>
          <w:sz w:val="24"/>
          <w:szCs w:val="24"/>
        </w:rPr>
        <w:t xml:space="preserve"> realisation of Universal Health Coverage and the broader objectives of SDG 3.</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The framework, therefore, conceptualises sustainable health financing as a dynamic process in which partnerships mobilise resources, investment strengthens health system capacit</w:t>
      </w:r>
      <w:r>
        <w:rPr>
          <w:rFonts w:ascii="Times New Roman" w:eastAsia="Times New Roman" w:hAnsi="Times New Roman" w:cs="Times New Roman"/>
          <w:color w:val="1F1F1F"/>
          <w:sz w:val="24"/>
          <w:szCs w:val="24"/>
        </w:rPr>
        <w:t>y, and accountability ensures efficient and equitable utilisation of funds. When these elements function effectively, they collectively improve access to healthcare, reduce out-of-pocket expenditures, and enhance population health outcomes in Nigeria.</w:t>
      </w:r>
    </w:p>
    <w:p w:rsidR="00E36009" w:rsidRDefault="00832D5D">
      <w:pPr>
        <w:spacing w:before="240" w:after="240" w:line="480" w:lineRule="auto"/>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Figu</w:t>
      </w:r>
      <w:r>
        <w:rPr>
          <w:rFonts w:ascii="Times New Roman" w:eastAsia="Times New Roman" w:hAnsi="Times New Roman" w:cs="Times New Roman"/>
          <w:b/>
          <w:bCs/>
          <w:color w:val="1F1F1F"/>
          <w:sz w:val="24"/>
          <w:szCs w:val="24"/>
        </w:rPr>
        <w:t>re 2.2: Conceptual Framework Linking Partnerships, Investment, and Accountability to SDG 3 Outcomes in Nigeria.</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noProof/>
          <w:color w:val="1F1F1F"/>
          <w:sz w:val="24"/>
          <w:szCs w:val="24"/>
          <w:lang w:val="en-IN"/>
        </w:rPr>
        <mc:AlternateContent>
          <mc:Choice Requires="wpg">
            <w:drawing>
              <wp:inline distT="114300" distB="114300" distL="114300" distR="114300">
                <wp:extent cx="3686175" cy="2818656"/>
                <wp:effectExtent l="0" t="0" r="0" b="0"/>
                <wp:docPr id="1" name="Group 1"/>
                <wp:cNvGraphicFramePr/>
                <a:graphic xmlns:a="http://schemas.openxmlformats.org/drawingml/2006/main">
                  <a:graphicData uri="http://schemas.microsoft.com/office/word/2010/wordprocessingGroup">
                    <wpg:wgp>
                      <wpg:cNvGrpSpPr/>
                      <wpg:grpSpPr>
                        <a:xfrm>
                          <a:off x="0" y="0"/>
                          <a:ext cx="3686175" cy="2818656"/>
                          <a:chOff x="1324550" y="117925"/>
                          <a:chExt cx="3458200" cy="4626400"/>
                        </a:xfrm>
                      </wpg:grpSpPr>
                      <wps:wsp>
                        <wps:cNvPr id="2" name="Rounded Rectangle 2"/>
                        <wps:cNvSpPr/>
                        <wps:spPr>
                          <a:xfrm>
                            <a:off x="1329325" y="122700"/>
                            <a:ext cx="3446100" cy="5319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rsidR="00E36009" w:rsidRDefault="00832D5D">
                              <w:pPr>
                                <w:spacing w:line="240" w:lineRule="auto"/>
                                <w:jc w:val="center"/>
                                <w:textDirection w:val="btLr"/>
                              </w:pPr>
                              <w:r>
                                <w:rPr>
                                  <w:color w:val="000000"/>
                                  <w:sz w:val="28"/>
                                </w:rPr>
                                <w:t>Partnerships (Public-Private Collaboration)</w:t>
                              </w:r>
                            </w:p>
                          </w:txbxContent>
                        </wps:txbx>
                        <wps:bodyPr spcFirstLastPara="1" wrap="square" lIns="91425" tIns="91425" rIns="91425" bIns="91425" anchor="ctr" anchorCtr="0">
                          <a:noAutofit/>
                        </wps:bodyPr>
                      </wps:wsp>
                      <wps:wsp>
                        <wps:cNvPr id="3" name="Straight Arrow Connector 3"/>
                        <wps:cNvCnPr/>
                        <wps:spPr>
                          <a:xfrm>
                            <a:off x="3052375" y="654600"/>
                            <a:ext cx="5100" cy="511200"/>
                          </a:xfrm>
                          <a:prstGeom prst="straightConnector1">
                            <a:avLst/>
                          </a:prstGeom>
                          <a:noFill/>
                          <a:ln w="9525" cap="flat" cmpd="sng">
                            <a:solidFill>
                              <a:srgbClr val="000000"/>
                            </a:solidFill>
                            <a:prstDash val="solid"/>
                            <a:round/>
                            <a:headEnd type="none" w="med" len="med"/>
                            <a:tailEnd type="triangle" w="med" len="med"/>
                          </a:ln>
                        </wps:spPr>
                        <wps:bodyPr/>
                      </wps:wsp>
                      <wps:wsp>
                        <wps:cNvPr id="4" name="Rounded Rectangle 4"/>
                        <wps:cNvSpPr/>
                        <wps:spPr>
                          <a:xfrm>
                            <a:off x="1329325" y="1165800"/>
                            <a:ext cx="3446100" cy="5319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rsidR="00E36009" w:rsidRDefault="00832D5D">
                              <w:pPr>
                                <w:spacing w:line="240" w:lineRule="auto"/>
                                <w:jc w:val="center"/>
                                <w:textDirection w:val="btLr"/>
                              </w:pPr>
                              <w:r>
                                <w:rPr>
                                  <w:color w:val="000000"/>
                                  <w:sz w:val="28"/>
                                </w:rPr>
                                <w:t xml:space="preserve">      Investment</w:t>
                              </w:r>
                            </w:p>
                            <w:p w:rsidR="00E36009" w:rsidRDefault="00832D5D">
                              <w:pPr>
                                <w:spacing w:line="240" w:lineRule="auto"/>
                                <w:jc w:val="center"/>
                                <w:textDirection w:val="btLr"/>
                              </w:pPr>
                              <w:r>
                                <w:rPr>
                                  <w:color w:val="000000"/>
                                  <w:sz w:val="28"/>
                                </w:rPr>
                                <w:t>(Public, Private, Donor Funding)</w:t>
                              </w:r>
                            </w:p>
                          </w:txbxContent>
                        </wps:txbx>
                        <wps:bodyPr spcFirstLastPara="1" wrap="square" lIns="91425" tIns="91425" rIns="91425" bIns="91425" anchor="ctr" anchorCtr="0">
                          <a:noAutofit/>
                        </wps:bodyPr>
                      </wps:wsp>
                      <wps:wsp>
                        <wps:cNvPr id="5" name="Straight Arrow Connector 5"/>
                        <wps:cNvCnPr/>
                        <wps:spPr>
                          <a:xfrm>
                            <a:off x="3052375" y="1697700"/>
                            <a:ext cx="5100" cy="511200"/>
                          </a:xfrm>
                          <a:prstGeom prst="straightConnector1">
                            <a:avLst/>
                          </a:prstGeom>
                          <a:noFill/>
                          <a:ln w="9525" cap="flat" cmpd="sng">
                            <a:solidFill>
                              <a:srgbClr val="000000"/>
                            </a:solidFill>
                            <a:prstDash val="solid"/>
                            <a:round/>
                            <a:headEnd type="none" w="med" len="med"/>
                            <a:tailEnd type="triangle" w="med" len="med"/>
                          </a:ln>
                        </wps:spPr>
                        <wps:bodyPr/>
                      </wps:wsp>
                      <wps:wsp>
                        <wps:cNvPr id="6" name="Rounded Rectangle 6"/>
                        <wps:cNvSpPr/>
                        <wps:spPr>
                          <a:xfrm>
                            <a:off x="1329325" y="2219250"/>
                            <a:ext cx="3446100" cy="5112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rsidR="00E36009" w:rsidRDefault="00832D5D">
                              <w:pPr>
                                <w:spacing w:line="240" w:lineRule="auto"/>
                                <w:jc w:val="center"/>
                                <w:textDirection w:val="btLr"/>
                              </w:pPr>
                              <w:r>
                                <w:rPr>
                                  <w:color w:val="000000"/>
                                  <w:sz w:val="28"/>
                                </w:rPr>
                                <w:t xml:space="preserve">    Accountability</w:t>
                              </w:r>
                            </w:p>
                            <w:p w:rsidR="00E36009" w:rsidRDefault="00832D5D">
                              <w:pPr>
                                <w:spacing w:line="240" w:lineRule="auto"/>
                                <w:jc w:val="center"/>
                                <w:textDirection w:val="btLr"/>
                              </w:pPr>
                              <w:r>
                                <w:rPr>
                                  <w:color w:val="000000"/>
                                  <w:sz w:val="28"/>
                                </w:rPr>
                                <w:t>(Governance, Transparency, Regulation)</w:t>
                              </w:r>
                            </w:p>
                          </w:txbxContent>
                        </wps:txbx>
                        <wps:bodyPr spcFirstLastPara="1" wrap="square" lIns="91425" tIns="91425" rIns="91425" bIns="91425" anchor="ctr" anchorCtr="0">
                          <a:noAutofit/>
                        </wps:bodyPr>
                      </wps:wsp>
                      <wps:wsp>
                        <wps:cNvPr id="7" name="Rounded Rectangle 7"/>
                        <wps:cNvSpPr/>
                        <wps:spPr>
                          <a:xfrm>
                            <a:off x="1329325" y="4228350"/>
                            <a:ext cx="3446100" cy="5112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rsidR="00E36009" w:rsidRDefault="00832D5D">
                              <w:pPr>
                                <w:spacing w:line="240" w:lineRule="auto"/>
                                <w:jc w:val="center"/>
                                <w:textDirection w:val="btLr"/>
                              </w:pPr>
                              <w:r>
                                <w:rPr>
                                  <w:color w:val="000000"/>
                                  <w:sz w:val="28"/>
                                </w:rPr>
                                <w:t xml:space="preserve"> Universal Health Coverage (SDG 3)</w:t>
                              </w:r>
                            </w:p>
                          </w:txbxContent>
                        </wps:txbx>
                        <wps:bodyPr spcFirstLastPara="1" wrap="square" lIns="91425" tIns="91425" rIns="91425" bIns="91425" anchor="ctr" anchorCtr="0">
                          <a:noAutofit/>
                        </wps:bodyPr>
                      </wps:wsp>
                      <wps:wsp>
                        <wps:cNvPr id="8" name="Rounded Rectangle 8"/>
                        <wps:cNvSpPr/>
                        <wps:spPr>
                          <a:xfrm>
                            <a:off x="1331875" y="3252000"/>
                            <a:ext cx="3446100" cy="5112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rsidR="00E36009" w:rsidRDefault="00832D5D">
                              <w:pPr>
                                <w:spacing w:line="240" w:lineRule="auto"/>
                                <w:jc w:val="center"/>
                                <w:textDirection w:val="btLr"/>
                              </w:pPr>
                              <w:r>
                                <w:rPr>
                                  <w:color w:val="000000"/>
                                  <w:sz w:val="28"/>
                                </w:rPr>
                                <w:t xml:space="preserve">    Health System Strengthening</w:t>
                              </w:r>
                            </w:p>
                          </w:txbxContent>
                        </wps:txbx>
                        <wps:bodyPr spcFirstLastPara="1" wrap="square" lIns="91425" tIns="91425" rIns="91425" bIns="91425" anchor="ctr" anchorCtr="0">
                          <a:noAutofit/>
                        </wps:bodyPr>
                      </wps:wsp>
                      <wps:wsp>
                        <wps:cNvPr id="9" name="Straight Arrow Connector 9"/>
                        <wps:cNvCnPr/>
                        <wps:spPr>
                          <a:xfrm>
                            <a:off x="3109225" y="3763200"/>
                            <a:ext cx="5100" cy="511200"/>
                          </a:xfrm>
                          <a:prstGeom prst="straightConnector1">
                            <a:avLst/>
                          </a:prstGeom>
                          <a:noFill/>
                          <a:ln w="9525" cap="flat" cmpd="sng">
                            <a:solidFill>
                              <a:srgbClr val="000000"/>
                            </a:solidFill>
                            <a:prstDash val="solid"/>
                            <a:round/>
                            <a:headEnd type="none" w="med" len="med"/>
                            <a:tailEnd type="triangle" w="med" len="med"/>
                          </a:ln>
                        </wps:spPr>
                        <wps:bodyPr/>
                      </wps:wsp>
                      <wps:wsp>
                        <wps:cNvPr id="10" name="Straight Arrow Connector 10"/>
                        <wps:cNvCnPr/>
                        <wps:spPr>
                          <a:xfrm>
                            <a:off x="3052375" y="2740800"/>
                            <a:ext cx="5100" cy="511200"/>
                          </a:xfrm>
                          <a:prstGeom prst="straightConnector1">
                            <a:avLst/>
                          </a:prstGeom>
                          <a:noFill/>
                          <a:ln w="9525" cap="flat" cmpd="sng">
                            <a:solidFill>
                              <a:srgbClr val="000000"/>
                            </a:solidFill>
                            <a:prstDash val="solid"/>
                            <a:round/>
                            <a:headEnd type="none" w="med" len="med"/>
                            <a:tailEnd type="triangle" w="med" len="med"/>
                          </a:ln>
                        </wps:spPr>
                        <wps:bodyPr/>
                      </wps:wsp>
                    </wpg:wgp>
                  </a:graphicData>
                </a:graphic>
              </wp:inline>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686175" cy="2818656"/>
                <wp:effectExtent b="0" l="0" r="0" t="0"/>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3686175" cy="2818656"/>
                        </a:xfrm>
                        <a:prstGeom prst="rect"/>
                        <a:ln/>
                      </pic:spPr>
                    </pic:pic>
                  </a:graphicData>
                </a:graphic>
              </wp:inline>
            </w:drawing>
          </mc:Fallback>
        </mc:AlternateContent>
      </w:r>
    </w:p>
    <w:p w:rsidR="00E36009" w:rsidRDefault="00832D5D">
      <w:pPr>
        <w:pStyle w:val="Heading2"/>
        <w:keepNext w:val="0"/>
        <w:keepLines w:val="0"/>
        <w:spacing w:after="80" w:line="480" w:lineRule="auto"/>
        <w:rPr>
          <w:rFonts w:ascii="Times New Roman" w:eastAsia="Times New Roman" w:hAnsi="Times New Roman" w:cs="Times New Roman"/>
          <w:b/>
          <w:bCs/>
          <w:color w:val="1F1F1F"/>
          <w:sz w:val="24"/>
          <w:szCs w:val="24"/>
        </w:rPr>
      </w:pPr>
      <w:bookmarkStart w:id="19" w:name="_5k47ae9iotb" w:colFirst="0" w:colLast="0"/>
      <w:bookmarkEnd w:id="19"/>
      <w:r>
        <w:rPr>
          <w:rFonts w:ascii="Times New Roman" w:eastAsia="Times New Roman" w:hAnsi="Times New Roman" w:cs="Times New Roman"/>
          <w:b/>
          <w:bCs/>
          <w:color w:val="1F1F1F"/>
          <w:sz w:val="24"/>
          <w:szCs w:val="24"/>
        </w:rPr>
        <w:t>2.3 Theoretical Framework</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This study draws on four contemporary frameworks (2017–2024) that reflect current fiscal and institutional realities.</w:t>
      </w:r>
    </w:p>
    <w:p w:rsidR="00E36009" w:rsidRDefault="00832D5D">
      <w:pPr>
        <w:pStyle w:val="Heading3"/>
        <w:keepNext w:val="0"/>
        <w:keepLines w:val="0"/>
        <w:spacing w:before="280" w:line="480" w:lineRule="auto"/>
        <w:rPr>
          <w:rFonts w:ascii="Times New Roman" w:eastAsia="Times New Roman" w:hAnsi="Times New Roman" w:cs="Times New Roman"/>
          <w:b/>
          <w:bCs/>
          <w:color w:val="1F1F1F"/>
          <w:sz w:val="24"/>
          <w:szCs w:val="24"/>
        </w:rPr>
      </w:pPr>
      <w:bookmarkStart w:id="20" w:name="_xuleyz3hvfbb" w:colFirst="0" w:colLast="0"/>
      <w:bookmarkEnd w:id="20"/>
      <w:r>
        <w:rPr>
          <w:rFonts w:ascii="Times New Roman" w:eastAsia="Times New Roman" w:hAnsi="Times New Roman" w:cs="Times New Roman"/>
          <w:b/>
          <w:bCs/>
          <w:color w:val="1F1F1F"/>
          <w:sz w:val="24"/>
          <w:szCs w:val="24"/>
        </w:rPr>
        <w:lastRenderedPageBreak/>
        <w:t>2</w:t>
      </w:r>
      <w:r>
        <w:rPr>
          <w:rFonts w:ascii="Times New Roman" w:eastAsia="Times New Roman" w:hAnsi="Times New Roman" w:cs="Times New Roman"/>
          <w:b/>
          <w:bCs/>
          <w:color w:val="1F1F1F"/>
          <w:sz w:val="24"/>
          <w:szCs w:val="24"/>
        </w:rPr>
        <w:t>.3.1 Human Capital Framework for Health (World Bank, 2018)</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The Human Capital Framework reconceptualises health expenditure as investment rather than consumption. It models the impact of health outcomes—such as stunting, adult mortality, and untreated chron</w:t>
      </w:r>
      <w:r>
        <w:rPr>
          <w:rFonts w:ascii="Times New Roman" w:eastAsia="Times New Roman" w:hAnsi="Times New Roman" w:cs="Times New Roman"/>
          <w:color w:val="1F1F1F"/>
          <w:sz w:val="24"/>
          <w:szCs w:val="24"/>
        </w:rPr>
        <w:t>ic disease—on long-term productivity and GDP growth.</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Relevance to the Study:</w:t>
      </w:r>
      <w:r>
        <w:rPr>
          <w:rFonts w:ascii="Times New Roman" w:eastAsia="Times New Roman" w:hAnsi="Times New Roman" w:cs="Times New Roman"/>
          <w:b/>
          <w:bCs/>
          <w:color w:val="1F1F1F"/>
          <w:sz w:val="24"/>
          <w:szCs w:val="24"/>
        </w:rPr>
        <w:br/>
      </w:r>
      <w:r>
        <w:rPr>
          <w:rFonts w:ascii="Times New Roman" w:eastAsia="Times New Roman" w:hAnsi="Times New Roman" w:cs="Times New Roman"/>
          <w:color w:val="1F1F1F"/>
          <w:sz w:val="24"/>
          <w:szCs w:val="24"/>
        </w:rPr>
        <w:t xml:space="preserve">For Nigeria, this framework provides macroeconomic justification for prioritising SDG 3. Health investment enhances labour productivity and long-term growth potential, supporting </w:t>
      </w:r>
      <w:r>
        <w:rPr>
          <w:rFonts w:ascii="Times New Roman" w:eastAsia="Times New Roman" w:hAnsi="Times New Roman" w:cs="Times New Roman"/>
          <w:color w:val="1F1F1F"/>
          <w:sz w:val="24"/>
          <w:szCs w:val="24"/>
        </w:rPr>
        <w:t>arguments for mobilising domestic capital and attracting private investment into health infrastructure.</w:t>
      </w:r>
    </w:p>
    <w:p w:rsidR="00E36009" w:rsidRDefault="00832D5D">
      <w:pPr>
        <w:spacing w:before="240" w:after="240" w:line="480" w:lineRule="auto"/>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2.3.2 Fiscal Space for Health Framework (Barasa et al., 2018)</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This framework identifies five sources of fiscal space for health:</w:t>
      </w:r>
    </w:p>
    <w:p w:rsidR="00E36009" w:rsidRDefault="00832D5D">
      <w:pPr>
        <w:numPr>
          <w:ilvl w:val="0"/>
          <w:numId w:val="5"/>
        </w:numPr>
        <w:spacing w:before="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Macroeconomic growth</w:t>
      </w:r>
    </w:p>
    <w:p w:rsidR="00E36009" w:rsidRDefault="00832D5D">
      <w:pPr>
        <w:numPr>
          <w:ilvl w:val="0"/>
          <w:numId w:val="5"/>
        </w:numPr>
        <w:spacing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Budget reprioritization</w:t>
      </w:r>
    </w:p>
    <w:p w:rsidR="00E36009" w:rsidRDefault="00832D5D">
      <w:pPr>
        <w:numPr>
          <w:ilvl w:val="0"/>
          <w:numId w:val="5"/>
        </w:numPr>
        <w:spacing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Health-specific domestic revenues (e.g., excise taxes)</w:t>
      </w:r>
    </w:p>
    <w:p w:rsidR="00E36009" w:rsidRDefault="00832D5D">
      <w:pPr>
        <w:numPr>
          <w:ilvl w:val="0"/>
          <w:numId w:val="5"/>
        </w:numPr>
        <w:spacing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External assistance</w:t>
      </w:r>
    </w:p>
    <w:p w:rsidR="00E36009" w:rsidRDefault="00832D5D">
      <w:pPr>
        <w:numPr>
          <w:ilvl w:val="0"/>
          <w:numId w:val="5"/>
        </w:numPr>
        <w:spacing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Efficiency gains</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In fiscally constrained contexts characterised by high debt servicing and low tax-to-GDP ratios, expanding fiscal space through domestic rev</w:t>
      </w:r>
      <w:r>
        <w:rPr>
          <w:rFonts w:ascii="Times New Roman" w:eastAsia="Times New Roman" w:hAnsi="Times New Roman" w:cs="Times New Roman"/>
          <w:color w:val="1F1F1F"/>
          <w:sz w:val="24"/>
          <w:szCs w:val="24"/>
        </w:rPr>
        <w:t>enue reforms and efficiency improvements becomes essential.</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lastRenderedPageBreak/>
        <w:t>Relevance to the Study:</w:t>
      </w:r>
      <w:r>
        <w:rPr>
          <w:rFonts w:ascii="Times New Roman" w:eastAsia="Times New Roman" w:hAnsi="Times New Roman" w:cs="Times New Roman"/>
          <w:b/>
          <w:bCs/>
          <w:color w:val="1F1F1F"/>
          <w:sz w:val="24"/>
          <w:szCs w:val="24"/>
        </w:rPr>
        <w:br/>
      </w:r>
      <w:r>
        <w:rPr>
          <w:rFonts w:ascii="Times New Roman" w:eastAsia="Times New Roman" w:hAnsi="Times New Roman" w:cs="Times New Roman"/>
          <w:color w:val="1F1F1F"/>
          <w:sz w:val="24"/>
          <w:szCs w:val="24"/>
        </w:rPr>
        <w:t>For Nigeria, sustainable health financing depends less on donor inflows and more on expanding health-specific taxation and improving expenditure efficiency.</w:t>
      </w:r>
    </w:p>
    <w:p w:rsidR="00E36009" w:rsidRDefault="00832D5D">
      <w:pPr>
        <w:pStyle w:val="Heading3"/>
        <w:keepNext w:val="0"/>
        <w:keepLines w:val="0"/>
        <w:spacing w:before="280" w:line="480" w:lineRule="auto"/>
        <w:rPr>
          <w:rFonts w:ascii="Times New Roman" w:eastAsia="Times New Roman" w:hAnsi="Times New Roman" w:cs="Times New Roman"/>
          <w:b/>
          <w:bCs/>
          <w:color w:val="1F1F1F"/>
          <w:sz w:val="24"/>
          <w:szCs w:val="24"/>
        </w:rPr>
      </w:pPr>
      <w:bookmarkStart w:id="21" w:name="_zgshesg2midb" w:colFirst="0" w:colLast="0"/>
      <w:bookmarkEnd w:id="21"/>
      <w:r>
        <w:rPr>
          <w:rFonts w:ascii="Times New Roman" w:eastAsia="Times New Roman" w:hAnsi="Times New Roman" w:cs="Times New Roman"/>
          <w:b/>
          <w:bCs/>
          <w:color w:val="1F1F1F"/>
          <w:sz w:val="24"/>
          <w:szCs w:val="24"/>
        </w:rPr>
        <w:t>2.3.3 Health Governance and Accountability Model (Brinkerhoff &amp; Bossert, 2020)</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This model examines principal–agent relationships in decentralised health systems, emphasising accountability linkages between policymakers, providers, and citizens.</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Financing r</w:t>
      </w:r>
      <w:r>
        <w:rPr>
          <w:rFonts w:ascii="Times New Roman" w:eastAsia="Times New Roman" w:hAnsi="Times New Roman" w:cs="Times New Roman"/>
          <w:color w:val="1F1F1F"/>
          <w:sz w:val="24"/>
          <w:szCs w:val="24"/>
        </w:rPr>
        <w:t>eforms may fail where monitoring systems are weak and incentives are misaligned.</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Relevance to the Study:</w:t>
      </w:r>
      <w:r>
        <w:rPr>
          <w:rFonts w:ascii="Times New Roman" w:eastAsia="Times New Roman" w:hAnsi="Times New Roman" w:cs="Times New Roman"/>
          <w:b/>
          <w:bCs/>
          <w:color w:val="1F1F1F"/>
          <w:sz w:val="24"/>
          <w:szCs w:val="24"/>
        </w:rPr>
        <w:br/>
      </w:r>
      <w:r>
        <w:rPr>
          <w:rFonts w:ascii="Times New Roman" w:eastAsia="Times New Roman" w:hAnsi="Times New Roman" w:cs="Times New Roman"/>
          <w:color w:val="1F1F1F"/>
          <w:sz w:val="24"/>
          <w:szCs w:val="24"/>
        </w:rPr>
        <w:t>The model explains why expanded funding through mechanisms such as the Basic Health Care Provision Fund (BHCPF) or the National Health Insurance Author</w:t>
      </w:r>
      <w:r>
        <w:rPr>
          <w:rFonts w:ascii="Times New Roman" w:eastAsia="Times New Roman" w:hAnsi="Times New Roman" w:cs="Times New Roman"/>
          <w:color w:val="1F1F1F"/>
          <w:sz w:val="24"/>
          <w:szCs w:val="24"/>
        </w:rPr>
        <w:t>ity (NHIA) requires strong fiduciary oversight and citizen accountability to translate financial inputs into service delivery outcomes.</w:t>
      </w:r>
    </w:p>
    <w:p w:rsidR="00E36009" w:rsidRDefault="00832D5D">
      <w:pPr>
        <w:pStyle w:val="Heading3"/>
        <w:keepNext w:val="0"/>
        <w:keepLines w:val="0"/>
        <w:spacing w:before="280" w:line="480" w:lineRule="auto"/>
        <w:rPr>
          <w:rFonts w:ascii="Times New Roman" w:eastAsia="Times New Roman" w:hAnsi="Times New Roman" w:cs="Times New Roman"/>
          <w:b/>
          <w:bCs/>
          <w:color w:val="1F1F1F"/>
          <w:sz w:val="24"/>
          <w:szCs w:val="24"/>
        </w:rPr>
      </w:pPr>
      <w:bookmarkStart w:id="22" w:name="_ggvd6xfyrxqm" w:colFirst="0" w:colLast="0"/>
      <w:bookmarkEnd w:id="22"/>
      <w:r>
        <w:rPr>
          <w:rFonts w:ascii="Times New Roman" w:eastAsia="Times New Roman" w:hAnsi="Times New Roman" w:cs="Times New Roman"/>
          <w:b/>
          <w:bCs/>
          <w:color w:val="1F1F1F"/>
          <w:sz w:val="24"/>
          <w:szCs w:val="24"/>
        </w:rPr>
        <w:t>2.3.4 Health Systems Resilience Framework (Thomas et al., 2020)</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Emerging prominently during the COVID-19 pandemic, this </w:t>
      </w:r>
      <w:r>
        <w:rPr>
          <w:rFonts w:ascii="Times New Roman" w:eastAsia="Times New Roman" w:hAnsi="Times New Roman" w:cs="Times New Roman"/>
          <w:color w:val="1F1F1F"/>
          <w:sz w:val="24"/>
          <w:szCs w:val="24"/>
        </w:rPr>
        <w:t>framework emphasises a system’s capacity to absorb shocks, maintain core functions, and adapt to changing conditions.</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Relevance to the Study:</w:t>
      </w:r>
      <w:r>
        <w:rPr>
          <w:rFonts w:ascii="Times New Roman" w:eastAsia="Times New Roman" w:hAnsi="Times New Roman" w:cs="Times New Roman"/>
          <w:b/>
          <w:bCs/>
          <w:color w:val="1F1F1F"/>
          <w:sz w:val="24"/>
          <w:szCs w:val="24"/>
        </w:rPr>
        <w:br/>
      </w:r>
      <w:r>
        <w:rPr>
          <w:rFonts w:ascii="Times New Roman" w:eastAsia="Times New Roman" w:hAnsi="Times New Roman" w:cs="Times New Roman"/>
          <w:color w:val="1F1F1F"/>
          <w:sz w:val="24"/>
          <w:szCs w:val="24"/>
        </w:rPr>
        <w:t>Sustainable financing must support resilient infrastructure, diversified supply chains, and domestic production ca</w:t>
      </w:r>
      <w:r>
        <w:rPr>
          <w:rFonts w:ascii="Times New Roman" w:eastAsia="Times New Roman" w:hAnsi="Times New Roman" w:cs="Times New Roman"/>
          <w:color w:val="1F1F1F"/>
          <w:sz w:val="24"/>
          <w:szCs w:val="24"/>
        </w:rPr>
        <w:t>pacity to withstand macroeconomic and public health shocks.</w:t>
      </w:r>
    </w:p>
    <w:p w:rsidR="00E36009" w:rsidRDefault="00832D5D">
      <w:pPr>
        <w:pStyle w:val="Heading2"/>
        <w:keepNext w:val="0"/>
        <w:keepLines w:val="0"/>
        <w:spacing w:after="80" w:line="480" w:lineRule="auto"/>
        <w:rPr>
          <w:rFonts w:ascii="Times New Roman" w:eastAsia="Times New Roman" w:hAnsi="Times New Roman" w:cs="Times New Roman"/>
          <w:b/>
          <w:bCs/>
          <w:color w:val="1F1F1F"/>
          <w:sz w:val="24"/>
          <w:szCs w:val="24"/>
        </w:rPr>
      </w:pPr>
      <w:bookmarkStart w:id="23" w:name="_kgrh82z7gfl7" w:colFirst="0" w:colLast="0"/>
      <w:bookmarkEnd w:id="23"/>
      <w:r>
        <w:rPr>
          <w:rFonts w:ascii="Times New Roman" w:eastAsia="Times New Roman" w:hAnsi="Times New Roman" w:cs="Times New Roman"/>
          <w:b/>
          <w:bCs/>
          <w:color w:val="1F1F1F"/>
          <w:sz w:val="24"/>
          <w:szCs w:val="24"/>
        </w:rPr>
        <w:t>2.4 Empirical Review</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lastRenderedPageBreak/>
        <w:t>This section reviews empirical studies published since 2017, organised by thematic relevance.</w:t>
      </w:r>
    </w:p>
    <w:p w:rsidR="00E36009" w:rsidRDefault="00832D5D">
      <w:pPr>
        <w:pStyle w:val="Heading3"/>
        <w:keepNext w:val="0"/>
        <w:keepLines w:val="0"/>
        <w:spacing w:before="280" w:line="480" w:lineRule="auto"/>
        <w:rPr>
          <w:rFonts w:ascii="Times New Roman" w:eastAsia="Times New Roman" w:hAnsi="Times New Roman" w:cs="Times New Roman"/>
          <w:b/>
          <w:bCs/>
          <w:color w:val="1F1F1F"/>
          <w:sz w:val="24"/>
          <w:szCs w:val="24"/>
        </w:rPr>
      </w:pPr>
      <w:bookmarkStart w:id="24" w:name="_6reu1dge8ox2" w:colFirst="0" w:colLast="0"/>
      <w:bookmarkEnd w:id="24"/>
      <w:r>
        <w:rPr>
          <w:rFonts w:ascii="Times New Roman" w:eastAsia="Times New Roman" w:hAnsi="Times New Roman" w:cs="Times New Roman"/>
          <w:b/>
          <w:bCs/>
          <w:color w:val="1F1F1F"/>
          <w:sz w:val="24"/>
          <w:szCs w:val="24"/>
        </w:rPr>
        <w:t>2.4.1 OOP Expenditure and Catastrophic Costs</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Empirical evidence consistently link</w:t>
      </w:r>
      <w:r>
        <w:rPr>
          <w:rFonts w:ascii="Times New Roman" w:eastAsia="Times New Roman" w:hAnsi="Times New Roman" w:cs="Times New Roman"/>
          <w:color w:val="1F1F1F"/>
          <w:sz w:val="24"/>
          <w:szCs w:val="24"/>
        </w:rPr>
        <w:t>s OOP financing to poverty and financial hardship. Aregbeshola and Khan (2018) found that OOP payments contribute significantly to catastrophic health expenditure in Nigeria, pushing millions into poverty annually.</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Sparkes et al. (2019) further demonstrate</w:t>
      </w:r>
      <w:r>
        <w:rPr>
          <w:rFonts w:ascii="Times New Roman" w:eastAsia="Times New Roman" w:hAnsi="Times New Roman" w:cs="Times New Roman"/>
          <w:color w:val="1F1F1F"/>
          <w:sz w:val="24"/>
          <w:szCs w:val="24"/>
        </w:rPr>
        <w:t xml:space="preserve"> through cross-country analysis that progress toward UHC requires legislated transitions from voluntary and OOP systems to mandatory prepayment schemes.</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These findings support the restructuring of Nigeria’s financing architecture toward pooled, prepaid mec</w:t>
      </w:r>
      <w:r>
        <w:rPr>
          <w:rFonts w:ascii="Times New Roman" w:eastAsia="Times New Roman" w:hAnsi="Times New Roman" w:cs="Times New Roman"/>
          <w:color w:val="1F1F1F"/>
          <w:sz w:val="24"/>
          <w:szCs w:val="24"/>
        </w:rPr>
        <w:t>hanisms.</w:t>
      </w:r>
    </w:p>
    <w:p w:rsidR="00E36009" w:rsidRDefault="00832D5D">
      <w:pPr>
        <w:pStyle w:val="Heading3"/>
        <w:keepNext w:val="0"/>
        <w:keepLines w:val="0"/>
        <w:spacing w:before="280" w:line="480" w:lineRule="auto"/>
        <w:rPr>
          <w:rFonts w:ascii="Times New Roman" w:eastAsia="Times New Roman" w:hAnsi="Times New Roman" w:cs="Times New Roman"/>
          <w:b/>
          <w:bCs/>
          <w:color w:val="1F1F1F"/>
          <w:sz w:val="24"/>
          <w:szCs w:val="24"/>
        </w:rPr>
      </w:pPr>
      <w:bookmarkStart w:id="25" w:name="_76i63l9zqlir" w:colFirst="0" w:colLast="0"/>
      <w:bookmarkEnd w:id="25"/>
      <w:r>
        <w:rPr>
          <w:rFonts w:ascii="Times New Roman" w:eastAsia="Times New Roman" w:hAnsi="Times New Roman" w:cs="Times New Roman"/>
          <w:b/>
          <w:bCs/>
          <w:color w:val="1F1F1F"/>
          <w:sz w:val="24"/>
          <w:szCs w:val="24"/>
        </w:rPr>
        <w:t>2.4.2 Social Health Insurance and the NHIA Act</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Before the 2022 NHIA Act, voluntary insurance schemes in Nigeria recorded limited coverage. Adewole et al. (2021) found that, 15 years after the National Health Insurance Scheme (NHIS) was introduced,</w:t>
      </w:r>
      <w:r>
        <w:rPr>
          <w:rFonts w:ascii="Times New Roman" w:eastAsia="Times New Roman" w:hAnsi="Times New Roman" w:cs="Times New Roman"/>
          <w:color w:val="1F1F1F"/>
          <w:sz w:val="24"/>
          <w:szCs w:val="24"/>
        </w:rPr>
        <w:t xml:space="preserve"> coverage remained below 5%, concentrated among federal civil servants.</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Comparative studies from Rwanda and Ghana show that mandatory enrollment significantly expands risk pools and enhances financial protection (McIntyre et al., 2017). The NHIA Act aligns</w:t>
      </w:r>
      <w:r>
        <w:rPr>
          <w:rFonts w:ascii="Times New Roman" w:eastAsia="Times New Roman" w:hAnsi="Times New Roman" w:cs="Times New Roman"/>
          <w:color w:val="1F1F1F"/>
          <w:sz w:val="24"/>
          <w:szCs w:val="24"/>
        </w:rPr>
        <w:t xml:space="preserve"> with this evidence by institutionalising compulsory coverage.</w:t>
      </w:r>
    </w:p>
    <w:p w:rsidR="00E36009" w:rsidRDefault="00832D5D">
      <w:pPr>
        <w:pStyle w:val="Heading3"/>
        <w:keepNext w:val="0"/>
        <w:keepLines w:val="0"/>
        <w:spacing w:before="280" w:line="480" w:lineRule="auto"/>
        <w:rPr>
          <w:rFonts w:ascii="Times New Roman" w:eastAsia="Times New Roman" w:hAnsi="Times New Roman" w:cs="Times New Roman"/>
          <w:b/>
          <w:bCs/>
          <w:color w:val="1F1F1F"/>
          <w:sz w:val="24"/>
          <w:szCs w:val="24"/>
        </w:rPr>
      </w:pPr>
      <w:bookmarkStart w:id="26" w:name="_c0wam9j9k584" w:colFirst="0" w:colLast="0"/>
      <w:bookmarkEnd w:id="26"/>
      <w:r>
        <w:rPr>
          <w:rFonts w:ascii="Times New Roman" w:eastAsia="Times New Roman" w:hAnsi="Times New Roman" w:cs="Times New Roman"/>
          <w:b/>
          <w:bCs/>
          <w:color w:val="1F1F1F"/>
          <w:sz w:val="24"/>
          <w:szCs w:val="24"/>
        </w:rPr>
        <w:t>2.4.3 Public–Private Partnerships (PPPs) in Healthcare</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lastRenderedPageBreak/>
        <w:t>Empirical evidence on PPPs is mixed and highly dependent on regulatory capacity. The Garki Hospital Abuja concession has been cited as a n</w:t>
      </w:r>
      <w:r>
        <w:rPr>
          <w:rFonts w:ascii="Times New Roman" w:eastAsia="Times New Roman" w:hAnsi="Times New Roman" w:cs="Times New Roman"/>
          <w:color w:val="1F1F1F"/>
          <w:sz w:val="24"/>
          <w:szCs w:val="24"/>
        </w:rPr>
        <w:t>otable example. Inuwa et al. (2021) report improvements in service utilisation, technology upgrades, and industrial relations under private management.</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However, Hunter and Murray (2019) caution that without regulatory safeguards, profit-oriented models may</w:t>
      </w:r>
      <w:r>
        <w:rPr>
          <w:rFonts w:ascii="Times New Roman" w:eastAsia="Times New Roman" w:hAnsi="Times New Roman" w:cs="Times New Roman"/>
          <w:color w:val="1F1F1F"/>
          <w:sz w:val="24"/>
          <w:szCs w:val="24"/>
        </w:rPr>
        <w:t xml:space="preserve"> compromise equity by excluding low-income populations.</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The literature suggests that PPPs can enhance efficiency but require pro-poor regulation and targeted subsidies to support SDG 3 equity objectives.</w:t>
      </w:r>
    </w:p>
    <w:p w:rsidR="00E36009" w:rsidRDefault="00832D5D">
      <w:pPr>
        <w:pStyle w:val="Heading3"/>
        <w:keepNext w:val="0"/>
        <w:keepLines w:val="0"/>
        <w:spacing w:before="280" w:line="480" w:lineRule="auto"/>
        <w:rPr>
          <w:rFonts w:ascii="Times New Roman" w:eastAsia="Times New Roman" w:hAnsi="Times New Roman" w:cs="Times New Roman"/>
          <w:b/>
          <w:bCs/>
          <w:color w:val="1F1F1F"/>
          <w:sz w:val="24"/>
          <w:szCs w:val="24"/>
        </w:rPr>
      </w:pPr>
      <w:bookmarkStart w:id="27" w:name="_h2juijz51gjp" w:colFirst="0" w:colLast="0"/>
      <w:bookmarkEnd w:id="27"/>
      <w:r>
        <w:rPr>
          <w:rFonts w:ascii="Times New Roman" w:eastAsia="Times New Roman" w:hAnsi="Times New Roman" w:cs="Times New Roman"/>
          <w:b/>
          <w:bCs/>
          <w:color w:val="1F1F1F"/>
          <w:sz w:val="24"/>
          <w:szCs w:val="24"/>
        </w:rPr>
        <w:t>2.4.4 Sub-National Health Financing</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Given Nigeria’s </w:t>
      </w:r>
      <w:r>
        <w:rPr>
          <w:rFonts w:ascii="Times New Roman" w:eastAsia="Times New Roman" w:hAnsi="Times New Roman" w:cs="Times New Roman"/>
          <w:color w:val="1F1F1F"/>
          <w:sz w:val="24"/>
          <w:szCs w:val="24"/>
        </w:rPr>
        <w:t>federal structure, state-level implementation is central to financing reform. Eboreime et al. (2020) found that states integrating State Health Insurance Schemes (SHIS) with the federal BHCPF through Direct Facility Financing experienced improved utilisati</w:t>
      </w:r>
      <w:r>
        <w:rPr>
          <w:rFonts w:ascii="Times New Roman" w:eastAsia="Times New Roman" w:hAnsi="Times New Roman" w:cs="Times New Roman"/>
          <w:color w:val="1F1F1F"/>
          <w:sz w:val="24"/>
          <w:szCs w:val="24"/>
        </w:rPr>
        <w:t>on of maternal and child health services.</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This evidence indicates that coordinated federal funding, combined with decentralised accountability structures, improves service delivery outcomes.</w:t>
      </w:r>
    </w:p>
    <w:p w:rsidR="00E36009" w:rsidRDefault="00832D5D">
      <w:pPr>
        <w:pStyle w:val="Heading3"/>
        <w:keepNext w:val="0"/>
        <w:keepLines w:val="0"/>
        <w:spacing w:before="280" w:line="480" w:lineRule="auto"/>
        <w:rPr>
          <w:rFonts w:ascii="Times New Roman" w:eastAsia="Times New Roman" w:hAnsi="Times New Roman" w:cs="Times New Roman"/>
          <w:b/>
          <w:bCs/>
          <w:color w:val="1F1F1F"/>
          <w:sz w:val="24"/>
          <w:szCs w:val="24"/>
        </w:rPr>
      </w:pPr>
      <w:bookmarkStart w:id="28" w:name="_5z7jcj1czkhe" w:colFirst="0" w:colLast="0"/>
      <w:bookmarkEnd w:id="28"/>
      <w:r>
        <w:rPr>
          <w:rFonts w:ascii="Times New Roman" w:eastAsia="Times New Roman" w:hAnsi="Times New Roman" w:cs="Times New Roman"/>
          <w:b/>
          <w:bCs/>
          <w:color w:val="1F1F1F"/>
          <w:sz w:val="24"/>
          <w:szCs w:val="24"/>
        </w:rPr>
        <w:t>2.4.5 Debt Sustainability and Health Expenditure</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Post-COVID-19 st</w:t>
      </w:r>
      <w:r>
        <w:rPr>
          <w:rFonts w:ascii="Times New Roman" w:eastAsia="Times New Roman" w:hAnsi="Times New Roman" w:cs="Times New Roman"/>
          <w:color w:val="1F1F1F"/>
          <w:sz w:val="24"/>
          <w:szCs w:val="24"/>
        </w:rPr>
        <w:t>udies increasingly examine the relationship between sovereign debt and social spending. A study by the Centre for the Study of the Economies of Africa (CSEA, 2024) found a negative correlation between Nigeria’s rising debt-service-to-revenue ratio and real</w:t>
      </w:r>
      <w:r>
        <w:rPr>
          <w:rFonts w:ascii="Times New Roman" w:eastAsia="Times New Roman" w:hAnsi="Times New Roman" w:cs="Times New Roman"/>
          <w:color w:val="1F1F1F"/>
          <w:sz w:val="24"/>
          <w:szCs w:val="24"/>
        </w:rPr>
        <w:t xml:space="preserve"> health sector capital allocations.</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lastRenderedPageBreak/>
        <w:t>These findings support the debt overhang hypothesis: elevated debt servicing constrains fiscal space for health investment, limiting progress toward SDG 3.</w:t>
      </w:r>
    </w:p>
    <w:p w:rsidR="00E36009" w:rsidRDefault="00832D5D">
      <w:pPr>
        <w:pStyle w:val="Heading1"/>
        <w:keepNext w:val="0"/>
        <w:keepLines w:val="0"/>
        <w:spacing w:before="480" w:line="480" w:lineRule="auto"/>
        <w:jc w:val="center"/>
        <w:rPr>
          <w:rFonts w:ascii="Times New Roman" w:eastAsia="Times New Roman" w:hAnsi="Times New Roman" w:cs="Times New Roman"/>
          <w:b/>
          <w:bCs/>
          <w:color w:val="1F1F1F"/>
          <w:sz w:val="24"/>
          <w:szCs w:val="24"/>
        </w:rPr>
      </w:pPr>
      <w:bookmarkStart w:id="29" w:name="_u2n92fgwxeiy" w:colFirst="0" w:colLast="0"/>
      <w:bookmarkEnd w:id="29"/>
      <w:r>
        <w:br w:type="page"/>
      </w:r>
    </w:p>
    <w:p w:rsidR="00E36009" w:rsidRDefault="00832D5D">
      <w:pPr>
        <w:pStyle w:val="Heading1"/>
        <w:keepNext w:val="0"/>
        <w:keepLines w:val="0"/>
        <w:spacing w:before="480" w:line="480" w:lineRule="auto"/>
        <w:jc w:val="center"/>
        <w:rPr>
          <w:rFonts w:ascii="Times New Roman" w:eastAsia="Times New Roman" w:hAnsi="Times New Roman" w:cs="Times New Roman"/>
          <w:b/>
          <w:bCs/>
          <w:color w:val="1F1F1F"/>
          <w:sz w:val="24"/>
          <w:szCs w:val="24"/>
        </w:rPr>
      </w:pPr>
      <w:bookmarkStart w:id="30" w:name="_pmbvuwohbp2g" w:colFirst="0" w:colLast="0"/>
      <w:bookmarkEnd w:id="30"/>
      <w:r>
        <w:rPr>
          <w:rFonts w:ascii="Times New Roman" w:eastAsia="Times New Roman" w:hAnsi="Times New Roman" w:cs="Times New Roman"/>
          <w:b/>
          <w:bCs/>
          <w:color w:val="1F1F1F"/>
          <w:sz w:val="24"/>
          <w:szCs w:val="24"/>
        </w:rPr>
        <w:lastRenderedPageBreak/>
        <w:t>CHAPTER THREE</w:t>
      </w:r>
    </w:p>
    <w:p w:rsidR="00E36009" w:rsidRDefault="00832D5D">
      <w:pPr>
        <w:pStyle w:val="Heading2"/>
        <w:keepNext w:val="0"/>
        <w:keepLines w:val="0"/>
        <w:spacing w:after="80" w:line="480" w:lineRule="auto"/>
        <w:jc w:val="center"/>
        <w:rPr>
          <w:rFonts w:ascii="Times New Roman" w:eastAsia="Times New Roman" w:hAnsi="Times New Roman" w:cs="Times New Roman"/>
          <w:b/>
          <w:bCs/>
          <w:color w:val="1F1F1F"/>
          <w:sz w:val="24"/>
          <w:szCs w:val="24"/>
        </w:rPr>
      </w:pPr>
      <w:bookmarkStart w:id="31" w:name="_q5smyumxn3qn" w:colFirst="0" w:colLast="0"/>
      <w:bookmarkEnd w:id="31"/>
      <w:r>
        <w:rPr>
          <w:rFonts w:ascii="Times New Roman" w:eastAsia="Times New Roman" w:hAnsi="Times New Roman" w:cs="Times New Roman"/>
          <w:b/>
          <w:bCs/>
          <w:color w:val="1F1F1F"/>
          <w:sz w:val="24"/>
          <w:szCs w:val="24"/>
        </w:rPr>
        <w:t>METHODOLOGY</w:t>
      </w:r>
    </w:p>
    <w:p w:rsidR="00E36009" w:rsidRDefault="00832D5D">
      <w:pPr>
        <w:spacing w:before="240" w:after="240" w:line="480" w:lineRule="auto"/>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3.1 Research Philosophy</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This study is grounded in an interpretivist research philosophy. Interpretivism recognises that policy processes, including health financing and accountability systems, are socially constructed and shaped by institutional behaviour, political economy dynam</w:t>
      </w:r>
      <w:r>
        <w:rPr>
          <w:rFonts w:ascii="Times New Roman" w:eastAsia="Times New Roman" w:hAnsi="Times New Roman" w:cs="Times New Roman"/>
          <w:color w:val="1F1F1F"/>
          <w:sz w:val="24"/>
          <w:szCs w:val="24"/>
        </w:rPr>
        <w:t>ics, and stakeholder interactions.</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Unlike positivist approaches that prioritise quantification, interpretivism is well-suited to examining how and why financing reforms succeed or fail in complex governance environments. Understanding Nigeria’s health fina</w:t>
      </w:r>
      <w:r>
        <w:rPr>
          <w:rFonts w:ascii="Times New Roman" w:eastAsia="Times New Roman" w:hAnsi="Times New Roman" w:cs="Times New Roman"/>
          <w:color w:val="1F1F1F"/>
          <w:sz w:val="24"/>
          <w:szCs w:val="24"/>
        </w:rPr>
        <w:t>ncing architecture requires analysis of institutional relationships among policymakers, donors, and service providers.</w:t>
      </w:r>
    </w:p>
    <w:p w:rsidR="00E36009" w:rsidRDefault="00832D5D">
      <w:pPr>
        <w:pStyle w:val="Heading2"/>
        <w:keepNext w:val="0"/>
        <w:keepLines w:val="0"/>
        <w:spacing w:after="80" w:line="480" w:lineRule="auto"/>
        <w:rPr>
          <w:rFonts w:ascii="Times New Roman" w:eastAsia="Times New Roman" w:hAnsi="Times New Roman" w:cs="Times New Roman"/>
          <w:b/>
          <w:bCs/>
          <w:color w:val="1F1F1F"/>
          <w:sz w:val="24"/>
          <w:szCs w:val="24"/>
        </w:rPr>
      </w:pPr>
      <w:bookmarkStart w:id="32" w:name="_tkiucg8uagwc" w:colFirst="0" w:colLast="0"/>
      <w:bookmarkEnd w:id="32"/>
      <w:r>
        <w:rPr>
          <w:rFonts w:ascii="Times New Roman" w:eastAsia="Times New Roman" w:hAnsi="Times New Roman" w:cs="Times New Roman"/>
          <w:b/>
          <w:bCs/>
          <w:color w:val="1F1F1F"/>
          <w:sz w:val="24"/>
          <w:szCs w:val="24"/>
        </w:rPr>
        <w:t>3.2 Research Design</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The study adopts a qualitative descriptive research design. Given the macro-level, policy-oriented focus of health fi</w:t>
      </w:r>
      <w:r>
        <w:rPr>
          <w:rFonts w:ascii="Times New Roman" w:eastAsia="Times New Roman" w:hAnsi="Times New Roman" w:cs="Times New Roman"/>
          <w:color w:val="1F1F1F"/>
          <w:sz w:val="24"/>
          <w:szCs w:val="24"/>
        </w:rPr>
        <w:t>nancing, qualitative analysis enables in-depth examination of the systemic relationships among fiscal policy, governance structures, and investment mechanisms.</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Rather than estimating funding gaps alone, the design facilitates exploration of the structural </w:t>
      </w:r>
      <w:r>
        <w:rPr>
          <w:rFonts w:ascii="Times New Roman" w:eastAsia="Times New Roman" w:hAnsi="Times New Roman" w:cs="Times New Roman"/>
          <w:color w:val="1F1F1F"/>
          <w:sz w:val="24"/>
          <w:szCs w:val="24"/>
        </w:rPr>
        <w:t>and institutional factors shaping SDG 3 implementation.</w:t>
      </w:r>
    </w:p>
    <w:p w:rsidR="00E36009" w:rsidRDefault="00832D5D">
      <w:pPr>
        <w:pStyle w:val="Heading2"/>
        <w:keepNext w:val="0"/>
        <w:keepLines w:val="0"/>
        <w:spacing w:after="80" w:line="480" w:lineRule="auto"/>
        <w:rPr>
          <w:rFonts w:ascii="Times New Roman" w:eastAsia="Times New Roman" w:hAnsi="Times New Roman" w:cs="Times New Roman"/>
          <w:b/>
          <w:bCs/>
          <w:color w:val="1F1F1F"/>
          <w:sz w:val="24"/>
          <w:szCs w:val="24"/>
        </w:rPr>
      </w:pPr>
      <w:bookmarkStart w:id="33" w:name="_pokfx9mlez8a" w:colFirst="0" w:colLast="0"/>
      <w:bookmarkEnd w:id="33"/>
      <w:r>
        <w:rPr>
          <w:rFonts w:ascii="Times New Roman" w:eastAsia="Times New Roman" w:hAnsi="Times New Roman" w:cs="Times New Roman"/>
          <w:b/>
          <w:bCs/>
          <w:color w:val="1F1F1F"/>
          <w:sz w:val="24"/>
          <w:szCs w:val="24"/>
        </w:rPr>
        <w:t>3.3 Scope of the Study</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Geographically, the study situates global health financing trends within developing economies, with Nigeria as the primary case study due to its demographic scale and federal he</w:t>
      </w:r>
      <w:r>
        <w:rPr>
          <w:rFonts w:ascii="Times New Roman" w:eastAsia="Times New Roman" w:hAnsi="Times New Roman" w:cs="Times New Roman"/>
          <w:color w:val="1F1F1F"/>
          <w:sz w:val="24"/>
          <w:szCs w:val="24"/>
        </w:rPr>
        <w:t>alth structure.</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lastRenderedPageBreak/>
        <w:t>In terms of time, the review covers literature and policy documents published between 2017 and 2026. This period captures post-SDG adoption reforms, the COVID-19 pandemic, and legislative developments such as the 2022 NHIA Act.</w:t>
      </w:r>
    </w:p>
    <w:p w:rsidR="00E36009" w:rsidRDefault="00832D5D">
      <w:pPr>
        <w:pStyle w:val="Heading2"/>
        <w:keepNext w:val="0"/>
        <w:keepLines w:val="0"/>
        <w:spacing w:after="80" w:line="480" w:lineRule="auto"/>
        <w:rPr>
          <w:rFonts w:ascii="Times New Roman" w:eastAsia="Times New Roman" w:hAnsi="Times New Roman" w:cs="Times New Roman"/>
          <w:b/>
          <w:bCs/>
          <w:color w:val="1F1F1F"/>
          <w:sz w:val="24"/>
          <w:szCs w:val="24"/>
        </w:rPr>
      </w:pPr>
      <w:bookmarkStart w:id="34" w:name="_qv0p78egswfy" w:colFirst="0" w:colLast="0"/>
      <w:bookmarkEnd w:id="34"/>
      <w:r>
        <w:rPr>
          <w:rFonts w:ascii="Times New Roman" w:eastAsia="Times New Roman" w:hAnsi="Times New Roman" w:cs="Times New Roman"/>
          <w:b/>
          <w:bCs/>
          <w:color w:val="1F1F1F"/>
          <w:sz w:val="24"/>
          <w:szCs w:val="24"/>
        </w:rPr>
        <w:t>3.4 Data Sou</w:t>
      </w:r>
      <w:r>
        <w:rPr>
          <w:rFonts w:ascii="Times New Roman" w:eastAsia="Times New Roman" w:hAnsi="Times New Roman" w:cs="Times New Roman"/>
          <w:b/>
          <w:bCs/>
          <w:color w:val="1F1F1F"/>
          <w:sz w:val="24"/>
          <w:szCs w:val="24"/>
        </w:rPr>
        <w:t>rces and Collection Strategy</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The study relies exclusively on peer-reviewed and institutional secondary data. Documents were selected through purposive sampling based on relevance to macroeconomic policy, governance, and health financing reform.</w:t>
      </w:r>
    </w:p>
    <w:p w:rsidR="00E36009" w:rsidRDefault="00832D5D">
      <w:pPr>
        <w:pStyle w:val="Heading3"/>
        <w:keepNext w:val="0"/>
        <w:keepLines w:val="0"/>
        <w:spacing w:before="280" w:line="480" w:lineRule="auto"/>
        <w:rPr>
          <w:rFonts w:ascii="Times New Roman" w:eastAsia="Times New Roman" w:hAnsi="Times New Roman" w:cs="Times New Roman"/>
          <w:b/>
          <w:bCs/>
          <w:color w:val="1F1F1F"/>
          <w:sz w:val="24"/>
          <w:szCs w:val="24"/>
        </w:rPr>
      </w:pPr>
      <w:bookmarkStart w:id="35" w:name="_cbx2ntmopz5b" w:colFirst="0" w:colLast="0"/>
      <w:bookmarkEnd w:id="35"/>
      <w:r>
        <w:rPr>
          <w:rFonts w:ascii="Times New Roman" w:eastAsia="Times New Roman" w:hAnsi="Times New Roman" w:cs="Times New Roman"/>
          <w:b/>
          <w:bCs/>
          <w:color w:val="1F1F1F"/>
          <w:sz w:val="24"/>
          <w:szCs w:val="24"/>
        </w:rPr>
        <w:t>Institution</w:t>
      </w:r>
      <w:r>
        <w:rPr>
          <w:rFonts w:ascii="Times New Roman" w:eastAsia="Times New Roman" w:hAnsi="Times New Roman" w:cs="Times New Roman"/>
          <w:b/>
          <w:bCs/>
          <w:color w:val="1F1F1F"/>
          <w:sz w:val="24"/>
          <w:szCs w:val="24"/>
        </w:rPr>
        <w:t>al and Multilateral Reports</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Data on expenditure trends, OOP levels, and debt indicators were obtained from:</w:t>
      </w:r>
    </w:p>
    <w:p w:rsidR="00E36009" w:rsidRDefault="00832D5D">
      <w:pPr>
        <w:numPr>
          <w:ilvl w:val="0"/>
          <w:numId w:val="3"/>
        </w:numPr>
        <w:spacing w:before="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WHO Global Health Expenditure Database</w:t>
      </w:r>
      <w:r>
        <w:rPr>
          <w:rFonts w:ascii="Times New Roman" w:eastAsia="Times New Roman" w:hAnsi="Times New Roman" w:cs="Times New Roman"/>
          <w:color w:val="1F1F1F"/>
          <w:sz w:val="24"/>
          <w:szCs w:val="24"/>
        </w:rPr>
        <w:br/>
      </w:r>
    </w:p>
    <w:p w:rsidR="00E36009" w:rsidRDefault="00832D5D">
      <w:pPr>
        <w:numPr>
          <w:ilvl w:val="0"/>
          <w:numId w:val="3"/>
        </w:numPr>
        <w:spacing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World Bank Health, Nutrition and Population Statistics</w:t>
      </w:r>
      <w:r>
        <w:rPr>
          <w:rFonts w:ascii="Times New Roman" w:eastAsia="Times New Roman" w:hAnsi="Times New Roman" w:cs="Times New Roman"/>
          <w:color w:val="1F1F1F"/>
          <w:sz w:val="24"/>
          <w:szCs w:val="24"/>
        </w:rPr>
        <w:br/>
      </w:r>
    </w:p>
    <w:p w:rsidR="00E36009" w:rsidRDefault="00832D5D">
      <w:pPr>
        <w:numPr>
          <w:ilvl w:val="0"/>
          <w:numId w:val="3"/>
        </w:numPr>
        <w:spacing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UN Sustainable Development Goals Reports (2023)</w:t>
      </w:r>
      <w:r>
        <w:rPr>
          <w:rFonts w:ascii="Times New Roman" w:eastAsia="Times New Roman" w:hAnsi="Times New Roman" w:cs="Times New Roman"/>
          <w:color w:val="1F1F1F"/>
          <w:sz w:val="24"/>
          <w:szCs w:val="24"/>
        </w:rPr>
        <w:br/>
      </w:r>
    </w:p>
    <w:p w:rsidR="00E36009" w:rsidRDefault="00832D5D">
      <w:pPr>
        <w:pStyle w:val="Heading3"/>
        <w:keepNext w:val="0"/>
        <w:keepLines w:val="0"/>
        <w:spacing w:before="280" w:line="480" w:lineRule="auto"/>
        <w:rPr>
          <w:rFonts w:ascii="Times New Roman" w:eastAsia="Times New Roman" w:hAnsi="Times New Roman" w:cs="Times New Roman"/>
          <w:b/>
          <w:bCs/>
          <w:color w:val="1F1F1F"/>
          <w:sz w:val="24"/>
          <w:szCs w:val="24"/>
        </w:rPr>
      </w:pPr>
      <w:bookmarkStart w:id="36" w:name="_j50ywnja5tmu" w:colFirst="0" w:colLast="0"/>
      <w:bookmarkEnd w:id="36"/>
      <w:r>
        <w:rPr>
          <w:rFonts w:ascii="Times New Roman" w:eastAsia="Times New Roman" w:hAnsi="Times New Roman" w:cs="Times New Roman"/>
          <w:b/>
          <w:bCs/>
          <w:color w:val="1F1F1F"/>
          <w:sz w:val="24"/>
          <w:szCs w:val="24"/>
        </w:rPr>
        <w:t>National Policy and Fiscal Documents</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Primary national materials include:</w:t>
      </w:r>
    </w:p>
    <w:p w:rsidR="00E36009" w:rsidRDefault="00832D5D">
      <w:pPr>
        <w:numPr>
          <w:ilvl w:val="0"/>
          <w:numId w:val="7"/>
        </w:numPr>
        <w:spacing w:before="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NHIA Act (2022)</w:t>
      </w:r>
      <w:r>
        <w:rPr>
          <w:rFonts w:ascii="Times New Roman" w:eastAsia="Times New Roman" w:hAnsi="Times New Roman" w:cs="Times New Roman"/>
          <w:color w:val="1F1F1F"/>
          <w:sz w:val="24"/>
          <w:szCs w:val="24"/>
        </w:rPr>
        <w:br/>
      </w:r>
    </w:p>
    <w:p w:rsidR="00E36009" w:rsidRDefault="00832D5D">
      <w:pPr>
        <w:numPr>
          <w:ilvl w:val="0"/>
          <w:numId w:val="7"/>
        </w:numPr>
        <w:spacing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lastRenderedPageBreak/>
        <w:t>National Health Act (2014) provisions on the BHCPF</w:t>
      </w:r>
      <w:r>
        <w:rPr>
          <w:rFonts w:ascii="Times New Roman" w:eastAsia="Times New Roman" w:hAnsi="Times New Roman" w:cs="Times New Roman"/>
          <w:color w:val="1F1F1F"/>
          <w:sz w:val="24"/>
          <w:szCs w:val="24"/>
        </w:rPr>
        <w:br/>
      </w:r>
    </w:p>
    <w:p w:rsidR="00E36009" w:rsidRDefault="00832D5D">
      <w:pPr>
        <w:numPr>
          <w:ilvl w:val="0"/>
          <w:numId w:val="7"/>
        </w:numPr>
        <w:spacing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Budget implementation reports from the Nigerian Budget Office (2023–2024)</w:t>
      </w:r>
      <w:r>
        <w:rPr>
          <w:rFonts w:ascii="Times New Roman" w:eastAsia="Times New Roman" w:hAnsi="Times New Roman" w:cs="Times New Roman"/>
          <w:color w:val="1F1F1F"/>
          <w:sz w:val="24"/>
          <w:szCs w:val="24"/>
        </w:rPr>
        <w:br/>
      </w:r>
    </w:p>
    <w:p w:rsidR="00E36009" w:rsidRDefault="00832D5D">
      <w:pPr>
        <w:pStyle w:val="Heading3"/>
        <w:keepNext w:val="0"/>
        <w:keepLines w:val="0"/>
        <w:spacing w:before="280" w:line="480" w:lineRule="auto"/>
        <w:rPr>
          <w:rFonts w:ascii="Times New Roman" w:eastAsia="Times New Roman" w:hAnsi="Times New Roman" w:cs="Times New Roman"/>
          <w:b/>
          <w:bCs/>
          <w:color w:val="1F1F1F"/>
          <w:sz w:val="24"/>
          <w:szCs w:val="24"/>
        </w:rPr>
      </w:pPr>
      <w:bookmarkStart w:id="37" w:name="_bfh6l8cy87gl" w:colFirst="0" w:colLast="0"/>
      <w:bookmarkEnd w:id="37"/>
      <w:r>
        <w:rPr>
          <w:rFonts w:ascii="Times New Roman" w:eastAsia="Times New Roman" w:hAnsi="Times New Roman" w:cs="Times New Roman"/>
          <w:b/>
          <w:bCs/>
          <w:color w:val="1F1F1F"/>
          <w:sz w:val="24"/>
          <w:szCs w:val="24"/>
        </w:rPr>
        <w:t>Academic Literature</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Peer-reviewed studi</w:t>
      </w:r>
      <w:r>
        <w:rPr>
          <w:rFonts w:ascii="Times New Roman" w:eastAsia="Times New Roman" w:hAnsi="Times New Roman" w:cs="Times New Roman"/>
          <w:color w:val="1F1F1F"/>
          <w:sz w:val="24"/>
          <w:szCs w:val="24"/>
        </w:rPr>
        <w:t xml:space="preserve">es were sourced from PubMed, Scopus, and Google Scholar using targeted search terms including </w:t>
      </w:r>
      <w:r>
        <w:rPr>
          <w:rFonts w:ascii="Times New Roman" w:eastAsia="Times New Roman" w:hAnsi="Times New Roman" w:cs="Times New Roman"/>
          <w:i/>
          <w:iCs/>
          <w:color w:val="1F1F1F"/>
          <w:sz w:val="24"/>
          <w:szCs w:val="24"/>
        </w:rPr>
        <w:t>Health Financing Nigeria</w:t>
      </w:r>
      <w:r>
        <w:rPr>
          <w:rFonts w:ascii="Times New Roman" w:eastAsia="Times New Roman" w:hAnsi="Times New Roman" w:cs="Times New Roman"/>
          <w:color w:val="1F1F1F"/>
          <w:sz w:val="24"/>
          <w:szCs w:val="24"/>
        </w:rPr>
        <w:t xml:space="preserve">, </w:t>
      </w:r>
      <w:r>
        <w:rPr>
          <w:rFonts w:ascii="Times New Roman" w:eastAsia="Times New Roman" w:hAnsi="Times New Roman" w:cs="Times New Roman"/>
          <w:i/>
          <w:iCs/>
          <w:color w:val="1F1F1F"/>
          <w:sz w:val="24"/>
          <w:szCs w:val="24"/>
        </w:rPr>
        <w:t>UHC Accountability</w:t>
      </w:r>
      <w:r>
        <w:rPr>
          <w:rFonts w:ascii="Times New Roman" w:eastAsia="Times New Roman" w:hAnsi="Times New Roman" w:cs="Times New Roman"/>
          <w:color w:val="1F1F1F"/>
          <w:sz w:val="24"/>
          <w:szCs w:val="24"/>
        </w:rPr>
        <w:t xml:space="preserve">, and </w:t>
      </w:r>
      <w:r>
        <w:rPr>
          <w:rFonts w:ascii="Times New Roman" w:eastAsia="Times New Roman" w:hAnsi="Times New Roman" w:cs="Times New Roman"/>
          <w:i/>
          <w:iCs/>
          <w:color w:val="1F1F1F"/>
          <w:sz w:val="24"/>
          <w:szCs w:val="24"/>
        </w:rPr>
        <w:t>Blended Finance Healthcare Africa</w:t>
      </w:r>
      <w:r>
        <w:rPr>
          <w:rFonts w:ascii="Times New Roman" w:eastAsia="Times New Roman" w:hAnsi="Times New Roman" w:cs="Times New Roman"/>
          <w:color w:val="1F1F1F"/>
          <w:sz w:val="24"/>
          <w:szCs w:val="24"/>
        </w:rPr>
        <w:t>. Only publications from 2017 onward were included to ensure temporal relevance.</w:t>
      </w:r>
    </w:p>
    <w:p w:rsidR="00E36009" w:rsidRDefault="00832D5D">
      <w:pPr>
        <w:pStyle w:val="Heading2"/>
        <w:keepNext w:val="0"/>
        <w:keepLines w:val="0"/>
        <w:spacing w:after="80" w:line="480" w:lineRule="auto"/>
        <w:rPr>
          <w:rFonts w:ascii="Times New Roman" w:eastAsia="Times New Roman" w:hAnsi="Times New Roman" w:cs="Times New Roman"/>
          <w:b/>
          <w:bCs/>
          <w:color w:val="1F1F1F"/>
          <w:sz w:val="24"/>
          <w:szCs w:val="24"/>
        </w:rPr>
      </w:pPr>
      <w:bookmarkStart w:id="38" w:name="_tiifyef66u80" w:colFirst="0" w:colLast="0"/>
      <w:bookmarkEnd w:id="38"/>
      <w:r>
        <w:rPr>
          <w:rFonts w:ascii="Times New Roman" w:eastAsia="Times New Roman" w:hAnsi="Times New Roman" w:cs="Times New Roman"/>
          <w:b/>
          <w:bCs/>
          <w:color w:val="1F1F1F"/>
          <w:sz w:val="24"/>
          <w:szCs w:val="24"/>
        </w:rPr>
        <w:t>3.5 Method of Data Analysis</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Data were analysed using Reflexive Thematic Analysis as outlined by Braun and Clarke (2021). The process involved six stages:</w:t>
      </w:r>
    </w:p>
    <w:p w:rsidR="00E36009" w:rsidRDefault="00832D5D">
      <w:pPr>
        <w:numPr>
          <w:ilvl w:val="0"/>
          <w:numId w:val="4"/>
        </w:numPr>
        <w:spacing w:before="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Familiarisation</w:t>
      </w:r>
      <w:r>
        <w:rPr>
          <w:rFonts w:ascii="Times New Roman" w:eastAsia="Times New Roman" w:hAnsi="Times New Roman" w:cs="Times New Roman"/>
          <w:color w:val="1F1F1F"/>
          <w:sz w:val="24"/>
          <w:szCs w:val="24"/>
        </w:rPr>
        <w:t xml:space="preserve"> – Rep</w:t>
      </w:r>
      <w:r>
        <w:rPr>
          <w:rFonts w:ascii="Times New Roman" w:eastAsia="Times New Roman" w:hAnsi="Times New Roman" w:cs="Times New Roman"/>
          <w:color w:val="1F1F1F"/>
          <w:sz w:val="24"/>
          <w:szCs w:val="24"/>
        </w:rPr>
        <w:t>eated review of documents to gain an overview of recurring issues in health financing.</w:t>
      </w:r>
      <w:r>
        <w:rPr>
          <w:rFonts w:ascii="Times New Roman" w:eastAsia="Times New Roman" w:hAnsi="Times New Roman" w:cs="Times New Roman"/>
          <w:color w:val="1F1F1F"/>
          <w:sz w:val="24"/>
          <w:szCs w:val="24"/>
        </w:rPr>
        <w:br/>
      </w:r>
    </w:p>
    <w:p w:rsidR="00E36009" w:rsidRDefault="00832D5D">
      <w:pPr>
        <w:numPr>
          <w:ilvl w:val="0"/>
          <w:numId w:val="4"/>
        </w:numPr>
        <w:spacing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Coding</w:t>
      </w:r>
      <w:r>
        <w:rPr>
          <w:rFonts w:ascii="Times New Roman" w:eastAsia="Times New Roman" w:hAnsi="Times New Roman" w:cs="Times New Roman"/>
          <w:color w:val="1F1F1F"/>
          <w:sz w:val="24"/>
          <w:szCs w:val="24"/>
        </w:rPr>
        <w:t xml:space="preserve"> – Identification of key patterns (e.g., OOP-related impoverishment, fiscal constraints, PPP regulation gaps).</w:t>
      </w:r>
    </w:p>
    <w:p w:rsidR="00E36009" w:rsidRDefault="00832D5D">
      <w:pPr>
        <w:numPr>
          <w:ilvl w:val="0"/>
          <w:numId w:val="4"/>
        </w:numPr>
        <w:spacing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Theme Development</w:t>
      </w:r>
      <w:r>
        <w:rPr>
          <w:rFonts w:ascii="Times New Roman" w:eastAsia="Times New Roman" w:hAnsi="Times New Roman" w:cs="Times New Roman"/>
          <w:color w:val="1F1F1F"/>
          <w:sz w:val="24"/>
          <w:szCs w:val="24"/>
        </w:rPr>
        <w:t xml:space="preserve"> – Grouping codes into broader the</w:t>
      </w:r>
      <w:r>
        <w:rPr>
          <w:rFonts w:ascii="Times New Roman" w:eastAsia="Times New Roman" w:hAnsi="Times New Roman" w:cs="Times New Roman"/>
          <w:color w:val="1F1F1F"/>
          <w:sz w:val="24"/>
          <w:szCs w:val="24"/>
        </w:rPr>
        <w:t>mes aligned with the study’s analytical pillars: Partnerships, Investment, and Accountability.</w:t>
      </w:r>
    </w:p>
    <w:p w:rsidR="00E36009" w:rsidRDefault="00832D5D">
      <w:pPr>
        <w:numPr>
          <w:ilvl w:val="0"/>
          <w:numId w:val="4"/>
        </w:numPr>
        <w:spacing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Reviewing Themes</w:t>
      </w:r>
      <w:r>
        <w:rPr>
          <w:rFonts w:ascii="Times New Roman" w:eastAsia="Times New Roman" w:hAnsi="Times New Roman" w:cs="Times New Roman"/>
          <w:color w:val="1F1F1F"/>
          <w:sz w:val="24"/>
          <w:szCs w:val="24"/>
        </w:rPr>
        <w:t xml:space="preserve"> – Comparing themes against source material to ensure coherence and accuracy.</w:t>
      </w:r>
    </w:p>
    <w:p w:rsidR="00E36009" w:rsidRDefault="00832D5D">
      <w:pPr>
        <w:numPr>
          <w:ilvl w:val="0"/>
          <w:numId w:val="4"/>
        </w:numPr>
        <w:spacing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lastRenderedPageBreak/>
        <w:t>Defining Themes</w:t>
      </w:r>
      <w:r>
        <w:rPr>
          <w:rFonts w:ascii="Times New Roman" w:eastAsia="Times New Roman" w:hAnsi="Times New Roman" w:cs="Times New Roman"/>
          <w:color w:val="1F1F1F"/>
          <w:sz w:val="24"/>
          <w:szCs w:val="24"/>
        </w:rPr>
        <w:t xml:space="preserve"> – Refining thematic boundaries and clarifying conce</w:t>
      </w:r>
      <w:r>
        <w:rPr>
          <w:rFonts w:ascii="Times New Roman" w:eastAsia="Times New Roman" w:hAnsi="Times New Roman" w:cs="Times New Roman"/>
          <w:color w:val="1F1F1F"/>
          <w:sz w:val="24"/>
          <w:szCs w:val="24"/>
        </w:rPr>
        <w:t>ptual relationships.</w:t>
      </w:r>
    </w:p>
    <w:p w:rsidR="00E36009" w:rsidRDefault="00832D5D">
      <w:pPr>
        <w:numPr>
          <w:ilvl w:val="0"/>
          <w:numId w:val="4"/>
        </w:numPr>
        <w:spacing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Synthesis</w:t>
      </w:r>
      <w:r>
        <w:rPr>
          <w:rFonts w:ascii="Times New Roman" w:eastAsia="Times New Roman" w:hAnsi="Times New Roman" w:cs="Times New Roman"/>
          <w:color w:val="1F1F1F"/>
          <w:sz w:val="24"/>
          <w:szCs w:val="24"/>
        </w:rPr>
        <w:t xml:space="preserve"> – Integrating empirical findings with the theoretical framework to structure Chapter Four.</w:t>
      </w:r>
      <w:r>
        <w:rPr>
          <w:rFonts w:ascii="Times New Roman" w:eastAsia="Times New Roman" w:hAnsi="Times New Roman" w:cs="Times New Roman"/>
          <w:color w:val="1F1F1F"/>
          <w:sz w:val="24"/>
          <w:szCs w:val="24"/>
        </w:rPr>
        <w:br/>
      </w:r>
    </w:p>
    <w:p w:rsidR="00E36009" w:rsidRDefault="00832D5D">
      <w:pPr>
        <w:pStyle w:val="Heading2"/>
        <w:keepNext w:val="0"/>
        <w:keepLines w:val="0"/>
        <w:spacing w:after="80" w:line="480" w:lineRule="auto"/>
        <w:rPr>
          <w:rFonts w:ascii="Times New Roman" w:eastAsia="Times New Roman" w:hAnsi="Times New Roman" w:cs="Times New Roman"/>
          <w:b/>
          <w:bCs/>
          <w:color w:val="1F1F1F"/>
          <w:sz w:val="24"/>
          <w:szCs w:val="24"/>
        </w:rPr>
      </w:pPr>
      <w:bookmarkStart w:id="39" w:name="_50gkkzgb67dt" w:colFirst="0" w:colLast="0"/>
      <w:bookmarkEnd w:id="39"/>
      <w:r>
        <w:rPr>
          <w:rFonts w:ascii="Times New Roman" w:eastAsia="Times New Roman" w:hAnsi="Times New Roman" w:cs="Times New Roman"/>
          <w:b/>
          <w:bCs/>
          <w:color w:val="1F1F1F"/>
          <w:sz w:val="24"/>
          <w:szCs w:val="24"/>
        </w:rPr>
        <w:t>3.6 Trustworthiness and Rigour</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In qualitative research, rigour is evaluated through the lens of trustworthiness, encompassing credibi</w:t>
      </w:r>
      <w:r>
        <w:rPr>
          <w:rFonts w:ascii="Times New Roman" w:eastAsia="Times New Roman" w:hAnsi="Times New Roman" w:cs="Times New Roman"/>
          <w:color w:val="1F1F1F"/>
          <w:sz w:val="24"/>
          <w:szCs w:val="24"/>
        </w:rPr>
        <w:t>lity, transferability, and confirmability.</w:t>
      </w:r>
    </w:p>
    <w:p w:rsidR="00E36009" w:rsidRDefault="00832D5D">
      <w:pPr>
        <w:numPr>
          <w:ilvl w:val="0"/>
          <w:numId w:val="1"/>
        </w:numPr>
        <w:spacing w:before="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Credibility</w:t>
      </w:r>
      <w:r>
        <w:rPr>
          <w:rFonts w:ascii="Times New Roman" w:eastAsia="Times New Roman" w:hAnsi="Times New Roman" w:cs="Times New Roman"/>
          <w:color w:val="1F1F1F"/>
          <w:sz w:val="24"/>
          <w:szCs w:val="24"/>
        </w:rPr>
        <w:t xml:space="preserve"> was strengthened through data triangulation. Policy claims were cross-checked against independent academic and multilateral evidence to identify inconsistencies between policy design and implementation</w:t>
      </w:r>
      <w:r>
        <w:rPr>
          <w:rFonts w:ascii="Times New Roman" w:eastAsia="Times New Roman" w:hAnsi="Times New Roman" w:cs="Times New Roman"/>
          <w:color w:val="1F1F1F"/>
          <w:sz w:val="24"/>
          <w:szCs w:val="24"/>
        </w:rPr>
        <w:t>.</w:t>
      </w:r>
    </w:p>
    <w:p w:rsidR="00E36009" w:rsidRDefault="00832D5D">
      <w:pPr>
        <w:numPr>
          <w:ilvl w:val="0"/>
          <w:numId w:val="1"/>
        </w:numPr>
        <w:spacing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Transferability</w:t>
      </w:r>
      <w:r>
        <w:rPr>
          <w:rFonts w:ascii="Times New Roman" w:eastAsia="Times New Roman" w:hAnsi="Times New Roman" w:cs="Times New Roman"/>
          <w:color w:val="1F1F1F"/>
          <w:sz w:val="24"/>
          <w:szCs w:val="24"/>
        </w:rPr>
        <w:t xml:space="preserve"> was supported by a detailed contextual description of Nigeria’s fiscal and governance environment, enabling comparative relevance for other developing economies.</w:t>
      </w:r>
    </w:p>
    <w:p w:rsidR="00E36009" w:rsidRDefault="00832D5D">
      <w:pPr>
        <w:numPr>
          <w:ilvl w:val="0"/>
          <w:numId w:val="1"/>
        </w:numPr>
        <w:spacing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Confirmability</w:t>
      </w:r>
      <w:r>
        <w:rPr>
          <w:rFonts w:ascii="Times New Roman" w:eastAsia="Times New Roman" w:hAnsi="Times New Roman" w:cs="Times New Roman"/>
          <w:color w:val="1F1F1F"/>
          <w:sz w:val="24"/>
          <w:szCs w:val="24"/>
        </w:rPr>
        <w:t xml:space="preserve"> was maintained through reflexive analysis, ensuring findings were grounded in documented evidence rather than normative assumptions about public or private provision.</w:t>
      </w:r>
      <w:r>
        <w:rPr>
          <w:rFonts w:ascii="Times New Roman" w:eastAsia="Times New Roman" w:hAnsi="Times New Roman" w:cs="Times New Roman"/>
          <w:color w:val="1F1F1F"/>
          <w:sz w:val="24"/>
          <w:szCs w:val="24"/>
        </w:rPr>
        <w:br/>
      </w:r>
    </w:p>
    <w:p w:rsidR="00E36009" w:rsidRDefault="00832D5D">
      <w:pPr>
        <w:spacing w:before="240" w:after="240" w:line="480" w:lineRule="auto"/>
        <w:rPr>
          <w:rFonts w:ascii="Times New Roman" w:eastAsia="Times New Roman" w:hAnsi="Times New Roman" w:cs="Times New Roman"/>
          <w:color w:val="1F1F1F"/>
          <w:sz w:val="24"/>
          <w:szCs w:val="24"/>
        </w:rPr>
      </w:pPr>
      <w:r>
        <w:pict>
          <v:rect id="_x0000_i1026" style="width:0;height:1.5pt" o:hralign="center" o:hrstd="t" o:hr="t" fillcolor="#a0a0a0" stroked="f"/>
        </w:pict>
      </w:r>
    </w:p>
    <w:p w:rsidR="00E36009" w:rsidRDefault="00E36009">
      <w:pPr>
        <w:pStyle w:val="Heading2"/>
        <w:keepNext w:val="0"/>
        <w:keepLines w:val="0"/>
        <w:spacing w:after="80" w:line="480" w:lineRule="auto"/>
        <w:rPr>
          <w:rFonts w:ascii="Times New Roman" w:eastAsia="Times New Roman" w:hAnsi="Times New Roman" w:cs="Times New Roman"/>
          <w:b/>
          <w:bCs/>
          <w:color w:val="1F1F1F"/>
          <w:sz w:val="24"/>
          <w:szCs w:val="24"/>
        </w:rPr>
      </w:pPr>
      <w:bookmarkStart w:id="40" w:name="_lhlbyixp93mb" w:colFirst="0" w:colLast="0"/>
      <w:bookmarkEnd w:id="40"/>
    </w:p>
    <w:p w:rsidR="00E36009" w:rsidRDefault="00832D5D">
      <w:pPr>
        <w:pStyle w:val="Heading2"/>
        <w:keepNext w:val="0"/>
        <w:keepLines w:val="0"/>
        <w:spacing w:after="80" w:line="480" w:lineRule="auto"/>
        <w:rPr>
          <w:rFonts w:ascii="Times New Roman" w:eastAsia="Times New Roman" w:hAnsi="Times New Roman" w:cs="Times New Roman"/>
          <w:b/>
          <w:bCs/>
          <w:color w:val="1F1F1F"/>
          <w:sz w:val="24"/>
          <w:szCs w:val="24"/>
        </w:rPr>
      </w:pPr>
      <w:bookmarkStart w:id="41" w:name="_wixl76b6sfhy" w:colFirst="0" w:colLast="0"/>
      <w:bookmarkEnd w:id="41"/>
      <w:r>
        <w:rPr>
          <w:rFonts w:ascii="Times New Roman" w:eastAsia="Times New Roman" w:hAnsi="Times New Roman" w:cs="Times New Roman"/>
          <w:b/>
          <w:bCs/>
          <w:color w:val="1F1F1F"/>
          <w:sz w:val="24"/>
          <w:szCs w:val="24"/>
        </w:rPr>
        <w:lastRenderedPageBreak/>
        <w:t>3.7 Ethical Considerations</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The study relies solely on publicly available secondary s</w:t>
      </w:r>
      <w:r>
        <w:rPr>
          <w:rFonts w:ascii="Times New Roman" w:eastAsia="Times New Roman" w:hAnsi="Times New Roman" w:cs="Times New Roman"/>
          <w:color w:val="1F1F1F"/>
          <w:sz w:val="24"/>
          <w:szCs w:val="24"/>
        </w:rPr>
        <w:t>ources and does not involve human subjects. All materials were cited in accordance with APA 7th Edition standards. Data were presented objectively to preserve analytical integrity.</w:t>
      </w:r>
    </w:p>
    <w:p w:rsidR="00E36009" w:rsidRDefault="00E36009">
      <w:pPr>
        <w:spacing w:before="240" w:after="240" w:line="480" w:lineRule="auto"/>
        <w:rPr>
          <w:rFonts w:ascii="Times New Roman" w:eastAsia="Times New Roman" w:hAnsi="Times New Roman" w:cs="Times New Roman"/>
          <w:color w:val="1F1F1F"/>
          <w:sz w:val="24"/>
          <w:szCs w:val="24"/>
        </w:rPr>
      </w:pPr>
    </w:p>
    <w:p w:rsidR="00E36009" w:rsidRDefault="00832D5D">
      <w:pPr>
        <w:pStyle w:val="Heading1"/>
        <w:keepNext w:val="0"/>
        <w:keepLines w:val="0"/>
        <w:spacing w:before="480" w:line="480" w:lineRule="auto"/>
        <w:rPr>
          <w:rFonts w:ascii="Times New Roman" w:eastAsia="Times New Roman" w:hAnsi="Times New Roman" w:cs="Times New Roman"/>
          <w:b/>
          <w:bCs/>
          <w:color w:val="1F1F1F"/>
          <w:sz w:val="24"/>
          <w:szCs w:val="24"/>
        </w:rPr>
      </w:pPr>
      <w:bookmarkStart w:id="42" w:name="_ei901lvywbmk" w:colFirst="0" w:colLast="0"/>
      <w:bookmarkEnd w:id="42"/>
      <w:r>
        <w:br w:type="page"/>
      </w:r>
    </w:p>
    <w:p w:rsidR="00E36009" w:rsidRDefault="00832D5D">
      <w:pPr>
        <w:pStyle w:val="Heading1"/>
        <w:keepNext w:val="0"/>
        <w:keepLines w:val="0"/>
        <w:spacing w:before="480" w:line="480" w:lineRule="auto"/>
        <w:jc w:val="center"/>
        <w:rPr>
          <w:rFonts w:ascii="Times New Roman" w:eastAsia="Times New Roman" w:hAnsi="Times New Roman" w:cs="Times New Roman"/>
          <w:b/>
          <w:bCs/>
          <w:color w:val="1F1F1F"/>
          <w:sz w:val="24"/>
          <w:szCs w:val="24"/>
        </w:rPr>
      </w:pPr>
      <w:bookmarkStart w:id="43" w:name="_lslri09ik8qb" w:colFirst="0" w:colLast="0"/>
      <w:bookmarkEnd w:id="43"/>
      <w:r>
        <w:rPr>
          <w:rFonts w:ascii="Times New Roman" w:eastAsia="Times New Roman" w:hAnsi="Times New Roman" w:cs="Times New Roman"/>
          <w:b/>
          <w:bCs/>
          <w:color w:val="1F1F1F"/>
          <w:sz w:val="24"/>
          <w:szCs w:val="24"/>
        </w:rPr>
        <w:lastRenderedPageBreak/>
        <w:t>CHAPTER FOUR</w:t>
      </w:r>
    </w:p>
    <w:p w:rsidR="00E36009" w:rsidRDefault="00832D5D">
      <w:pPr>
        <w:pStyle w:val="Heading2"/>
        <w:keepNext w:val="0"/>
        <w:keepLines w:val="0"/>
        <w:spacing w:after="80" w:line="480" w:lineRule="auto"/>
        <w:jc w:val="center"/>
        <w:rPr>
          <w:rFonts w:ascii="Times New Roman" w:eastAsia="Times New Roman" w:hAnsi="Times New Roman" w:cs="Times New Roman"/>
          <w:b/>
          <w:bCs/>
          <w:color w:val="1F1F1F"/>
          <w:sz w:val="24"/>
          <w:szCs w:val="24"/>
        </w:rPr>
      </w:pPr>
      <w:bookmarkStart w:id="44" w:name="_mnympkserqn2" w:colFirst="0" w:colLast="0"/>
      <w:bookmarkEnd w:id="44"/>
      <w:r>
        <w:rPr>
          <w:rFonts w:ascii="Times New Roman" w:eastAsia="Times New Roman" w:hAnsi="Times New Roman" w:cs="Times New Roman"/>
          <w:b/>
          <w:bCs/>
          <w:color w:val="1F1F1F"/>
          <w:sz w:val="24"/>
          <w:szCs w:val="24"/>
        </w:rPr>
        <w:t>DISCUSSION AND ANALYSIS</w:t>
      </w:r>
    </w:p>
    <w:p w:rsidR="00E36009" w:rsidRDefault="00832D5D">
      <w:pPr>
        <w:spacing w:before="240" w:after="240" w:line="480" w:lineRule="auto"/>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4.1 PARTNERSHIPS: Re-Engineering Collaborative Health Governance</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Achieving SDG 3 requires governance models that extend beyond isolated state action. The analysis indicates a gradual shift from donor-dependent programming toward system-integrated and capac</w:t>
      </w:r>
      <w:r>
        <w:rPr>
          <w:rFonts w:ascii="Times New Roman" w:eastAsia="Times New Roman" w:hAnsi="Times New Roman" w:cs="Times New Roman"/>
          <w:color w:val="1F1F1F"/>
          <w:sz w:val="24"/>
          <w:szCs w:val="24"/>
        </w:rPr>
        <w:t>ity-building partnerships.</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Chapter 4 examines the major structural factors shaping the financing of Sustainable Development Goal 3 (SDG 3) in Nigeria. While financial resources remain central to achieving Universal Health Coverage, the effectiveness of the</w:t>
      </w:r>
      <w:r>
        <w:rPr>
          <w:rFonts w:ascii="Times New Roman" w:eastAsia="Times New Roman" w:hAnsi="Times New Roman" w:cs="Times New Roman"/>
          <w:color w:val="1F1F1F"/>
          <w:sz w:val="24"/>
          <w:szCs w:val="24"/>
        </w:rPr>
        <w:t>se investments is strongly influenced by broader systemic factors within the health sector. In addition to fiscal constraints, governance structures, and investment frameworks, the sustainability of health financing is closely linked to the availability an</w:t>
      </w:r>
      <w:r>
        <w:rPr>
          <w:rFonts w:ascii="Times New Roman" w:eastAsia="Times New Roman" w:hAnsi="Times New Roman" w:cs="Times New Roman"/>
          <w:color w:val="1F1F1F"/>
          <w:sz w:val="24"/>
          <w:szCs w:val="24"/>
        </w:rPr>
        <w:t>d retention of skilled healthcare professionals. Consequently, this chapter also examines the implications of the ongoing medical workforce migration crisis, highlighting how the loss of trained human capital undermines the effectiveness of public health i</w:t>
      </w:r>
      <w:r>
        <w:rPr>
          <w:rFonts w:ascii="Times New Roman" w:eastAsia="Times New Roman" w:hAnsi="Times New Roman" w:cs="Times New Roman"/>
          <w:color w:val="1F1F1F"/>
          <w:sz w:val="24"/>
          <w:szCs w:val="24"/>
        </w:rPr>
        <w:t>nvestments and weakens the health system's capacity to deliver quality services.</w:t>
      </w:r>
    </w:p>
    <w:p w:rsidR="00E36009" w:rsidRDefault="00832D5D">
      <w:pPr>
        <w:pStyle w:val="Heading2"/>
        <w:keepNext w:val="0"/>
        <w:keepLines w:val="0"/>
        <w:spacing w:after="80" w:line="480" w:lineRule="auto"/>
        <w:rPr>
          <w:rFonts w:ascii="Times New Roman" w:eastAsia="Times New Roman" w:hAnsi="Times New Roman" w:cs="Times New Roman"/>
          <w:b/>
          <w:bCs/>
          <w:color w:val="1F1F1F"/>
          <w:sz w:val="24"/>
          <w:szCs w:val="24"/>
        </w:rPr>
      </w:pPr>
      <w:bookmarkStart w:id="45" w:name="_9044lrp3t21y" w:colFirst="0" w:colLast="0"/>
      <w:bookmarkEnd w:id="45"/>
      <w:r>
        <w:rPr>
          <w:rFonts w:ascii="Times New Roman" w:eastAsia="Times New Roman" w:hAnsi="Times New Roman" w:cs="Times New Roman"/>
          <w:b/>
          <w:bCs/>
          <w:color w:val="1F1F1F"/>
          <w:sz w:val="24"/>
          <w:szCs w:val="24"/>
        </w:rPr>
        <w:t>4.1.1 Fragmentation of Global Health Initiatives (GHIs)</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Vertical global initiatives such as the Global Fund and Gavi have significantly improved disease-specific outcomes acro</w:t>
      </w:r>
      <w:r>
        <w:rPr>
          <w:rFonts w:ascii="Times New Roman" w:eastAsia="Times New Roman" w:hAnsi="Times New Roman" w:cs="Times New Roman"/>
          <w:color w:val="1F1F1F"/>
          <w:sz w:val="24"/>
          <w:szCs w:val="24"/>
        </w:rPr>
        <w:t>ss Sub-Saharan Africa. However, evidence suggests that these programs often operate parallel systems—separate supply chains, reporting platforms, and incentive structures—focused narrowly on specific diseases.</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lastRenderedPageBreak/>
        <w:t>While HIV or immunisation programs may be well</w:t>
      </w:r>
      <w:r>
        <w:rPr>
          <w:rFonts w:ascii="Times New Roman" w:eastAsia="Times New Roman" w:hAnsi="Times New Roman" w:cs="Times New Roman"/>
          <w:color w:val="1F1F1F"/>
          <w:sz w:val="24"/>
          <w:szCs w:val="24"/>
        </w:rPr>
        <w:t>-funded, other essential services, such as maternal or primary care, remain under-resourced. This verticalization weakens horizontal primary healthcare (PHC) systems. An example will be my recent visit to the Neurology department of University of Abuja Tea</w:t>
      </w:r>
      <w:r>
        <w:rPr>
          <w:rFonts w:ascii="Times New Roman" w:eastAsia="Times New Roman" w:hAnsi="Times New Roman" w:cs="Times New Roman"/>
          <w:color w:val="1F1F1F"/>
          <w:sz w:val="24"/>
          <w:szCs w:val="24"/>
        </w:rPr>
        <w:t>ching Hospital (UATH) Gwagwalada, that uses The Diabetes and Endocrine Treatment Centre, specially funded by the Office of the senior Special Assistant to the President on Sustainable Development Goals (OSSAP-SDGs), the structure being dedicated to a speci</w:t>
      </w:r>
      <w:r>
        <w:rPr>
          <w:rFonts w:ascii="Times New Roman" w:eastAsia="Times New Roman" w:hAnsi="Times New Roman" w:cs="Times New Roman"/>
          <w:color w:val="1F1F1F"/>
          <w:sz w:val="24"/>
          <w:szCs w:val="24"/>
        </w:rPr>
        <w:t xml:space="preserve">fic area of medicine, is well structured and looks a lot different compared to other Out-Patient departments in the hospital. </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As Nigeria approaches potential donor graduation, sustainability requires integration of vertical programs into national financin</w:t>
      </w:r>
      <w:r>
        <w:rPr>
          <w:rFonts w:ascii="Times New Roman" w:eastAsia="Times New Roman" w:hAnsi="Times New Roman" w:cs="Times New Roman"/>
          <w:color w:val="1F1F1F"/>
          <w:sz w:val="24"/>
          <w:szCs w:val="24"/>
        </w:rPr>
        <w:t>g structures. Donor resources should increasingly align with domestic pooling mechanisms, including national health insurance schemes, rather than remain siloed (Mathauer et al., 2017).</w:t>
      </w:r>
    </w:p>
    <w:p w:rsidR="00E36009" w:rsidRDefault="00832D5D">
      <w:pPr>
        <w:pStyle w:val="Heading2"/>
        <w:keepNext w:val="0"/>
        <w:keepLines w:val="0"/>
        <w:spacing w:after="80" w:line="480" w:lineRule="auto"/>
        <w:rPr>
          <w:rFonts w:ascii="Times New Roman" w:eastAsia="Times New Roman" w:hAnsi="Times New Roman" w:cs="Times New Roman"/>
          <w:b/>
          <w:bCs/>
          <w:color w:val="1F1F1F"/>
          <w:sz w:val="24"/>
          <w:szCs w:val="24"/>
        </w:rPr>
      </w:pPr>
      <w:bookmarkStart w:id="46" w:name="_55w09a4py698" w:colFirst="0" w:colLast="0"/>
      <w:bookmarkEnd w:id="46"/>
      <w:r>
        <w:rPr>
          <w:rFonts w:ascii="Times New Roman" w:eastAsia="Times New Roman" w:hAnsi="Times New Roman" w:cs="Times New Roman"/>
          <w:b/>
          <w:bCs/>
          <w:color w:val="1F1F1F"/>
          <w:sz w:val="24"/>
          <w:szCs w:val="24"/>
        </w:rPr>
        <w:t>4.1.2 Public–Private Partnerships (PPPs) in Service and Supply</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Given f</w:t>
      </w:r>
      <w:r>
        <w:rPr>
          <w:rFonts w:ascii="Times New Roman" w:eastAsia="Times New Roman" w:hAnsi="Times New Roman" w:cs="Times New Roman"/>
          <w:color w:val="1F1F1F"/>
          <w:sz w:val="24"/>
          <w:szCs w:val="24"/>
        </w:rPr>
        <w:t xml:space="preserve">iscal constraints, PPPs are frequently deployed to expand infrastructure and service capacity. Beyond full-facility concessions, recent models include diagnostic services, pharmaceutical logistics, and health technology management. These arrangements have </w:t>
      </w:r>
      <w:r>
        <w:rPr>
          <w:rFonts w:ascii="Times New Roman" w:eastAsia="Times New Roman" w:hAnsi="Times New Roman" w:cs="Times New Roman"/>
          <w:color w:val="1F1F1F"/>
          <w:sz w:val="24"/>
          <w:szCs w:val="24"/>
        </w:rPr>
        <w:t>reduced stock-outs and supply inefficiencies in several states.</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However, outcomes depend heavily on the allocation of risk. PPPs are unsustainable when governments absorb excessive financial risk or when regulatory instability discourages private participa</w:t>
      </w:r>
      <w:r>
        <w:rPr>
          <w:rFonts w:ascii="Times New Roman" w:eastAsia="Times New Roman" w:hAnsi="Times New Roman" w:cs="Times New Roman"/>
          <w:color w:val="1F1F1F"/>
          <w:sz w:val="24"/>
          <w:szCs w:val="24"/>
        </w:rPr>
        <w:t>tion. Conversely, weak regulation can compromise equity and affordability.</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lastRenderedPageBreak/>
        <w:t>Effective PPPs require predictable regulation, timely payment under public insurance schemes, and clear assignment of operational risks to private partners.</w:t>
      </w:r>
    </w:p>
    <w:p w:rsidR="00E36009" w:rsidRDefault="00832D5D">
      <w:pPr>
        <w:pStyle w:val="Heading2"/>
        <w:keepNext w:val="0"/>
        <w:keepLines w:val="0"/>
        <w:spacing w:after="80" w:line="480" w:lineRule="auto"/>
        <w:rPr>
          <w:rFonts w:ascii="Times New Roman" w:eastAsia="Times New Roman" w:hAnsi="Times New Roman" w:cs="Times New Roman"/>
          <w:b/>
          <w:bCs/>
          <w:color w:val="1F1F1F"/>
          <w:sz w:val="24"/>
          <w:szCs w:val="24"/>
        </w:rPr>
      </w:pPr>
      <w:bookmarkStart w:id="47" w:name="_2b42gnvn6tz0" w:colFirst="0" w:colLast="0"/>
      <w:bookmarkEnd w:id="47"/>
      <w:r>
        <w:rPr>
          <w:rFonts w:ascii="Times New Roman" w:eastAsia="Times New Roman" w:hAnsi="Times New Roman" w:cs="Times New Roman"/>
          <w:b/>
          <w:bCs/>
          <w:color w:val="1F1F1F"/>
          <w:sz w:val="24"/>
          <w:szCs w:val="24"/>
        </w:rPr>
        <w:t>4.1.3 Diaspora Engagement</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Health workforce migration continues to affect domestic service delivery. Rather than viewing diaspora outflows solely as a loss, policy can facilitate structured re-engagement.</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Telemedicine collaboration, temporary service return</w:t>
      </w:r>
      <w:r>
        <w:rPr>
          <w:rFonts w:ascii="Times New Roman" w:eastAsia="Times New Roman" w:hAnsi="Times New Roman" w:cs="Times New Roman"/>
          <w:color w:val="1F1F1F"/>
          <w:sz w:val="24"/>
          <w:szCs w:val="24"/>
        </w:rPr>
        <w:t xml:space="preserve"> programs, and diaspora bonds targeting health infrastructure offer mechanisms to leverage remittance flows and professional expertise (World Bank, 2024). Such approaches reframe migration as a potential site for the circulation of capital and knowledge.</w:t>
      </w:r>
    </w:p>
    <w:p w:rsidR="00E36009" w:rsidRDefault="00832D5D">
      <w:pPr>
        <w:pStyle w:val="Heading1"/>
        <w:keepNext w:val="0"/>
        <w:keepLines w:val="0"/>
        <w:spacing w:before="480" w:line="480" w:lineRule="auto"/>
        <w:rPr>
          <w:rFonts w:ascii="Times New Roman" w:eastAsia="Times New Roman" w:hAnsi="Times New Roman" w:cs="Times New Roman"/>
          <w:b/>
          <w:bCs/>
          <w:color w:val="1F1F1F"/>
          <w:sz w:val="24"/>
          <w:szCs w:val="24"/>
        </w:rPr>
      </w:pPr>
      <w:bookmarkStart w:id="48" w:name="_uvu23s3msctg" w:colFirst="0" w:colLast="0"/>
      <w:bookmarkEnd w:id="48"/>
      <w:r>
        <w:rPr>
          <w:rFonts w:ascii="Times New Roman" w:eastAsia="Times New Roman" w:hAnsi="Times New Roman" w:cs="Times New Roman"/>
          <w:b/>
          <w:bCs/>
          <w:color w:val="1F1F1F"/>
          <w:sz w:val="24"/>
          <w:szCs w:val="24"/>
        </w:rPr>
        <w:t>4</w:t>
      </w:r>
      <w:r>
        <w:rPr>
          <w:rFonts w:ascii="Times New Roman" w:eastAsia="Times New Roman" w:hAnsi="Times New Roman" w:cs="Times New Roman"/>
          <w:b/>
          <w:bCs/>
          <w:color w:val="1F1F1F"/>
          <w:sz w:val="24"/>
          <w:szCs w:val="24"/>
        </w:rPr>
        <w:t>.2 INVESTMENT: Closing the Health Capital Gap</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Achieving UHC requires financing beyond traditional budget allocations. The analysis highlights domestic resource mobilisation, industrial policy, and institutional pooling reforms as key investment strategies.</w:t>
      </w:r>
    </w:p>
    <w:p w:rsidR="00E36009" w:rsidRDefault="00832D5D">
      <w:pPr>
        <w:pStyle w:val="Heading2"/>
        <w:keepNext w:val="0"/>
        <w:keepLines w:val="0"/>
        <w:spacing w:after="80" w:line="480" w:lineRule="auto"/>
        <w:rPr>
          <w:rFonts w:ascii="Times New Roman" w:eastAsia="Times New Roman" w:hAnsi="Times New Roman" w:cs="Times New Roman"/>
          <w:b/>
          <w:bCs/>
          <w:color w:val="1F1F1F"/>
          <w:sz w:val="24"/>
          <w:szCs w:val="24"/>
        </w:rPr>
      </w:pPr>
      <w:bookmarkStart w:id="49" w:name="_jd8bmr61jg0a" w:colFirst="0" w:colLast="0"/>
      <w:bookmarkEnd w:id="49"/>
      <w:r>
        <w:rPr>
          <w:rFonts w:ascii="Times New Roman" w:eastAsia="Times New Roman" w:hAnsi="Times New Roman" w:cs="Times New Roman"/>
          <w:b/>
          <w:bCs/>
          <w:color w:val="1F1F1F"/>
          <w:sz w:val="24"/>
          <w:szCs w:val="24"/>
        </w:rPr>
        <w:t>4.2.1 Domestic Resource Mobilisation and Health Taxes</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Progressive excise taxes on tobacco, alcohol, and sugar-sweetened beverages offer dual benefits: revenue generation and reduced non-communicable disease (NCD) burden. Nigeria’s SSB tax (introduced via </w:t>
      </w:r>
      <w:r>
        <w:rPr>
          <w:rFonts w:ascii="Times New Roman" w:eastAsia="Times New Roman" w:hAnsi="Times New Roman" w:cs="Times New Roman"/>
          <w:color w:val="1F1F1F"/>
          <w:sz w:val="24"/>
          <w:szCs w:val="24"/>
        </w:rPr>
        <w:t>the 2021 Finance Act) represents a step in this direction.</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lastRenderedPageBreak/>
        <w:t>However, without legal earmarking, revenue fungibility limits health-sector impact. Ring-fencing such taxes to subsidise insurance premiums for vulnerable populations would strengthen financial pro</w:t>
      </w:r>
      <w:r>
        <w:rPr>
          <w:rFonts w:ascii="Times New Roman" w:eastAsia="Times New Roman" w:hAnsi="Times New Roman" w:cs="Times New Roman"/>
          <w:color w:val="1F1F1F"/>
          <w:sz w:val="24"/>
          <w:szCs w:val="24"/>
        </w:rPr>
        <w:t>tection and align taxation with SDG 3 objectives (Adewole et al., 2021).</w:t>
      </w:r>
    </w:p>
    <w:p w:rsidR="00E36009" w:rsidRDefault="00832D5D">
      <w:pPr>
        <w:pStyle w:val="Heading2"/>
        <w:keepNext w:val="0"/>
        <w:keepLines w:val="0"/>
        <w:spacing w:after="80" w:line="480" w:lineRule="auto"/>
        <w:rPr>
          <w:rFonts w:ascii="Times New Roman" w:eastAsia="Times New Roman" w:hAnsi="Times New Roman" w:cs="Times New Roman"/>
          <w:b/>
          <w:bCs/>
          <w:color w:val="1F1F1F"/>
          <w:sz w:val="24"/>
          <w:szCs w:val="24"/>
        </w:rPr>
      </w:pPr>
      <w:bookmarkStart w:id="50" w:name="_ot91g8lgcsi" w:colFirst="0" w:colLast="0"/>
      <w:bookmarkEnd w:id="50"/>
      <w:r>
        <w:rPr>
          <w:rFonts w:ascii="Times New Roman" w:eastAsia="Times New Roman" w:hAnsi="Times New Roman" w:cs="Times New Roman"/>
          <w:b/>
          <w:bCs/>
          <w:color w:val="1F1F1F"/>
          <w:sz w:val="24"/>
          <w:szCs w:val="24"/>
        </w:rPr>
        <w:t>4.2.2 De-Risking Pharmaceutical Investment</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Nigeria’s dependence on imported pharmaceuticals exposes the system to foreign exchange volatility and supply disruptions. Expanding domesti</w:t>
      </w:r>
      <w:r>
        <w:rPr>
          <w:rFonts w:ascii="Times New Roman" w:eastAsia="Times New Roman" w:hAnsi="Times New Roman" w:cs="Times New Roman"/>
          <w:color w:val="1F1F1F"/>
          <w:sz w:val="24"/>
          <w:szCs w:val="24"/>
        </w:rPr>
        <w:t>c manufacturing capacity is therefore both an economic and a health security priority.</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Recent exits by multinational firms reflect structural barriers including foreign exchange constraints, energy costs, and regulatory delays (Aluh et al., 2024).</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Blended </w:t>
      </w:r>
      <w:r>
        <w:rPr>
          <w:rFonts w:ascii="Times New Roman" w:eastAsia="Times New Roman" w:hAnsi="Times New Roman" w:cs="Times New Roman"/>
          <w:color w:val="1F1F1F"/>
          <w:sz w:val="24"/>
          <w:szCs w:val="24"/>
        </w:rPr>
        <w:t>finance instruments—such as credit guarantees, concessional loans, and first-loss capital from Development Finance Institutions—can reduce investor risk and support compliance with WHO Good Manufacturing Practice standards (IFC, 2022).</w:t>
      </w:r>
    </w:p>
    <w:p w:rsidR="00E36009" w:rsidRDefault="00832D5D">
      <w:pPr>
        <w:pStyle w:val="Heading2"/>
        <w:keepNext w:val="0"/>
        <w:keepLines w:val="0"/>
        <w:spacing w:after="80" w:line="480" w:lineRule="auto"/>
        <w:rPr>
          <w:rFonts w:ascii="Times New Roman" w:eastAsia="Times New Roman" w:hAnsi="Times New Roman" w:cs="Times New Roman"/>
          <w:b/>
          <w:bCs/>
          <w:color w:val="1F1F1F"/>
          <w:sz w:val="24"/>
          <w:szCs w:val="24"/>
        </w:rPr>
      </w:pPr>
      <w:bookmarkStart w:id="51" w:name="_itg9xp9kit4q" w:colFirst="0" w:colLast="0"/>
      <w:bookmarkEnd w:id="51"/>
      <w:r>
        <w:rPr>
          <w:rFonts w:ascii="Times New Roman" w:eastAsia="Times New Roman" w:hAnsi="Times New Roman" w:cs="Times New Roman"/>
          <w:b/>
          <w:bCs/>
          <w:color w:val="1F1F1F"/>
          <w:sz w:val="24"/>
          <w:szCs w:val="24"/>
        </w:rPr>
        <w:t>4.2.3 Mandatory Heal</w:t>
      </w:r>
      <w:r>
        <w:rPr>
          <w:rFonts w:ascii="Times New Roman" w:eastAsia="Times New Roman" w:hAnsi="Times New Roman" w:cs="Times New Roman"/>
          <w:b/>
          <w:bCs/>
          <w:color w:val="1F1F1F"/>
          <w:sz w:val="24"/>
          <w:szCs w:val="24"/>
        </w:rPr>
        <w:t>th Insurance as Institutional Pooling Reform</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The NHIA Act (2022) establishes mandatory health insurance coverage. If effectively enforced, this reform can significantly expand prepaid risk pools and reduce reliance on catastrophic out-of-pocket payments (O</w:t>
      </w:r>
      <w:r>
        <w:rPr>
          <w:rFonts w:ascii="Times New Roman" w:eastAsia="Times New Roman" w:hAnsi="Times New Roman" w:cs="Times New Roman"/>
          <w:color w:val="1F1F1F"/>
          <w:sz w:val="24"/>
          <w:szCs w:val="24"/>
        </w:rPr>
        <w:t>lakunde, 2020).</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Large pooled funds enhance purchasing power, enable price negotiation, and support quality enforcement. However, implementation challenges remain, particularly within the informal sector, where premium collection mechanisms are weak.</w:t>
      </w:r>
    </w:p>
    <w:p w:rsidR="00E36009" w:rsidRDefault="00832D5D">
      <w:pPr>
        <w:pStyle w:val="Heading1"/>
        <w:keepNext w:val="0"/>
        <w:keepLines w:val="0"/>
        <w:spacing w:before="480" w:line="480" w:lineRule="auto"/>
        <w:rPr>
          <w:rFonts w:ascii="Times New Roman" w:eastAsia="Times New Roman" w:hAnsi="Times New Roman" w:cs="Times New Roman"/>
          <w:b/>
          <w:bCs/>
          <w:color w:val="1F1F1F"/>
          <w:sz w:val="24"/>
          <w:szCs w:val="24"/>
        </w:rPr>
      </w:pPr>
      <w:bookmarkStart w:id="52" w:name="_gnx7k14auzr5" w:colFirst="0" w:colLast="0"/>
      <w:bookmarkEnd w:id="52"/>
      <w:r>
        <w:rPr>
          <w:rFonts w:ascii="Times New Roman" w:eastAsia="Times New Roman" w:hAnsi="Times New Roman" w:cs="Times New Roman"/>
          <w:b/>
          <w:bCs/>
          <w:color w:val="1F1F1F"/>
          <w:sz w:val="24"/>
          <w:szCs w:val="24"/>
        </w:rPr>
        <w:lastRenderedPageBreak/>
        <w:t xml:space="preserve">4.2.4 </w:t>
      </w:r>
      <w:r>
        <w:rPr>
          <w:rFonts w:ascii="Times New Roman" w:eastAsia="Times New Roman" w:hAnsi="Times New Roman" w:cs="Times New Roman"/>
          <w:b/>
          <w:bCs/>
          <w:color w:val="1F1F1F"/>
          <w:sz w:val="24"/>
          <w:szCs w:val="24"/>
        </w:rPr>
        <w:t>Human Capital Investment and the Medical Brain Drain Crisis</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Any discussion of financing </w:t>
      </w:r>
      <w:r>
        <w:rPr>
          <w:rFonts w:ascii="Times New Roman" w:eastAsia="Times New Roman" w:hAnsi="Times New Roman" w:cs="Times New Roman"/>
          <w:b/>
          <w:bCs/>
          <w:color w:val="1F1F1F"/>
          <w:sz w:val="24"/>
          <w:szCs w:val="24"/>
        </w:rPr>
        <w:t>Sustainable Development Goal 3 (SDG 3)</w:t>
      </w:r>
      <w:r>
        <w:rPr>
          <w:rFonts w:ascii="Times New Roman" w:eastAsia="Times New Roman" w:hAnsi="Times New Roman" w:cs="Times New Roman"/>
          <w:color w:val="1F1F1F"/>
          <w:sz w:val="24"/>
          <w:szCs w:val="24"/>
        </w:rPr>
        <w:t xml:space="preserve"> remains incomplete without addressing the human capital required to deliver healthcare services. In recent years, Nigeria’s healt</w:t>
      </w:r>
      <w:r>
        <w:rPr>
          <w:rFonts w:ascii="Times New Roman" w:eastAsia="Times New Roman" w:hAnsi="Times New Roman" w:cs="Times New Roman"/>
          <w:color w:val="1F1F1F"/>
          <w:sz w:val="24"/>
          <w:szCs w:val="24"/>
        </w:rPr>
        <w:t xml:space="preserve">h sector has experienced an escalating workforce crisis characterised by the large-scale migration of trained medical professionals to high-income countries. According to data from the Coordinating Minister of Health and Social Welfare, more than </w:t>
      </w:r>
      <w:r>
        <w:rPr>
          <w:rFonts w:ascii="Times New Roman" w:eastAsia="Times New Roman" w:hAnsi="Times New Roman" w:cs="Times New Roman"/>
          <w:b/>
          <w:bCs/>
          <w:color w:val="1F1F1F"/>
          <w:sz w:val="24"/>
          <w:szCs w:val="24"/>
        </w:rPr>
        <w:t>16,000 Ni</w:t>
      </w:r>
      <w:r>
        <w:rPr>
          <w:rFonts w:ascii="Times New Roman" w:eastAsia="Times New Roman" w:hAnsi="Times New Roman" w:cs="Times New Roman"/>
          <w:b/>
          <w:bCs/>
          <w:color w:val="1F1F1F"/>
          <w:sz w:val="24"/>
          <w:szCs w:val="24"/>
        </w:rPr>
        <w:t>gerian doctors emigrated between 2018 and 2025</w:t>
      </w:r>
      <w:r>
        <w:rPr>
          <w:rFonts w:ascii="Times New Roman" w:eastAsia="Times New Roman" w:hAnsi="Times New Roman" w:cs="Times New Roman"/>
          <w:color w:val="1F1F1F"/>
          <w:sz w:val="24"/>
          <w:szCs w:val="24"/>
        </w:rPr>
        <w:t xml:space="preserve"> in search of better remuneration, improved working conditions, and safer clinical environments (Adejoro, 2025). Consequently, the national </w:t>
      </w:r>
      <w:r>
        <w:rPr>
          <w:rFonts w:ascii="Times New Roman" w:eastAsia="Times New Roman" w:hAnsi="Times New Roman" w:cs="Times New Roman"/>
          <w:b/>
          <w:bCs/>
          <w:color w:val="1F1F1F"/>
          <w:sz w:val="24"/>
          <w:szCs w:val="24"/>
        </w:rPr>
        <w:t>doctor-to-population ratio has declined to approximately 3.9 per 10,00</w:t>
      </w:r>
      <w:r>
        <w:rPr>
          <w:rFonts w:ascii="Times New Roman" w:eastAsia="Times New Roman" w:hAnsi="Times New Roman" w:cs="Times New Roman"/>
          <w:b/>
          <w:bCs/>
          <w:color w:val="1F1F1F"/>
          <w:sz w:val="24"/>
          <w:szCs w:val="24"/>
        </w:rPr>
        <w:t>0 people</w:t>
      </w:r>
      <w:r>
        <w:rPr>
          <w:rFonts w:ascii="Times New Roman" w:eastAsia="Times New Roman" w:hAnsi="Times New Roman" w:cs="Times New Roman"/>
          <w:color w:val="1F1F1F"/>
          <w:sz w:val="24"/>
          <w:szCs w:val="24"/>
        </w:rPr>
        <w:t>, significantly below the threshold required to achieve effective Universal Health Coverage (Adejoro, 2025; Zakir, 2025).</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From a macroeconomic perspective, the ongoing migration of healthcare professionals represents a substantial loss of public in</w:t>
      </w:r>
      <w:r>
        <w:rPr>
          <w:rFonts w:ascii="Times New Roman" w:eastAsia="Times New Roman" w:hAnsi="Times New Roman" w:cs="Times New Roman"/>
          <w:color w:val="1F1F1F"/>
          <w:sz w:val="24"/>
          <w:szCs w:val="24"/>
        </w:rPr>
        <w:t xml:space="preserve">vestment. The estimated cost of training a medical doctor in Nigeria exceeds </w:t>
      </w:r>
      <w:r>
        <w:rPr>
          <w:rFonts w:ascii="Times New Roman" w:eastAsia="Times New Roman" w:hAnsi="Times New Roman" w:cs="Times New Roman"/>
          <w:b/>
          <w:bCs/>
          <w:color w:val="1F1F1F"/>
          <w:sz w:val="24"/>
          <w:szCs w:val="24"/>
        </w:rPr>
        <w:t>US$21,000</w:t>
      </w:r>
      <w:r>
        <w:rPr>
          <w:rFonts w:ascii="Times New Roman" w:eastAsia="Times New Roman" w:hAnsi="Times New Roman" w:cs="Times New Roman"/>
          <w:color w:val="1F1F1F"/>
          <w:sz w:val="24"/>
          <w:szCs w:val="24"/>
        </w:rPr>
        <w:t>, with much of the cost subsidised by public funds. Longitudinal evidence suggests that nearly half of medical graduates emigrate within fifteen years of qualification to</w:t>
      </w:r>
      <w:r>
        <w:rPr>
          <w:rFonts w:ascii="Times New Roman" w:eastAsia="Times New Roman" w:hAnsi="Times New Roman" w:cs="Times New Roman"/>
          <w:color w:val="1F1F1F"/>
          <w:sz w:val="24"/>
          <w:szCs w:val="24"/>
        </w:rPr>
        <w:t xml:space="preserve"> destinations such as the </w:t>
      </w:r>
      <w:r>
        <w:rPr>
          <w:rFonts w:ascii="Times New Roman" w:eastAsia="Times New Roman" w:hAnsi="Times New Roman" w:cs="Times New Roman"/>
          <w:b/>
          <w:bCs/>
          <w:color w:val="1F1F1F"/>
          <w:sz w:val="24"/>
          <w:szCs w:val="24"/>
        </w:rPr>
        <w:t>United Kingdom, Canada, and the United States</w:t>
      </w:r>
      <w:r>
        <w:rPr>
          <w:rFonts w:ascii="Times New Roman" w:eastAsia="Times New Roman" w:hAnsi="Times New Roman" w:cs="Times New Roman"/>
          <w:color w:val="1F1F1F"/>
          <w:sz w:val="24"/>
          <w:szCs w:val="24"/>
        </w:rPr>
        <w:t>. This trend effectively transfers publicly funded human capital to advanced healthcare systems without compensation, thereby weakening the domestic health sector and undermining national development objectives (Adejoro, 2025; Zakir, 2025).</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Several structu</w:t>
      </w:r>
      <w:r>
        <w:rPr>
          <w:rFonts w:ascii="Times New Roman" w:eastAsia="Times New Roman" w:hAnsi="Times New Roman" w:cs="Times New Roman"/>
          <w:color w:val="1F1F1F"/>
          <w:sz w:val="24"/>
          <w:szCs w:val="24"/>
        </w:rPr>
        <w:t xml:space="preserve">ral factors drive this persistent migration. Zakir (2025) notes that resident doctors frequently endure excessively long shifts, sometimes ranging from </w:t>
      </w:r>
      <w:r>
        <w:rPr>
          <w:rFonts w:ascii="Times New Roman" w:eastAsia="Times New Roman" w:hAnsi="Times New Roman" w:cs="Times New Roman"/>
          <w:b/>
          <w:bCs/>
          <w:color w:val="1F1F1F"/>
          <w:sz w:val="24"/>
          <w:szCs w:val="24"/>
        </w:rPr>
        <w:t>24 to 72 continuous hours</w:t>
      </w:r>
      <w:r>
        <w:rPr>
          <w:rFonts w:ascii="Times New Roman" w:eastAsia="Times New Roman" w:hAnsi="Times New Roman" w:cs="Times New Roman"/>
          <w:color w:val="1F1F1F"/>
          <w:sz w:val="24"/>
          <w:szCs w:val="24"/>
        </w:rPr>
        <w:t>, often without adequate rest or institutional support. These conditions are co</w:t>
      </w:r>
      <w:r>
        <w:rPr>
          <w:rFonts w:ascii="Times New Roman" w:eastAsia="Times New Roman" w:hAnsi="Times New Roman" w:cs="Times New Roman"/>
          <w:color w:val="1F1F1F"/>
          <w:sz w:val="24"/>
          <w:szCs w:val="24"/>
        </w:rPr>
        <w:t xml:space="preserve">mpounded by </w:t>
      </w:r>
      <w:r>
        <w:rPr>
          <w:rFonts w:ascii="Times New Roman" w:eastAsia="Times New Roman" w:hAnsi="Times New Roman" w:cs="Times New Roman"/>
          <w:color w:val="1F1F1F"/>
          <w:sz w:val="24"/>
          <w:szCs w:val="24"/>
        </w:rPr>
        <w:lastRenderedPageBreak/>
        <w:t>delayed salary payments, inadequate hazard allowances, limited training infrastructure, and the psychological strain of managing patients in resource-constrained environments. Under such circumstances, migration becomes a rational response to p</w:t>
      </w:r>
      <w:r>
        <w:rPr>
          <w:rFonts w:ascii="Times New Roman" w:eastAsia="Times New Roman" w:hAnsi="Times New Roman" w:cs="Times New Roman"/>
          <w:color w:val="1F1F1F"/>
          <w:sz w:val="24"/>
          <w:szCs w:val="24"/>
        </w:rPr>
        <w:t xml:space="preserve">rofessional burnout and economic insecurity. At the national level, this workforce attrition threatens the attainment of </w:t>
      </w:r>
      <w:r>
        <w:rPr>
          <w:rFonts w:ascii="Times New Roman" w:eastAsia="Times New Roman" w:hAnsi="Times New Roman" w:cs="Times New Roman"/>
          <w:b/>
          <w:bCs/>
          <w:color w:val="1F1F1F"/>
          <w:sz w:val="24"/>
          <w:szCs w:val="24"/>
        </w:rPr>
        <w:t>SDG 3</w:t>
      </w:r>
      <w:r>
        <w:rPr>
          <w:rFonts w:ascii="Times New Roman" w:eastAsia="Times New Roman" w:hAnsi="Times New Roman" w:cs="Times New Roman"/>
          <w:color w:val="1F1F1F"/>
          <w:sz w:val="24"/>
          <w:szCs w:val="24"/>
        </w:rPr>
        <w:t xml:space="preserve"> by weakening specialist services, reducing maternal and child healthcare capacity, and widening disparities in rural health acces</w:t>
      </w:r>
      <w:r>
        <w:rPr>
          <w:rFonts w:ascii="Times New Roman" w:eastAsia="Times New Roman" w:hAnsi="Times New Roman" w:cs="Times New Roman"/>
          <w:color w:val="1F1F1F"/>
          <w:sz w:val="24"/>
          <w:szCs w:val="24"/>
        </w:rPr>
        <w:t>s.</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Addressing this crisis, therefore, requires deliberate policy intervention and sustained investment in healthcare human resources. Although the Federal Government has recently introduced the </w:t>
      </w:r>
      <w:r>
        <w:rPr>
          <w:rFonts w:ascii="Times New Roman" w:eastAsia="Times New Roman" w:hAnsi="Times New Roman" w:cs="Times New Roman"/>
          <w:b/>
          <w:bCs/>
          <w:color w:val="1F1F1F"/>
          <w:sz w:val="24"/>
          <w:szCs w:val="24"/>
        </w:rPr>
        <w:t>National Policy on Health Workforce Migration</w:t>
      </w:r>
      <w:r>
        <w:rPr>
          <w:rFonts w:ascii="Times New Roman" w:eastAsia="Times New Roman" w:hAnsi="Times New Roman" w:cs="Times New Roman"/>
          <w:color w:val="1F1F1F"/>
          <w:sz w:val="24"/>
          <w:szCs w:val="24"/>
        </w:rPr>
        <w:t>, which aims to m</w:t>
      </w:r>
      <w:r>
        <w:rPr>
          <w:rFonts w:ascii="Times New Roman" w:eastAsia="Times New Roman" w:hAnsi="Times New Roman" w:cs="Times New Roman"/>
          <w:color w:val="1F1F1F"/>
          <w:sz w:val="24"/>
          <w:szCs w:val="24"/>
        </w:rPr>
        <w:t>anage health worker mobility through bilateral cooperation agreements, long-term retention requires broader structural reforms. Effective investment in SDG 3 must include enforcing regulated duty hours, improving clinical infrastructure, and competitive re</w:t>
      </w:r>
      <w:r>
        <w:rPr>
          <w:rFonts w:ascii="Times New Roman" w:eastAsia="Times New Roman" w:hAnsi="Times New Roman" w:cs="Times New Roman"/>
          <w:color w:val="1F1F1F"/>
          <w:sz w:val="24"/>
          <w:szCs w:val="24"/>
        </w:rPr>
        <w:t>muneration structures that reflect the occupational risks faced by healthcare professionals. Strengthening workforce welfare will not only improve retention but will also protect Nigeria’s existing investments in medical education and healthcare delivery.</w:t>
      </w:r>
    </w:p>
    <w:p w:rsidR="00E36009" w:rsidRDefault="00832D5D">
      <w:pPr>
        <w:pStyle w:val="Heading1"/>
        <w:keepNext w:val="0"/>
        <w:keepLines w:val="0"/>
        <w:spacing w:before="480" w:line="480" w:lineRule="auto"/>
        <w:rPr>
          <w:rFonts w:ascii="Times New Roman" w:eastAsia="Times New Roman" w:hAnsi="Times New Roman" w:cs="Times New Roman"/>
          <w:b/>
          <w:bCs/>
          <w:color w:val="1F1F1F"/>
          <w:sz w:val="24"/>
          <w:szCs w:val="24"/>
        </w:rPr>
      </w:pPr>
      <w:bookmarkStart w:id="53" w:name="_h65iwak79b2r" w:colFirst="0" w:colLast="0"/>
      <w:bookmarkEnd w:id="53"/>
      <w:r>
        <w:rPr>
          <w:rFonts w:ascii="Times New Roman" w:eastAsia="Times New Roman" w:hAnsi="Times New Roman" w:cs="Times New Roman"/>
          <w:b/>
          <w:bCs/>
          <w:color w:val="1F1F1F"/>
          <w:sz w:val="24"/>
          <w:szCs w:val="24"/>
        </w:rPr>
        <w:t>4.2.5 Strategic Purchasing and Efficient Health Resource Allocation</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Achieving Sustainable Development Goal 3 requires not only more funding but also the more efficient use of existing health funds. A key reform is </w:t>
      </w:r>
      <w:r>
        <w:rPr>
          <w:rFonts w:ascii="Times New Roman" w:eastAsia="Times New Roman" w:hAnsi="Times New Roman" w:cs="Times New Roman"/>
          <w:b/>
          <w:bCs/>
          <w:sz w:val="24"/>
          <w:szCs w:val="24"/>
        </w:rPr>
        <w:t>strategic purchasing</w:t>
      </w:r>
      <w:r>
        <w:rPr>
          <w:rFonts w:ascii="Times New Roman" w:eastAsia="Times New Roman" w:hAnsi="Times New Roman" w:cs="Times New Roman"/>
          <w:sz w:val="24"/>
          <w:szCs w:val="24"/>
        </w:rPr>
        <w:t xml:space="preserve">: the intentional use </w:t>
      </w:r>
      <w:r>
        <w:rPr>
          <w:rFonts w:ascii="Times New Roman" w:eastAsia="Times New Roman" w:hAnsi="Times New Roman" w:cs="Times New Roman"/>
          <w:sz w:val="24"/>
          <w:szCs w:val="24"/>
        </w:rPr>
        <w:t xml:space="preserve">of pooled health funds to pay providers in ways that maximise health outcomes, improve quality, and ensure cost-effectiveness. Unlike passive budgeting, strategic purchasing links funding to measurable health outputs and population needs (Mathauer et al., </w:t>
      </w:r>
      <w:r>
        <w:rPr>
          <w:rFonts w:ascii="Times New Roman" w:eastAsia="Times New Roman" w:hAnsi="Times New Roman" w:cs="Times New Roman"/>
          <w:sz w:val="24"/>
          <w:szCs w:val="24"/>
        </w:rPr>
        <w:t>2017).</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lastRenderedPageBreak/>
        <w:t>Historically, public health financing in many developing nations, including Nigeria, relied on rigid line-item budgeting based on past spending rather than on service outcomes. This system undermines accountability and provider incentives, resulting</w:t>
      </w:r>
      <w:r>
        <w:rPr>
          <w:rFonts w:ascii="Times New Roman" w:eastAsia="Times New Roman" w:hAnsi="Times New Roman" w:cs="Times New Roman"/>
          <w:color w:val="1F1F1F"/>
          <w:sz w:val="24"/>
          <w:szCs w:val="24"/>
        </w:rPr>
        <w:t xml:space="preserve"> in inefficiency, resource wastage, and unequal service distribution (Sparkes et al., 2019).</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Strategic purchasing reforms tackle inefficiencies through performance-based funding, contractual payments, and data-driven resource allocation. Purchasing agencie</w:t>
      </w:r>
      <w:r>
        <w:rPr>
          <w:rFonts w:ascii="Times New Roman" w:eastAsia="Times New Roman" w:hAnsi="Times New Roman" w:cs="Times New Roman"/>
          <w:color w:val="1F1F1F"/>
          <w:sz w:val="24"/>
          <w:szCs w:val="24"/>
        </w:rPr>
        <w:t>s (e.g., national health insurance) prioritise services, select providers, and structure payments, such as capitation, case-based payments, and performance bonuses, to incentivise quality care while controlling costs (Mathauer et al., 2017).</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In the Nigeria</w:t>
      </w:r>
      <w:r>
        <w:rPr>
          <w:rFonts w:ascii="Times New Roman" w:eastAsia="Times New Roman" w:hAnsi="Times New Roman" w:cs="Times New Roman"/>
          <w:color w:val="1F1F1F"/>
          <w:sz w:val="24"/>
          <w:szCs w:val="24"/>
        </w:rPr>
        <w:t xml:space="preserve">n context, the successful implementation of the </w:t>
      </w:r>
      <w:r>
        <w:rPr>
          <w:rFonts w:ascii="Times New Roman" w:eastAsia="Times New Roman" w:hAnsi="Times New Roman" w:cs="Times New Roman"/>
          <w:b/>
          <w:bCs/>
          <w:color w:val="1F1F1F"/>
          <w:sz w:val="24"/>
          <w:szCs w:val="24"/>
        </w:rPr>
        <w:t>National Health Insurance Authority (NHIA) Act of 2022</w:t>
      </w:r>
      <w:r>
        <w:rPr>
          <w:rFonts w:ascii="Times New Roman" w:eastAsia="Times New Roman" w:hAnsi="Times New Roman" w:cs="Times New Roman"/>
          <w:color w:val="1F1F1F"/>
          <w:sz w:val="24"/>
          <w:szCs w:val="24"/>
        </w:rPr>
        <w:t xml:space="preserve"> provides an institutional platform for operationalising strategic purchasing. By shifting from fragmented, facility-based budget allocations toward poole</w:t>
      </w:r>
      <w:r>
        <w:rPr>
          <w:rFonts w:ascii="Times New Roman" w:eastAsia="Times New Roman" w:hAnsi="Times New Roman" w:cs="Times New Roman"/>
          <w:color w:val="1F1F1F"/>
          <w:sz w:val="24"/>
          <w:szCs w:val="24"/>
        </w:rPr>
        <w:t xml:space="preserve">d insurance financing and outcome-based payments, Nigeria can significantly improve the efficiency of its limited health resources. Furthermore, integrating strategic purchasing with </w:t>
      </w:r>
      <w:r>
        <w:rPr>
          <w:rFonts w:ascii="Times New Roman" w:eastAsia="Times New Roman" w:hAnsi="Times New Roman" w:cs="Times New Roman"/>
          <w:b/>
          <w:bCs/>
          <w:color w:val="1F1F1F"/>
          <w:sz w:val="24"/>
          <w:szCs w:val="24"/>
        </w:rPr>
        <w:t>Direct Facility Financing (DFF)</w:t>
      </w:r>
      <w:r>
        <w:rPr>
          <w:rFonts w:ascii="Times New Roman" w:eastAsia="Times New Roman" w:hAnsi="Times New Roman" w:cs="Times New Roman"/>
          <w:color w:val="1F1F1F"/>
          <w:sz w:val="24"/>
          <w:szCs w:val="24"/>
        </w:rPr>
        <w:t xml:space="preserve"> mechanisms and digital health information</w:t>
      </w:r>
      <w:r>
        <w:rPr>
          <w:rFonts w:ascii="Times New Roman" w:eastAsia="Times New Roman" w:hAnsi="Times New Roman" w:cs="Times New Roman"/>
          <w:color w:val="1F1F1F"/>
          <w:sz w:val="24"/>
          <w:szCs w:val="24"/>
        </w:rPr>
        <w:t xml:space="preserve"> systems would enable policymakers to monitor provider performance, track service utilisation, and allocate funding in ways that reflect real population health needs.</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Ultimately, strengthening strategic purchasing mechanisms represents a critical bridge be</w:t>
      </w:r>
      <w:r>
        <w:rPr>
          <w:rFonts w:ascii="Times New Roman" w:eastAsia="Times New Roman" w:hAnsi="Times New Roman" w:cs="Times New Roman"/>
          <w:color w:val="1F1F1F"/>
          <w:sz w:val="24"/>
          <w:szCs w:val="24"/>
        </w:rPr>
        <w:t xml:space="preserve">tween </w:t>
      </w:r>
      <w:r>
        <w:rPr>
          <w:rFonts w:ascii="Times New Roman" w:eastAsia="Times New Roman" w:hAnsi="Times New Roman" w:cs="Times New Roman"/>
          <w:b/>
          <w:bCs/>
          <w:color w:val="1F1F1F"/>
          <w:sz w:val="24"/>
          <w:szCs w:val="24"/>
        </w:rPr>
        <w:t>health financing and health system performance</w:t>
      </w:r>
      <w:r>
        <w:rPr>
          <w:rFonts w:ascii="Times New Roman" w:eastAsia="Times New Roman" w:hAnsi="Times New Roman" w:cs="Times New Roman"/>
          <w:color w:val="1F1F1F"/>
          <w:sz w:val="24"/>
          <w:szCs w:val="24"/>
        </w:rPr>
        <w:t>. While mobilising additional resources remains essential, ensuring that those resources are spent efficiently and transparently is equally important for achieving Universal Health Coverage and the broade</w:t>
      </w:r>
      <w:r>
        <w:rPr>
          <w:rFonts w:ascii="Times New Roman" w:eastAsia="Times New Roman" w:hAnsi="Times New Roman" w:cs="Times New Roman"/>
          <w:color w:val="1F1F1F"/>
          <w:sz w:val="24"/>
          <w:szCs w:val="24"/>
        </w:rPr>
        <w:t>r objectives of Sustainable Development Goal 3.</w:t>
      </w:r>
    </w:p>
    <w:p w:rsidR="00E36009" w:rsidRDefault="00E36009">
      <w:pPr>
        <w:spacing w:before="240" w:after="240" w:line="480" w:lineRule="auto"/>
        <w:rPr>
          <w:rFonts w:ascii="Times New Roman" w:eastAsia="Times New Roman" w:hAnsi="Times New Roman" w:cs="Times New Roman"/>
          <w:color w:val="1F1F1F"/>
          <w:sz w:val="24"/>
          <w:szCs w:val="24"/>
        </w:rPr>
      </w:pPr>
    </w:p>
    <w:p w:rsidR="00E36009" w:rsidRDefault="00E36009">
      <w:pPr>
        <w:spacing w:before="240" w:after="240" w:line="480" w:lineRule="auto"/>
        <w:rPr>
          <w:rFonts w:ascii="Times New Roman" w:eastAsia="Times New Roman" w:hAnsi="Times New Roman" w:cs="Times New Roman"/>
          <w:color w:val="1F1F1F"/>
          <w:sz w:val="24"/>
          <w:szCs w:val="24"/>
        </w:rPr>
      </w:pPr>
    </w:p>
    <w:p w:rsidR="00E36009" w:rsidRDefault="00832D5D">
      <w:pPr>
        <w:pStyle w:val="Heading1"/>
        <w:keepNext w:val="0"/>
        <w:keepLines w:val="0"/>
        <w:spacing w:before="480" w:line="480" w:lineRule="auto"/>
        <w:rPr>
          <w:rFonts w:ascii="Times New Roman" w:eastAsia="Times New Roman" w:hAnsi="Times New Roman" w:cs="Times New Roman"/>
          <w:b/>
          <w:bCs/>
          <w:color w:val="1F1F1F"/>
          <w:sz w:val="24"/>
          <w:szCs w:val="24"/>
        </w:rPr>
      </w:pPr>
      <w:bookmarkStart w:id="54" w:name="_hr68u58p3t8g" w:colFirst="0" w:colLast="0"/>
      <w:bookmarkEnd w:id="54"/>
      <w:r>
        <w:rPr>
          <w:rFonts w:ascii="Times New Roman" w:eastAsia="Times New Roman" w:hAnsi="Times New Roman" w:cs="Times New Roman"/>
          <w:b/>
          <w:bCs/>
          <w:color w:val="1F1F1F"/>
          <w:sz w:val="24"/>
          <w:szCs w:val="24"/>
        </w:rPr>
        <w:t>4.3 ACCOUNTABILITY: Strengthening Fiduciary and Clinical Oversight</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Increased financing without institutional accountability risks inefficiency and leakage. The health sector’s technical complexity and information asymmetries heighten vulnerability to governance failures.</w:t>
      </w:r>
    </w:p>
    <w:p w:rsidR="00E36009" w:rsidRDefault="00832D5D">
      <w:pPr>
        <w:pStyle w:val="Heading2"/>
        <w:keepNext w:val="0"/>
        <w:keepLines w:val="0"/>
        <w:spacing w:after="80" w:line="480" w:lineRule="auto"/>
        <w:rPr>
          <w:rFonts w:ascii="Times New Roman" w:eastAsia="Times New Roman" w:hAnsi="Times New Roman" w:cs="Times New Roman"/>
          <w:b/>
          <w:bCs/>
          <w:color w:val="1F1F1F"/>
          <w:sz w:val="24"/>
          <w:szCs w:val="24"/>
        </w:rPr>
      </w:pPr>
      <w:bookmarkStart w:id="55" w:name="_44u577rh5x2g" w:colFirst="0" w:colLast="0"/>
      <w:bookmarkEnd w:id="55"/>
      <w:r>
        <w:rPr>
          <w:rFonts w:ascii="Times New Roman" w:eastAsia="Times New Roman" w:hAnsi="Times New Roman" w:cs="Times New Roman"/>
          <w:b/>
          <w:bCs/>
          <w:color w:val="1F1F1F"/>
          <w:sz w:val="24"/>
          <w:szCs w:val="24"/>
        </w:rPr>
        <w:t>4.3.1 BHCPF and Direct Facility Financing (DFF)</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The</w:t>
      </w:r>
      <w:r>
        <w:rPr>
          <w:rFonts w:ascii="Times New Roman" w:eastAsia="Times New Roman" w:hAnsi="Times New Roman" w:cs="Times New Roman"/>
          <w:color w:val="1F1F1F"/>
          <w:sz w:val="24"/>
          <w:szCs w:val="24"/>
        </w:rPr>
        <w:t xml:space="preserve"> Basic Health Care Provision Fund (BHCPF) allocates 1% of federal consolidated revenue to primary care. Implementation, however, has been uneven due to delays in counterpart funding and administrative bottlenecks at sub-national levels.</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Direct Facility Fin</w:t>
      </w:r>
      <w:r>
        <w:rPr>
          <w:rFonts w:ascii="Times New Roman" w:eastAsia="Times New Roman" w:hAnsi="Times New Roman" w:cs="Times New Roman"/>
          <w:color w:val="1F1F1F"/>
          <w:sz w:val="24"/>
          <w:szCs w:val="24"/>
        </w:rPr>
        <w:t>ancing (DFF) reduces these constraints by transferring funds directly to primary health centres. Linking disbursements to performance audits and community oversight mechanisms strengthens accountability (Eboreime et al., 2020).</w:t>
      </w:r>
    </w:p>
    <w:p w:rsidR="00E36009" w:rsidRDefault="00832D5D">
      <w:pPr>
        <w:pStyle w:val="Heading2"/>
        <w:keepNext w:val="0"/>
        <w:keepLines w:val="0"/>
        <w:spacing w:after="80" w:line="480" w:lineRule="auto"/>
        <w:rPr>
          <w:rFonts w:ascii="Times New Roman" w:eastAsia="Times New Roman" w:hAnsi="Times New Roman" w:cs="Times New Roman"/>
          <w:b/>
          <w:bCs/>
          <w:color w:val="1F1F1F"/>
          <w:sz w:val="24"/>
          <w:szCs w:val="24"/>
        </w:rPr>
      </w:pPr>
      <w:bookmarkStart w:id="56" w:name="_1ptcpsb4pzul" w:colFirst="0" w:colLast="0"/>
      <w:bookmarkEnd w:id="56"/>
      <w:r>
        <w:rPr>
          <w:rFonts w:ascii="Times New Roman" w:eastAsia="Times New Roman" w:hAnsi="Times New Roman" w:cs="Times New Roman"/>
          <w:b/>
          <w:bCs/>
          <w:color w:val="1F1F1F"/>
          <w:sz w:val="24"/>
          <w:szCs w:val="24"/>
        </w:rPr>
        <w:t>4.3.2 Sub-National Pooling a</w:t>
      </w:r>
      <w:r>
        <w:rPr>
          <w:rFonts w:ascii="Times New Roman" w:eastAsia="Times New Roman" w:hAnsi="Times New Roman" w:cs="Times New Roman"/>
          <w:b/>
          <w:bCs/>
          <w:color w:val="1F1F1F"/>
          <w:sz w:val="24"/>
          <w:szCs w:val="24"/>
        </w:rPr>
        <w:t>nd Local Oversight</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State-level health insurance agencies play a central role in decentralised service delivery. Agencies such as the Enugu State Universal Health Coverage Agency demonstrate how localised pooling improves monitoring of provider accreditatio</w:t>
      </w:r>
      <w:r>
        <w:rPr>
          <w:rFonts w:ascii="Times New Roman" w:eastAsia="Times New Roman" w:hAnsi="Times New Roman" w:cs="Times New Roman"/>
          <w:color w:val="1F1F1F"/>
          <w:sz w:val="24"/>
          <w:szCs w:val="24"/>
        </w:rPr>
        <w:t>n, fraud prevention, and capitation oversight.</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lastRenderedPageBreak/>
        <w:t>Proximity to service providers enhances responsiveness and strengthens the link between pooled funds and community-level outcomes.</w:t>
      </w:r>
    </w:p>
    <w:p w:rsidR="00E36009" w:rsidRDefault="00832D5D">
      <w:pPr>
        <w:pStyle w:val="Heading2"/>
        <w:keepNext w:val="0"/>
        <w:keepLines w:val="0"/>
        <w:spacing w:after="80" w:line="480" w:lineRule="auto"/>
        <w:rPr>
          <w:rFonts w:ascii="Times New Roman" w:eastAsia="Times New Roman" w:hAnsi="Times New Roman" w:cs="Times New Roman"/>
          <w:b/>
          <w:bCs/>
          <w:color w:val="1F1F1F"/>
          <w:sz w:val="24"/>
          <w:szCs w:val="24"/>
        </w:rPr>
      </w:pPr>
      <w:bookmarkStart w:id="57" w:name="_lgofqsfui13c" w:colFirst="0" w:colLast="0"/>
      <w:bookmarkEnd w:id="57"/>
      <w:r>
        <w:rPr>
          <w:rFonts w:ascii="Times New Roman" w:eastAsia="Times New Roman" w:hAnsi="Times New Roman" w:cs="Times New Roman"/>
          <w:b/>
          <w:bCs/>
          <w:color w:val="1F1F1F"/>
          <w:sz w:val="24"/>
          <w:szCs w:val="24"/>
        </w:rPr>
        <w:t>4.3.3 Procurement Transparency</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Public procurement of medicines and equipment i</w:t>
      </w:r>
      <w:r>
        <w:rPr>
          <w:rFonts w:ascii="Times New Roman" w:eastAsia="Times New Roman" w:hAnsi="Times New Roman" w:cs="Times New Roman"/>
          <w:color w:val="1F1F1F"/>
          <w:sz w:val="24"/>
          <w:szCs w:val="24"/>
        </w:rPr>
        <w:t>s particularly vulnerable to price inflation and substandard supply. Adoption of digital procurement platforms and alignment with the Open Contracting Data Standard can enhance transparency and reduce corruption risks (Brinkerhoff &amp; Bossert, 2020).</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Transpa</w:t>
      </w:r>
      <w:r>
        <w:rPr>
          <w:rFonts w:ascii="Times New Roman" w:eastAsia="Times New Roman" w:hAnsi="Times New Roman" w:cs="Times New Roman"/>
          <w:color w:val="1F1F1F"/>
          <w:sz w:val="24"/>
          <w:szCs w:val="24"/>
        </w:rPr>
        <w:t>rent procurement systems also improve investor confidence and reduce perceived risk premiums.</w:t>
      </w:r>
    </w:p>
    <w:p w:rsidR="00E36009" w:rsidRDefault="00832D5D">
      <w:pPr>
        <w:pStyle w:val="Heading1"/>
        <w:keepNext w:val="0"/>
        <w:keepLines w:val="0"/>
        <w:spacing w:before="480" w:line="480" w:lineRule="auto"/>
        <w:rPr>
          <w:rFonts w:ascii="Times New Roman" w:eastAsia="Times New Roman" w:hAnsi="Times New Roman" w:cs="Times New Roman"/>
          <w:b/>
          <w:bCs/>
          <w:color w:val="1F1F1F"/>
          <w:sz w:val="24"/>
          <w:szCs w:val="24"/>
        </w:rPr>
      </w:pPr>
      <w:bookmarkStart w:id="58" w:name="_9r73ywfivgev" w:colFirst="0" w:colLast="0"/>
      <w:bookmarkEnd w:id="58"/>
      <w:r>
        <w:rPr>
          <w:rFonts w:ascii="Times New Roman" w:eastAsia="Times New Roman" w:hAnsi="Times New Roman" w:cs="Times New Roman"/>
          <w:b/>
          <w:bCs/>
          <w:color w:val="1F1F1F"/>
          <w:sz w:val="24"/>
          <w:szCs w:val="24"/>
        </w:rPr>
        <w:t>4.3.4 Regulatory Accountability and the Threat of Substandard Medicines</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A critical but often overlooked dimension of health financing accountability is the regulatory oversight of medical commodities. Mobilising financial resources for Universal Health Coverage becomes fundamentally counterproductive if the medicines procured </w:t>
      </w:r>
      <w:r>
        <w:rPr>
          <w:rFonts w:ascii="Times New Roman" w:eastAsia="Times New Roman" w:hAnsi="Times New Roman" w:cs="Times New Roman"/>
          <w:color w:val="1F1F1F"/>
          <w:sz w:val="24"/>
          <w:szCs w:val="24"/>
        </w:rPr>
        <w:t>within the health system are falsified or substandard. The World Health Organisation (2024) estimates that countries globally lose approximately $30.5 billion annually to substandard and falsified medical products. Low- and middle-income countries bear the</w:t>
      </w:r>
      <w:r>
        <w:rPr>
          <w:rFonts w:ascii="Times New Roman" w:eastAsia="Times New Roman" w:hAnsi="Times New Roman" w:cs="Times New Roman"/>
          <w:color w:val="1F1F1F"/>
          <w:sz w:val="24"/>
          <w:szCs w:val="24"/>
        </w:rPr>
        <w:t xml:space="preserve"> greatest burden of this crisis, where at least </w:t>
      </w:r>
      <w:r>
        <w:rPr>
          <w:rFonts w:ascii="Times New Roman" w:eastAsia="Times New Roman" w:hAnsi="Times New Roman" w:cs="Times New Roman"/>
          <w:b/>
          <w:bCs/>
          <w:color w:val="1F1F1F"/>
          <w:sz w:val="24"/>
          <w:szCs w:val="24"/>
        </w:rPr>
        <w:t>one in ten medical products fails to meet acceptable quality standards</w:t>
      </w:r>
      <w:r>
        <w:rPr>
          <w:rFonts w:ascii="Times New Roman" w:eastAsia="Times New Roman" w:hAnsi="Times New Roman" w:cs="Times New Roman"/>
          <w:color w:val="1F1F1F"/>
          <w:sz w:val="24"/>
          <w:szCs w:val="24"/>
        </w:rPr>
        <w:t xml:space="preserve">. Across Africa, this challenge has evolved into a silent epidemic that directly undermines decades of progress in disease prevention and </w:t>
      </w:r>
      <w:r>
        <w:rPr>
          <w:rFonts w:ascii="Times New Roman" w:eastAsia="Times New Roman" w:hAnsi="Times New Roman" w:cs="Times New Roman"/>
          <w:color w:val="1F1F1F"/>
          <w:sz w:val="24"/>
          <w:szCs w:val="24"/>
        </w:rPr>
        <w:t xml:space="preserve">treatment. Wada et al. (2022) note that the proliferation of these dangerous products contributes to hundreds of thousands of preventable deaths each year, including an estimated </w:t>
      </w:r>
      <w:r>
        <w:rPr>
          <w:rFonts w:ascii="Times New Roman" w:eastAsia="Times New Roman" w:hAnsi="Times New Roman" w:cs="Times New Roman"/>
          <w:b/>
          <w:bCs/>
          <w:color w:val="1F1F1F"/>
          <w:sz w:val="24"/>
          <w:szCs w:val="24"/>
        </w:rPr>
        <w:t>450,000 deaths associated with ineffective or toxic antimalarial drugs</w:t>
      </w:r>
      <w:r>
        <w:rPr>
          <w:rFonts w:ascii="Times New Roman" w:eastAsia="Times New Roman" w:hAnsi="Times New Roman" w:cs="Times New Roman"/>
          <w:color w:val="1F1F1F"/>
          <w:sz w:val="24"/>
          <w:szCs w:val="24"/>
        </w:rPr>
        <w:t>.</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lastRenderedPageBreak/>
        <w:t xml:space="preserve">This </w:t>
      </w:r>
      <w:r>
        <w:rPr>
          <w:rFonts w:ascii="Times New Roman" w:eastAsia="Times New Roman" w:hAnsi="Times New Roman" w:cs="Times New Roman"/>
          <w:color w:val="1F1F1F"/>
          <w:sz w:val="24"/>
          <w:szCs w:val="24"/>
        </w:rPr>
        <w:t>regulatory crisis is closely connected to the broader macroeconomic financing challenges previously discussed in this study. Because Nigeria’s health system continues to rely heavily on catastrophic out-of-pocket expenditure, many households are structural</w:t>
      </w:r>
      <w:r>
        <w:rPr>
          <w:rFonts w:ascii="Times New Roman" w:eastAsia="Times New Roman" w:hAnsi="Times New Roman" w:cs="Times New Roman"/>
          <w:color w:val="1F1F1F"/>
          <w:sz w:val="24"/>
          <w:szCs w:val="24"/>
        </w:rPr>
        <w:t>ly compelled to seek lower-cost alternatives from informal and poorly regulated pharmaceutical markets, including patent medicine vendors and illicit street drug sellers (Wada et al., 2022). In addition, weak regulatory enforcement capacity, systemic corru</w:t>
      </w:r>
      <w:r>
        <w:rPr>
          <w:rFonts w:ascii="Times New Roman" w:eastAsia="Times New Roman" w:hAnsi="Times New Roman" w:cs="Times New Roman"/>
          <w:color w:val="1F1F1F"/>
          <w:sz w:val="24"/>
          <w:szCs w:val="24"/>
        </w:rPr>
        <w:t>ption at ports of entry, and fragmented pharmaceutical import supply chains create substantial vulnerabilities that sophisticated counterfeit networks can exploit (World Health Organisation, 2024).</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Addressing this significant clinical and financial leakage</w:t>
      </w:r>
      <w:r>
        <w:rPr>
          <w:rFonts w:ascii="Times New Roman" w:eastAsia="Times New Roman" w:hAnsi="Times New Roman" w:cs="Times New Roman"/>
          <w:color w:val="1F1F1F"/>
          <w:sz w:val="24"/>
          <w:szCs w:val="24"/>
        </w:rPr>
        <w:t xml:space="preserve"> requires a fundamental shift in both regulatory accountability and strategic investment in pharmaceutical governance. From an investment perspective, financing must prioritise modern supply chain integrity systems such as </w:t>
      </w:r>
      <w:r>
        <w:rPr>
          <w:rFonts w:ascii="Times New Roman" w:eastAsia="Times New Roman" w:hAnsi="Times New Roman" w:cs="Times New Roman"/>
          <w:b/>
          <w:bCs/>
          <w:color w:val="1F1F1F"/>
          <w:sz w:val="24"/>
          <w:szCs w:val="24"/>
        </w:rPr>
        <w:t>track-and-trace technologies, blo</w:t>
      </w:r>
      <w:r>
        <w:rPr>
          <w:rFonts w:ascii="Times New Roman" w:eastAsia="Times New Roman" w:hAnsi="Times New Roman" w:cs="Times New Roman"/>
          <w:b/>
          <w:bCs/>
          <w:color w:val="1F1F1F"/>
          <w:sz w:val="24"/>
          <w:szCs w:val="24"/>
        </w:rPr>
        <w:t>ckchain-enabled verification platforms, and handheld spectrometer devices</w:t>
      </w:r>
      <w:r>
        <w:rPr>
          <w:rFonts w:ascii="Times New Roman" w:eastAsia="Times New Roman" w:hAnsi="Times New Roman" w:cs="Times New Roman"/>
          <w:color w:val="1F1F1F"/>
          <w:sz w:val="24"/>
          <w:szCs w:val="24"/>
        </w:rPr>
        <w:t xml:space="preserve"> capable of rapidly detecting counterfeit medicines in field operations. From a governance perspective, national regulatory agencies must also strengthen international collaboration. </w:t>
      </w:r>
      <w:r>
        <w:rPr>
          <w:rFonts w:ascii="Times New Roman" w:eastAsia="Times New Roman" w:hAnsi="Times New Roman" w:cs="Times New Roman"/>
          <w:color w:val="1F1F1F"/>
          <w:sz w:val="24"/>
          <w:szCs w:val="24"/>
        </w:rPr>
        <w:t xml:space="preserve">By domesticating the regulatory frameworks of the </w:t>
      </w:r>
      <w:r>
        <w:rPr>
          <w:rFonts w:ascii="Times New Roman" w:eastAsia="Times New Roman" w:hAnsi="Times New Roman" w:cs="Times New Roman"/>
          <w:b/>
          <w:bCs/>
          <w:color w:val="1F1F1F"/>
          <w:sz w:val="24"/>
          <w:szCs w:val="24"/>
        </w:rPr>
        <w:t>African Medicines Agency (AMA)</w:t>
      </w:r>
      <w:r>
        <w:rPr>
          <w:rFonts w:ascii="Times New Roman" w:eastAsia="Times New Roman" w:hAnsi="Times New Roman" w:cs="Times New Roman"/>
          <w:color w:val="1F1F1F"/>
          <w:sz w:val="24"/>
          <w:szCs w:val="24"/>
        </w:rPr>
        <w:t xml:space="preserve"> and actively participating in the </w:t>
      </w:r>
      <w:r>
        <w:rPr>
          <w:rFonts w:ascii="Times New Roman" w:eastAsia="Times New Roman" w:hAnsi="Times New Roman" w:cs="Times New Roman"/>
          <w:b/>
          <w:bCs/>
          <w:color w:val="1F1F1F"/>
          <w:sz w:val="24"/>
          <w:szCs w:val="24"/>
        </w:rPr>
        <w:t>WHO Global Surveillance and Monitoring System (GSMS)</w:t>
      </w:r>
      <w:r>
        <w:rPr>
          <w:rFonts w:ascii="Times New Roman" w:eastAsia="Times New Roman" w:hAnsi="Times New Roman" w:cs="Times New Roman"/>
          <w:color w:val="1F1F1F"/>
          <w:sz w:val="24"/>
          <w:szCs w:val="24"/>
        </w:rPr>
        <w:t>, Nigeria can enhance cross-border intelligence-sharing and intercept falsified medical p</w:t>
      </w:r>
      <w:r>
        <w:rPr>
          <w:rFonts w:ascii="Times New Roman" w:eastAsia="Times New Roman" w:hAnsi="Times New Roman" w:cs="Times New Roman"/>
          <w:color w:val="1F1F1F"/>
          <w:sz w:val="24"/>
          <w:szCs w:val="24"/>
        </w:rPr>
        <w:t xml:space="preserve">roducts before they enter domestic pharmaceutical markets (Wada et al., 2022; World Health Organisation, 2024). Ultimately, ensuring the integrity of medical commodities is essential to the broader objective of financing Sustainable Development Goal 3, as </w:t>
      </w:r>
      <w:r>
        <w:rPr>
          <w:rFonts w:ascii="Times New Roman" w:eastAsia="Times New Roman" w:hAnsi="Times New Roman" w:cs="Times New Roman"/>
          <w:color w:val="1F1F1F"/>
          <w:sz w:val="24"/>
          <w:szCs w:val="24"/>
        </w:rPr>
        <w:t>effective health financing must guarantee that every public or private investment results in the procurement of safe, authentic, and life-saving medicines.</w:t>
      </w:r>
    </w:p>
    <w:p w:rsidR="00E36009" w:rsidRDefault="00E36009">
      <w:pPr>
        <w:spacing w:before="240" w:after="240" w:line="480" w:lineRule="auto"/>
        <w:rPr>
          <w:rFonts w:ascii="Times New Roman" w:eastAsia="Times New Roman" w:hAnsi="Times New Roman" w:cs="Times New Roman"/>
          <w:color w:val="1F1F1F"/>
          <w:sz w:val="24"/>
          <w:szCs w:val="24"/>
        </w:rPr>
      </w:pPr>
    </w:p>
    <w:p w:rsidR="00E36009" w:rsidRDefault="00832D5D">
      <w:pPr>
        <w:pStyle w:val="Heading2"/>
        <w:keepNext w:val="0"/>
        <w:keepLines w:val="0"/>
        <w:spacing w:after="80" w:line="480" w:lineRule="auto"/>
        <w:rPr>
          <w:rFonts w:ascii="Times New Roman" w:eastAsia="Times New Roman" w:hAnsi="Times New Roman" w:cs="Times New Roman"/>
          <w:b/>
          <w:bCs/>
          <w:color w:val="1F1F1F"/>
          <w:sz w:val="24"/>
          <w:szCs w:val="24"/>
        </w:rPr>
      </w:pPr>
      <w:bookmarkStart w:id="59" w:name="_5436f6ajn101" w:colFirst="0" w:colLast="0"/>
      <w:bookmarkEnd w:id="59"/>
      <w:r>
        <w:rPr>
          <w:rFonts w:ascii="Times New Roman" w:eastAsia="Times New Roman" w:hAnsi="Times New Roman" w:cs="Times New Roman"/>
          <w:b/>
          <w:bCs/>
          <w:color w:val="1F1F1F"/>
          <w:sz w:val="24"/>
          <w:szCs w:val="24"/>
        </w:rPr>
        <w:lastRenderedPageBreak/>
        <w:t>4.3.5 Strategic Purchasing and Clinical Accountability</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Financial oversight must be complemented by </w:t>
      </w:r>
      <w:r>
        <w:rPr>
          <w:rFonts w:ascii="Times New Roman" w:eastAsia="Times New Roman" w:hAnsi="Times New Roman" w:cs="Times New Roman"/>
          <w:color w:val="1F1F1F"/>
          <w:sz w:val="24"/>
          <w:szCs w:val="24"/>
        </w:rPr>
        <w:t>outcome-based accountability. Passive budgeting mechanisms weaken incentives for quality improvement.</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Strategic purchasing—through capitation or performance-based financing—aligns provider reimbursement with service-quality, patient-outcome, and efficiency</w:t>
      </w:r>
      <w:r>
        <w:rPr>
          <w:rFonts w:ascii="Times New Roman" w:eastAsia="Times New Roman" w:hAnsi="Times New Roman" w:cs="Times New Roman"/>
          <w:color w:val="1F1F1F"/>
          <w:sz w:val="24"/>
          <w:szCs w:val="24"/>
        </w:rPr>
        <w:t xml:space="preserve"> targets. Linking payments to measurable indicators strengthens system performance and supports SDG 3 objectives.</w:t>
      </w:r>
    </w:p>
    <w:p w:rsidR="00E36009" w:rsidRDefault="00832D5D">
      <w:pPr>
        <w:pStyle w:val="Heading2"/>
        <w:keepNext w:val="0"/>
        <w:keepLines w:val="0"/>
        <w:spacing w:after="80" w:line="480" w:lineRule="auto"/>
        <w:rPr>
          <w:rFonts w:ascii="Times New Roman" w:eastAsia="Times New Roman" w:hAnsi="Times New Roman" w:cs="Times New Roman"/>
          <w:b/>
          <w:bCs/>
          <w:color w:val="1F1F1F"/>
          <w:sz w:val="24"/>
          <w:szCs w:val="24"/>
        </w:rPr>
      </w:pPr>
      <w:bookmarkStart w:id="60" w:name="_66s0a585ud43" w:colFirst="0" w:colLast="0"/>
      <w:bookmarkEnd w:id="60"/>
      <w:r>
        <w:rPr>
          <w:rFonts w:ascii="Times New Roman" w:eastAsia="Times New Roman" w:hAnsi="Times New Roman" w:cs="Times New Roman"/>
          <w:b/>
          <w:bCs/>
          <w:color w:val="1F1F1F"/>
          <w:sz w:val="24"/>
          <w:szCs w:val="24"/>
        </w:rPr>
        <w:t>4.3.6 Accountability in Social Determinants Programs</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Health outcomes are closely tied to poverty reduction and nutrition interventions. Progra</w:t>
      </w:r>
      <w:r>
        <w:rPr>
          <w:rFonts w:ascii="Times New Roman" w:eastAsia="Times New Roman" w:hAnsi="Times New Roman" w:cs="Times New Roman"/>
          <w:color w:val="1F1F1F"/>
          <w:sz w:val="24"/>
          <w:szCs w:val="24"/>
        </w:rPr>
        <w:t>ms such as Conditional Cash Transfers and school feeding initiatives aim to reduce vulnerability and prevent catastrophic health expenditure (Oweibia et al., 2024).</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However, implementation gaps—including diversion of funds and weak oversight—have limited e</w:t>
      </w:r>
      <w:r>
        <w:rPr>
          <w:rFonts w:ascii="Times New Roman" w:eastAsia="Times New Roman" w:hAnsi="Times New Roman" w:cs="Times New Roman"/>
          <w:color w:val="1F1F1F"/>
          <w:sz w:val="24"/>
          <w:szCs w:val="24"/>
        </w:rPr>
        <w:t>ffectiveness. This underscores the broader finding of the study: financing mechanisms must be paired with enforceable monitoring systems to translate expenditure into measurable health gains.</w:t>
      </w:r>
    </w:p>
    <w:p w:rsidR="00E36009" w:rsidRDefault="00832D5D">
      <w:pPr>
        <w:pStyle w:val="Heading2"/>
        <w:keepNext w:val="0"/>
        <w:keepLines w:val="0"/>
        <w:spacing w:after="80" w:line="480" w:lineRule="auto"/>
        <w:rPr>
          <w:rFonts w:ascii="Times New Roman" w:eastAsia="Times New Roman" w:hAnsi="Times New Roman" w:cs="Times New Roman"/>
          <w:b/>
          <w:bCs/>
          <w:color w:val="1F1F1F"/>
          <w:sz w:val="24"/>
          <w:szCs w:val="24"/>
        </w:rPr>
      </w:pPr>
      <w:bookmarkStart w:id="61" w:name="_hxfd06yu68kj" w:colFirst="0" w:colLast="0"/>
      <w:bookmarkEnd w:id="61"/>
      <w:r>
        <w:rPr>
          <w:rFonts w:ascii="Times New Roman" w:eastAsia="Times New Roman" w:hAnsi="Times New Roman" w:cs="Times New Roman"/>
          <w:b/>
          <w:bCs/>
          <w:color w:val="1F1F1F"/>
          <w:sz w:val="24"/>
          <w:szCs w:val="24"/>
        </w:rPr>
        <w:t>4.3.7 Multi-Tiered Accountability for Health Equity</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Effective ac</w:t>
      </w:r>
      <w:r>
        <w:rPr>
          <w:rFonts w:ascii="Times New Roman" w:eastAsia="Times New Roman" w:hAnsi="Times New Roman" w:cs="Times New Roman"/>
          <w:color w:val="1F1F1F"/>
          <w:sz w:val="24"/>
          <w:szCs w:val="24"/>
        </w:rPr>
        <w:t>countability operates across multiple levels: political leadership, administrative execution, professional regulation, and citizen oversight (Nigeria Health Watch, 2023).</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Evaluation frameworks should prioritise measurable health outcomes rather than financial inputs alone. Given contextual variation across states and regions, accountability mechanisms must be locally adapted rather than externally imposed.</w:t>
      </w:r>
    </w:p>
    <w:p w:rsidR="00E36009" w:rsidRDefault="00832D5D">
      <w:pPr>
        <w:pStyle w:val="Heading1"/>
        <w:keepNext w:val="0"/>
        <w:keepLines w:val="0"/>
        <w:spacing w:before="480" w:line="480" w:lineRule="auto"/>
        <w:jc w:val="center"/>
        <w:rPr>
          <w:rFonts w:ascii="Times New Roman" w:eastAsia="Times New Roman" w:hAnsi="Times New Roman" w:cs="Times New Roman"/>
          <w:b/>
          <w:bCs/>
          <w:color w:val="1F1F1F"/>
          <w:sz w:val="24"/>
          <w:szCs w:val="24"/>
        </w:rPr>
      </w:pPr>
      <w:bookmarkStart w:id="62" w:name="_muao0yai74ey" w:colFirst="0" w:colLast="0"/>
      <w:bookmarkEnd w:id="62"/>
      <w:r>
        <w:rPr>
          <w:rFonts w:ascii="Times New Roman" w:eastAsia="Times New Roman" w:hAnsi="Times New Roman" w:cs="Times New Roman"/>
          <w:b/>
          <w:bCs/>
          <w:color w:val="1F1F1F"/>
          <w:sz w:val="24"/>
          <w:szCs w:val="24"/>
        </w:rPr>
        <w:lastRenderedPageBreak/>
        <w:t>CHAPTER FIVE</w:t>
      </w:r>
    </w:p>
    <w:p w:rsidR="00E36009" w:rsidRDefault="00832D5D">
      <w:pPr>
        <w:pStyle w:val="Heading2"/>
        <w:keepNext w:val="0"/>
        <w:keepLines w:val="0"/>
        <w:spacing w:after="80" w:line="480" w:lineRule="auto"/>
        <w:jc w:val="center"/>
        <w:rPr>
          <w:rFonts w:ascii="Times New Roman" w:eastAsia="Times New Roman" w:hAnsi="Times New Roman" w:cs="Times New Roman"/>
          <w:b/>
          <w:bCs/>
          <w:color w:val="1F1F1F"/>
          <w:sz w:val="24"/>
          <w:szCs w:val="24"/>
        </w:rPr>
      </w:pPr>
      <w:bookmarkStart w:id="63" w:name="_pcze17l6aepq" w:colFirst="0" w:colLast="0"/>
      <w:bookmarkEnd w:id="63"/>
      <w:r>
        <w:rPr>
          <w:rFonts w:ascii="Times New Roman" w:eastAsia="Times New Roman" w:hAnsi="Times New Roman" w:cs="Times New Roman"/>
          <w:b/>
          <w:bCs/>
          <w:color w:val="1F1F1F"/>
          <w:sz w:val="24"/>
          <w:szCs w:val="24"/>
        </w:rPr>
        <w:t>FIND</w:t>
      </w:r>
      <w:r>
        <w:rPr>
          <w:rFonts w:ascii="Times New Roman" w:eastAsia="Times New Roman" w:hAnsi="Times New Roman" w:cs="Times New Roman"/>
          <w:b/>
          <w:bCs/>
          <w:color w:val="1F1F1F"/>
          <w:sz w:val="24"/>
          <w:szCs w:val="24"/>
        </w:rPr>
        <w:t>INGS, CONCLUSION, AND RECOMMENDATIONS</w:t>
      </w:r>
    </w:p>
    <w:p w:rsidR="00E36009" w:rsidRDefault="00832D5D">
      <w:pPr>
        <w:spacing w:before="240" w:after="240" w:line="480" w:lineRule="auto"/>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5.1 Summary of Major Findings</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The analysis of contemporary health financing literature and policy frameworks yields four principal findings:</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1. Persistent Out-of-Pocket (OOP) Burden</w:t>
      </w:r>
      <w:r>
        <w:rPr>
          <w:rFonts w:ascii="Times New Roman" w:eastAsia="Times New Roman" w:hAnsi="Times New Roman" w:cs="Times New Roman"/>
          <w:b/>
          <w:bCs/>
          <w:color w:val="1F1F1F"/>
          <w:sz w:val="24"/>
          <w:szCs w:val="24"/>
        </w:rPr>
        <w:br/>
      </w:r>
      <w:r>
        <w:rPr>
          <w:rFonts w:ascii="Times New Roman" w:eastAsia="Times New Roman" w:hAnsi="Times New Roman" w:cs="Times New Roman"/>
          <w:color w:val="1F1F1F"/>
          <w:sz w:val="24"/>
          <w:szCs w:val="24"/>
        </w:rPr>
        <w:t xml:space="preserve"> Heavy reliance on OOP payments—esti</w:t>
      </w:r>
      <w:r>
        <w:rPr>
          <w:rFonts w:ascii="Times New Roman" w:eastAsia="Times New Roman" w:hAnsi="Times New Roman" w:cs="Times New Roman"/>
          <w:color w:val="1F1F1F"/>
          <w:sz w:val="24"/>
          <w:szCs w:val="24"/>
        </w:rPr>
        <w:t>mated at approximately 75% of Total Health Expenditure—remains a central barrier to achieving SDG 3. This financing structure exposes households to catastrophic expenditure and undermines equity within the health system.</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2. Debt Constraints on Fiscal Space</w:t>
      </w:r>
      <w:r>
        <w:rPr>
          <w:rFonts w:ascii="Times New Roman" w:eastAsia="Times New Roman" w:hAnsi="Times New Roman" w:cs="Times New Roman"/>
          <w:b/>
          <w:bCs/>
          <w:color w:val="1F1F1F"/>
          <w:sz w:val="24"/>
          <w:szCs w:val="24"/>
        </w:rPr>
        <w:br/>
      </w:r>
      <w:r>
        <w:rPr>
          <w:rFonts w:ascii="Times New Roman" w:eastAsia="Times New Roman" w:hAnsi="Times New Roman" w:cs="Times New Roman"/>
          <w:color w:val="1F1F1F"/>
          <w:sz w:val="24"/>
          <w:szCs w:val="24"/>
        </w:rPr>
        <w:t xml:space="preserve"> High debt-servicing obligations significantly restrict fiscal capacity for health investment. Under current macroeconomic conditions, meeting international commitments such as the Abuja Declaration target remains unlikely without fiscal restructuring or </w:t>
      </w:r>
      <w:r>
        <w:rPr>
          <w:rFonts w:ascii="Times New Roman" w:eastAsia="Times New Roman" w:hAnsi="Times New Roman" w:cs="Times New Roman"/>
          <w:color w:val="1F1F1F"/>
          <w:sz w:val="24"/>
          <w:szCs w:val="24"/>
        </w:rPr>
        <w:t>sustained revenue expansion.</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3. Partnership Fragmentation and PPP Opportunities</w:t>
      </w:r>
      <w:r>
        <w:rPr>
          <w:rFonts w:ascii="Times New Roman" w:eastAsia="Times New Roman" w:hAnsi="Times New Roman" w:cs="Times New Roman"/>
          <w:b/>
          <w:bCs/>
          <w:color w:val="1F1F1F"/>
          <w:sz w:val="24"/>
          <w:szCs w:val="24"/>
        </w:rPr>
        <w:br/>
      </w:r>
      <w:r>
        <w:rPr>
          <w:rFonts w:ascii="Times New Roman" w:eastAsia="Times New Roman" w:hAnsi="Times New Roman" w:cs="Times New Roman"/>
          <w:color w:val="1F1F1F"/>
          <w:sz w:val="24"/>
          <w:szCs w:val="24"/>
        </w:rPr>
        <w:t xml:space="preserve"> Global health partnerships remain partially fragmented, creating sustainability risks as donor support declines. Domestic PPPs offer potential for expanding infrastructure and</w:t>
      </w:r>
      <w:r>
        <w:rPr>
          <w:rFonts w:ascii="Times New Roman" w:eastAsia="Times New Roman" w:hAnsi="Times New Roman" w:cs="Times New Roman"/>
          <w:color w:val="1F1F1F"/>
          <w:sz w:val="24"/>
          <w:szCs w:val="24"/>
        </w:rPr>
        <w:t xml:space="preserve"> pharmaceutical capacity, but outcomes depend on effective regulation and pro-equity safeguards.</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4. Institutional Accountability Gaps</w:t>
      </w:r>
      <w:r>
        <w:rPr>
          <w:rFonts w:ascii="Times New Roman" w:eastAsia="Times New Roman" w:hAnsi="Times New Roman" w:cs="Times New Roman"/>
          <w:b/>
          <w:bCs/>
          <w:color w:val="1F1F1F"/>
          <w:sz w:val="24"/>
          <w:szCs w:val="24"/>
        </w:rPr>
        <w:br/>
      </w:r>
      <w:r>
        <w:rPr>
          <w:rFonts w:ascii="Times New Roman" w:eastAsia="Times New Roman" w:hAnsi="Times New Roman" w:cs="Times New Roman"/>
          <w:color w:val="1F1F1F"/>
          <w:sz w:val="24"/>
          <w:szCs w:val="24"/>
        </w:rPr>
        <w:t xml:space="preserve"> Administrative bottlenecks, weak procurement transparency, and inconsistent sub-national </w:t>
      </w:r>
      <w:r>
        <w:rPr>
          <w:rFonts w:ascii="Times New Roman" w:eastAsia="Times New Roman" w:hAnsi="Times New Roman" w:cs="Times New Roman"/>
          <w:color w:val="1F1F1F"/>
          <w:sz w:val="24"/>
          <w:szCs w:val="24"/>
        </w:rPr>
        <w:lastRenderedPageBreak/>
        <w:t xml:space="preserve">oversight limit the translation </w:t>
      </w:r>
      <w:r>
        <w:rPr>
          <w:rFonts w:ascii="Times New Roman" w:eastAsia="Times New Roman" w:hAnsi="Times New Roman" w:cs="Times New Roman"/>
          <w:color w:val="1F1F1F"/>
          <w:sz w:val="24"/>
          <w:szCs w:val="24"/>
        </w:rPr>
        <w:t>of allocated funds—particularly through mechanisms such as the BHCPF—into improved service delivery at the primary healthcare level.</w:t>
      </w:r>
    </w:p>
    <w:p w:rsidR="00E36009" w:rsidRDefault="00832D5D">
      <w:pPr>
        <w:pStyle w:val="Heading2"/>
        <w:keepNext w:val="0"/>
        <w:keepLines w:val="0"/>
        <w:spacing w:after="80" w:line="480" w:lineRule="auto"/>
        <w:rPr>
          <w:rFonts w:ascii="Times New Roman" w:eastAsia="Times New Roman" w:hAnsi="Times New Roman" w:cs="Times New Roman"/>
          <w:b/>
          <w:bCs/>
          <w:color w:val="1F1F1F"/>
          <w:sz w:val="24"/>
          <w:szCs w:val="24"/>
        </w:rPr>
      </w:pPr>
      <w:bookmarkStart w:id="64" w:name="_st1cqhxrrhx1" w:colFirst="0" w:colLast="0"/>
      <w:bookmarkEnd w:id="64"/>
      <w:r>
        <w:rPr>
          <w:rFonts w:ascii="Times New Roman" w:eastAsia="Times New Roman" w:hAnsi="Times New Roman" w:cs="Times New Roman"/>
          <w:b/>
          <w:bCs/>
          <w:color w:val="1F1F1F"/>
          <w:sz w:val="24"/>
          <w:szCs w:val="24"/>
        </w:rPr>
        <w:t>5.2 Conclusion</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This study concludes that achieving SDG 3 in developing economies requires structural reform of health finan</w:t>
      </w:r>
      <w:r>
        <w:rPr>
          <w:rFonts w:ascii="Times New Roman" w:eastAsia="Times New Roman" w:hAnsi="Times New Roman" w:cs="Times New Roman"/>
          <w:color w:val="1F1F1F"/>
          <w:sz w:val="24"/>
          <w:szCs w:val="24"/>
        </w:rPr>
        <w:t>cing systems, not incremental budget increases alone.</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Historical dependence on out-of-pocket payments and external donor funding has led to fragmented financing structures that undermine equity and sustainability. Transitioning toward mandatory pooled dome</w:t>
      </w:r>
      <w:r>
        <w:rPr>
          <w:rFonts w:ascii="Times New Roman" w:eastAsia="Times New Roman" w:hAnsi="Times New Roman" w:cs="Times New Roman"/>
          <w:color w:val="1F1F1F"/>
          <w:sz w:val="24"/>
          <w:szCs w:val="24"/>
        </w:rPr>
        <w:t>stic financing—supported by effective insurance enforcement—offers a more stable pathway toward Universal Health Coverage.</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The NHIA Act (2022) provides a legal foundation for expanding prepaid risk pools. However, legislative reform alone is insufficient. </w:t>
      </w:r>
      <w:r>
        <w:rPr>
          <w:rFonts w:ascii="Times New Roman" w:eastAsia="Times New Roman" w:hAnsi="Times New Roman" w:cs="Times New Roman"/>
          <w:color w:val="1F1F1F"/>
          <w:sz w:val="24"/>
          <w:szCs w:val="24"/>
        </w:rPr>
        <w:t>Implementation capacity, enforcement within the informal sector, and regulatory consistency will determine its effectiveness.</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Private capital, including blended finance and PPP arrangements, can supplement public resources, particularly in pharmaceutical m</w:t>
      </w:r>
      <w:r>
        <w:rPr>
          <w:rFonts w:ascii="Times New Roman" w:eastAsia="Times New Roman" w:hAnsi="Times New Roman" w:cs="Times New Roman"/>
          <w:color w:val="1F1F1F"/>
          <w:sz w:val="24"/>
          <w:szCs w:val="24"/>
        </w:rPr>
        <w:t>anufacturing and infrastructure development. However, these mechanisms require transparent procurement systems, predictable regulation, and strong fiduciary oversight to ensure alignment with public health objectives.</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Overall, sustainable progress toward SDG 3 depends on integrating three pillars: expanded domestic resource mobilisation, institutionalised risk pooling, and enforceable accountability frameworks that link financial inputs to measurable health outcomes.</w:t>
      </w:r>
    </w:p>
    <w:p w:rsidR="00E36009" w:rsidRDefault="00E36009">
      <w:pPr>
        <w:spacing w:before="240" w:after="240" w:line="480" w:lineRule="auto"/>
        <w:rPr>
          <w:rFonts w:ascii="Times New Roman" w:eastAsia="Times New Roman" w:hAnsi="Times New Roman" w:cs="Times New Roman"/>
          <w:color w:val="1F1F1F"/>
          <w:sz w:val="24"/>
          <w:szCs w:val="24"/>
        </w:rPr>
      </w:pPr>
    </w:p>
    <w:p w:rsidR="00E36009" w:rsidRDefault="00832D5D">
      <w:pPr>
        <w:pStyle w:val="Heading2"/>
        <w:keepNext w:val="0"/>
        <w:keepLines w:val="0"/>
        <w:spacing w:after="80" w:line="480" w:lineRule="auto"/>
        <w:rPr>
          <w:rFonts w:ascii="Times New Roman" w:eastAsia="Times New Roman" w:hAnsi="Times New Roman" w:cs="Times New Roman"/>
          <w:b/>
          <w:bCs/>
          <w:color w:val="1F1F1F"/>
          <w:sz w:val="24"/>
          <w:szCs w:val="24"/>
        </w:rPr>
      </w:pPr>
      <w:bookmarkStart w:id="65" w:name="_9a9yek82n56a" w:colFirst="0" w:colLast="0"/>
      <w:bookmarkEnd w:id="65"/>
      <w:r>
        <w:rPr>
          <w:rFonts w:ascii="Times New Roman" w:eastAsia="Times New Roman" w:hAnsi="Times New Roman" w:cs="Times New Roman"/>
          <w:b/>
          <w:bCs/>
          <w:color w:val="1F1F1F"/>
          <w:sz w:val="24"/>
          <w:szCs w:val="24"/>
        </w:rPr>
        <w:lastRenderedPageBreak/>
        <w:t>5</w:t>
      </w:r>
      <w:r>
        <w:rPr>
          <w:rFonts w:ascii="Times New Roman" w:eastAsia="Times New Roman" w:hAnsi="Times New Roman" w:cs="Times New Roman"/>
          <w:b/>
          <w:bCs/>
          <w:color w:val="1F1F1F"/>
          <w:sz w:val="24"/>
          <w:szCs w:val="24"/>
        </w:rPr>
        <w:t>.3 Policy Recommendations</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Policy actions are organised by implementation horizon.</w:t>
      </w:r>
    </w:p>
    <w:p w:rsidR="00E36009" w:rsidRDefault="00832D5D">
      <w:pPr>
        <w:pStyle w:val="Heading3"/>
        <w:keepNext w:val="0"/>
        <w:keepLines w:val="0"/>
        <w:spacing w:before="280" w:line="480" w:lineRule="auto"/>
        <w:rPr>
          <w:rFonts w:ascii="Times New Roman" w:eastAsia="Times New Roman" w:hAnsi="Times New Roman" w:cs="Times New Roman"/>
          <w:b/>
          <w:bCs/>
          <w:color w:val="1F1F1F"/>
          <w:sz w:val="24"/>
          <w:szCs w:val="24"/>
        </w:rPr>
      </w:pPr>
      <w:bookmarkStart w:id="66" w:name="_g3vimarjoqa0" w:colFirst="0" w:colLast="0"/>
      <w:bookmarkEnd w:id="66"/>
      <w:r>
        <w:rPr>
          <w:rFonts w:ascii="Times New Roman" w:eastAsia="Times New Roman" w:hAnsi="Times New Roman" w:cs="Times New Roman"/>
          <w:b/>
          <w:bCs/>
          <w:color w:val="1F1F1F"/>
          <w:sz w:val="24"/>
          <w:szCs w:val="24"/>
        </w:rPr>
        <w:t>Short- to Medium-Term (1–3 Years)</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1. Strengthen Enforcement of Mandatory Health Insurance</w:t>
      </w:r>
      <w:r>
        <w:rPr>
          <w:rFonts w:ascii="Times New Roman" w:eastAsia="Times New Roman" w:hAnsi="Times New Roman" w:cs="Times New Roman"/>
          <w:b/>
          <w:bCs/>
          <w:color w:val="1F1F1F"/>
          <w:sz w:val="24"/>
          <w:szCs w:val="24"/>
        </w:rPr>
        <w:br/>
      </w:r>
      <w:r>
        <w:rPr>
          <w:rFonts w:ascii="Times New Roman" w:eastAsia="Times New Roman" w:hAnsi="Times New Roman" w:cs="Times New Roman"/>
          <w:color w:val="1F1F1F"/>
          <w:sz w:val="24"/>
          <w:szCs w:val="24"/>
        </w:rPr>
        <w:t xml:space="preserve"> State governments should expand enrollment in the informal sector through structure</w:t>
      </w:r>
      <w:r>
        <w:rPr>
          <w:rFonts w:ascii="Times New Roman" w:eastAsia="Times New Roman" w:hAnsi="Times New Roman" w:cs="Times New Roman"/>
          <w:color w:val="1F1F1F"/>
          <w:sz w:val="24"/>
          <w:szCs w:val="24"/>
        </w:rPr>
        <w:t>d premium collection partnerships with trade associations and cooperatives. Simplified payment mechanisms can increase coverage in the risk pool.</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2. Ring-Fence Pro-Health Excise Taxes</w:t>
      </w:r>
      <w:r>
        <w:rPr>
          <w:rFonts w:ascii="Times New Roman" w:eastAsia="Times New Roman" w:hAnsi="Times New Roman" w:cs="Times New Roman"/>
          <w:b/>
          <w:bCs/>
          <w:color w:val="1F1F1F"/>
          <w:sz w:val="24"/>
          <w:szCs w:val="24"/>
        </w:rPr>
        <w:br/>
      </w:r>
      <w:r>
        <w:rPr>
          <w:rFonts w:ascii="Times New Roman" w:eastAsia="Times New Roman" w:hAnsi="Times New Roman" w:cs="Times New Roman"/>
          <w:color w:val="1F1F1F"/>
          <w:sz w:val="24"/>
          <w:szCs w:val="24"/>
        </w:rPr>
        <w:t xml:space="preserve"> Revenues from excise taxes on sugar-sweetened beverages, alcohol, and t</w:t>
      </w:r>
      <w:r>
        <w:rPr>
          <w:rFonts w:ascii="Times New Roman" w:eastAsia="Times New Roman" w:hAnsi="Times New Roman" w:cs="Times New Roman"/>
          <w:color w:val="1F1F1F"/>
          <w:sz w:val="24"/>
          <w:szCs w:val="24"/>
        </w:rPr>
        <w:t>obacco should be legally earmarked for health financing—particularly for subsidising premiums under the Vulnerable Group Fund—to reduce revenue diversion.</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3. Scale Direct Facility Financing (DFF)</w:t>
      </w:r>
      <w:r>
        <w:rPr>
          <w:rFonts w:ascii="Times New Roman" w:eastAsia="Times New Roman" w:hAnsi="Times New Roman" w:cs="Times New Roman"/>
          <w:b/>
          <w:bCs/>
          <w:color w:val="1F1F1F"/>
          <w:sz w:val="24"/>
          <w:szCs w:val="24"/>
        </w:rPr>
        <w:br/>
      </w:r>
      <w:r>
        <w:rPr>
          <w:rFonts w:ascii="Times New Roman" w:eastAsia="Times New Roman" w:hAnsi="Times New Roman" w:cs="Times New Roman"/>
          <w:color w:val="1F1F1F"/>
          <w:sz w:val="24"/>
          <w:szCs w:val="24"/>
        </w:rPr>
        <w:t xml:space="preserve"> Expansion of DFF can reduce administrative bottlenecks in B</w:t>
      </w:r>
      <w:r>
        <w:rPr>
          <w:rFonts w:ascii="Times New Roman" w:eastAsia="Times New Roman" w:hAnsi="Times New Roman" w:cs="Times New Roman"/>
          <w:color w:val="1F1F1F"/>
          <w:sz w:val="24"/>
          <w:szCs w:val="24"/>
        </w:rPr>
        <w:t>HCPF implementation. Disbursements should be linked to transparent reporting and facility-level performance audits.</w:t>
      </w:r>
    </w:p>
    <w:p w:rsidR="00E36009" w:rsidRDefault="00832D5D">
      <w:pPr>
        <w:pStyle w:val="Heading3"/>
        <w:keepNext w:val="0"/>
        <w:keepLines w:val="0"/>
        <w:spacing w:before="280" w:line="480" w:lineRule="auto"/>
        <w:rPr>
          <w:rFonts w:ascii="Times New Roman" w:eastAsia="Times New Roman" w:hAnsi="Times New Roman" w:cs="Times New Roman"/>
          <w:b/>
          <w:bCs/>
          <w:color w:val="1F1F1F"/>
          <w:sz w:val="24"/>
          <w:szCs w:val="24"/>
        </w:rPr>
      </w:pPr>
      <w:bookmarkStart w:id="67" w:name="_gb438c5s8hju" w:colFirst="0" w:colLast="0"/>
      <w:bookmarkEnd w:id="67"/>
      <w:r>
        <w:rPr>
          <w:rFonts w:ascii="Times New Roman" w:eastAsia="Times New Roman" w:hAnsi="Times New Roman" w:cs="Times New Roman"/>
          <w:b/>
          <w:bCs/>
          <w:color w:val="1F1F1F"/>
          <w:sz w:val="24"/>
          <w:szCs w:val="24"/>
        </w:rPr>
        <w:t>Long-Term (3–5 Years)</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t>4. De-Risk Pharmaceutical Investment</w:t>
      </w:r>
      <w:r>
        <w:rPr>
          <w:rFonts w:ascii="Times New Roman" w:eastAsia="Times New Roman" w:hAnsi="Times New Roman" w:cs="Times New Roman"/>
          <w:b/>
          <w:bCs/>
          <w:color w:val="1F1F1F"/>
          <w:sz w:val="24"/>
          <w:szCs w:val="24"/>
        </w:rPr>
        <w:br/>
      </w:r>
      <w:r>
        <w:rPr>
          <w:rFonts w:ascii="Times New Roman" w:eastAsia="Times New Roman" w:hAnsi="Times New Roman" w:cs="Times New Roman"/>
          <w:color w:val="1F1F1F"/>
          <w:sz w:val="24"/>
          <w:szCs w:val="24"/>
        </w:rPr>
        <w:t xml:space="preserve"> Targeted fiscal incentives, regulatory streamlining, and foreign exchange stabilisation mechanisms can encourage domestic pharmaceutical manufacturing. Collaboration with Development Finance Institutions to provide risk-sharing instruments would support i</w:t>
      </w:r>
      <w:r>
        <w:rPr>
          <w:rFonts w:ascii="Times New Roman" w:eastAsia="Times New Roman" w:hAnsi="Times New Roman" w:cs="Times New Roman"/>
          <w:color w:val="1F1F1F"/>
          <w:sz w:val="24"/>
          <w:szCs w:val="24"/>
        </w:rPr>
        <w:t>nvestment viability.</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b/>
          <w:bCs/>
          <w:color w:val="1F1F1F"/>
          <w:sz w:val="24"/>
          <w:szCs w:val="24"/>
        </w:rPr>
        <w:lastRenderedPageBreak/>
        <w:t>5. Institutionalise Digital Procurement Systems</w:t>
      </w:r>
      <w:r>
        <w:rPr>
          <w:rFonts w:ascii="Times New Roman" w:eastAsia="Times New Roman" w:hAnsi="Times New Roman" w:cs="Times New Roman"/>
          <w:b/>
          <w:bCs/>
          <w:color w:val="1F1F1F"/>
          <w:sz w:val="24"/>
          <w:szCs w:val="24"/>
        </w:rPr>
        <w:br/>
      </w:r>
      <w:r>
        <w:rPr>
          <w:rFonts w:ascii="Times New Roman" w:eastAsia="Times New Roman" w:hAnsi="Times New Roman" w:cs="Times New Roman"/>
          <w:color w:val="1F1F1F"/>
          <w:sz w:val="24"/>
          <w:szCs w:val="24"/>
        </w:rPr>
        <w:t xml:space="preserve"> Mandatory adoption of e-procurement platforms aligned with open contracting standards can improve transparency in medical supply chains and reduce cost inflation.</w:t>
      </w:r>
    </w:p>
    <w:p w:rsidR="00E36009" w:rsidRDefault="00E36009">
      <w:pPr>
        <w:spacing w:before="240" w:after="240" w:line="480" w:lineRule="auto"/>
        <w:rPr>
          <w:rFonts w:ascii="Times New Roman" w:eastAsia="Times New Roman" w:hAnsi="Times New Roman" w:cs="Times New Roman"/>
          <w:color w:val="1F1F1F"/>
          <w:sz w:val="24"/>
          <w:szCs w:val="24"/>
        </w:rPr>
      </w:pPr>
    </w:p>
    <w:p w:rsidR="00E36009" w:rsidRDefault="00832D5D">
      <w:pPr>
        <w:pStyle w:val="Heading2"/>
        <w:keepNext w:val="0"/>
        <w:keepLines w:val="0"/>
        <w:spacing w:after="80" w:line="480" w:lineRule="auto"/>
        <w:rPr>
          <w:rFonts w:ascii="Times New Roman" w:eastAsia="Times New Roman" w:hAnsi="Times New Roman" w:cs="Times New Roman"/>
          <w:b/>
          <w:bCs/>
          <w:color w:val="1F1F1F"/>
          <w:sz w:val="24"/>
          <w:szCs w:val="24"/>
        </w:rPr>
      </w:pPr>
      <w:bookmarkStart w:id="68" w:name="_zgptd8t6crkm" w:colFirst="0" w:colLast="0"/>
      <w:bookmarkEnd w:id="68"/>
      <w:r>
        <w:rPr>
          <w:rFonts w:ascii="Times New Roman" w:eastAsia="Times New Roman" w:hAnsi="Times New Roman" w:cs="Times New Roman"/>
          <w:b/>
          <w:bCs/>
          <w:color w:val="1F1F1F"/>
          <w:sz w:val="24"/>
          <w:szCs w:val="24"/>
        </w:rPr>
        <w:t>5.4 Contributions to K</w:t>
      </w:r>
      <w:r>
        <w:rPr>
          <w:rFonts w:ascii="Times New Roman" w:eastAsia="Times New Roman" w:hAnsi="Times New Roman" w:cs="Times New Roman"/>
          <w:b/>
          <w:bCs/>
          <w:color w:val="1F1F1F"/>
          <w:sz w:val="24"/>
          <w:szCs w:val="24"/>
        </w:rPr>
        <w:t>nowledge</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This study contributes to health economics studies by integrating recent macro-fiscal financing frameworks with governance and accountability models in decentralised systems.</w:t>
      </w:r>
    </w:p>
    <w:p w:rsidR="00E36009" w:rsidRDefault="00832D5D">
      <w:pPr>
        <w:spacing w:before="240"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It extends the discourse beyond quantifying financing gaps to examining </w:t>
      </w:r>
      <w:r>
        <w:rPr>
          <w:rFonts w:ascii="Times New Roman" w:eastAsia="Times New Roman" w:hAnsi="Times New Roman" w:cs="Times New Roman"/>
          <w:color w:val="1F1F1F"/>
          <w:sz w:val="24"/>
          <w:szCs w:val="24"/>
        </w:rPr>
        <w:t>institutional mechanisms that determine whether mobilised funds translate into service delivery improvements. In doing so, it highlights the role of Direct Facility Financing and strategic purchasing as operational tools within broader fiscal reform.</w:t>
      </w:r>
    </w:p>
    <w:p w:rsidR="00E36009" w:rsidRDefault="00E36009">
      <w:pPr>
        <w:spacing w:before="240" w:after="240" w:line="480" w:lineRule="auto"/>
        <w:rPr>
          <w:rFonts w:ascii="Times New Roman" w:eastAsia="Times New Roman" w:hAnsi="Times New Roman" w:cs="Times New Roman"/>
          <w:color w:val="1F1F1F"/>
          <w:sz w:val="24"/>
          <w:szCs w:val="24"/>
        </w:rPr>
      </w:pPr>
    </w:p>
    <w:p w:rsidR="00E36009" w:rsidRDefault="00E36009">
      <w:pPr>
        <w:pStyle w:val="Heading2"/>
        <w:keepNext w:val="0"/>
        <w:keepLines w:val="0"/>
        <w:spacing w:after="80" w:line="480" w:lineRule="auto"/>
        <w:rPr>
          <w:rFonts w:ascii="Times New Roman" w:eastAsia="Times New Roman" w:hAnsi="Times New Roman" w:cs="Times New Roman"/>
          <w:color w:val="1F1F1F"/>
          <w:sz w:val="24"/>
          <w:szCs w:val="24"/>
        </w:rPr>
      </w:pPr>
      <w:bookmarkStart w:id="69" w:name="_a0uyjdf1fjwy" w:colFirst="0" w:colLast="0"/>
      <w:bookmarkEnd w:id="69"/>
    </w:p>
    <w:p w:rsidR="00E36009" w:rsidRDefault="00E36009">
      <w:pPr>
        <w:spacing w:before="240" w:after="240" w:line="480" w:lineRule="auto"/>
        <w:rPr>
          <w:rFonts w:ascii="Times New Roman" w:eastAsia="Times New Roman" w:hAnsi="Times New Roman" w:cs="Times New Roman"/>
          <w:color w:val="1F1F1F"/>
          <w:sz w:val="24"/>
          <w:szCs w:val="24"/>
        </w:rPr>
      </w:pPr>
    </w:p>
    <w:p w:rsidR="00E36009" w:rsidRDefault="00E36009">
      <w:pPr>
        <w:spacing w:after="240" w:line="480" w:lineRule="auto"/>
        <w:rPr>
          <w:rFonts w:ascii="Times New Roman" w:eastAsia="Times New Roman" w:hAnsi="Times New Roman" w:cs="Times New Roman"/>
          <w:b/>
          <w:bCs/>
          <w:color w:val="1F1F1F"/>
          <w:sz w:val="24"/>
          <w:szCs w:val="24"/>
        </w:rPr>
      </w:pPr>
    </w:p>
    <w:p w:rsidR="00E36009" w:rsidRDefault="00E36009">
      <w:pPr>
        <w:spacing w:after="240" w:line="480" w:lineRule="auto"/>
        <w:rPr>
          <w:rFonts w:ascii="Times New Roman" w:eastAsia="Times New Roman" w:hAnsi="Times New Roman" w:cs="Times New Roman"/>
          <w:b/>
          <w:bCs/>
          <w:color w:val="1F1F1F"/>
          <w:sz w:val="24"/>
          <w:szCs w:val="24"/>
        </w:rPr>
      </w:pPr>
    </w:p>
    <w:p w:rsidR="00E36009" w:rsidRDefault="00E36009">
      <w:pPr>
        <w:spacing w:after="240" w:line="480" w:lineRule="auto"/>
        <w:rPr>
          <w:rFonts w:ascii="Times New Roman" w:eastAsia="Times New Roman" w:hAnsi="Times New Roman" w:cs="Times New Roman"/>
          <w:b/>
          <w:bCs/>
          <w:color w:val="1F1F1F"/>
          <w:sz w:val="24"/>
          <w:szCs w:val="24"/>
        </w:rPr>
      </w:pPr>
    </w:p>
    <w:p w:rsidR="00E36009" w:rsidRDefault="00E36009">
      <w:pPr>
        <w:spacing w:after="240" w:line="480" w:lineRule="auto"/>
        <w:rPr>
          <w:rFonts w:ascii="Times New Roman" w:eastAsia="Times New Roman" w:hAnsi="Times New Roman" w:cs="Times New Roman"/>
          <w:b/>
          <w:bCs/>
          <w:color w:val="1F1F1F"/>
          <w:sz w:val="24"/>
          <w:szCs w:val="24"/>
        </w:rPr>
      </w:pPr>
    </w:p>
    <w:p w:rsidR="00E36009" w:rsidRDefault="00832D5D">
      <w:pPr>
        <w:spacing w:after="240" w:line="480" w:lineRule="auto"/>
        <w:jc w:val="center"/>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lastRenderedPageBreak/>
        <w:t>REFERENCES</w:t>
      </w:r>
    </w:p>
    <w:p w:rsidR="00E36009" w:rsidRDefault="00832D5D">
      <w:pPr>
        <w:spacing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Adejoro, L. (2025, April 8). </w:t>
      </w:r>
      <w:r>
        <w:rPr>
          <w:rFonts w:ascii="Times New Roman" w:eastAsia="Times New Roman" w:hAnsi="Times New Roman" w:cs="Times New Roman"/>
          <w:i/>
          <w:iCs/>
          <w:color w:val="1F1F1F"/>
          <w:sz w:val="24"/>
          <w:szCs w:val="24"/>
        </w:rPr>
        <w:t>16,000 doctors left Nigeria in seven years – Minister</w:t>
      </w:r>
      <w:r>
        <w:rPr>
          <w:rFonts w:ascii="Times New Roman" w:eastAsia="Times New Roman" w:hAnsi="Times New Roman" w:cs="Times New Roman"/>
          <w:color w:val="1F1F1F"/>
          <w:sz w:val="24"/>
          <w:szCs w:val="24"/>
        </w:rPr>
        <w:t>. Punch Newspapers.</w:t>
      </w:r>
      <w:hyperlink r:id="rId8">
        <w:r>
          <w:rPr>
            <w:rFonts w:ascii="Times New Roman" w:eastAsia="Times New Roman" w:hAnsi="Times New Roman" w:cs="Times New Roman"/>
            <w:color w:val="1F1F1F"/>
            <w:sz w:val="24"/>
            <w:szCs w:val="24"/>
          </w:rPr>
          <w:t xml:space="preserve"> </w:t>
        </w:r>
      </w:hyperlink>
      <w:hyperlink r:id="rId9">
        <w:r>
          <w:rPr>
            <w:rFonts w:ascii="Times New Roman" w:eastAsia="Times New Roman" w:hAnsi="Times New Roman" w:cs="Times New Roman"/>
            <w:color w:val="1155CC"/>
            <w:sz w:val="24"/>
            <w:szCs w:val="24"/>
            <w:u w:val="single"/>
          </w:rPr>
          <w:t>https://punchng.com/16000-doctors-left-nigeria-in-seven-years-minister/</w:t>
        </w:r>
      </w:hyperlink>
    </w:p>
    <w:p w:rsidR="00E36009" w:rsidRDefault="00832D5D">
      <w:pPr>
        <w:spacing w:after="240" w:line="480" w:lineRule="auto"/>
        <w:rPr>
          <w:rFonts w:ascii="Times New Roman" w:eastAsia="Times New Roman" w:hAnsi="Times New Roman" w:cs="Times New Roman"/>
          <w:color w:val="0B57D0"/>
          <w:sz w:val="24"/>
          <w:szCs w:val="24"/>
          <w:u w:val="single"/>
        </w:rPr>
      </w:pPr>
      <w:r>
        <w:rPr>
          <w:rFonts w:ascii="Times New Roman" w:eastAsia="Times New Roman" w:hAnsi="Times New Roman" w:cs="Times New Roman"/>
          <w:color w:val="1F1F1F"/>
          <w:sz w:val="24"/>
          <w:szCs w:val="24"/>
        </w:rPr>
        <w:t>Adewole, D. A., Reid, S., Agiro, A., &amp;</w:t>
      </w:r>
      <w:r>
        <w:rPr>
          <w:rFonts w:ascii="Times New Roman" w:eastAsia="Times New Roman" w:hAnsi="Times New Roman" w:cs="Times New Roman"/>
          <w:color w:val="1F1F1F"/>
          <w:sz w:val="24"/>
          <w:szCs w:val="24"/>
        </w:rPr>
        <w:t xml:space="preserve"> Nwadiaro, C. (2021). Healthcare financing in Nigeria: A systematic review of the literature. Global Health Research and Policy, 6(1), 1–13.</w:t>
      </w:r>
      <w:hyperlink r:id="rId10">
        <w:r>
          <w:rPr>
            <w:rFonts w:ascii="Times New Roman" w:eastAsia="Times New Roman" w:hAnsi="Times New Roman" w:cs="Times New Roman"/>
            <w:color w:val="1F1F1F"/>
            <w:sz w:val="24"/>
            <w:szCs w:val="24"/>
          </w:rPr>
          <w:t xml:space="preserve"> </w:t>
        </w:r>
      </w:hyperlink>
      <w:hyperlink r:id="rId11">
        <w:r>
          <w:rPr>
            <w:rFonts w:ascii="Times New Roman" w:eastAsia="Times New Roman" w:hAnsi="Times New Roman" w:cs="Times New Roman"/>
            <w:color w:val="0B57D0"/>
            <w:sz w:val="24"/>
            <w:szCs w:val="24"/>
            <w:u w:val="single"/>
          </w:rPr>
          <w:t>https://doi.org/10.1186/s41256-021-00215-3</w:t>
        </w:r>
      </w:hyperlink>
    </w:p>
    <w:p w:rsidR="00E36009" w:rsidRDefault="00832D5D">
      <w:pPr>
        <w:spacing w:after="240" w:line="480" w:lineRule="auto"/>
        <w:rPr>
          <w:rFonts w:ascii="Times New Roman" w:eastAsia="Times New Roman" w:hAnsi="Times New Roman" w:cs="Times New Roman"/>
          <w:color w:val="0B57D0"/>
          <w:sz w:val="24"/>
          <w:szCs w:val="24"/>
        </w:rPr>
      </w:pPr>
      <w:r>
        <w:rPr>
          <w:rFonts w:ascii="Times New Roman" w:eastAsia="Times New Roman" w:hAnsi="Times New Roman" w:cs="Times New Roman"/>
          <w:color w:val="0B57D0"/>
          <w:sz w:val="24"/>
          <w:szCs w:val="24"/>
        </w:rPr>
        <w:t>Aluh, D. O., Aigbogun, O., &amp; Okoro, R. N. (2024). Global pharma departure from Nigeria: A threat to public health. The Journal of Medicine Access, 8.</w:t>
      </w:r>
      <w:hyperlink r:id="rId12">
        <w:r>
          <w:rPr>
            <w:rFonts w:ascii="Times New Roman" w:eastAsia="Times New Roman" w:hAnsi="Times New Roman" w:cs="Times New Roman"/>
            <w:color w:val="0B57D0"/>
            <w:sz w:val="24"/>
            <w:szCs w:val="24"/>
          </w:rPr>
          <w:t xml:space="preserve"> </w:t>
        </w:r>
      </w:hyperlink>
      <w:hyperlink r:id="rId13">
        <w:r>
          <w:rPr>
            <w:rFonts w:ascii="Times New Roman" w:eastAsia="Times New Roman" w:hAnsi="Times New Roman" w:cs="Times New Roman"/>
            <w:color w:val="1155CC"/>
            <w:sz w:val="24"/>
            <w:szCs w:val="24"/>
            <w:u w:val="single"/>
          </w:rPr>
          <w:t>https://doi.org/10.1177/27550834241256450</w:t>
        </w:r>
      </w:hyperlink>
      <w:r>
        <w:rPr>
          <w:rFonts w:ascii="Times New Roman" w:eastAsia="Times New Roman" w:hAnsi="Times New Roman" w:cs="Times New Roman"/>
          <w:color w:val="0B57D0"/>
          <w:sz w:val="24"/>
          <w:szCs w:val="24"/>
        </w:rPr>
        <w:t xml:space="preserve"> Cited by: 6</w:t>
      </w:r>
    </w:p>
    <w:p w:rsidR="00E36009" w:rsidRDefault="00832D5D">
      <w:pPr>
        <w:spacing w:after="240" w:line="480" w:lineRule="auto"/>
        <w:rPr>
          <w:rFonts w:ascii="Times New Roman" w:eastAsia="Times New Roman" w:hAnsi="Times New Roman" w:cs="Times New Roman"/>
          <w:color w:val="0B57D0"/>
          <w:sz w:val="24"/>
          <w:szCs w:val="24"/>
          <w:u w:val="single"/>
        </w:rPr>
      </w:pPr>
      <w:r>
        <w:rPr>
          <w:rFonts w:ascii="Times New Roman" w:eastAsia="Times New Roman" w:hAnsi="Times New Roman" w:cs="Times New Roman"/>
          <w:color w:val="1F1F1F"/>
          <w:sz w:val="24"/>
          <w:szCs w:val="24"/>
        </w:rPr>
        <w:t xml:space="preserve">Aregbeshola, B. S., &amp; Khan, S. M. (2018). Determinants of catastrophic health expenditure in Nigeria. </w:t>
      </w:r>
      <w:r>
        <w:rPr>
          <w:rFonts w:ascii="Times New Roman" w:eastAsia="Times New Roman" w:hAnsi="Times New Roman" w:cs="Times New Roman"/>
          <w:color w:val="1F1F1F"/>
          <w:sz w:val="24"/>
          <w:szCs w:val="24"/>
        </w:rPr>
        <w:t>The European Journal of Health Economics, 19(4), 521–532.</w:t>
      </w:r>
      <w:hyperlink r:id="rId14">
        <w:r>
          <w:rPr>
            <w:rFonts w:ascii="Times New Roman" w:eastAsia="Times New Roman" w:hAnsi="Times New Roman" w:cs="Times New Roman"/>
            <w:color w:val="1F1F1F"/>
            <w:sz w:val="24"/>
            <w:szCs w:val="24"/>
          </w:rPr>
          <w:t xml:space="preserve"> </w:t>
        </w:r>
      </w:hyperlink>
      <w:hyperlink r:id="rId15">
        <w:r>
          <w:rPr>
            <w:rFonts w:ascii="Times New Roman" w:eastAsia="Times New Roman" w:hAnsi="Times New Roman" w:cs="Times New Roman"/>
            <w:color w:val="0B57D0"/>
            <w:sz w:val="24"/>
            <w:szCs w:val="24"/>
            <w:u w:val="single"/>
          </w:rPr>
          <w:t>https://doi.org/10.1007/s10198-017-0899-1</w:t>
        </w:r>
      </w:hyperlink>
    </w:p>
    <w:p w:rsidR="00E36009" w:rsidRDefault="00832D5D">
      <w:pPr>
        <w:spacing w:after="240" w:line="480" w:lineRule="auto"/>
        <w:rPr>
          <w:rFonts w:ascii="Times New Roman" w:eastAsia="Times New Roman" w:hAnsi="Times New Roman" w:cs="Times New Roman"/>
          <w:color w:val="0B57D0"/>
          <w:sz w:val="24"/>
          <w:szCs w:val="24"/>
          <w:u w:val="single"/>
        </w:rPr>
      </w:pPr>
      <w:r>
        <w:rPr>
          <w:rFonts w:ascii="Times New Roman" w:eastAsia="Times New Roman" w:hAnsi="Times New Roman" w:cs="Times New Roman"/>
          <w:color w:val="1F1F1F"/>
          <w:sz w:val="24"/>
          <w:szCs w:val="24"/>
        </w:rPr>
        <w:t xml:space="preserve">Barasa, E., Rogo, K., Mwaura, N., </w:t>
      </w:r>
      <w:r>
        <w:rPr>
          <w:rFonts w:ascii="Times New Roman" w:eastAsia="Times New Roman" w:hAnsi="Times New Roman" w:cs="Times New Roman"/>
          <w:color w:val="1F1F1F"/>
          <w:sz w:val="24"/>
          <w:szCs w:val="24"/>
        </w:rPr>
        <w:t>&amp; Chuma, J. (2018). Kenya National Hospital Insurance Fund Reforms: Implications and Lessons for Universal Health Coverage. Health Systems &amp; Reform, 4(4), 346-361.</w:t>
      </w:r>
      <w:hyperlink r:id="rId16">
        <w:r>
          <w:rPr>
            <w:rFonts w:ascii="Times New Roman" w:eastAsia="Times New Roman" w:hAnsi="Times New Roman" w:cs="Times New Roman"/>
            <w:color w:val="1F1F1F"/>
            <w:sz w:val="24"/>
            <w:szCs w:val="24"/>
          </w:rPr>
          <w:t xml:space="preserve"> </w:t>
        </w:r>
      </w:hyperlink>
      <w:hyperlink r:id="rId17">
        <w:r>
          <w:rPr>
            <w:rFonts w:ascii="Times New Roman" w:eastAsia="Times New Roman" w:hAnsi="Times New Roman" w:cs="Times New Roman"/>
            <w:color w:val="0B57D0"/>
            <w:sz w:val="24"/>
            <w:szCs w:val="24"/>
            <w:u w:val="single"/>
          </w:rPr>
          <w:t>https://doi.org/10.1080/23288604.2018.1513267</w:t>
        </w:r>
      </w:hyperlink>
    </w:p>
    <w:p w:rsidR="00E36009" w:rsidRDefault="00832D5D">
      <w:pPr>
        <w:spacing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Braun, V., &amp; Clarke, V. (2021). To saturate or not to saturate? Questioning data saturation as a useful concept for thematic analysis and sample-size rationales. Qualitativ</w:t>
      </w:r>
      <w:r>
        <w:rPr>
          <w:rFonts w:ascii="Times New Roman" w:eastAsia="Times New Roman" w:hAnsi="Times New Roman" w:cs="Times New Roman"/>
          <w:color w:val="1F1F1F"/>
          <w:sz w:val="24"/>
          <w:szCs w:val="24"/>
        </w:rPr>
        <w:t>e Research in Sport, Exercise and Health, 13(2), 201–216.</w:t>
      </w:r>
      <w:hyperlink r:id="rId18">
        <w:r>
          <w:rPr>
            <w:rFonts w:ascii="Times New Roman" w:eastAsia="Times New Roman" w:hAnsi="Times New Roman" w:cs="Times New Roman"/>
            <w:color w:val="1F1F1F"/>
            <w:sz w:val="24"/>
            <w:szCs w:val="24"/>
          </w:rPr>
          <w:t xml:space="preserve"> </w:t>
        </w:r>
      </w:hyperlink>
      <w:hyperlink r:id="rId19">
        <w:r>
          <w:rPr>
            <w:rFonts w:ascii="Times New Roman" w:eastAsia="Times New Roman" w:hAnsi="Times New Roman" w:cs="Times New Roman"/>
            <w:color w:val="0B57D0"/>
            <w:sz w:val="24"/>
            <w:szCs w:val="24"/>
            <w:u w:val="single"/>
          </w:rPr>
          <w:t>https://doi.org/10.1080/2159676X.2019.1704846</w:t>
        </w:r>
      </w:hyperlink>
    </w:p>
    <w:p w:rsidR="00E36009" w:rsidRDefault="00832D5D">
      <w:pPr>
        <w:spacing w:after="240" w:line="480" w:lineRule="auto"/>
        <w:rPr>
          <w:rFonts w:ascii="Times New Roman" w:eastAsia="Times New Roman" w:hAnsi="Times New Roman" w:cs="Times New Roman"/>
          <w:color w:val="0B57D0"/>
          <w:sz w:val="24"/>
          <w:szCs w:val="24"/>
          <w:u w:val="single"/>
        </w:rPr>
      </w:pPr>
      <w:r>
        <w:rPr>
          <w:rFonts w:ascii="Times New Roman" w:eastAsia="Times New Roman" w:hAnsi="Times New Roman" w:cs="Times New Roman"/>
          <w:color w:val="1F1F1F"/>
          <w:sz w:val="24"/>
          <w:szCs w:val="24"/>
        </w:rPr>
        <w:lastRenderedPageBreak/>
        <w:t>Brinkerhoff, D. W., &amp;</w:t>
      </w:r>
      <w:r>
        <w:rPr>
          <w:rFonts w:ascii="Times New Roman" w:eastAsia="Times New Roman" w:hAnsi="Times New Roman" w:cs="Times New Roman"/>
          <w:color w:val="1F1F1F"/>
          <w:sz w:val="24"/>
          <w:szCs w:val="24"/>
        </w:rPr>
        <w:t xml:space="preserve"> Bossert, T. J. (2020). Health governance: Concepts, experience, and programming options. Health Policy and Planning, 35(1), 1–14.</w:t>
      </w:r>
      <w:hyperlink r:id="rId20">
        <w:r>
          <w:rPr>
            <w:rFonts w:ascii="Times New Roman" w:eastAsia="Times New Roman" w:hAnsi="Times New Roman" w:cs="Times New Roman"/>
            <w:color w:val="1F1F1F"/>
            <w:sz w:val="24"/>
            <w:szCs w:val="24"/>
          </w:rPr>
          <w:t xml:space="preserve"> </w:t>
        </w:r>
      </w:hyperlink>
      <w:hyperlink r:id="rId21">
        <w:r>
          <w:rPr>
            <w:rFonts w:ascii="Times New Roman" w:eastAsia="Times New Roman" w:hAnsi="Times New Roman" w:cs="Times New Roman"/>
            <w:color w:val="0B57D0"/>
            <w:sz w:val="24"/>
            <w:szCs w:val="24"/>
            <w:u w:val="single"/>
          </w:rPr>
          <w:t>https://doi</w:t>
        </w:r>
        <w:r>
          <w:rPr>
            <w:rFonts w:ascii="Times New Roman" w:eastAsia="Times New Roman" w:hAnsi="Times New Roman" w:cs="Times New Roman"/>
            <w:color w:val="0B57D0"/>
            <w:sz w:val="24"/>
            <w:szCs w:val="24"/>
            <w:u w:val="single"/>
          </w:rPr>
          <w:t>.org/10.1093/heapol/czz141</w:t>
        </w:r>
      </w:hyperlink>
    </w:p>
    <w:p w:rsidR="00E36009" w:rsidRDefault="00832D5D">
      <w:pPr>
        <w:spacing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Centre for the Study of the Economies of Africa (CSEA). (2024). Public Debt and the Crowding Out Effect on Social Spending in Nigeria: Macroeconomic implications post-2023 reforms. CSEA Publications.</w:t>
      </w:r>
    </w:p>
    <w:p w:rsidR="00E36009" w:rsidRDefault="00832D5D">
      <w:pPr>
        <w:spacing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Coulibaly, B. S., &amp; Gandhi, D</w:t>
      </w:r>
      <w:r>
        <w:rPr>
          <w:rFonts w:ascii="Times New Roman" w:eastAsia="Times New Roman" w:hAnsi="Times New Roman" w:cs="Times New Roman"/>
          <w:color w:val="1F1F1F"/>
          <w:sz w:val="24"/>
          <w:szCs w:val="24"/>
        </w:rPr>
        <w:t>. (2021). Debt sustainability in Africa: The role of the composition of debt. Brookings Institution.</w:t>
      </w:r>
    </w:p>
    <w:p w:rsidR="00E36009" w:rsidRDefault="00832D5D">
      <w:pPr>
        <w:spacing w:after="240" w:line="480" w:lineRule="auto"/>
        <w:rPr>
          <w:rFonts w:ascii="Times New Roman" w:eastAsia="Times New Roman" w:hAnsi="Times New Roman" w:cs="Times New Roman"/>
          <w:color w:val="0B57D0"/>
          <w:sz w:val="24"/>
          <w:szCs w:val="24"/>
          <w:u w:val="single"/>
        </w:rPr>
      </w:pPr>
      <w:r>
        <w:rPr>
          <w:rFonts w:ascii="Times New Roman" w:eastAsia="Times New Roman" w:hAnsi="Times New Roman" w:cs="Times New Roman"/>
          <w:color w:val="1F1F1F"/>
          <w:sz w:val="24"/>
          <w:szCs w:val="24"/>
        </w:rPr>
        <w:t>Eboreime, E. A., Abimbola, S., &amp; Bozzani, F. (2020). Access to routine immunisation: A comparative analysis of supply-side disparities between Northern and</w:t>
      </w:r>
      <w:r>
        <w:rPr>
          <w:rFonts w:ascii="Times New Roman" w:eastAsia="Times New Roman" w:hAnsi="Times New Roman" w:cs="Times New Roman"/>
          <w:color w:val="1F1F1F"/>
          <w:sz w:val="24"/>
          <w:szCs w:val="24"/>
        </w:rPr>
        <w:t xml:space="preserve"> Southern Nigeria. PLOS One, 15(12), e0243403.</w:t>
      </w:r>
      <w:hyperlink r:id="rId22">
        <w:r>
          <w:rPr>
            <w:rFonts w:ascii="Times New Roman" w:eastAsia="Times New Roman" w:hAnsi="Times New Roman" w:cs="Times New Roman"/>
            <w:color w:val="1F1F1F"/>
            <w:sz w:val="24"/>
            <w:szCs w:val="24"/>
          </w:rPr>
          <w:t xml:space="preserve"> </w:t>
        </w:r>
      </w:hyperlink>
      <w:hyperlink r:id="rId23">
        <w:r>
          <w:rPr>
            <w:rFonts w:ascii="Times New Roman" w:eastAsia="Times New Roman" w:hAnsi="Times New Roman" w:cs="Times New Roman"/>
            <w:color w:val="0B57D0"/>
            <w:sz w:val="24"/>
            <w:szCs w:val="24"/>
            <w:u w:val="single"/>
          </w:rPr>
          <w:t>https://doi.org/1</w:t>
        </w:r>
        <w:r>
          <w:rPr>
            <w:rFonts w:ascii="Times New Roman" w:eastAsia="Times New Roman" w:hAnsi="Times New Roman" w:cs="Times New Roman"/>
            <w:color w:val="0B57D0"/>
            <w:sz w:val="24"/>
            <w:szCs w:val="24"/>
            <w:u w:val="single"/>
          </w:rPr>
          <w:t>0.1371/journal.pone.0243403</w:t>
        </w:r>
      </w:hyperlink>
    </w:p>
    <w:p w:rsidR="00E36009" w:rsidRDefault="00832D5D">
      <w:pPr>
        <w:spacing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Federal Ministry of Health (FMoH) Nigeria. (2022). National Health Accounts Report: Tracking health expenditure trends. Abuja, Nigeria.</w:t>
      </w:r>
    </w:p>
    <w:p w:rsidR="00E36009" w:rsidRDefault="00832D5D">
      <w:pPr>
        <w:spacing w:after="240" w:line="480" w:lineRule="auto"/>
        <w:rPr>
          <w:rFonts w:ascii="Times New Roman" w:eastAsia="Times New Roman" w:hAnsi="Times New Roman" w:cs="Times New Roman"/>
          <w:color w:val="0B57D0"/>
          <w:sz w:val="24"/>
          <w:szCs w:val="24"/>
          <w:u w:val="single"/>
        </w:rPr>
      </w:pPr>
      <w:r>
        <w:rPr>
          <w:rFonts w:ascii="Times New Roman" w:eastAsia="Times New Roman" w:hAnsi="Times New Roman" w:cs="Times New Roman"/>
          <w:color w:val="1F1F1F"/>
          <w:sz w:val="24"/>
          <w:szCs w:val="24"/>
        </w:rPr>
        <w:t>Hunter, B. M., &amp;</w:t>
      </w:r>
      <w:r>
        <w:rPr>
          <w:rFonts w:ascii="Times New Roman" w:eastAsia="Times New Roman" w:hAnsi="Times New Roman" w:cs="Times New Roman"/>
          <w:color w:val="1F1F1F"/>
          <w:sz w:val="24"/>
          <w:szCs w:val="24"/>
        </w:rPr>
        <w:t xml:space="preserve"> Murray, S. F. (2019). Deconstructing the financialization of healthcare. Development and Change, 50(5), 1263–1287.</w:t>
      </w:r>
      <w:hyperlink r:id="rId24">
        <w:r>
          <w:rPr>
            <w:rFonts w:ascii="Times New Roman" w:eastAsia="Times New Roman" w:hAnsi="Times New Roman" w:cs="Times New Roman"/>
            <w:color w:val="1F1F1F"/>
            <w:sz w:val="24"/>
            <w:szCs w:val="24"/>
          </w:rPr>
          <w:t xml:space="preserve"> </w:t>
        </w:r>
      </w:hyperlink>
      <w:hyperlink r:id="rId25">
        <w:r>
          <w:rPr>
            <w:rFonts w:ascii="Times New Roman" w:eastAsia="Times New Roman" w:hAnsi="Times New Roman" w:cs="Times New Roman"/>
            <w:color w:val="0B57D0"/>
            <w:sz w:val="24"/>
            <w:szCs w:val="24"/>
            <w:u w:val="single"/>
          </w:rPr>
          <w:t>https://doi.org/10.1111/dech.125</w:t>
        </w:r>
        <w:r>
          <w:rPr>
            <w:rFonts w:ascii="Times New Roman" w:eastAsia="Times New Roman" w:hAnsi="Times New Roman" w:cs="Times New Roman"/>
            <w:color w:val="0B57D0"/>
            <w:sz w:val="24"/>
            <w:szCs w:val="24"/>
            <w:u w:val="single"/>
          </w:rPr>
          <w:t>17</w:t>
        </w:r>
      </w:hyperlink>
    </w:p>
    <w:p w:rsidR="00E36009" w:rsidRDefault="00832D5D">
      <w:pPr>
        <w:spacing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International Finance Corporation (IFC). (2022). Health Care Quality in Emerging Markets: An investment perspective and blended finance strategies. World Bank Group.</w:t>
      </w:r>
    </w:p>
    <w:p w:rsidR="00E36009" w:rsidRDefault="00832D5D">
      <w:pPr>
        <w:spacing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Inuwa, B., Aliyu, A. A., &amp; Ogboi, S. J. (2021). Evaluating Public-Private Partnerships </w:t>
      </w:r>
      <w:r>
        <w:rPr>
          <w:rFonts w:ascii="Times New Roman" w:eastAsia="Times New Roman" w:hAnsi="Times New Roman" w:cs="Times New Roman"/>
          <w:color w:val="1F1F1F"/>
          <w:sz w:val="24"/>
          <w:szCs w:val="24"/>
        </w:rPr>
        <w:t>in Healthcare: A Case Study of Garki Hospital, Abuja. Nigerian Journal of Clinical Practice, 24(8), 1145–1152.</w:t>
      </w:r>
    </w:p>
    <w:p w:rsidR="00E36009" w:rsidRDefault="00832D5D">
      <w:pPr>
        <w:spacing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lastRenderedPageBreak/>
        <w:t>Kraay, A. (2018). Methodology for a World Bank Human Capital Index. Policy Research Working Paper 8593. World Bank Group.</w:t>
      </w:r>
    </w:p>
    <w:p w:rsidR="00E36009" w:rsidRDefault="00832D5D">
      <w:pPr>
        <w:spacing w:after="240" w:line="480" w:lineRule="auto"/>
        <w:rPr>
          <w:rFonts w:ascii="Times New Roman" w:eastAsia="Times New Roman" w:hAnsi="Times New Roman" w:cs="Times New Roman"/>
          <w:color w:val="0B57D0"/>
          <w:sz w:val="24"/>
          <w:szCs w:val="24"/>
          <w:u w:val="single"/>
        </w:rPr>
      </w:pPr>
      <w:r>
        <w:rPr>
          <w:rFonts w:ascii="Times New Roman" w:eastAsia="Times New Roman" w:hAnsi="Times New Roman" w:cs="Times New Roman"/>
          <w:color w:val="1F1F1F"/>
          <w:sz w:val="24"/>
          <w:szCs w:val="24"/>
        </w:rPr>
        <w:t>Mathauer, I., Dale, E.,</w:t>
      </w:r>
      <w:r>
        <w:rPr>
          <w:rFonts w:ascii="Times New Roman" w:eastAsia="Times New Roman" w:hAnsi="Times New Roman" w:cs="Times New Roman"/>
          <w:color w:val="1F1F1F"/>
          <w:sz w:val="24"/>
          <w:szCs w:val="24"/>
        </w:rPr>
        <w:t xml:space="preserve"> &amp; Meessen, B. (2017). Strategic purchasing for Universal Health Coverage: Key policy issues and questions. Bulletin of the World Health Organisation, 95(10), 731–739.</w:t>
      </w:r>
      <w:hyperlink r:id="rId26">
        <w:r>
          <w:rPr>
            <w:rFonts w:ascii="Times New Roman" w:eastAsia="Times New Roman" w:hAnsi="Times New Roman" w:cs="Times New Roman"/>
            <w:color w:val="1F1F1F"/>
            <w:sz w:val="24"/>
            <w:szCs w:val="24"/>
          </w:rPr>
          <w:t xml:space="preserve"> </w:t>
        </w:r>
      </w:hyperlink>
      <w:hyperlink r:id="rId27">
        <w:r>
          <w:rPr>
            <w:rFonts w:ascii="Times New Roman" w:eastAsia="Times New Roman" w:hAnsi="Times New Roman" w:cs="Times New Roman"/>
            <w:color w:val="0B57D0"/>
            <w:sz w:val="24"/>
            <w:szCs w:val="24"/>
            <w:u w:val="single"/>
          </w:rPr>
          <w:t>https://doi.org/10.2471/BLT.16.187286</w:t>
        </w:r>
      </w:hyperlink>
    </w:p>
    <w:p w:rsidR="00E36009" w:rsidRDefault="00832D5D">
      <w:pPr>
        <w:spacing w:after="240" w:line="480" w:lineRule="auto"/>
        <w:rPr>
          <w:rFonts w:ascii="Times New Roman" w:eastAsia="Times New Roman" w:hAnsi="Times New Roman" w:cs="Times New Roman"/>
          <w:color w:val="0B57D0"/>
          <w:sz w:val="24"/>
          <w:szCs w:val="24"/>
          <w:u w:val="single"/>
        </w:rPr>
      </w:pPr>
      <w:r>
        <w:rPr>
          <w:rFonts w:ascii="Times New Roman" w:eastAsia="Times New Roman" w:hAnsi="Times New Roman" w:cs="Times New Roman"/>
          <w:color w:val="1F1F1F"/>
          <w:sz w:val="24"/>
          <w:szCs w:val="24"/>
        </w:rPr>
        <w:t>McIntyre, D., Obse, A., Barasa, E. W., &amp; Ataguba, J. E. (2017). Challenges in financing universal health coverage in Sub-Saharan</w:t>
      </w:r>
      <w:r>
        <w:rPr>
          <w:rFonts w:ascii="Times New Roman" w:eastAsia="Times New Roman" w:hAnsi="Times New Roman" w:cs="Times New Roman"/>
          <w:color w:val="1F1F1F"/>
          <w:sz w:val="24"/>
          <w:szCs w:val="24"/>
        </w:rPr>
        <w:t xml:space="preserve"> Africa. Oxford Research Encyclopedia of Global Public Health.</w:t>
      </w:r>
      <w:hyperlink r:id="rId28">
        <w:r>
          <w:rPr>
            <w:rFonts w:ascii="Times New Roman" w:eastAsia="Times New Roman" w:hAnsi="Times New Roman" w:cs="Times New Roman"/>
            <w:color w:val="1F1F1F"/>
            <w:sz w:val="24"/>
            <w:szCs w:val="24"/>
          </w:rPr>
          <w:t xml:space="preserve"> </w:t>
        </w:r>
      </w:hyperlink>
      <w:hyperlink r:id="rId29">
        <w:r>
          <w:rPr>
            <w:rFonts w:ascii="Times New Roman" w:eastAsia="Times New Roman" w:hAnsi="Times New Roman" w:cs="Times New Roman"/>
            <w:color w:val="0B57D0"/>
            <w:sz w:val="24"/>
            <w:szCs w:val="24"/>
            <w:u w:val="single"/>
          </w:rPr>
          <w:t>https://doi.org/10.1093/acrefore/9780190632366.013.125</w:t>
        </w:r>
      </w:hyperlink>
    </w:p>
    <w:p w:rsidR="00E36009" w:rsidRDefault="00832D5D">
      <w:pPr>
        <w:spacing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Nigeria Health Watch. (2023). The foundation of human solidarity: Strengthening accountability in</w:t>
      </w:r>
      <w:r>
        <w:rPr>
          <w:rFonts w:ascii="Times New Roman" w:eastAsia="Times New Roman" w:hAnsi="Times New Roman" w:cs="Times New Roman"/>
          <w:color w:val="1F1F1F"/>
          <w:sz w:val="24"/>
          <w:szCs w:val="24"/>
        </w:rPr>
        <w:t xml:space="preserve"> African healthcare systems. Nigeria Health Watch Publications.</w:t>
      </w:r>
      <w:hyperlink r:id="rId30">
        <w:r>
          <w:rPr>
            <w:rFonts w:ascii="Times New Roman" w:eastAsia="Times New Roman" w:hAnsi="Times New Roman" w:cs="Times New Roman"/>
            <w:color w:val="1F1F1F"/>
            <w:sz w:val="24"/>
            <w:szCs w:val="24"/>
          </w:rPr>
          <w:t xml:space="preserve"> </w:t>
        </w:r>
      </w:hyperlink>
      <w:hyperlink r:id="rId31">
        <w:r>
          <w:rPr>
            <w:rFonts w:ascii="Times New Roman" w:eastAsia="Times New Roman" w:hAnsi="Times New Roman" w:cs="Times New Roman"/>
            <w:color w:val="1155CC"/>
            <w:sz w:val="24"/>
            <w:szCs w:val="24"/>
            <w:u w:val="single"/>
          </w:rPr>
          <w:t>https://articles.nigeriahealthwatch.com/the-foundation-of-human-solidarity-strengthening-accountability-in-african-healthcare-systems/</w:t>
        </w:r>
      </w:hyperlink>
    </w:p>
    <w:p w:rsidR="00E36009" w:rsidRDefault="00832D5D">
      <w:pPr>
        <w:spacing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Olaku</w:t>
      </w:r>
      <w:r>
        <w:rPr>
          <w:rFonts w:ascii="Times New Roman" w:eastAsia="Times New Roman" w:hAnsi="Times New Roman" w:cs="Times New Roman"/>
          <w:color w:val="1F1F1F"/>
          <w:sz w:val="24"/>
          <w:szCs w:val="24"/>
        </w:rPr>
        <w:t>nde, B. O. (2020). Public health care financing in Nigeria: Which way forward? Annals of Nigerian Medicine, 6(1), 4–10.</w:t>
      </w:r>
    </w:p>
    <w:p w:rsidR="00E36009" w:rsidRDefault="00832D5D">
      <w:pPr>
        <w:spacing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Oweibia, M., Elemuwa, U. G., Akpan, E., Daniel, E. T., Oruikor, G. J., Tarimobowei, E., Okoho, E. E., Elemuwa, C. O., Raimi, M. O., &amp; Ba</w:t>
      </w:r>
      <w:r>
        <w:rPr>
          <w:rFonts w:ascii="Times New Roman" w:eastAsia="Times New Roman" w:hAnsi="Times New Roman" w:cs="Times New Roman"/>
          <w:color w:val="1F1F1F"/>
          <w:sz w:val="24"/>
          <w:szCs w:val="24"/>
        </w:rPr>
        <w:t>batunde, A. A. (2024). Analysing Nigeria's journey towards Sustainable Development Goals: A comprehensive review from inception to present. F1000Research, 13, 984.</w:t>
      </w:r>
      <w:hyperlink r:id="rId32">
        <w:r>
          <w:rPr>
            <w:rFonts w:ascii="Times New Roman" w:eastAsia="Times New Roman" w:hAnsi="Times New Roman" w:cs="Times New Roman"/>
            <w:color w:val="1F1F1F"/>
            <w:sz w:val="24"/>
            <w:szCs w:val="24"/>
          </w:rPr>
          <w:t xml:space="preserve"> </w:t>
        </w:r>
      </w:hyperlink>
      <w:hyperlink r:id="rId33">
        <w:r>
          <w:rPr>
            <w:rFonts w:ascii="Times New Roman" w:eastAsia="Times New Roman" w:hAnsi="Times New Roman" w:cs="Times New Roman"/>
            <w:color w:val="1155CC"/>
            <w:sz w:val="24"/>
            <w:szCs w:val="24"/>
            <w:u w:val="single"/>
          </w:rPr>
          <w:t>https://doi.org/10.12688/f1000research.148020.1</w:t>
        </w:r>
      </w:hyperlink>
    </w:p>
    <w:p w:rsidR="00E36009" w:rsidRDefault="00832D5D">
      <w:pPr>
        <w:spacing w:after="240" w:line="480" w:lineRule="auto"/>
        <w:rPr>
          <w:rFonts w:ascii="Times New Roman" w:eastAsia="Times New Roman" w:hAnsi="Times New Roman" w:cs="Times New Roman"/>
          <w:color w:val="0B57D0"/>
          <w:sz w:val="24"/>
          <w:szCs w:val="24"/>
          <w:u w:val="single"/>
        </w:rPr>
      </w:pPr>
      <w:r>
        <w:rPr>
          <w:rFonts w:ascii="Times New Roman" w:eastAsia="Times New Roman" w:hAnsi="Times New Roman" w:cs="Times New Roman"/>
          <w:color w:val="1F1F1F"/>
          <w:sz w:val="24"/>
          <w:szCs w:val="24"/>
        </w:rPr>
        <w:t>Sparkes, S. P., Bump, J. B., Özçelik, E. A., Kutzin, J., &amp; Reich, M. R. (2019). Political economy analysis for health financing reform. Health Systems &amp; Reform, 5(3),</w:t>
      </w:r>
      <w:r>
        <w:rPr>
          <w:rFonts w:ascii="Times New Roman" w:eastAsia="Times New Roman" w:hAnsi="Times New Roman" w:cs="Times New Roman"/>
          <w:color w:val="1F1F1F"/>
          <w:sz w:val="24"/>
          <w:szCs w:val="24"/>
        </w:rPr>
        <w:t xml:space="preserve"> 183–194.</w:t>
      </w:r>
      <w:hyperlink r:id="rId34">
        <w:r>
          <w:rPr>
            <w:rFonts w:ascii="Times New Roman" w:eastAsia="Times New Roman" w:hAnsi="Times New Roman" w:cs="Times New Roman"/>
            <w:color w:val="1F1F1F"/>
            <w:sz w:val="24"/>
            <w:szCs w:val="24"/>
          </w:rPr>
          <w:t xml:space="preserve"> </w:t>
        </w:r>
      </w:hyperlink>
      <w:hyperlink r:id="rId35">
        <w:r>
          <w:rPr>
            <w:rFonts w:ascii="Times New Roman" w:eastAsia="Times New Roman" w:hAnsi="Times New Roman" w:cs="Times New Roman"/>
            <w:color w:val="0B57D0"/>
            <w:sz w:val="24"/>
            <w:szCs w:val="24"/>
            <w:u w:val="single"/>
          </w:rPr>
          <w:t>https://doi.org/10.1080/23288604.2019.1633874</w:t>
        </w:r>
      </w:hyperlink>
    </w:p>
    <w:p w:rsidR="00E36009" w:rsidRDefault="00832D5D">
      <w:pPr>
        <w:spacing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lastRenderedPageBreak/>
        <w:t>Thomas, S., Sagan, A., Larkin, J., Cylus, J., Figueras, J., &amp; Karaniko</w:t>
      </w:r>
      <w:r>
        <w:rPr>
          <w:rFonts w:ascii="Times New Roman" w:eastAsia="Times New Roman" w:hAnsi="Times New Roman" w:cs="Times New Roman"/>
          <w:color w:val="1F1F1F"/>
          <w:sz w:val="24"/>
          <w:szCs w:val="24"/>
        </w:rPr>
        <w:t>los, M. (2020). Strengthening health systems resilience: Key concepts and strategies. European Observatory on Health Systems and Policies.</w:t>
      </w:r>
    </w:p>
    <w:p w:rsidR="00E36009" w:rsidRDefault="00832D5D">
      <w:pPr>
        <w:spacing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United Nations. (2023). The Sustainable Development Goals Report 2023: Special Edition - Towards a Rescue Plan for Pe</w:t>
      </w:r>
      <w:r>
        <w:rPr>
          <w:rFonts w:ascii="Times New Roman" w:eastAsia="Times New Roman" w:hAnsi="Times New Roman" w:cs="Times New Roman"/>
          <w:color w:val="1F1F1F"/>
          <w:sz w:val="24"/>
          <w:szCs w:val="24"/>
        </w:rPr>
        <w:t>ople and Planet. UN General Assembly.</w:t>
      </w:r>
    </w:p>
    <w:p w:rsidR="00E36009" w:rsidRDefault="00832D5D">
      <w:pPr>
        <w:spacing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Wada, Y. H., Abdulrahman, A., Muhammad, M. I., Owanta, V. C., Chimelumeze, P. U., &amp; Khalid, G. M. (2022). Falsified and substandard medicines trafficking: A wakeup call for the African continent. Public Health in Pract</w:t>
      </w:r>
      <w:r>
        <w:rPr>
          <w:rFonts w:ascii="Times New Roman" w:eastAsia="Times New Roman" w:hAnsi="Times New Roman" w:cs="Times New Roman"/>
          <w:color w:val="1F1F1F"/>
          <w:sz w:val="24"/>
          <w:szCs w:val="24"/>
        </w:rPr>
        <w:t>ice, 3, 100240.</w:t>
      </w:r>
      <w:hyperlink r:id="rId36">
        <w:r>
          <w:rPr>
            <w:rFonts w:ascii="Times New Roman" w:eastAsia="Times New Roman" w:hAnsi="Times New Roman" w:cs="Times New Roman"/>
            <w:color w:val="1F1F1F"/>
            <w:sz w:val="24"/>
            <w:szCs w:val="24"/>
          </w:rPr>
          <w:t xml:space="preserve"> </w:t>
        </w:r>
      </w:hyperlink>
      <w:hyperlink r:id="rId37">
        <w:r>
          <w:rPr>
            <w:rFonts w:ascii="Times New Roman" w:eastAsia="Times New Roman" w:hAnsi="Times New Roman" w:cs="Times New Roman"/>
            <w:color w:val="1155CC"/>
            <w:sz w:val="24"/>
            <w:szCs w:val="24"/>
            <w:u w:val="single"/>
          </w:rPr>
          <w:t>https://doi.org/10.1016/j.puhip.2022.100240</w:t>
        </w:r>
      </w:hyperlink>
    </w:p>
    <w:p w:rsidR="00E36009" w:rsidRDefault="00832D5D">
      <w:pPr>
        <w:spacing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World Bank. (2018). The Human Capital Project: A global mechanism to a</w:t>
      </w:r>
      <w:r>
        <w:rPr>
          <w:rFonts w:ascii="Times New Roman" w:eastAsia="Times New Roman" w:hAnsi="Times New Roman" w:cs="Times New Roman"/>
          <w:color w:val="1F1F1F"/>
          <w:sz w:val="24"/>
          <w:szCs w:val="24"/>
        </w:rPr>
        <w:t>ccelerate more and better investments in people. World Bank Group.</w:t>
      </w:r>
    </w:p>
    <w:p w:rsidR="00E36009" w:rsidRDefault="00832D5D">
      <w:pPr>
        <w:spacing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World Bank. (2024). Out-of-pocket expenditure (% of current health expenditure) - Nigeria &amp; Migration and Development Brief. World Development Indicators.</w:t>
      </w:r>
    </w:p>
    <w:p w:rsidR="00E36009" w:rsidRDefault="00832D5D">
      <w:pPr>
        <w:spacing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World Health Organisation. (2024, </w:t>
      </w:r>
      <w:r>
        <w:rPr>
          <w:rFonts w:ascii="Times New Roman" w:eastAsia="Times New Roman" w:hAnsi="Times New Roman" w:cs="Times New Roman"/>
          <w:color w:val="1F1F1F"/>
          <w:sz w:val="24"/>
          <w:szCs w:val="24"/>
        </w:rPr>
        <w:t>December 3). Substandard and falsified medical products. World Health Organisation Fact Sheets.</w:t>
      </w:r>
      <w:hyperlink r:id="rId38">
        <w:r>
          <w:rPr>
            <w:rFonts w:ascii="Times New Roman" w:eastAsia="Times New Roman" w:hAnsi="Times New Roman" w:cs="Times New Roman"/>
            <w:color w:val="1F1F1F"/>
            <w:sz w:val="24"/>
            <w:szCs w:val="24"/>
          </w:rPr>
          <w:t xml:space="preserve"> </w:t>
        </w:r>
      </w:hyperlink>
      <w:hyperlink r:id="rId39">
        <w:r>
          <w:rPr>
            <w:rFonts w:ascii="Times New Roman" w:eastAsia="Times New Roman" w:hAnsi="Times New Roman" w:cs="Times New Roman"/>
            <w:color w:val="1155CC"/>
            <w:sz w:val="24"/>
            <w:szCs w:val="24"/>
            <w:u w:val="single"/>
          </w:rPr>
          <w:t>https://www.who.int/news-room/fact-sheets/detail/substandard-and-falsified-medical-products</w:t>
        </w:r>
      </w:hyperlink>
    </w:p>
    <w:p w:rsidR="00E36009" w:rsidRDefault="00832D5D">
      <w:pPr>
        <w:spacing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World Health Organisation (WHO). (2020). Health financi</w:t>
      </w:r>
      <w:r>
        <w:rPr>
          <w:rFonts w:ascii="Times New Roman" w:eastAsia="Times New Roman" w:hAnsi="Times New Roman" w:cs="Times New Roman"/>
          <w:color w:val="1F1F1F"/>
          <w:sz w:val="24"/>
          <w:szCs w:val="24"/>
        </w:rPr>
        <w:t>ng mechanisms and revenue collection for UHC. Geneva: WHO Press.</w:t>
      </w:r>
    </w:p>
    <w:p w:rsidR="00E36009" w:rsidRDefault="00832D5D">
      <w:pPr>
        <w:spacing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World Health Organisation (WHO). (2023). Global monitoring report on financial protection in health. Geneva: WHO Press.</w:t>
      </w:r>
    </w:p>
    <w:p w:rsidR="00E36009" w:rsidRDefault="00832D5D">
      <w:pPr>
        <w:spacing w:after="240" w:line="480"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lastRenderedPageBreak/>
        <w:t xml:space="preserve">Zakir, B. (2025). </w:t>
      </w:r>
      <w:r>
        <w:rPr>
          <w:rFonts w:ascii="Times New Roman" w:eastAsia="Times New Roman" w:hAnsi="Times New Roman" w:cs="Times New Roman"/>
          <w:i/>
          <w:iCs/>
          <w:color w:val="1F1F1F"/>
          <w:sz w:val="24"/>
          <w:szCs w:val="24"/>
        </w:rPr>
        <w:t>Nigeria’s medical exodus: Urgent reforms to retain do</w:t>
      </w:r>
      <w:r>
        <w:rPr>
          <w:rFonts w:ascii="Times New Roman" w:eastAsia="Times New Roman" w:hAnsi="Times New Roman" w:cs="Times New Roman"/>
          <w:i/>
          <w:iCs/>
          <w:color w:val="1F1F1F"/>
          <w:sz w:val="24"/>
          <w:szCs w:val="24"/>
        </w:rPr>
        <w:t>ctors</w:t>
      </w:r>
      <w:r>
        <w:rPr>
          <w:rFonts w:ascii="Times New Roman" w:eastAsia="Times New Roman" w:hAnsi="Times New Roman" w:cs="Times New Roman"/>
          <w:color w:val="1F1F1F"/>
          <w:sz w:val="24"/>
          <w:szCs w:val="24"/>
        </w:rPr>
        <w:t>. Cureus, 17(11), e96421.</w:t>
      </w:r>
      <w:hyperlink r:id="rId40">
        <w:r>
          <w:rPr>
            <w:rFonts w:ascii="Times New Roman" w:eastAsia="Times New Roman" w:hAnsi="Times New Roman" w:cs="Times New Roman"/>
            <w:color w:val="1F1F1F"/>
            <w:sz w:val="24"/>
            <w:szCs w:val="24"/>
          </w:rPr>
          <w:t xml:space="preserve"> </w:t>
        </w:r>
      </w:hyperlink>
      <w:hyperlink r:id="rId41">
        <w:r>
          <w:rPr>
            <w:rFonts w:ascii="Times New Roman" w:eastAsia="Times New Roman" w:hAnsi="Times New Roman" w:cs="Times New Roman"/>
            <w:color w:val="1155CC"/>
            <w:sz w:val="24"/>
            <w:szCs w:val="24"/>
            <w:u w:val="single"/>
          </w:rPr>
          <w:t>https://doi.org/10.7759/cureus.96421</w:t>
        </w:r>
      </w:hyperlink>
    </w:p>
    <w:p w:rsidR="00E36009" w:rsidRDefault="00E36009">
      <w:pPr>
        <w:spacing w:before="240" w:after="240" w:line="480" w:lineRule="auto"/>
        <w:rPr>
          <w:rFonts w:ascii="Times New Roman" w:eastAsia="Times New Roman" w:hAnsi="Times New Roman" w:cs="Times New Roman"/>
          <w:color w:val="1F1F1F"/>
          <w:sz w:val="24"/>
          <w:szCs w:val="24"/>
        </w:rPr>
      </w:pPr>
    </w:p>
    <w:p w:rsidR="00E36009" w:rsidRDefault="00E36009">
      <w:pPr>
        <w:spacing w:before="240" w:after="240" w:line="480" w:lineRule="auto"/>
        <w:rPr>
          <w:rFonts w:ascii="Times New Roman" w:eastAsia="Times New Roman" w:hAnsi="Times New Roman" w:cs="Times New Roman"/>
          <w:color w:val="1F1F1F"/>
          <w:sz w:val="24"/>
          <w:szCs w:val="24"/>
        </w:rPr>
      </w:pPr>
    </w:p>
    <w:p w:rsidR="00E36009" w:rsidRDefault="00E36009">
      <w:pPr>
        <w:spacing w:after="240" w:line="480" w:lineRule="auto"/>
        <w:rPr>
          <w:rFonts w:ascii="Times New Roman" w:eastAsia="Times New Roman" w:hAnsi="Times New Roman" w:cs="Times New Roman"/>
          <w:color w:val="1F1F1F"/>
          <w:sz w:val="24"/>
          <w:szCs w:val="24"/>
        </w:rPr>
      </w:pPr>
    </w:p>
    <w:p w:rsidR="00E36009" w:rsidRDefault="00E36009"/>
    <w:sectPr w:rsidR="00E3600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901F258-774F-4072-AB51-8ECC331AA513}"/>
  </w:font>
  <w:font w:name="Cambria">
    <w:panose1 w:val="02040503050406030204"/>
    <w:charset w:val="00"/>
    <w:family w:val="roman"/>
    <w:pitch w:val="variable"/>
    <w:sig w:usb0="E00006FF" w:usb1="420024FF" w:usb2="02000000" w:usb3="00000000" w:csb0="0000019F" w:csb1="00000000"/>
    <w:embedRegular r:id="rId2" w:fontKey="{EC1C2A42-7CFB-4C0B-B8BE-EFA53815657B}"/>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11A3C"/>
    <w:multiLevelType w:val="multilevel"/>
    <w:tmpl w:val="51F80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CDF4C8C"/>
    <w:multiLevelType w:val="multilevel"/>
    <w:tmpl w:val="A92A4A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nsid w:val="201045EF"/>
    <w:multiLevelType w:val="multilevel"/>
    <w:tmpl w:val="6136CB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nsid w:val="2BED6B94"/>
    <w:multiLevelType w:val="multilevel"/>
    <w:tmpl w:val="B1768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8A6570C"/>
    <w:multiLevelType w:val="multilevel"/>
    <w:tmpl w:val="5F0EF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909264D"/>
    <w:multiLevelType w:val="multilevel"/>
    <w:tmpl w:val="14404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6DA100B8"/>
    <w:multiLevelType w:val="multilevel"/>
    <w:tmpl w:val="77100F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nsid w:val="7BCA44D2"/>
    <w:multiLevelType w:val="multilevel"/>
    <w:tmpl w:val="DDC2E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
  </w:num>
  <w:num w:numId="3">
    <w:abstractNumId w:val="3"/>
  </w:num>
  <w:num w:numId="4">
    <w:abstractNumId w:val="2"/>
  </w:num>
  <w:num w:numId="5">
    <w:abstractNumId w:val="6"/>
  </w:num>
  <w:num w:numId="6">
    <w:abstractNumId w:val="4"/>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compat>
    <w:compatSetting w:name="compatibilityMode" w:uri="http://schemas.microsoft.com/office/word" w:val="14"/>
  </w:compat>
  <w:rsids>
    <w:rsidRoot w:val="00E36009"/>
    <w:rsid w:val="00832D5D"/>
    <w:rsid w:val="00E3600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doi.org/10.1177/27550834241256450" TargetMode="External"/><Relationship Id="rId18" Type="http://schemas.openxmlformats.org/officeDocument/2006/relationships/hyperlink" Target="https://doi.org/10.1080/2159676X.2019.1704846" TargetMode="External"/><Relationship Id="rId26" Type="http://schemas.openxmlformats.org/officeDocument/2006/relationships/hyperlink" Target="https://www.google.com/search?q=https://doi.org/10.2471/BLT.16.187286" TargetMode="External"/><Relationship Id="rId39" Type="http://schemas.openxmlformats.org/officeDocument/2006/relationships/hyperlink" Target="https://www.who.int/news-room/fact-sheets/detail/substandard-and-falsified-medical-products" TargetMode="External"/><Relationship Id="rId21" Type="http://schemas.openxmlformats.org/officeDocument/2006/relationships/hyperlink" Target="https://doi.org/10.1093/heapol/czz141" TargetMode="External"/><Relationship Id="rId34" Type="http://schemas.openxmlformats.org/officeDocument/2006/relationships/hyperlink" Target="https://doi.org/10.1080/23288604.2019.1633874"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80/23288604.2018.1513267" TargetMode="External"/><Relationship Id="rId20" Type="http://schemas.openxmlformats.org/officeDocument/2006/relationships/hyperlink" Target="https://doi.org/10.1093/heapol/czz141" TargetMode="External"/><Relationship Id="rId29" Type="http://schemas.openxmlformats.org/officeDocument/2006/relationships/hyperlink" Target="https://www.google.com/search?q=https://doi.org/10.1093/acrefore/9780190632366.013.125" TargetMode="External"/><Relationship Id="rId41" Type="http://schemas.openxmlformats.org/officeDocument/2006/relationships/hyperlink" Target="https://doi.org/10.7759/cureus.96421" TargetMode="External"/><Relationship Id="rId1" Type="http://schemas.openxmlformats.org/officeDocument/2006/relationships/numbering" Target="numbering.xml"/><Relationship Id="rId11" Type="http://schemas.openxmlformats.org/officeDocument/2006/relationships/hyperlink" Target="https://doi.org/10.1186/s41256-021-00215-3" TargetMode="External"/><Relationship Id="rId24" Type="http://schemas.openxmlformats.org/officeDocument/2006/relationships/hyperlink" Target="https://doi.org/10.1111/dech.12517" TargetMode="External"/><Relationship Id="rId32" Type="http://schemas.openxmlformats.org/officeDocument/2006/relationships/hyperlink" Target="https://doi.org/10.12688/f1000research.148020.1" TargetMode="External"/><Relationship Id="rId37" Type="http://schemas.openxmlformats.org/officeDocument/2006/relationships/hyperlink" Target="https://doi.org/10.1016/j.puhip.2022.100240" TargetMode="External"/><Relationship Id="rId40" Type="http://schemas.openxmlformats.org/officeDocument/2006/relationships/hyperlink" Target="https://doi.org/10.7759/cureus.96421" TargetMode="External"/><Relationship Id="rId5" Type="http://schemas.openxmlformats.org/officeDocument/2006/relationships/webSettings" Target="webSettings.xml"/><Relationship Id="rId15" Type="http://schemas.openxmlformats.org/officeDocument/2006/relationships/hyperlink" Target="https://doi.org/10.1007/s10198-017-0899-1" TargetMode="External"/><Relationship Id="rId23" Type="http://schemas.openxmlformats.org/officeDocument/2006/relationships/hyperlink" Target="https://www.google.com/search?q=https://doi.org/10.1371/journal.pone.0243403" TargetMode="External"/><Relationship Id="rId28" Type="http://schemas.openxmlformats.org/officeDocument/2006/relationships/hyperlink" Target="https://www.google.com/search?q=https://doi.org/10.1093/acrefore/9780190632366.013.125" TargetMode="External"/><Relationship Id="rId36" Type="http://schemas.openxmlformats.org/officeDocument/2006/relationships/hyperlink" Target="https://doi.org/10.1016/j.puhip.2022.100240" TargetMode="External"/><Relationship Id="rId10" Type="http://schemas.openxmlformats.org/officeDocument/2006/relationships/hyperlink" Target="https://www.google.com/search?q=https://doi.org/10.1186/s41256-021-00215-3" TargetMode="External"/><Relationship Id="rId19" Type="http://schemas.openxmlformats.org/officeDocument/2006/relationships/hyperlink" Target="https://doi.org/10.1080/2159676X.2019.1704846" TargetMode="External"/><Relationship Id="rId31" Type="http://schemas.openxmlformats.org/officeDocument/2006/relationships/hyperlink" Target="https://articles.nigeriahealthwatch.com/the-foundation-of-human-solidarity-strengthening-accountability-in-african-healthcare-systems/" TargetMode="External"/><Relationship Id="rId4" Type="http://schemas.openxmlformats.org/officeDocument/2006/relationships/settings" Target="settings.xml"/><Relationship Id="rId9" Type="http://schemas.openxmlformats.org/officeDocument/2006/relationships/hyperlink" Target="https://punchng.com/16000-doctors-left-nigeria-in-seven-years-minister/" TargetMode="External"/><Relationship Id="rId14" Type="http://schemas.openxmlformats.org/officeDocument/2006/relationships/hyperlink" Target="https://doi.org/10.1007/s10198-017-0899-1" TargetMode="External"/><Relationship Id="rId22" Type="http://schemas.openxmlformats.org/officeDocument/2006/relationships/hyperlink" Target="https://www.google.com/search?q=https://doi.org/10.1371/journal.pone.0243403" TargetMode="External"/><Relationship Id="rId27" Type="http://schemas.openxmlformats.org/officeDocument/2006/relationships/hyperlink" Target="https://www.google.com/search?q=https://doi.org/10.2471/BLT.16.187286" TargetMode="External"/><Relationship Id="rId30" Type="http://schemas.openxmlformats.org/officeDocument/2006/relationships/hyperlink" Target="https://articles.nigeriahealthwatch.com/the-foundation-of-human-solidarity-strengthening-accountability-in-african-healthcare-systems/" TargetMode="External"/><Relationship Id="rId35" Type="http://schemas.openxmlformats.org/officeDocument/2006/relationships/hyperlink" Target="https://doi.org/10.1080/23288604.2019.1633874" TargetMode="External"/><Relationship Id="rId43" Type="http://schemas.openxmlformats.org/officeDocument/2006/relationships/theme" Target="theme/theme1.xml"/><Relationship Id="rId8" Type="http://schemas.openxmlformats.org/officeDocument/2006/relationships/hyperlink" Target="https://punchng.com/16000-doctors-left-nigeria-in-seven-years-minister/" TargetMode="External"/><Relationship Id="rId3" Type="http://schemas.microsoft.com/office/2007/relationships/stylesWithEffects" Target="stylesWithEffects.xml"/><Relationship Id="rId12" Type="http://schemas.openxmlformats.org/officeDocument/2006/relationships/hyperlink" Target="https://doi.org/10.1177/27550834241256450" TargetMode="External"/><Relationship Id="rId17" Type="http://schemas.openxmlformats.org/officeDocument/2006/relationships/hyperlink" Target="https://doi.org/10.1080/23288604.2018.1513267" TargetMode="External"/><Relationship Id="rId25" Type="http://schemas.openxmlformats.org/officeDocument/2006/relationships/hyperlink" Target="https://doi.org/10.1111/dech.12517" TargetMode="External"/><Relationship Id="rId33" Type="http://schemas.openxmlformats.org/officeDocument/2006/relationships/hyperlink" Target="https://doi.org/10.12688/f1000research.148020.1" TargetMode="External"/><Relationship Id="rId38" Type="http://schemas.openxmlformats.org/officeDocument/2006/relationships/hyperlink" Target="https://www.who.int/news-room/fact-sheets/detail/substandard-and-falsified-medical-products"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8212</Words>
  <Characters>46814</Characters>
  <Application>Microsoft Office Word</Application>
  <DocSecurity>0</DocSecurity>
  <Lines>390</Lines>
  <Paragraphs>109</Paragraphs>
  <ScaleCrop>false</ScaleCrop>
  <Company/>
  <LinksUpToDate>false</LinksUpToDate>
  <CharactersWithSpaces>54917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2026-03-07T10:28:00Z</dcterms:created>
  <dcterms:modified xsi:type="dcterms:W3CDTF">2026-03-07T10:28:00Z</dcterms:modified>
</cp:coreProperties>
</file>