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A07A6" w14:textId="5AA4F7D3" w:rsidR="00551163" w:rsidRPr="003261B3" w:rsidRDefault="00E14925" w:rsidP="00A04B8C">
      <w:pPr>
        <w:rPr>
          <w:b/>
          <w:bCs/>
          <w:sz w:val="36"/>
          <w:szCs w:val="36"/>
        </w:rPr>
      </w:pPr>
      <w:r w:rsidRPr="003261B3">
        <w:rPr>
          <w:b/>
          <w:bCs/>
          <w:sz w:val="36"/>
          <w:szCs w:val="36"/>
        </w:rPr>
        <w:t xml:space="preserve">Parametric Survival Analysis of Neonatal </w:t>
      </w:r>
      <w:r w:rsidR="00CD58DE" w:rsidRPr="003261B3">
        <w:rPr>
          <w:b/>
          <w:bCs/>
          <w:sz w:val="36"/>
          <w:szCs w:val="36"/>
        </w:rPr>
        <w:t>Mortality</w:t>
      </w:r>
      <w:r w:rsidRPr="003261B3">
        <w:rPr>
          <w:b/>
          <w:bCs/>
          <w:sz w:val="36"/>
          <w:szCs w:val="36"/>
        </w:rPr>
        <w:t xml:space="preserve"> in a Tertiary Care Setting: A Comparative Proportional Hazard Model Approach</w:t>
      </w:r>
    </w:p>
    <w:p w14:paraId="243CF3FD" w14:textId="77777777" w:rsidR="004E223A" w:rsidRPr="001B188B" w:rsidRDefault="004E223A" w:rsidP="00B7105A">
      <w:pPr>
        <w:ind w:left="360"/>
        <w:rPr>
          <w:b/>
          <w:bCs/>
        </w:rPr>
      </w:pPr>
      <w:bookmarkStart w:id="0" w:name="_GoBack"/>
      <w:bookmarkEnd w:id="0"/>
    </w:p>
    <w:p w14:paraId="3A9367D9" w14:textId="1D250270" w:rsidR="00251EAF" w:rsidRPr="001B188B" w:rsidRDefault="00777DC1" w:rsidP="00B7105A">
      <w:pPr>
        <w:jc w:val="both"/>
      </w:pPr>
      <w:r w:rsidRPr="001B188B">
        <w:rPr>
          <w:b/>
          <w:bCs/>
        </w:rPr>
        <w:t>ABSTRACT</w:t>
      </w:r>
    </w:p>
    <w:p w14:paraId="0358C051" w14:textId="77777777" w:rsidR="002F78E7" w:rsidRPr="001B188B" w:rsidRDefault="00251EAF" w:rsidP="00B7105A">
      <w:pPr>
        <w:jc w:val="both"/>
      </w:pPr>
      <w:r w:rsidRPr="001B188B">
        <w:rPr>
          <w:b/>
          <w:bCs/>
        </w:rPr>
        <w:t xml:space="preserve">Background: </w:t>
      </w:r>
      <w:r w:rsidR="00CF58F0" w:rsidRPr="001B188B">
        <w:t xml:space="preserve">Neonatal mortality represents a major public health concern characterised by complex survival dynamics and substantial aetiological heterogeneity. Appropriate survival modelling of time-to-event data is essential for elucidating disease-specific risk </w:t>
      </w:r>
      <w:r w:rsidR="00E21F01" w:rsidRPr="001B188B">
        <w:t>profile</w:t>
      </w:r>
      <w:r w:rsidR="00CF58F0" w:rsidRPr="001B188B">
        <w:t xml:space="preserve"> during the critical first 28 days of life. Neonatal mortality in intensive care settings exhibits an early-peak hazard profile inadequately captured by semiparametric methods alone. Comparative evaluation of parametric proportional hazard (PH) models that explicitly parameterise the baseline hazard provides both superior fit diagnostics and direct hazard quantification.</w:t>
      </w:r>
    </w:p>
    <w:p w14:paraId="5E88123C" w14:textId="17DE79A6" w:rsidR="00251EAF" w:rsidRPr="001B188B" w:rsidRDefault="00251EAF" w:rsidP="00B7105A">
      <w:pPr>
        <w:jc w:val="both"/>
      </w:pPr>
      <w:r w:rsidRPr="001B188B">
        <w:rPr>
          <w:b/>
          <w:bCs/>
        </w:rPr>
        <w:t>Objective</w:t>
      </w:r>
      <w:r w:rsidR="00551163" w:rsidRPr="001B188B">
        <w:rPr>
          <w:b/>
          <w:bCs/>
        </w:rPr>
        <w:t>s</w:t>
      </w:r>
      <w:r w:rsidRPr="001B188B">
        <w:rPr>
          <w:b/>
          <w:bCs/>
        </w:rPr>
        <w:t xml:space="preserve">: </w:t>
      </w:r>
      <w:r w:rsidR="00B80A85" w:rsidRPr="001B188B">
        <w:rPr>
          <w:lang w:val="en-US"/>
        </w:rPr>
        <w:t>To compare parametric survival models and identify the optimal distributional fit for neonatal mortality data, and to determine prognostic factors using the best-fitted model for neonatal outcome.</w:t>
      </w:r>
    </w:p>
    <w:p w14:paraId="253074BF" w14:textId="4F52D53B" w:rsidR="00251EAF" w:rsidRPr="001B188B" w:rsidRDefault="00251EAF" w:rsidP="00B7105A">
      <w:pPr>
        <w:jc w:val="both"/>
      </w:pPr>
      <w:r w:rsidRPr="001B188B">
        <w:rPr>
          <w:b/>
          <w:bCs/>
        </w:rPr>
        <w:t xml:space="preserve">Methods: </w:t>
      </w:r>
      <w:r w:rsidR="00970459" w:rsidRPr="001B188B">
        <w:t xml:space="preserve">A </w:t>
      </w:r>
      <w:r w:rsidR="00B2222A" w:rsidRPr="001B188B">
        <w:t>cross-section</w:t>
      </w:r>
      <w:r w:rsidR="00F05D93" w:rsidRPr="001B188B">
        <w:t>al</w:t>
      </w:r>
      <w:r w:rsidR="000B362D" w:rsidRPr="001B188B">
        <w:t xml:space="preserve"> study</w:t>
      </w:r>
      <w:r w:rsidR="00F05D93" w:rsidRPr="001B188B">
        <w:t xml:space="preserve"> design was used to</w:t>
      </w:r>
      <w:r w:rsidR="000B362D" w:rsidRPr="001B188B">
        <w:t xml:space="preserve"> </w:t>
      </w:r>
      <w:r w:rsidR="00B2222A" w:rsidRPr="001B188B">
        <w:t xml:space="preserve">collected the data </w:t>
      </w:r>
      <w:r w:rsidR="00970459" w:rsidRPr="001B188B">
        <w:t xml:space="preserve">of 686 neonates admitted to the </w:t>
      </w:r>
      <w:r w:rsidR="00B91C36" w:rsidRPr="001B188B">
        <w:t xml:space="preserve">Neonatal Intensive Care Unit (NICU) and Special Newborn Care Unit (SNCU) </w:t>
      </w:r>
      <w:r w:rsidR="00970459" w:rsidRPr="001B188B">
        <w:t xml:space="preserve">at Dr. Ram Manohar Lohia Institute of Medical Sciences (RMLIMS), Lucknow, was followed from admission until death, discharge, transfer, or day 28. Four survival models were fitted and compared by </w:t>
      </w:r>
      <w:r w:rsidR="00932A08" w:rsidRPr="001B188B">
        <w:t>Akaike Information Criterion (AIC) and Bayesian Information Criterion (BIC)</w:t>
      </w:r>
      <w:r w:rsidR="00970459" w:rsidRPr="001B188B">
        <w:t>.</w:t>
      </w:r>
      <w:r w:rsidR="00932A08" w:rsidRPr="001B188B">
        <w:t xml:space="preserve"> </w:t>
      </w:r>
      <w:r w:rsidR="00970459" w:rsidRPr="001B188B">
        <w:t>The proportional hazards</w:t>
      </w:r>
      <w:r w:rsidR="00932A08" w:rsidRPr="001B188B">
        <w:t xml:space="preserve"> (PH)</w:t>
      </w:r>
      <w:r w:rsidR="00970459" w:rsidRPr="001B188B">
        <w:t xml:space="preserve"> assumption was assessed via Schoenfeld residuals with </w:t>
      </w:r>
      <w:r w:rsidR="00DA1592" w:rsidRPr="001B188B">
        <w:t xml:space="preserve">global </w:t>
      </w:r>
      <w:r w:rsidR="00970459" w:rsidRPr="001B188B">
        <w:t>tes</w:t>
      </w:r>
      <w:r w:rsidR="00DA1592" w:rsidRPr="001B188B">
        <w:t>t</w:t>
      </w:r>
      <w:r w:rsidR="00970459" w:rsidRPr="001B188B">
        <w:t>. Discriminative ability was evaluated using Harrell's C-concordance statistic.</w:t>
      </w:r>
    </w:p>
    <w:p w14:paraId="4EFB7AE8" w14:textId="00900B74" w:rsidR="00251EAF" w:rsidRPr="001B188B" w:rsidRDefault="00251EAF" w:rsidP="00B7105A">
      <w:pPr>
        <w:jc w:val="both"/>
      </w:pPr>
      <w:r w:rsidRPr="001B188B">
        <w:rPr>
          <w:b/>
          <w:bCs/>
        </w:rPr>
        <w:t xml:space="preserve">Results: </w:t>
      </w:r>
      <w:r w:rsidR="00085CDF" w:rsidRPr="001B188B">
        <w:t>Among 686 neonates, 155 (22.59%) died during follow-up. The Weibull PH model achieved the best fit (AIC = 827.77; BIC = 927.44).</w:t>
      </w:r>
      <w:r w:rsidR="003B1D0A" w:rsidRPr="001B188B">
        <w:t xml:space="preserve"> </w:t>
      </w:r>
      <w:r w:rsidR="00085CDF" w:rsidRPr="001B188B">
        <w:t xml:space="preserve">Key independent predictors included extreme prematurity, congenital malformations, perinatal asphyxia, neonatal sepsis, induced labour, and multiparity. The global Schoenfeld test supported the proportional hazards assumption (p = </w:t>
      </w:r>
      <w:r w:rsidR="00025622" w:rsidRPr="001B188B">
        <w:rPr>
          <w:color w:val="1F1F1F"/>
        </w:rPr>
        <w:t>0.0976</w:t>
      </w:r>
      <w:r w:rsidR="00085CDF" w:rsidRPr="001B188B">
        <w:t>). Harrell's C = 0.7948 indicated good discriminative performance.</w:t>
      </w:r>
    </w:p>
    <w:p w14:paraId="4CCF5C33" w14:textId="0AAB2608" w:rsidR="0005426A" w:rsidRPr="001B188B" w:rsidRDefault="00251EAF" w:rsidP="00B7105A">
      <w:pPr>
        <w:jc w:val="both"/>
      </w:pPr>
      <w:r w:rsidRPr="001B188B">
        <w:rPr>
          <w:b/>
          <w:bCs/>
        </w:rPr>
        <w:t>Conclusion</w:t>
      </w:r>
      <w:r w:rsidR="00551163" w:rsidRPr="001B188B">
        <w:rPr>
          <w:b/>
          <w:bCs/>
        </w:rPr>
        <w:t>s</w:t>
      </w:r>
      <w:r w:rsidRPr="001B188B">
        <w:rPr>
          <w:b/>
          <w:bCs/>
        </w:rPr>
        <w:t xml:space="preserve">: </w:t>
      </w:r>
      <w:r w:rsidR="0005426A" w:rsidRPr="001B188B">
        <w:t xml:space="preserve">The Weibull PH model provides the best parametric characterisation </w:t>
      </w:r>
      <w:r w:rsidR="007B29CA" w:rsidRPr="001B188B">
        <w:t>of neonatal</w:t>
      </w:r>
      <w:r w:rsidR="0005426A" w:rsidRPr="001B188B">
        <w:t xml:space="preserve"> mortality hazard dynamics. Extreme prematurity, critical clinical diagnoses, and induced labour are dominant independent hazard determinants, consistent across all model specifications.</w:t>
      </w:r>
    </w:p>
    <w:p w14:paraId="4ACBBCEB" w14:textId="19AD58AC" w:rsidR="007B3FF7" w:rsidRPr="001B188B" w:rsidRDefault="00251EAF" w:rsidP="00B7105A">
      <w:pPr>
        <w:jc w:val="both"/>
        <w:rPr>
          <w:i/>
          <w:iCs/>
        </w:rPr>
      </w:pPr>
      <w:r w:rsidRPr="001B188B">
        <w:rPr>
          <w:b/>
          <w:bCs/>
        </w:rPr>
        <w:t xml:space="preserve">Keywords: </w:t>
      </w:r>
      <w:r w:rsidR="009926D1" w:rsidRPr="001B188B">
        <w:rPr>
          <w:i/>
          <w:iCs/>
        </w:rPr>
        <w:t xml:space="preserve">neonatal </w:t>
      </w:r>
      <w:r w:rsidR="006238CD" w:rsidRPr="001B188B">
        <w:rPr>
          <w:i/>
          <w:iCs/>
        </w:rPr>
        <w:t>mortality</w:t>
      </w:r>
      <w:r w:rsidR="009926D1" w:rsidRPr="001B188B">
        <w:rPr>
          <w:i/>
          <w:iCs/>
        </w:rPr>
        <w:t xml:space="preserve">; Weibull; Gompertz; exponential; Cox model; proportional hazards; Harrell's </w:t>
      </w:r>
      <w:r w:rsidR="006238CD" w:rsidRPr="001B188B">
        <w:rPr>
          <w:i/>
          <w:iCs/>
        </w:rPr>
        <w:t>C</w:t>
      </w:r>
    </w:p>
    <w:p w14:paraId="72314187" w14:textId="6A5AB8D0" w:rsidR="00117DE1" w:rsidRPr="001B188B" w:rsidRDefault="00117DE1" w:rsidP="00B7105A">
      <w:pPr>
        <w:jc w:val="both"/>
        <w:rPr>
          <w:b/>
          <w:bCs/>
          <w:lang w:val="en-US"/>
        </w:rPr>
      </w:pPr>
      <w:r w:rsidRPr="001B188B">
        <w:rPr>
          <w:b/>
          <w:bCs/>
          <w:lang w:val="en-US"/>
        </w:rPr>
        <w:t>INTRODUCTION</w:t>
      </w:r>
    </w:p>
    <w:p w14:paraId="77A41F0B" w14:textId="7256E4EC" w:rsidR="00C7489B" w:rsidRPr="001B188B" w:rsidRDefault="00C613D7" w:rsidP="00B7105A">
      <w:pPr>
        <w:jc w:val="both"/>
      </w:pPr>
      <w:r w:rsidRPr="001B188B">
        <w:t>Every year, about 2.3 million newborns die within their first 28 days of life. This neonatal mortality accounts for nearly half (47%) of all deaths in children under five worldwide</w:t>
      </w:r>
      <w:r w:rsidR="0051607B" w:rsidRPr="00D50ADB">
        <w:rPr>
          <w:vertAlign w:val="superscript"/>
        </w:rPr>
        <w:t xml:space="preserve"> </w:t>
      </w:r>
      <w:r w:rsidR="00D50ADB" w:rsidRPr="00D50ADB">
        <w:rPr>
          <w:vertAlign w:val="superscript"/>
        </w:rPr>
        <w:fldChar w:fldCharType="begin"/>
      </w:r>
      <w:r w:rsidR="00D50ADB" w:rsidRPr="00D50ADB">
        <w:rPr>
          <w:vertAlign w:val="superscript"/>
        </w:rPr>
        <w:instrText xml:space="preserve"> REF _Ref223725756 \r \h  \* MERGEFORMAT </w:instrText>
      </w:r>
      <w:r w:rsidR="00D50ADB" w:rsidRPr="00D50ADB">
        <w:rPr>
          <w:vertAlign w:val="superscript"/>
        </w:rPr>
      </w:r>
      <w:r w:rsidR="00D50ADB" w:rsidRPr="00D50ADB">
        <w:rPr>
          <w:vertAlign w:val="superscript"/>
        </w:rPr>
        <w:fldChar w:fldCharType="separate"/>
      </w:r>
      <w:r w:rsidR="00D50ADB" w:rsidRPr="00D50ADB">
        <w:rPr>
          <w:vertAlign w:val="superscript"/>
        </w:rPr>
        <w:t>1</w:t>
      </w:r>
      <w:r w:rsidR="00D50ADB" w:rsidRPr="00D50ADB">
        <w:rPr>
          <w:vertAlign w:val="superscript"/>
        </w:rPr>
        <w:fldChar w:fldCharType="end"/>
      </w:r>
      <w:r w:rsidR="0080739F" w:rsidRPr="001B188B">
        <w:t xml:space="preserve">. South Asia and sub-Saharan Africa bear a disproportionate share of this burden, with India alone contributing approximately 20–27% of global neonatal deaths. The National Family Health Survey (NFHS-5, 2019–21) reported a national neonatal mortality rate of 20.3 per 1,000 live births in India, with wide interstate variation from under five per 1,000 in Kerala to over 30 per 1,000 in Uttar Pradesh and Bihar </w:t>
      </w:r>
      <w:r w:rsidR="00D50ADB" w:rsidRPr="00D50ADB">
        <w:rPr>
          <w:vertAlign w:val="superscript"/>
        </w:rPr>
        <w:fldChar w:fldCharType="begin"/>
      </w:r>
      <w:r w:rsidR="00D50ADB" w:rsidRPr="00D50ADB">
        <w:rPr>
          <w:vertAlign w:val="superscript"/>
        </w:rPr>
        <w:instrText xml:space="preserve"> REF _Ref223725794 \r \h </w:instrText>
      </w:r>
      <w:r w:rsidR="00D50ADB">
        <w:rPr>
          <w:vertAlign w:val="superscript"/>
        </w:rPr>
        <w:instrText xml:space="preserve"> \* MERGEFORMAT </w:instrText>
      </w:r>
      <w:r w:rsidR="00D50ADB" w:rsidRPr="00D50ADB">
        <w:rPr>
          <w:vertAlign w:val="superscript"/>
        </w:rPr>
      </w:r>
      <w:r w:rsidR="00D50ADB" w:rsidRPr="00D50ADB">
        <w:rPr>
          <w:vertAlign w:val="superscript"/>
        </w:rPr>
        <w:fldChar w:fldCharType="separate"/>
      </w:r>
      <w:r w:rsidR="00D50ADB" w:rsidRPr="00D50ADB">
        <w:rPr>
          <w:vertAlign w:val="superscript"/>
        </w:rPr>
        <w:t>2</w:t>
      </w:r>
      <w:r w:rsidR="00D50ADB" w:rsidRPr="00D50ADB">
        <w:rPr>
          <w:vertAlign w:val="superscript"/>
        </w:rPr>
        <w:fldChar w:fldCharType="end"/>
      </w:r>
      <w:r w:rsidR="0080739F" w:rsidRPr="00D50ADB">
        <w:rPr>
          <w:vertAlign w:val="superscript"/>
        </w:rPr>
        <w:t>,</w:t>
      </w:r>
      <w:r w:rsidR="00D50ADB" w:rsidRPr="00D50ADB">
        <w:rPr>
          <w:vertAlign w:val="superscript"/>
        </w:rPr>
        <w:fldChar w:fldCharType="begin"/>
      </w:r>
      <w:r w:rsidR="00D50ADB" w:rsidRPr="00D50ADB">
        <w:rPr>
          <w:vertAlign w:val="superscript"/>
        </w:rPr>
        <w:instrText xml:space="preserve"> REF _Ref223725809 \r \h </w:instrText>
      </w:r>
      <w:r w:rsidR="00D50ADB">
        <w:rPr>
          <w:vertAlign w:val="superscript"/>
        </w:rPr>
        <w:instrText xml:space="preserve"> \* MERGEFORMAT </w:instrText>
      </w:r>
      <w:r w:rsidR="00D50ADB" w:rsidRPr="00D50ADB">
        <w:rPr>
          <w:vertAlign w:val="superscript"/>
        </w:rPr>
      </w:r>
      <w:r w:rsidR="00D50ADB" w:rsidRPr="00D50ADB">
        <w:rPr>
          <w:vertAlign w:val="superscript"/>
        </w:rPr>
        <w:fldChar w:fldCharType="separate"/>
      </w:r>
      <w:r w:rsidR="00D50ADB" w:rsidRPr="00D50ADB">
        <w:rPr>
          <w:vertAlign w:val="superscript"/>
        </w:rPr>
        <w:t>3</w:t>
      </w:r>
      <w:r w:rsidR="00D50ADB" w:rsidRPr="00D50ADB">
        <w:rPr>
          <w:vertAlign w:val="superscript"/>
        </w:rPr>
        <w:fldChar w:fldCharType="end"/>
      </w:r>
      <w:r w:rsidR="0080739F" w:rsidRPr="001B188B">
        <w:t>.</w:t>
      </w:r>
      <w:r w:rsidR="0028562B" w:rsidRPr="001B188B">
        <w:t xml:space="preserve"> </w:t>
      </w:r>
      <w:r w:rsidR="0080739F" w:rsidRPr="001B188B">
        <w:t xml:space="preserve">Within tertiary neonatal intensive care units (NICUs) and special newborn care units (SNCUs), the clinical profile differs markedly from community-level neonatal mortality. Admissions are enriched with extreme prematurity, severe perinatal asphyxia, neonatal sepsis, respiratory distress syndrome (RDS), and congenital malformations conditions associated with high early case fatality rates </w:t>
      </w:r>
      <w:r w:rsidR="00D50ADB" w:rsidRPr="0045443C">
        <w:rPr>
          <w:vertAlign w:val="superscript"/>
        </w:rPr>
        <w:fldChar w:fldCharType="begin"/>
      </w:r>
      <w:r w:rsidR="00D50ADB" w:rsidRPr="0045443C">
        <w:rPr>
          <w:vertAlign w:val="superscript"/>
        </w:rPr>
        <w:instrText xml:space="preserve"> REF _Ref223725851 \r \h </w:instrText>
      </w:r>
      <w:r w:rsidR="0045443C">
        <w:rPr>
          <w:vertAlign w:val="superscript"/>
        </w:rPr>
        <w:instrText xml:space="preserve"> \* MERGEFORMAT </w:instrText>
      </w:r>
      <w:r w:rsidR="00D50ADB" w:rsidRPr="0045443C">
        <w:rPr>
          <w:vertAlign w:val="superscript"/>
        </w:rPr>
      </w:r>
      <w:r w:rsidR="00D50ADB" w:rsidRPr="0045443C">
        <w:rPr>
          <w:vertAlign w:val="superscript"/>
        </w:rPr>
        <w:fldChar w:fldCharType="separate"/>
      </w:r>
      <w:r w:rsidR="00D50ADB" w:rsidRPr="0045443C">
        <w:rPr>
          <w:vertAlign w:val="superscript"/>
        </w:rPr>
        <w:t>4</w:t>
      </w:r>
      <w:r w:rsidR="00D50ADB" w:rsidRPr="0045443C">
        <w:rPr>
          <w:vertAlign w:val="superscript"/>
        </w:rPr>
        <w:fldChar w:fldCharType="end"/>
      </w:r>
      <w:r w:rsidR="0045443C" w:rsidRPr="0045443C">
        <w:rPr>
          <w:vertAlign w:val="superscript"/>
        </w:rPr>
        <w:t>,</w:t>
      </w:r>
      <w:r w:rsidR="00D50ADB" w:rsidRPr="0045443C">
        <w:rPr>
          <w:vertAlign w:val="superscript"/>
        </w:rPr>
        <w:fldChar w:fldCharType="begin"/>
      </w:r>
      <w:r w:rsidR="00D50ADB" w:rsidRPr="0045443C">
        <w:rPr>
          <w:vertAlign w:val="superscript"/>
        </w:rPr>
        <w:instrText xml:space="preserve"> REF _Ref223725854 \r \h </w:instrText>
      </w:r>
      <w:r w:rsidR="0045443C">
        <w:rPr>
          <w:vertAlign w:val="superscript"/>
        </w:rPr>
        <w:instrText xml:space="preserve"> \* MERGEFORMAT </w:instrText>
      </w:r>
      <w:r w:rsidR="00D50ADB" w:rsidRPr="0045443C">
        <w:rPr>
          <w:vertAlign w:val="superscript"/>
        </w:rPr>
      </w:r>
      <w:r w:rsidR="00D50ADB" w:rsidRPr="0045443C">
        <w:rPr>
          <w:vertAlign w:val="superscript"/>
        </w:rPr>
        <w:fldChar w:fldCharType="separate"/>
      </w:r>
      <w:r w:rsidR="00D50ADB" w:rsidRPr="0045443C">
        <w:rPr>
          <w:vertAlign w:val="superscript"/>
        </w:rPr>
        <w:t>5</w:t>
      </w:r>
      <w:r w:rsidR="00D50ADB" w:rsidRPr="0045443C">
        <w:rPr>
          <w:vertAlign w:val="superscript"/>
        </w:rPr>
        <w:fldChar w:fldCharType="end"/>
      </w:r>
      <w:r w:rsidR="0080739F" w:rsidRPr="001B188B">
        <w:t xml:space="preserve">. Reported case fatality rates from Indian tertiary NICUs range from 15% to 35%, depending on the gestational age distribution of admissions, available interventions, and institutional resources </w:t>
      </w:r>
      <w:r w:rsidR="0045443C" w:rsidRPr="0045443C">
        <w:rPr>
          <w:vertAlign w:val="superscript"/>
        </w:rPr>
        <w:fldChar w:fldCharType="begin"/>
      </w:r>
      <w:r w:rsidR="0045443C" w:rsidRPr="0045443C">
        <w:rPr>
          <w:vertAlign w:val="superscript"/>
        </w:rPr>
        <w:instrText xml:space="preserve"> REF _Ref223725892 \r \h  \* MERGEFORMAT </w:instrText>
      </w:r>
      <w:r w:rsidR="0045443C" w:rsidRPr="0045443C">
        <w:rPr>
          <w:vertAlign w:val="superscript"/>
        </w:rPr>
      </w:r>
      <w:r w:rsidR="0045443C" w:rsidRPr="0045443C">
        <w:rPr>
          <w:vertAlign w:val="superscript"/>
        </w:rPr>
        <w:fldChar w:fldCharType="separate"/>
      </w:r>
      <w:r w:rsidR="0045443C" w:rsidRPr="0045443C">
        <w:rPr>
          <w:vertAlign w:val="superscript"/>
        </w:rPr>
        <w:t>6</w:t>
      </w:r>
      <w:r w:rsidR="0045443C" w:rsidRPr="0045443C">
        <w:rPr>
          <w:vertAlign w:val="superscript"/>
        </w:rPr>
        <w:fldChar w:fldCharType="end"/>
      </w:r>
      <w:r w:rsidR="0045443C">
        <w:rPr>
          <w:vertAlign w:val="superscript"/>
        </w:rPr>
        <w:t>,</w:t>
      </w:r>
      <w:r w:rsidR="0045443C">
        <w:rPr>
          <w:vertAlign w:val="superscript"/>
        </w:rPr>
        <w:fldChar w:fldCharType="begin"/>
      </w:r>
      <w:r w:rsidR="0045443C">
        <w:rPr>
          <w:vertAlign w:val="superscript"/>
        </w:rPr>
        <w:instrText xml:space="preserve"> REF _Ref223725895 \r \h </w:instrText>
      </w:r>
      <w:r w:rsidR="0045443C">
        <w:rPr>
          <w:vertAlign w:val="superscript"/>
        </w:rPr>
      </w:r>
      <w:r w:rsidR="0045443C">
        <w:rPr>
          <w:vertAlign w:val="superscript"/>
        </w:rPr>
        <w:fldChar w:fldCharType="separate"/>
      </w:r>
      <w:r w:rsidR="0045443C">
        <w:rPr>
          <w:vertAlign w:val="superscript"/>
        </w:rPr>
        <w:t>7</w:t>
      </w:r>
      <w:r w:rsidR="0045443C">
        <w:rPr>
          <w:vertAlign w:val="superscript"/>
        </w:rPr>
        <w:fldChar w:fldCharType="end"/>
      </w:r>
      <w:r w:rsidR="0080739F" w:rsidRPr="001B188B">
        <w:t xml:space="preserve">. </w:t>
      </w:r>
    </w:p>
    <w:p w14:paraId="5426C52D" w14:textId="6330AC49" w:rsidR="00C7489B" w:rsidRPr="001B188B" w:rsidRDefault="0080739F" w:rsidP="005178E9">
      <w:pPr>
        <w:jc w:val="both"/>
      </w:pPr>
      <w:r w:rsidRPr="001B188B">
        <w:lastRenderedPageBreak/>
        <w:t xml:space="preserve">Despite this substantial burden, comparative survival analysis using parametric hazard models remains uncommon in this setting, with most published studies relying on logistic regression or descriptive reporting </w:t>
      </w:r>
      <w:r w:rsidR="0045443C" w:rsidRPr="0045443C">
        <w:rPr>
          <w:vertAlign w:val="superscript"/>
        </w:rPr>
        <w:fldChar w:fldCharType="begin"/>
      </w:r>
      <w:r w:rsidR="0045443C" w:rsidRPr="0045443C">
        <w:rPr>
          <w:vertAlign w:val="superscript"/>
        </w:rPr>
        <w:instrText xml:space="preserve"> REF _Ref223725931 \r \h </w:instrText>
      </w:r>
      <w:r w:rsidR="0045443C">
        <w:rPr>
          <w:vertAlign w:val="superscript"/>
        </w:rPr>
        <w:instrText xml:space="preserve"> \* MERGEFORMAT </w:instrText>
      </w:r>
      <w:r w:rsidR="0045443C" w:rsidRPr="0045443C">
        <w:rPr>
          <w:vertAlign w:val="superscript"/>
        </w:rPr>
      </w:r>
      <w:r w:rsidR="0045443C" w:rsidRPr="0045443C">
        <w:rPr>
          <w:vertAlign w:val="superscript"/>
        </w:rPr>
        <w:fldChar w:fldCharType="separate"/>
      </w:r>
      <w:r w:rsidR="0045443C" w:rsidRPr="0045443C">
        <w:rPr>
          <w:vertAlign w:val="superscript"/>
        </w:rPr>
        <w:t>8</w:t>
      </w:r>
      <w:r w:rsidR="0045443C" w:rsidRPr="0045443C">
        <w:rPr>
          <w:vertAlign w:val="superscript"/>
        </w:rPr>
        <w:fldChar w:fldCharType="end"/>
      </w:r>
      <w:r w:rsidR="0045443C" w:rsidRPr="0045443C">
        <w:rPr>
          <w:vertAlign w:val="superscript"/>
        </w:rPr>
        <w:t>,</w:t>
      </w:r>
      <w:r w:rsidR="0045443C" w:rsidRPr="0045443C">
        <w:rPr>
          <w:vertAlign w:val="superscript"/>
        </w:rPr>
        <w:fldChar w:fldCharType="begin"/>
      </w:r>
      <w:r w:rsidR="0045443C" w:rsidRPr="0045443C">
        <w:rPr>
          <w:vertAlign w:val="superscript"/>
        </w:rPr>
        <w:instrText xml:space="preserve"> REF _Ref223725934 \r \h </w:instrText>
      </w:r>
      <w:r w:rsidR="0045443C">
        <w:rPr>
          <w:vertAlign w:val="superscript"/>
        </w:rPr>
        <w:instrText xml:space="preserve"> \* MERGEFORMAT </w:instrText>
      </w:r>
      <w:r w:rsidR="0045443C" w:rsidRPr="0045443C">
        <w:rPr>
          <w:vertAlign w:val="superscript"/>
        </w:rPr>
      </w:r>
      <w:r w:rsidR="0045443C" w:rsidRPr="0045443C">
        <w:rPr>
          <w:vertAlign w:val="superscript"/>
        </w:rPr>
        <w:fldChar w:fldCharType="separate"/>
      </w:r>
      <w:r w:rsidR="0045443C" w:rsidRPr="0045443C">
        <w:rPr>
          <w:vertAlign w:val="superscript"/>
        </w:rPr>
        <w:t>9</w:t>
      </w:r>
      <w:r w:rsidR="0045443C" w:rsidRPr="0045443C">
        <w:rPr>
          <w:vertAlign w:val="superscript"/>
        </w:rPr>
        <w:fldChar w:fldCharType="end"/>
      </w:r>
      <w:r w:rsidRPr="001B188B">
        <w:t>.</w:t>
      </w:r>
      <w:r w:rsidR="0028562B" w:rsidRPr="001B188B">
        <w:t xml:space="preserve"> </w:t>
      </w:r>
      <w:r w:rsidRPr="001B188B">
        <w:t xml:space="preserve">The analysis of NICU time-to-death data presents distinct statistical challenges. The outcome is a censored time-to-event variable neonates discharged alive, transferred, or surviving to day 28 are censored necessitating survival analysis rather than binary regression </w:t>
      </w:r>
      <w:r w:rsidR="0045443C" w:rsidRPr="0045443C">
        <w:rPr>
          <w:vertAlign w:val="superscript"/>
        </w:rPr>
        <w:fldChar w:fldCharType="begin"/>
      </w:r>
      <w:r w:rsidR="0045443C" w:rsidRPr="0045443C">
        <w:rPr>
          <w:vertAlign w:val="superscript"/>
        </w:rPr>
        <w:instrText xml:space="preserve"> REF _Ref223725962 \r \h </w:instrText>
      </w:r>
      <w:r w:rsidR="0045443C">
        <w:rPr>
          <w:vertAlign w:val="superscript"/>
        </w:rPr>
        <w:instrText xml:space="preserve"> \* MERGEFORMAT </w:instrText>
      </w:r>
      <w:r w:rsidR="0045443C" w:rsidRPr="0045443C">
        <w:rPr>
          <w:vertAlign w:val="superscript"/>
        </w:rPr>
      </w:r>
      <w:r w:rsidR="0045443C" w:rsidRPr="0045443C">
        <w:rPr>
          <w:vertAlign w:val="superscript"/>
        </w:rPr>
        <w:fldChar w:fldCharType="separate"/>
      </w:r>
      <w:r w:rsidR="0045443C" w:rsidRPr="0045443C">
        <w:rPr>
          <w:vertAlign w:val="superscript"/>
        </w:rPr>
        <w:t>10</w:t>
      </w:r>
      <w:r w:rsidR="0045443C" w:rsidRPr="0045443C">
        <w:rPr>
          <w:vertAlign w:val="superscript"/>
        </w:rPr>
        <w:fldChar w:fldCharType="end"/>
      </w:r>
      <w:r w:rsidRPr="001B188B">
        <w:t xml:space="preserve">. The </w:t>
      </w:r>
      <w:r w:rsidR="001D49F3" w:rsidRPr="001B188B">
        <w:t xml:space="preserve">Time-based shifts </w:t>
      </w:r>
      <w:r w:rsidRPr="001B188B">
        <w:t xml:space="preserve">of NICU mortality are characterised by a high early hazard in the first 24–72 hours, with risk declining for survivors beyond that window. The Cox semiparametric proportional hazards model is the most commonly used approach for censored data and does not require specification of the baseline hazard function </w:t>
      </w:r>
      <w:r w:rsidR="0045443C" w:rsidRPr="0045443C">
        <w:rPr>
          <w:vertAlign w:val="superscript"/>
        </w:rPr>
        <w:fldChar w:fldCharType="begin"/>
      </w:r>
      <w:r w:rsidR="0045443C" w:rsidRPr="0045443C">
        <w:rPr>
          <w:vertAlign w:val="superscript"/>
        </w:rPr>
        <w:instrText xml:space="preserve"> REF _Ref223725984 \r \h </w:instrText>
      </w:r>
      <w:r w:rsidR="0045443C">
        <w:rPr>
          <w:vertAlign w:val="superscript"/>
        </w:rPr>
        <w:instrText xml:space="preserve"> \* MERGEFORMAT </w:instrText>
      </w:r>
      <w:r w:rsidR="0045443C" w:rsidRPr="0045443C">
        <w:rPr>
          <w:vertAlign w:val="superscript"/>
        </w:rPr>
      </w:r>
      <w:r w:rsidR="0045443C" w:rsidRPr="0045443C">
        <w:rPr>
          <w:vertAlign w:val="superscript"/>
        </w:rPr>
        <w:fldChar w:fldCharType="separate"/>
      </w:r>
      <w:r w:rsidR="0045443C" w:rsidRPr="0045443C">
        <w:rPr>
          <w:vertAlign w:val="superscript"/>
        </w:rPr>
        <w:t>11</w:t>
      </w:r>
      <w:r w:rsidR="0045443C" w:rsidRPr="0045443C">
        <w:rPr>
          <w:vertAlign w:val="superscript"/>
        </w:rPr>
        <w:fldChar w:fldCharType="end"/>
      </w:r>
      <w:r w:rsidRPr="001B188B">
        <w:t xml:space="preserve">. </w:t>
      </w:r>
    </w:p>
    <w:p w14:paraId="45277F94" w14:textId="4B226013" w:rsidR="0080739F" w:rsidRPr="001B188B" w:rsidRDefault="0080739F" w:rsidP="005178E9">
      <w:pPr>
        <w:jc w:val="both"/>
      </w:pPr>
      <w:r w:rsidRPr="001B188B">
        <w:t>While flexible, the Cox model does not permit direct modelling of the hazard shape, prediction of absolute survival probabilities at specific time points, or formal testing of whether the hazard is constant, increasing, or decreasing.</w:t>
      </w:r>
      <w:r w:rsidR="0028562B" w:rsidRPr="001B188B">
        <w:t xml:space="preserve"> </w:t>
      </w:r>
      <w:r w:rsidRPr="001B188B">
        <w:t>Parametric proportional hazard (PH) models exponential, Weibull, and Gompertz overcome these limitations by specifying the baseline hazard as a parametric function of time, while preserving the multiplicative covariate structure of the Cox model</w:t>
      </w:r>
      <w:r w:rsidR="0045443C">
        <w:t xml:space="preserve"> </w:t>
      </w:r>
      <w:r w:rsidR="000526D2" w:rsidRPr="000526D2">
        <w:rPr>
          <w:vertAlign w:val="superscript"/>
        </w:rPr>
        <w:fldChar w:fldCharType="begin"/>
      </w:r>
      <w:r w:rsidR="000526D2" w:rsidRPr="000526D2">
        <w:rPr>
          <w:vertAlign w:val="superscript"/>
        </w:rPr>
        <w:instrText xml:space="preserve"> REF _Ref223726066 \r \h </w:instrText>
      </w:r>
      <w:r w:rsidR="000526D2">
        <w:rPr>
          <w:vertAlign w:val="superscript"/>
        </w:rPr>
        <w:instrText xml:space="preserve"> \* MERGEFORMAT </w:instrText>
      </w:r>
      <w:r w:rsidR="000526D2" w:rsidRPr="000526D2">
        <w:rPr>
          <w:vertAlign w:val="superscript"/>
        </w:rPr>
      </w:r>
      <w:r w:rsidR="000526D2" w:rsidRPr="000526D2">
        <w:rPr>
          <w:vertAlign w:val="superscript"/>
        </w:rPr>
        <w:fldChar w:fldCharType="separate"/>
      </w:r>
      <w:r w:rsidR="000526D2" w:rsidRPr="000526D2">
        <w:rPr>
          <w:vertAlign w:val="superscript"/>
        </w:rPr>
        <w:t>12</w:t>
      </w:r>
      <w:r w:rsidR="000526D2" w:rsidRPr="000526D2">
        <w:rPr>
          <w:vertAlign w:val="superscript"/>
        </w:rPr>
        <w:fldChar w:fldCharType="end"/>
      </w:r>
      <w:r w:rsidR="000526D2" w:rsidRPr="000526D2">
        <w:rPr>
          <w:vertAlign w:val="superscript"/>
        </w:rPr>
        <w:t>,</w:t>
      </w:r>
      <w:r w:rsidR="000526D2" w:rsidRPr="000526D2">
        <w:rPr>
          <w:vertAlign w:val="superscript"/>
        </w:rPr>
        <w:fldChar w:fldCharType="begin"/>
      </w:r>
      <w:r w:rsidR="000526D2" w:rsidRPr="000526D2">
        <w:rPr>
          <w:vertAlign w:val="superscript"/>
        </w:rPr>
        <w:instrText xml:space="preserve"> REF _Ref223726070 \r \h </w:instrText>
      </w:r>
      <w:r w:rsidR="000526D2">
        <w:rPr>
          <w:vertAlign w:val="superscript"/>
        </w:rPr>
        <w:instrText xml:space="preserve"> \* MERGEFORMAT </w:instrText>
      </w:r>
      <w:r w:rsidR="000526D2" w:rsidRPr="000526D2">
        <w:rPr>
          <w:vertAlign w:val="superscript"/>
        </w:rPr>
      </w:r>
      <w:r w:rsidR="000526D2" w:rsidRPr="000526D2">
        <w:rPr>
          <w:vertAlign w:val="superscript"/>
        </w:rPr>
        <w:fldChar w:fldCharType="separate"/>
      </w:r>
      <w:r w:rsidR="000526D2" w:rsidRPr="000526D2">
        <w:rPr>
          <w:vertAlign w:val="superscript"/>
        </w:rPr>
        <w:t>13</w:t>
      </w:r>
      <w:r w:rsidR="000526D2" w:rsidRPr="000526D2">
        <w:rPr>
          <w:vertAlign w:val="superscript"/>
        </w:rPr>
        <w:fldChar w:fldCharType="end"/>
      </w:r>
      <w:r w:rsidRPr="001B188B">
        <w:t xml:space="preserve">. The exponential model assumes constant hazard (memoryless process). The Weibull model accommodates monotonically increasing or decreasing hazard through an estimable shape parameter. The Gompertz model allows exponentially changing hazard and is particularly suited to contexts where hazard accelerates continuously, such as chronic disease and </w:t>
      </w:r>
      <w:proofErr w:type="spellStart"/>
      <w:r w:rsidRPr="001B188B">
        <w:t>gerontological</w:t>
      </w:r>
      <w:proofErr w:type="spellEnd"/>
      <w:r w:rsidRPr="001B188B">
        <w:t xml:space="preserve"> cohorts </w:t>
      </w:r>
      <w:r w:rsidR="00DD67C4" w:rsidRPr="00DD67C4">
        <w:rPr>
          <w:vertAlign w:val="superscript"/>
        </w:rPr>
        <w:fldChar w:fldCharType="begin"/>
      </w:r>
      <w:r w:rsidR="00DD67C4" w:rsidRPr="00DD67C4">
        <w:rPr>
          <w:vertAlign w:val="superscript"/>
        </w:rPr>
        <w:instrText xml:space="preserve"> REF _Ref223726132 \r \h </w:instrText>
      </w:r>
      <w:r w:rsidR="00DD67C4">
        <w:rPr>
          <w:vertAlign w:val="superscript"/>
        </w:rPr>
        <w:instrText xml:space="preserve"> \* MERGEFORMAT </w:instrText>
      </w:r>
      <w:r w:rsidR="00DD67C4" w:rsidRPr="00DD67C4">
        <w:rPr>
          <w:vertAlign w:val="superscript"/>
        </w:rPr>
      </w:r>
      <w:r w:rsidR="00DD67C4" w:rsidRPr="00DD67C4">
        <w:rPr>
          <w:vertAlign w:val="superscript"/>
        </w:rPr>
        <w:fldChar w:fldCharType="separate"/>
      </w:r>
      <w:r w:rsidR="00DD67C4" w:rsidRPr="00DD67C4">
        <w:rPr>
          <w:vertAlign w:val="superscript"/>
        </w:rPr>
        <w:t>14</w:t>
      </w:r>
      <w:r w:rsidR="00DD67C4" w:rsidRPr="00DD67C4">
        <w:rPr>
          <w:vertAlign w:val="superscript"/>
        </w:rPr>
        <w:fldChar w:fldCharType="end"/>
      </w:r>
      <w:r w:rsidR="00DD67C4" w:rsidRPr="00DD67C4">
        <w:rPr>
          <w:vertAlign w:val="superscript"/>
        </w:rPr>
        <w:t>,</w:t>
      </w:r>
      <w:r w:rsidR="00DD67C4" w:rsidRPr="00DD67C4">
        <w:rPr>
          <w:vertAlign w:val="superscript"/>
        </w:rPr>
        <w:fldChar w:fldCharType="begin"/>
      </w:r>
      <w:r w:rsidR="00DD67C4" w:rsidRPr="00DD67C4">
        <w:rPr>
          <w:vertAlign w:val="superscript"/>
        </w:rPr>
        <w:instrText xml:space="preserve"> REF _Ref223726134 \r \h </w:instrText>
      </w:r>
      <w:r w:rsidR="00DD67C4">
        <w:rPr>
          <w:vertAlign w:val="superscript"/>
        </w:rPr>
        <w:instrText xml:space="preserve"> \* MERGEFORMAT </w:instrText>
      </w:r>
      <w:r w:rsidR="00DD67C4" w:rsidRPr="00DD67C4">
        <w:rPr>
          <w:vertAlign w:val="superscript"/>
        </w:rPr>
      </w:r>
      <w:r w:rsidR="00DD67C4" w:rsidRPr="00DD67C4">
        <w:rPr>
          <w:vertAlign w:val="superscript"/>
        </w:rPr>
        <w:fldChar w:fldCharType="separate"/>
      </w:r>
      <w:r w:rsidR="00DD67C4" w:rsidRPr="00DD67C4">
        <w:rPr>
          <w:vertAlign w:val="superscript"/>
        </w:rPr>
        <w:t>15</w:t>
      </w:r>
      <w:r w:rsidR="00DD67C4" w:rsidRPr="00DD67C4">
        <w:rPr>
          <w:vertAlign w:val="superscript"/>
        </w:rPr>
        <w:fldChar w:fldCharType="end"/>
      </w:r>
      <w:r w:rsidRPr="001B188B">
        <w:t>. For NICU populations, the shape of the hazard trajectory has direct clinical relevance: a shape parameter exceeding unity signals secondary deterioration in initially stabilised neonates, while a value below unity indicates a front-loaded mortality pattern consistent with early critical illness.</w:t>
      </w:r>
    </w:p>
    <w:p w14:paraId="7E6FB853" w14:textId="6CE8A929" w:rsidR="00B7105A" w:rsidRPr="001B188B" w:rsidRDefault="00F02546" w:rsidP="00616AF9">
      <w:pPr>
        <w:jc w:val="both"/>
      </w:pPr>
      <w:r w:rsidRPr="001B188B">
        <w:t xml:space="preserve">This study employs a comparative </w:t>
      </w:r>
      <w:proofErr w:type="spellStart"/>
      <w:r w:rsidRPr="001B188B">
        <w:t>modeling</w:t>
      </w:r>
      <w:proofErr w:type="spellEnd"/>
      <w:r w:rsidRPr="001B188B">
        <w:t xml:space="preserve"> approach to </w:t>
      </w:r>
      <w:proofErr w:type="spellStart"/>
      <w:r w:rsidRPr="001B188B">
        <w:t>analyze</w:t>
      </w:r>
      <w:proofErr w:type="spellEnd"/>
      <w:r w:rsidRPr="001B188B">
        <w:t xml:space="preserve"> neonatal survival patterns. By evaluating both flexible semi-parametric models and parametric models which assume specific mathematical distributions for risk we aim to identify the most accurate method for predicting neonatal outcomes in a tertiary care setting. Also, the study aims to determine the most significant prognostic factors associated with mortality and identify the optimal parametric distribution that fits the observed data.</w:t>
      </w:r>
      <w:r w:rsidR="006238CD" w:rsidRPr="001B188B">
        <w:t xml:space="preserve"> </w:t>
      </w:r>
      <w:r w:rsidR="0028562B" w:rsidRPr="001B188B">
        <w:t xml:space="preserve">The </w:t>
      </w:r>
      <w:r w:rsidR="0080739F" w:rsidRPr="001B188B">
        <w:t xml:space="preserve">model selection between these parametric alternatives </w:t>
      </w:r>
      <w:r w:rsidR="00970C1F" w:rsidRPr="001B188B">
        <w:t>were used wi</w:t>
      </w:r>
      <w:r w:rsidR="007B7055" w:rsidRPr="001B188B">
        <w:t>th</w:t>
      </w:r>
      <w:r w:rsidR="0080739F" w:rsidRPr="001B188B">
        <w:t xml:space="preserve"> </w:t>
      </w:r>
      <w:r w:rsidR="004B35A8" w:rsidRPr="001B188B">
        <w:t xml:space="preserve">Akaike Information Criterion and Bayesian Information Criterion </w:t>
      </w:r>
      <w:r w:rsidR="0080739F" w:rsidRPr="001B188B">
        <w:t>(AIC and BIC)</w:t>
      </w:r>
      <w:r w:rsidR="004B5B9B" w:rsidRPr="001B188B">
        <w:t xml:space="preserve">. </w:t>
      </w:r>
      <w:r w:rsidR="006A3811" w:rsidRPr="001B188B">
        <w:t>This approach ensures precise characterization of neonatal risk dynamics particularly the early hazard peak and subsequent decline thereby facilitating more reliable clinical and public health inferences</w:t>
      </w:r>
      <w:r w:rsidR="007E5D6F" w:rsidRPr="001B188B">
        <w:t xml:space="preserve">. </w:t>
      </w:r>
    </w:p>
    <w:p w14:paraId="723FAC4A" w14:textId="2704E72A" w:rsidR="002B62BC" w:rsidRPr="001B188B" w:rsidRDefault="005B3695" w:rsidP="00B7105A">
      <w:pPr>
        <w:jc w:val="both"/>
        <w:rPr>
          <w:b/>
          <w:bCs/>
          <w:lang w:val="en-US"/>
        </w:rPr>
      </w:pPr>
      <w:r w:rsidRPr="001B188B">
        <w:rPr>
          <w:b/>
          <w:bCs/>
          <w:lang w:val="en-US"/>
        </w:rPr>
        <w:t>METHODOLOGY</w:t>
      </w:r>
    </w:p>
    <w:p w14:paraId="7B997EF8" w14:textId="4AC19DF9" w:rsidR="00CC1B32" w:rsidRPr="001B188B" w:rsidRDefault="00B56123" w:rsidP="00B7105A">
      <w:pPr>
        <w:pStyle w:val="NoSpacing"/>
        <w:spacing w:after="240"/>
        <w:rPr>
          <w:rFonts w:cs="Times New Roman"/>
          <w:b/>
          <w:bCs/>
          <w:szCs w:val="24"/>
        </w:rPr>
      </w:pPr>
      <w:r w:rsidRPr="001B188B">
        <w:rPr>
          <w:rFonts w:cs="Times New Roman"/>
          <w:b/>
          <w:bCs/>
          <w:szCs w:val="24"/>
        </w:rPr>
        <w:t>Study Design, Setting, and Ethics</w:t>
      </w:r>
    </w:p>
    <w:p w14:paraId="210122B3" w14:textId="73F4FE8D" w:rsidR="00B13E11" w:rsidRPr="001B188B" w:rsidRDefault="001068C4" w:rsidP="00B7105A">
      <w:pPr>
        <w:pStyle w:val="NoSpacing"/>
        <w:spacing w:after="240"/>
        <w:jc w:val="both"/>
        <w:rPr>
          <w:rFonts w:cs="Times New Roman"/>
          <w:szCs w:val="24"/>
        </w:rPr>
      </w:pPr>
      <w:r w:rsidRPr="001B188B">
        <w:rPr>
          <w:rFonts w:cs="Times New Roman"/>
          <w:szCs w:val="24"/>
        </w:rPr>
        <w:t>A cross-sectional study was conducted in paediatric department Neonatal Intensive Care Unit (NICU) and Special Newborn Care Unit (SNCU) of Dr. Ram Manohar Lohia Institute of Medical Sciences (RMLIMS), Lucknow, a tertiary care teaching hospital in Uttar Pradesh, India. The study period spanned January 1, 2024, to December 31, 2024. The hospital maintains a 24-bed combined capacity equipped with advanced life-support technologies, including bubble Continuous Positive Airway Pressure (CPAP) units and Invasive Ventilation.</w:t>
      </w:r>
      <w:r w:rsidR="002F78E7" w:rsidRPr="001B188B">
        <w:rPr>
          <w:rFonts w:cs="Times New Roman"/>
          <w:szCs w:val="24"/>
        </w:rPr>
        <w:t xml:space="preserve"> </w:t>
      </w:r>
      <w:r w:rsidRPr="001B188B">
        <w:rPr>
          <w:rFonts w:cs="Times New Roman"/>
          <w:szCs w:val="24"/>
        </w:rPr>
        <w:t xml:space="preserve">Data were collected from a validated questionnaire of neonates admitted to the SNCU and NICU. The study included all live-born neonates during the study period, including both intramural (born within the facility) and extramural (referred from external facilities) cases. A total of 686 neonates were included in the final analysis.  </w:t>
      </w:r>
      <w:r w:rsidR="00E30777" w:rsidRPr="001B188B">
        <w:rPr>
          <w:rFonts w:cs="Times New Roman"/>
          <w:szCs w:val="24"/>
        </w:rPr>
        <w:t xml:space="preserve">Ethical approval was obtained from the Institutional Ethics Committee (IEC) </w:t>
      </w:r>
      <w:r w:rsidR="00225C93" w:rsidRPr="001B188B">
        <w:rPr>
          <w:rFonts w:cs="Times New Roman"/>
          <w:szCs w:val="24"/>
        </w:rPr>
        <w:t>(</w:t>
      </w:r>
      <w:r w:rsidR="00225C93">
        <w:rPr>
          <w:rFonts w:cs="Times New Roman"/>
          <w:szCs w:val="24"/>
        </w:rPr>
        <w:t>IEC: No. 184/22</w:t>
      </w:r>
      <w:r w:rsidR="00225C93" w:rsidRPr="001B188B">
        <w:rPr>
          <w:rFonts w:cs="Times New Roman"/>
          <w:szCs w:val="24"/>
        </w:rPr>
        <w:t>)</w:t>
      </w:r>
      <w:r w:rsidR="00225C93">
        <w:rPr>
          <w:rFonts w:cs="Times New Roman"/>
          <w:szCs w:val="24"/>
        </w:rPr>
        <w:t xml:space="preserve"> </w:t>
      </w:r>
      <w:r w:rsidR="00E30777" w:rsidRPr="001B188B">
        <w:rPr>
          <w:rFonts w:cs="Times New Roman"/>
          <w:szCs w:val="24"/>
        </w:rPr>
        <w:t>of Dr. Ram Manohar Lohia Institute of Medical Sciences, Lucknow</w:t>
      </w:r>
      <w:r w:rsidR="00225C93">
        <w:rPr>
          <w:rFonts w:cs="Times New Roman"/>
          <w:szCs w:val="24"/>
        </w:rPr>
        <w:t xml:space="preserve">. </w:t>
      </w:r>
    </w:p>
    <w:p w14:paraId="27AE15CA" w14:textId="3691643A" w:rsidR="00CC1B32" w:rsidRPr="001B188B" w:rsidRDefault="002F2D71" w:rsidP="00B7105A">
      <w:pPr>
        <w:pStyle w:val="NoSpacing"/>
        <w:spacing w:after="240"/>
        <w:rPr>
          <w:rFonts w:cs="Times New Roman"/>
          <w:b/>
          <w:bCs/>
          <w:szCs w:val="24"/>
        </w:rPr>
      </w:pPr>
      <w:r w:rsidRPr="001B188B">
        <w:rPr>
          <w:rFonts w:cs="Times New Roman"/>
          <w:b/>
          <w:bCs/>
          <w:szCs w:val="24"/>
        </w:rPr>
        <w:t>Study Population</w:t>
      </w:r>
    </w:p>
    <w:p w14:paraId="7FA5D205" w14:textId="40263839" w:rsidR="00B13E11" w:rsidRPr="001B188B" w:rsidRDefault="002F2D71" w:rsidP="00B7105A">
      <w:pPr>
        <w:pStyle w:val="NoSpacing"/>
        <w:spacing w:after="240"/>
        <w:jc w:val="both"/>
        <w:rPr>
          <w:rFonts w:cs="Times New Roman"/>
          <w:szCs w:val="24"/>
        </w:rPr>
      </w:pPr>
      <w:r w:rsidRPr="001B188B">
        <w:rPr>
          <w:rFonts w:cs="Times New Roman"/>
          <w:szCs w:val="24"/>
        </w:rPr>
        <w:t>All live-born neonates (age 0–28 days) admitted to the NICU or SNCU during the study period were eligible. Exclusion criteria were: incomplete clinical records (missing primary diagnosis, gestational age, or birth weight), transfer within 24 hours of admission before outcomes could be ascertained, or guardian declining consent. The final cohort comprised 686 consecutively enrolled neonates.</w:t>
      </w:r>
    </w:p>
    <w:p w14:paraId="4B248672" w14:textId="02BEDF37" w:rsidR="00B13E11" w:rsidRPr="001B188B" w:rsidRDefault="00C13A08" w:rsidP="00B7105A">
      <w:pPr>
        <w:pStyle w:val="NoSpacing"/>
        <w:spacing w:after="240"/>
        <w:jc w:val="both"/>
        <w:rPr>
          <w:rFonts w:cs="Times New Roman"/>
          <w:szCs w:val="24"/>
        </w:rPr>
      </w:pPr>
      <w:r w:rsidRPr="001B188B">
        <w:rPr>
          <w:rFonts w:cs="Times New Roman"/>
          <w:b/>
          <w:bCs/>
          <w:szCs w:val="24"/>
        </w:rPr>
        <w:t>Prognostic Variables</w:t>
      </w:r>
    </w:p>
    <w:p w14:paraId="052D5974" w14:textId="1547BA60" w:rsidR="00B13E11" w:rsidRPr="001B188B" w:rsidRDefault="00C13A08" w:rsidP="00B7105A">
      <w:pPr>
        <w:pStyle w:val="NoSpacing"/>
        <w:spacing w:after="240"/>
        <w:jc w:val="both"/>
        <w:rPr>
          <w:rFonts w:cs="Times New Roman"/>
          <w:szCs w:val="24"/>
        </w:rPr>
      </w:pPr>
      <w:r w:rsidRPr="001B188B">
        <w:rPr>
          <w:rFonts w:cs="Times New Roman"/>
          <w:szCs w:val="24"/>
        </w:rPr>
        <w:lastRenderedPageBreak/>
        <w:t>Neonatal factors included birth weight, gestational age, and specific neonatal morbidities. Birth weight was categorized as extreme low birth weight (ELBW, &lt;1000 g), very low birth weight (VLBW, 1000-1499 g), low birth weight (LBW, 1500-2499 g), and normal birth weight (NBW, ≥2500 g). Gestational age was classified as extreme prematurity (&lt;28 weeks), prematurity (28 to &lt;37 weeks), and full term (≥37 weeks). Neonatal morbidities included respiratory distress, perinatal Asphyxia (PA), Neonatal Sepsis and congenital malformations documented by paediatric examination. Mother age was categorised as &lt;25 years, 25-30 years, and &gt;30 years. Gravidity was classified as primigravida (first pregnancy) versus multigravida (</w:t>
      </w:r>
      <w:r w:rsidR="00EF28DC" w:rsidRPr="001B188B">
        <w:rPr>
          <w:rFonts w:cs="Times New Roman"/>
          <w:szCs w:val="24"/>
        </w:rPr>
        <w:t xml:space="preserve">more than 2 </w:t>
      </w:r>
      <w:r w:rsidRPr="001B188B">
        <w:rPr>
          <w:rFonts w:cs="Times New Roman"/>
          <w:szCs w:val="24"/>
        </w:rPr>
        <w:t xml:space="preserve">pregnancies). Additional obstetric variables encompassed amniotic fluid colour (clear versus stained), labour onset (spontaneous versus induced), mode of delivery (normal vaginal delivery (NVD) versus lower segment caesarean section (LSCS)), course of labour (uneventful, prolonged [&gt;12 hours for primigravida, &gt;8 hours for multigravida], </w:t>
      </w:r>
      <w:r w:rsidR="00EF28DC" w:rsidRPr="001B188B">
        <w:rPr>
          <w:rFonts w:cs="Times New Roman"/>
          <w:szCs w:val="24"/>
        </w:rPr>
        <w:t xml:space="preserve">and </w:t>
      </w:r>
      <w:r w:rsidRPr="001B188B">
        <w:rPr>
          <w:rFonts w:cs="Times New Roman"/>
          <w:szCs w:val="24"/>
        </w:rPr>
        <w:t>obstructed), and pregnancy-induced hypertension (PIH) (presence versus absence).</w:t>
      </w:r>
    </w:p>
    <w:p w14:paraId="63A03474" w14:textId="77777777" w:rsidR="00B7105A" w:rsidRDefault="00071E8F" w:rsidP="00B7105A">
      <w:pPr>
        <w:pStyle w:val="NoSpacing"/>
        <w:spacing w:after="240"/>
        <w:jc w:val="both"/>
        <w:rPr>
          <w:rFonts w:cs="Times New Roman"/>
          <w:b/>
          <w:bCs/>
          <w:szCs w:val="24"/>
        </w:rPr>
      </w:pPr>
      <w:r w:rsidRPr="001B188B">
        <w:rPr>
          <w:rFonts w:cs="Times New Roman"/>
          <w:b/>
          <w:bCs/>
          <w:szCs w:val="24"/>
        </w:rPr>
        <w:t>Outcome Variable</w:t>
      </w:r>
      <w:r w:rsidR="002F78E7" w:rsidRPr="001B188B">
        <w:rPr>
          <w:rFonts w:cs="Times New Roman"/>
          <w:b/>
          <w:bCs/>
          <w:szCs w:val="24"/>
        </w:rPr>
        <w:t xml:space="preserve"> </w:t>
      </w:r>
    </w:p>
    <w:p w14:paraId="4DDB0707" w14:textId="6BD4F3F7" w:rsidR="00AA5EE7" w:rsidRPr="001B188B" w:rsidRDefault="00071E8F" w:rsidP="00B7105A">
      <w:pPr>
        <w:pStyle w:val="NoSpacing"/>
        <w:spacing w:after="240"/>
        <w:jc w:val="both"/>
        <w:rPr>
          <w:rFonts w:cs="Times New Roman"/>
          <w:szCs w:val="24"/>
        </w:rPr>
      </w:pPr>
      <w:r w:rsidRPr="001B188B">
        <w:rPr>
          <w:rFonts w:cs="Times New Roman"/>
          <w:szCs w:val="24"/>
        </w:rPr>
        <w:t>The primary outcome of this study was neonatal mortality. For the survival analysis, neonates who died were coded as 1 (event), while those who were successfully discharged, left against medical advice (LAMA), or referred were coded as 0 (censored). Survival time was calculated in complete days, measured from the date of birth to the time of death or study exit (discharge, LAMA, or referral).</w:t>
      </w:r>
    </w:p>
    <w:p w14:paraId="3D066D80" w14:textId="14092B5F" w:rsidR="00486E02" w:rsidRPr="001B188B" w:rsidRDefault="00012FCE" w:rsidP="00B7105A">
      <w:pPr>
        <w:pStyle w:val="NoSpacing"/>
        <w:spacing w:after="240"/>
        <w:jc w:val="both"/>
        <w:rPr>
          <w:rFonts w:cs="Times New Roman"/>
          <w:b/>
          <w:bCs/>
          <w:szCs w:val="24"/>
        </w:rPr>
      </w:pPr>
      <w:r w:rsidRPr="001B188B">
        <w:rPr>
          <w:rFonts w:cs="Times New Roman"/>
          <w:b/>
          <w:bCs/>
          <w:szCs w:val="24"/>
        </w:rPr>
        <w:t xml:space="preserve">Statistical </w:t>
      </w:r>
      <w:r w:rsidR="00486E02" w:rsidRPr="001B188B">
        <w:rPr>
          <w:rFonts w:cs="Times New Roman"/>
          <w:b/>
          <w:bCs/>
          <w:szCs w:val="24"/>
        </w:rPr>
        <w:t>Analysis</w:t>
      </w:r>
    </w:p>
    <w:p w14:paraId="1580BC52" w14:textId="0C8D6558" w:rsidR="00486E02" w:rsidRPr="001B188B" w:rsidRDefault="00486E02" w:rsidP="00B7105A">
      <w:pPr>
        <w:pStyle w:val="NoSpacing"/>
        <w:spacing w:after="240"/>
        <w:jc w:val="both"/>
        <w:rPr>
          <w:rFonts w:cs="Times New Roman"/>
          <w:szCs w:val="24"/>
        </w:rPr>
      </w:pPr>
      <w:r w:rsidRPr="001B188B">
        <w:rPr>
          <w:rFonts w:cs="Times New Roman"/>
          <w:szCs w:val="24"/>
        </w:rPr>
        <w:t xml:space="preserve">Statistical analyses were performed using a licensed version of </w:t>
      </w:r>
      <w:proofErr w:type="spellStart"/>
      <w:r w:rsidRPr="001B188B">
        <w:rPr>
          <w:rFonts w:cs="Times New Roman"/>
          <w:szCs w:val="24"/>
        </w:rPr>
        <w:t>Stata</w:t>
      </w:r>
      <w:proofErr w:type="spellEnd"/>
      <w:r w:rsidRPr="001B188B">
        <w:rPr>
          <w:rFonts w:cs="Times New Roman"/>
          <w:szCs w:val="24"/>
        </w:rPr>
        <w:t xml:space="preserve"> v.13 (</w:t>
      </w:r>
      <w:proofErr w:type="spellStart"/>
      <w:r w:rsidRPr="001B188B">
        <w:rPr>
          <w:rFonts w:cs="Times New Roman"/>
          <w:szCs w:val="24"/>
        </w:rPr>
        <w:t>StataCorp</w:t>
      </w:r>
      <w:proofErr w:type="spellEnd"/>
      <w:r w:rsidRPr="001B188B">
        <w:rPr>
          <w:rFonts w:cs="Times New Roman"/>
          <w:szCs w:val="24"/>
        </w:rPr>
        <w:t>, 2013)</w:t>
      </w:r>
      <w:r w:rsidR="00A32F6F" w:rsidRPr="001B188B">
        <w:rPr>
          <w:rFonts w:cs="Times New Roman"/>
          <w:szCs w:val="24"/>
        </w:rPr>
        <w:t xml:space="preserve"> </w:t>
      </w:r>
      <w:r w:rsidR="00DD67C4">
        <w:rPr>
          <w:rFonts w:cs="Times New Roman"/>
          <w:szCs w:val="24"/>
        </w:rPr>
        <w:fldChar w:fldCharType="begin"/>
      </w:r>
      <w:r w:rsidR="00DD67C4">
        <w:rPr>
          <w:rFonts w:cs="Times New Roman"/>
          <w:szCs w:val="24"/>
        </w:rPr>
        <w:instrText xml:space="preserve"> REF _Ref223726178 \r \h </w:instrText>
      </w:r>
      <w:r w:rsidR="00DD67C4">
        <w:rPr>
          <w:rFonts w:cs="Times New Roman"/>
          <w:szCs w:val="24"/>
        </w:rPr>
      </w:r>
      <w:r w:rsidR="00DD67C4">
        <w:rPr>
          <w:rFonts w:cs="Times New Roman"/>
          <w:szCs w:val="24"/>
        </w:rPr>
        <w:fldChar w:fldCharType="separate"/>
      </w:r>
      <w:r w:rsidR="00DD67C4">
        <w:rPr>
          <w:rFonts w:cs="Times New Roman"/>
          <w:szCs w:val="24"/>
        </w:rPr>
        <w:t>32</w:t>
      </w:r>
      <w:r w:rsidR="00DD67C4">
        <w:rPr>
          <w:rFonts w:cs="Times New Roman"/>
          <w:szCs w:val="24"/>
        </w:rPr>
        <w:fldChar w:fldCharType="end"/>
      </w:r>
      <w:r w:rsidRPr="001B188B">
        <w:rPr>
          <w:rFonts w:cs="Times New Roman"/>
          <w:szCs w:val="24"/>
        </w:rPr>
        <w:t>. The Pearson’s chi-square tests to assess the bivariate association between categorical prognostic factors and neonatal outcomes.</w:t>
      </w:r>
    </w:p>
    <w:p w14:paraId="06C55628" w14:textId="134A89C2" w:rsidR="00486E02" w:rsidRPr="001B188B" w:rsidRDefault="00486E02" w:rsidP="00B7105A">
      <w:pPr>
        <w:pStyle w:val="NoSpacing"/>
        <w:spacing w:after="240"/>
        <w:jc w:val="both"/>
        <w:rPr>
          <w:rFonts w:cs="Times New Roman"/>
          <w:szCs w:val="24"/>
        </w:rPr>
      </w:pPr>
      <w:r w:rsidRPr="001B188B">
        <w:rPr>
          <w:rFonts w:cs="Times New Roman"/>
          <w:szCs w:val="24"/>
        </w:rPr>
        <w:t xml:space="preserve">The Cox Proportional Hazards (PH) model was employed to estimate adjusted hazard ratios (HR) for the predictors of neonatal mortality. The validity of the proportional </w:t>
      </w:r>
      <w:r w:rsidR="009C4D13" w:rsidRPr="001B188B">
        <w:rPr>
          <w:rFonts w:cs="Times New Roman"/>
          <w:szCs w:val="24"/>
        </w:rPr>
        <w:t>hazard’s</w:t>
      </w:r>
      <w:r w:rsidRPr="001B188B">
        <w:rPr>
          <w:rFonts w:cs="Times New Roman"/>
          <w:szCs w:val="24"/>
        </w:rPr>
        <w:t xml:space="preserve"> assumption was rigorously tested using the Global Schoenfeld Residuals test. To evaluate the model’s predictive accuracy and discriminative power, Harrell’s C-concordance statistic and Somers’ D were calculated.</w:t>
      </w:r>
    </w:p>
    <w:p w14:paraId="01BFBC88" w14:textId="0AAED755" w:rsidR="00486E02" w:rsidRPr="00B7105A" w:rsidRDefault="00486E02" w:rsidP="00B7105A">
      <w:pPr>
        <w:pStyle w:val="NoSpacing"/>
        <w:spacing w:after="240"/>
        <w:jc w:val="both"/>
        <w:rPr>
          <w:rFonts w:cs="Times New Roman"/>
          <w:szCs w:val="24"/>
        </w:rPr>
      </w:pPr>
      <w:r w:rsidRPr="001B188B">
        <w:rPr>
          <w:rFonts w:cs="Times New Roman"/>
          <w:szCs w:val="24"/>
        </w:rPr>
        <w:t xml:space="preserve">Finally, a comparative </w:t>
      </w:r>
      <w:r w:rsidR="009C4D13" w:rsidRPr="001B188B">
        <w:rPr>
          <w:rFonts w:cs="Times New Roman"/>
          <w:szCs w:val="24"/>
        </w:rPr>
        <w:t>modelling</w:t>
      </w:r>
      <w:r w:rsidRPr="001B188B">
        <w:rPr>
          <w:rFonts w:cs="Times New Roman"/>
          <w:szCs w:val="24"/>
        </w:rPr>
        <w:t xml:space="preserve"> approach was implemented by fitting multiple parametric survival models, including Exponential, Weibull, and Gompertz distributions. The optimal model fit was determined using the Log-likelihood, Akaike Information Criterion (AIC), and Bayesian Information Criterion (BIC). Statistical significance across all tests was declared at p&lt; 0.05.</w:t>
      </w:r>
    </w:p>
    <w:p w14:paraId="69ADD238" w14:textId="77777777" w:rsidR="00C26CBD" w:rsidRPr="001B188B" w:rsidRDefault="00C26CBD" w:rsidP="00B7105A">
      <w:pPr>
        <w:ind w:left="-30"/>
        <w:jc w:val="both"/>
      </w:pPr>
      <w:bookmarkStart w:id="1" w:name="bm_2_5_1_general_proportional_haz_faeeb2"/>
      <w:r w:rsidRPr="001B188B">
        <w:rPr>
          <w:rFonts w:eastAsia="Georgia"/>
          <w:b/>
          <w:color w:val="000000"/>
        </w:rPr>
        <w:t>General Proportional Hazards Framework</w:t>
      </w:r>
      <w:bookmarkEnd w:id="1"/>
    </w:p>
    <w:p w14:paraId="4D000381" w14:textId="59392D38" w:rsidR="00C26CBD" w:rsidRPr="001B188B" w:rsidRDefault="00C26CBD" w:rsidP="00B7105A">
      <w:pPr>
        <w:jc w:val="both"/>
      </w:pPr>
      <w:r w:rsidRPr="001B188B">
        <w:rPr>
          <w:rFonts w:eastAsia="Georgia"/>
          <w:color w:val="000000"/>
        </w:rPr>
        <w:t xml:space="preserve">All four survival models share the fundamental proportional hazards (PH) structure, whereby the hazard function for the </w:t>
      </w:r>
      <m:oMath>
        <m:r>
          <w:rPr>
            <w:rFonts w:ascii="Cambria Math" w:hAnsi="Cambria Math"/>
            <w:color w:val="000000"/>
          </w:rPr>
          <m:t>i</m:t>
        </m:r>
      </m:oMath>
      <w:r w:rsidRPr="001B188B">
        <w:rPr>
          <w:rFonts w:eastAsia="Georgia"/>
          <w:color w:val="000000"/>
        </w:rPr>
        <w:t xml:space="preserve">-th individual at time </w:t>
      </w:r>
      <m:oMath>
        <m:r>
          <w:rPr>
            <w:rFonts w:ascii="Cambria Math" w:hAnsi="Cambria Math"/>
            <w:color w:val="000000"/>
          </w:rPr>
          <m:t>t</m:t>
        </m:r>
      </m:oMath>
      <w:r w:rsidRPr="001B188B">
        <w:rPr>
          <w:rFonts w:eastAsia="Georgia"/>
          <w:color w:val="000000"/>
        </w:rPr>
        <w:t xml:space="preserve"> is expressed as the product of a common baseline hazard </w:t>
      </w:r>
      <m:oMath>
        <m:sSub>
          <m:sSubPr>
            <m:ctrlPr>
              <w:rPr>
                <w:rFonts w:ascii="Cambria Math" w:hAnsi="Cambria Math"/>
                <w:color w:val="000000"/>
              </w:rPr>
            </m:ctrlPr>
          </m:sSubPr>
          <m:e>
            <m:r>
              <w:rPr>
                <w:rFonts w:ascii="Cambria Math" w:hAnsi="Cambria Math"/>
                <w:color w:val="000000"/>
              </w:rPr>
              <m:t>h</m:t>
            </m:r>
          </m:e>
          <m:sub>
            <m:r>
              <m:rPr>
                <m:sty m:val="p"/>
              </m:rPr>
              <w:rPr>
                <w:rFonts w:ascii="Cambria Math" w:hAnsi="Cambria Math"/>
                <w:color w:val="000000"/>
              </w:rPr>
              <m:t>0</m:t>
            </m:r>
          </m:sub>
        </m:sSub>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oMath>
      <w:r w:rsidRPr="001B188B">
        <w:rPr>
          <w:rFonts w:eastAsia="Georgia"/>
          <w:color w:val="000000"/>
        </w:rPr>
        <w:t xml:space="preserve"> and an individual-specific multiplicative factor determined by the covariate vector </w:t>
      </w:r>
      <m:oMath>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sub>
        </m:sSub>
      </m:oMath>
      <w:r w:rsidRPr="001B188B">
        <w:rPr>
          <w:rFonts w:eastAsia="Georgia"/>
          <w:color w:val="000000"/>
        </w:rPr>
        <w:t xml:space="preserve"> and the regression coefficient vector </w:t>
      </w:r>
      <m:oMath>
        <m:r>
          <w:rPr>
            <w:rFonts w:ascii="Cambria Math" w:hAnsi="Cambria Math"/>
            <w:color w:val="000000"/>
          </w:rPr>
          <m:t xml:space="preserve">β </m:t>
        </m:r>
      </m:oMath>
      <w:r w:rsidR="00DD67C4" w:rsidRPr="00DD67C4">
        <w:rPr>
          <w:rFonts w:eastAsia="Georgia"/>
          <w:color w:val="000000"/>
          <w:vertAlign w:val="superscript"/>
        </w:rPr>
        <w:t xml:space="preserve"> </w:t>
      </w:r>
      <w:r w:rsidR="00DD67C4">
        <w:rPr>
          <w:rFonts w:eastAsia="Georgia"/>
          <w:color w:val="000000"/>
          <w:vertAlign w:val="superscript"/>
        </w:rPr>
        <w:fldChar w:fldCharType="begin"/>
      </w:r>
      <w:r w:rsidR="00DD67C4">
        <w:rPr>
          <w:rFonts w:eastAsia="Georgia"/>
          <w:color w:val="000000"/>
          <w:vertAlign w:val="superscript"/>
        </w:rPr>
        <w:instrText xml:space="preserve"> REF _Ref223725984 \r \h </w:instrText>
      </w:r>
      <w:r w:rsidR="00DD67C4">
        <w:rPr>
          <w:rFonts w:eastAsia="Georgia"/>
          <w:color w:val="000000"/>
          <w:vertAlign w:val="superscript"/>
        </w:rPr>
      </w:r>
      <w:r w:rsidR="00DD67C4">
        <w:rPr>
          <w:rFonts w:eastAsia="Georgia"/>
          <w:color w:val="000000"/>
          <w:vertAlign w:val="superscript"/>
        </w:rPr>
        <w:fldChar w:fldCharType="separate"/>
      </w:r>
      <w:r w:rsidR="00DD67C4">
        <w:rPr>
          <w:rFonts w:eastAsia="Georgia"/>
          <w:color w:val="000000"/>
          <w:vertAlign w:val="superscript"/>
        </w:rPr>
        <w:t>11</w:t>
      </w:r>
      <w:r w:rsidR="00DD67C4">
        <w:rPr>
          <w:rFonts w:eastAsia="Georgia"/>
          <w:color w:val="000000"/>
          <w:vertAlign w:val="superscript"/>
        </w:rPr>
        <w:fldChar w:fldCharType="end"/>
      </w:r>
      <w:r w:rsidR="00DD67C4">
        <w:rPr>
          <w:rFonts w:eastAsia="Georgia"/>
          <w:color w:val="000000"/>
          <w:vertAlign w:val="superscript"/>
        </w:rPr>
        <w:t>,</w:t>
      </w:r>
      <w:r w:rsidR="00DD67C4" w:rsidRPr="00DD67C4">
        <w:rPr>
          <w:rFonts w:eastAsia="Georgia"/>
          <w:color w:val="000000"/>
          <w:vertAlign w:val="superscript"/>
        </w:rPr>
        <w:fldChar w:fldCharType="begin"/>
      </w:r>
      <w:r w:rsidR="00DD67C4" w:rsidRPr="00DD67C4">
        <w:rPr>
          <w:rFonts w:eastAsia="Georgia"/>
          <w:color w:val="000000"/>
          <w:vertAlign w:val="superscript"/>
        </w:rPr>
        <w:instrText xml:space="preserve"> REF _Ref223726066 \r \h </w:instrText>
      </w:r>
      <w:r w:rsidR="00DD67C4">
        <w:rPr>
          <w:rFonts w:eastAsia="Georgia"/>
          <w:color w:val="000000"/>
          <w:vertAlign w:val="superscript"/>
        </w:rPr>
        <w:instrText xml:space="preserve"> \* MERGEFORMAT </w:instrText>
      </w:r>
      <w:r w:rsidR="00DD67C4" w:rsidRPr="00DD67C4">
        <w:rPr>
          <w:rFonts w:eastAsia="Georgia"/>
          <w:color w:val="000000"/>
          <w:vertAlign w:val="superscript"/>
        </w:rPr>
      </w:r>
      <w:r w:rsidR="00DD67C4" w:rsidRPr="00DD67C4">
        <w:rPr>
          <w:rFonts w:eastAsia="Georgia"/>
          <w:color w:val="000000"/>
          <w:vertAlign w:val="superscript"/>
        </w:rPr>
        <w:fldChar w:fldCharType="separate"/>
      </w:r>
      <w:r w:rsidR="00DD67C4" w:rsidRPr="00DD67C4">
        <w:rPr>
          <w:rFonts w:eastAsia="Georgia"/>
          <w:color w:val="000000"/>
          <w:vertAlign w:val="superscript"/>
        </w:rPr>
        <w:t>12</w:t>
      </w:r>
      <w:r w:rsidR="00DD67C4" w:rsidRPr="00DD67C4">
        <w:rPr>
          <w:rFonts w:eastAsia="Georgia"/>
          <w:color w:val="000000"/>
          <w:vertAlign w:val="superscript"/>
        </w:rPr>
        <w:fldChar w:fldCharType="end"/>
      </w:r>
      <w:r w:rsidR="00DD67C4" w:rsidRPr="00DD67C4">
        <w:rPr>
          <w:rFonts w:eastAsia="Georgia"/>
          <w:color w:val="000000"/>
          <w:vertAlign w:val="superscript"/>
        </w:rPr>
        <w:t>,</w:t>
      </w:r>
      <w:r w:rsidR="00DD67C4" w:rsidRPr="00DD67C4">
        <w:rPr>
          <w:rFonts w:eastAsia="Georgia"/>
          <w:color w:val="000000"/>
          <w:vertAlign w:val="superscript"/>
        </w:rPr>
        <w:fldChar w:fldCharType="begin"/>
      </w:r>
      <w:r w:rsidR="00DD67C4" w:rsidRPr="00DD67C4">
        <w:rPr>
          <w:rFonts w:eastAsia="Georgia"/>
          <w:color w:val="000000"/>
          <w:vertAlign w:val="superscript"/>
        </w:rPr>
        <w:instrText xml:space="preserve"> REF _Ref223726070 \r \h </w:instrText>
      </w:r>
      <w:r w:rsidR="00DD67C4">
        <w:rPr>
          <w:rFonts w:eastAsia="Georgia"/>
          <w:color w:val="000000"/>
          <w:vertAlign w:val="superscript"/>
        </w:rPr>
        <w:instrText xml:space="preserve"> \* MERGEFORMAT </w:instrText>
      </w:r>
      <w:r w:rsidR="00DD67C4" w:rsidRPr="00DD67C4">
        <w:rPr>
          <w:rFonts w:eastAsia="Georgia"/>
          <w:color w:val="000000"/>
          <w:vertAlign w:val="superscript"/>
        </w:rPr>
      </w:r>
      <w:r w:rsidR="00DD67C4" w:rsidRPr="00DD67C4">
        <w:rPr>
          <w:rFonts w:eastAsia="Georgia"/>
          <w:color w:val="000000"/>
          <w:vertAlign w:val="superscript"/>
        </w:rPr>
        <w:fldChar w:fldCharType="separate"/>
      </w:r>
      <w:r w:rsidR="00DD67C4" w:rsidRPr="00DD67C4">
        <w:rPr>
          <w:rFonts w:eastAsia="Georgia"/>
          <w:color w:val="000000"/>
          <w:vertAlign w:val="superscript"/>
        </w:rPr>
        <w:t>13</w:t>
      </w:r>
      <w:r w:rsidR="00DD67C4" w:rsidRPr="00DD67C4">
        <w:rPr>
          <w:rFonts w:eastAsia="Georgia"/>
          <w:color w:val="000000"/>
          <w:vertAlign w:val="superscript"/>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2"/>
        <w:gridCol w:w="496"/>
      </w:tblGrid>
      <w:tr w:rsidR="00C26CBD" w:rsidRPr="001B188B" w14:paraId="42DFACD5" w14:textId="77777777" w:rsidTr="00C26CBD">
        <w:tc>
          <w:tcPr>
            <w:tcW w:w="10627" w:type="dxa"/>
          </w:tcPr>
          <w:p w14:paraId="79E17036" w14:textId="5FA5AF08" w:rsidR="00C26CBD" w:rsidRPr="00DD67C4" w:rsidRDefault="00C26CBD" w:rsidP="00B7105A">
            <w:pPr>
              <w:spacing w:after="240"/>
              <w:jc w:val="both"/>
              <w:rPr>
                <w:rFonts w:eastAsia="Georgia"/>
                <w:color w:val="000000"/>
                <w:vertAlign w:val="superscript"/>
              </w:rPr>
            </w:pPr>
            <m:oMathPara>
              <m:oMath>
                <m:r>
                  <w:rPr>
                    <w:rFonts w:ascii="Cambria Math" w:eastAsia="Georgia" w:hAnsi="Cambria Math"/>
                    <w:color w:val="000000"/>
                    <w:vertAlign w:val="superscript"/>
                  </w:rPr>
                  <m:t>h</m:t>
                </m:r>
                <m:r>
                  <m:rPr>
                    <m:sty m:val="p"/>
                  </m:rPr>
                  <w:rPr>
                    <w:rFonts w:ascii="Cambria Math" w:eastAsia="Georgia" w:hAnsi="Cambria Math"/>
                    <w:color w:val="000000"/>
                    <w:vertAlign w:val="superscript"/>
                  </w:rPr>
                  <m:t>(</m:t>
                </m:r>
                <m:r>
                  <w:rPr>
                    <w:rFonts w:ascii="Cambria Math" w:eastAsia="Georgia" w:hAnsi="Cambria Math"/>
                    <w:color w:val="000000"/>
                    <w:vertAlign w:val="superscript"/>
                  </w:rPr>
                  <m:t>t</m:t>
                </m:r>
                <m:r>
                  <m:rPr>
                    <m:sty m:val="p"/>
                  </m:rPr>
                  <w:rPr>
                    <w:rFonts w:ascii="Cambria Math" w:eastAsia="Georgia" w:hAnsi="Cambria Math"/>
                    <w:color w:val="000000"/>
                    <w:vertAlign w:val="superscript"/>
                  </w:rPr>
                  <m:t>∣</m:t>
                </m:r>
                <m:sSub>
                  <m:sSubPr>
                    <m:ctrlPr>
                      <w:rPr>
                        <w:rFonts w:ascii="Cambria Math" w:eastAsia="Georgia" w:hAnsi="Cambria Math"/>
                        <w:color w:val="000000"/>
                        <w:vertAlign w:val="superscript"/>
                      </w:rPr>
                    </m:ctrlPr>
                  </m:sSubPr>
                  <m:e>
                    <m:r>
                      <w:rPr>
                        <w:rFonts w:ascii="Cambria Math" w:eastAsia="Georgia" w:hAnsi="Cambria Math"/>
                        <w:color w:val="000000"/>
                        <w:vertAlign w:val="superscript"/>
                      </w:rPr>
                      <m:t>x</m:t>
                    </m:r>
                  </m:e>
                  <m:sub>
                    <m:r>
                      <w:rPr>
                        <w:rFonts w:ascii="Cambria Math" w:eastAsia="Georgia" w:hAnsi="Cambria Math"/>
                        <w:color w:val="000000"/>
                        <w:vertAlign w:val="superscript"/>
                      </w:rPr>
                      <m:t>i</m:t>
                    </m:r>
                  </m:sub>
                </m:sSub>
                <m:r>
                  <m:rPr>
                    <m:sty m:val="p"/>
                  </m:rPr>
                  <w:rPr>
                    <w:rFonts w:ascii="Cambria Math" w:eastAsia="Georgia" w:hAnsi="Cambria Math"/>
                    <w:color w:val="000000"/>
                    <w:vertAlign w:val="superscript"/>
                  </w:rPr>
                  <m:t>)=</m:t>
                </m:r>
                <m:sSub>
                  <m:sSubPr>
                    <m:ctrlPr>
                      <w:rPr>
                        <w:rFonts w:ascii="Cambria Math" w:eastAsia="Georgia" w:hAnsi="Cambria Math"/>
                        <w:color w:val="000000"/>
                        <w:vertAlign w:val="superscript"/>
                      </w:rPr>
                    </m:ctrlPr>
                  </m:sSubPr>
                  <m:e>
                    <m:r>
                      <w:rPr>
                        <w:rFonts w:ascii="Cambria Math" w:eastAsia="Georgia" w:hAnsi="Cambria Math"/>
                        <w:color w:val="000000"/>
                        <w:vertAlign w:val="superscript"/>
                      </w:rPr>
                      <m:t>h</m:t>
                    </m:r>
                  </m:e>
                  <m:sub>
                    <m:r>
                      <m:rPr>
                        <m:sty m:val="p"/>
                      </m:rPr>
                      <w:rPr>
                        <w:rFonts w:ascii="Cambria Math" w:eastAsia="Georgia" w:hAnsi="Cambria Math"/>
                        <w:color w:val="000000"/>
                        <w:vertAlign w:val="superscript"/>
                      </w:rPr>
                      <m:t>0</m:t>
                    </m:r>
                  </m:sub>
                </m:sSub>
                <m:r>
                  <m:rPr>
                    <m:sty m:val="p"/>
                  </m:rPr>
                  <w:rPr>
                    <w:rFonts w:ascii="Cambria Math" w:eastAsia="Georgia" w:hAnsi="Cambria Math"/>
                    <w:color w:val="000000"/>
                    <w:vertAlign w:val="superscript"/>
                  </w:rPr>
                  <m:t>(</m:t>
                </m:r>
                <m:r>
                  <w:rPr>
                    <w:rFonts w:ascii="Cambria Math" w:eastAsia="Georgia" w:hAnsi="Cambria Math"/>
                    <w:color w:val="000000"/>
                    <w:vertAlign w:val="superscript"/>
                  </w:rPr>
                  <m:t>t</m:t>
                </m:r>
                <m:r>
                  <m:rPr>
                    <m:sty m:val="p"/>
                  </m:rPr>
                  <w:rPr>
                    <w:rFonts w:ascii="Cambria Math" w:eastAsia="Georgia" w:hAnsi="Cambria Math"/>
                    <w:color w:val="000000"/>
                    <w:vertAlign w:val="superscript"/>
                  </w:rPr>
                  <m:t>)⋅exp⁡(</m:t>
                </m:r>
                <m:sSubSup>
                  <m:sSubSupPr>
                    <m:ctrlPr>
                      <w:rPr>
                        <w:rFonts w:ascii="Cambria Math" w:eastAsia="Georgia" w:hAnsi="Cambria Math"/>
                        <w:color w:val="000000"/>
                        <w:vertAlign w:val="superscript"/>
                      </w:rPr>
                    </m:ctrlPr>
                  </m:sSubSupPr>
                  <m:e>
                    <m:r>
                      <w:rPr>
                        <w:rFonts w:ascii="Cambria Math" w:eastAsia="Georgia" w:hAnsi="Cambria Math"/>
                        <w:color w:val="000000"/>
                        <w:vertAlign w:val="superscript"/>
                      </w:rPr>
                      <m:t>x</m:t>
                    </m:r>
                  </m:e>
                  <m:sub>
                    <m:r>
                      <w:rPr>
                        <w:rFonts w:ascii="Cambria Math" w:eastAsia="Georgia" w:hAnsi="Cambria Math"/>
                        <w:color w:val="000000"/>
                        <w:vertAlign w:val="superscript"/>
                      </w:rPr>
                      <m:t>i</m:t>
                    </m:r>
                  </m:sub>
                  <m:sup>
                    <m:r>
                      <m:rPr>
                        <m:sty m:val="p"/>
                      </m:rPr>
                      <w:rPr>
                        <w:rFonts w:ascii="Cambria Math" w:eastAsia="Georgia" w:hAnsi="Cambria Math"/>
                        <w:color w:val="000000"/>
                        <w:vertAlign w:val="superscript"/>
                      </w:rPr>
                      <m:t>'</m:t>
                    </m:r>
                  </m:sup>
                </m:sSubSup>
                <m:r>
                  <w:rPr>
                    <w:rFonts w:ascii="Cambria Math" w:eastAsia="Georgia" w:hAnsi="Cambria Math"/>
                    <w:color w:val="000000"/>
                    <w:vertAlign w:val="superscript"/>
                  </w:rPr>
                  <m:t>β</m:t>
                </m:r>
                <m:r>
                  <m:rPr>
                    <m:sty m:val="p"/>
                  </m:rPr>
                  <w:rPr>
                    <w:rFonts w:ascii="Cambria Math" w:eastAsia="Georgia" w:hAnsi="Cambria Math"/>
                    <w:color w:val="000000"/>
                    <w:vertAlign w:val="superscript"/>
                  </w:rPr>
                  <m:t xml:space="preserve">) </m:t>
                </m:r>
              </m:oMath>
            </m:oMathPara>
          </w:p>
        </w:tc>
        <w:tc>
          <w:tcPr>
            <w:tcW w:w="389" w:type="dxa"/>
          </w:tcPr>
          <w:p w14:paraId="589ABA08" w14:textId="4D2BF9E4" w:rsidR="00C26CBD" w:rsidRPr="001B188B" w:rsidRDefault="00C26CBD" w:rsidP="00B7105A">
            <w:pPr>
              <w:spacing w:after="240"/>
              <w:jc w:val="both"/>
              <w:rPr>
                <w:rFonts w:eastAsia="Georgia"/>
                <w:color w:val="000000"/>
              </w:rPr>
            </w:pPr>
            <w:r w:rsidRPr="001B188B">
              <w:rPr>
                <w:rFonts w:eastAsia="Georgia"/>
                <w:color w:val="000000"/>
              </w:rPr>
              <w:t>(1)</w:t>
            </w:r>
          </w:p>
        </w:tc>
      </w:tr>
    </w:tbl>
    <w:p w14:paraId="28333861" w14:textId="2BB15469" w:rsidR="00C26CBD" w:rsidRPr="001B188B" w:rsidRDefault="00C26CBD" w:rsidP="00B7105A">
      <w:pPr>
        <w:jc w:val="both"/>
      </w:pPr>
      <w:r w:rsidRPr="001B188B">
        <w:rPr>
          <w:rFonts w:eastAsia="Georgia"/>
          <w:color w:val="000000"/>
        </w:rPr>
        <w:t xml:space="preserve">where </w:t>
      </w:r>
      <m:oMath>
        <m:r>
          <w:rPr>
            <w:rFonts w:ascii="Cambria Math" w:hAnsi="Cambria Math"/>
            <w:color w:val="000000"/>
          </w:rPr>
          <m:t>h</m:t>
        </m:r>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sub>
        </m:sSub>
        <m:r>
          <m:rPr>
            <m:sty m:val="p"/>
          </m:rPr>
          <w:rPr>
            <w:rFonts w:ascii="Cambria Math" w:hAnsi="Cambria Math"/>
            <w:color w:val="000000"/>
          </w:rPr>
          <m:t>)</m:t>
        </m:r>
      </m:oMath>
      <w:r w:rsidRPr="001B188B">
        <w:rPr>
          <w:rFonts w:eastAsia="Georgia"/>
          <w:color w:val="000000"/>
        </w:rPr>
        <w:t xml:space="preserve"> is the instantaneous hazard of death at time </w:t>
      </w:r>
      <m:oMath>
        <m:r>
          <w:rPr>
            <w:rFonts w:ascii="Cambria Math" w:hAnsi="Cambria Math"/>
            <w:color w:val="000000"/>
          </w:rPr>
          <m:t>t</m:t>
        </m:r>
      </m:oMath>
      <w:r w:rsidRPr="001B188B">
        <w:rPr>
          <w:rFonts w:eastAsia="Georgia"/>
          <w:color w:val="000000"/>
        </w:rPr>
        <w:t xml:space="preserve"> for the </w:t>
      </w:r>
      <m:oMath>
        <m:r>
          <w:rPr>
            <w:rFonts w:ascii="Cambria Math" w:hAnsi="Cambria Math"/>
            <w:color w:val="000000"/>
          </w:rPr>
          <m:t>i</m:t>
        </m:r>
      </m:oMath>
      <w:r w:rsidRPr="001B188B">
        <w:rPr>
          <w:rFonts w:eastAsia="Georgia"/>
          <w:color w:val="000000"/>
        </w:rPr>
        <w:t xml:space="preserve">-th subject; </w:t>
      </w:r>
      <m:oMath>
        <m:sSub>
          <m:sSubPr>
            <m:ctrlPr>
              <w:rPr>
                <w:rFonts w:ascii="Cambria Math" w:hAnsi="Cambria Math"/>
                <w:color w:val="000000"/>
              </w:rPr>
            </m:ctrlPr>
          </m:sSubPr>
          <m:e>
            <m:r>
              <w:rPr>
                <w:rFonts w:ascii="Cambria Math" w:hAnsi="Cambria Math"/>
                <w:color w:val="000000"/>
              </w:rPr>
              <m:t>h</m:t>
            </m:r>
          </m:e>
          <m:sub>
            <m:r>
              <m:rPr>
                <m:sty m:val="p"/>
              </m:rPr>
              <w:rPr>
                <w:rFonts w:ascii="Cambria Math" w:hAnsi="Cambria Math"/>
                <w:color w:val="000000"/>
              </w:rPr>
              <m:t>0</m:t>
            </m:r>
          </m:sub>
        </m:sSub>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oMath>
      <w:r w:rsidRPr="001B188B">
        <w:rPr>
          <w:rFonts w:eastAsia="Georgia"/>
          <w:color w:val="000000"/>
        </w:rPr>
        <w:t xml:space="preserve"> is the baseline hazard (the hazard when all covariates equal zero); </w:t>
      </w:r>
      <m:oMath>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r>
              <m:rPr>
                <m:sty m:val="p"/>
              </m:rPr>
              <w:rPr>
                <w:rFonts w:ascii="Cambria Math" w:hAnsi="Cambria Math"/>
                <w:color w:val="000000"/>
              </w:rPr>
              <m:t>1</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r>
              <m:rPr>
                <m:sty m:val="p"/>
              </m:rPr>
              <w:rPr>
                <w:rFonts w:ascii="Cambria Math" w:hAnsi="Cambria Math"/>
                <w:color w:val="000000"/>
              </w:rPr>
              <m:t>2</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ip</m:t>
            </m:r>
          </m:sub>
        </m:sSub>
        <m:sSup>
          <m:sSupPr>
            <m:ctrlPr>
              <w:rPr>
                <w:rFonts w:ascii="Cambria Math" w:hAnsi="Cambria Math"/>
                <w:color w:val="000000"/>
              </w:rPr>
            </m:ctrlPr>
          </m:sSupPr>
          <m:e>
            <m:r>
              <m:rPr>
                <m:sty m:val="p"/>
              </m:rPr>
              <w:rPr>
                <w:rFonts w:ascii="Cambria Math" w:hAnsi="Cambria Math"/>
                <w:color w:val="000000"/>
              </w:rPr>
              <m:t>)</m:t>
            </m:r>
          </m:e>
          <m:sup>
            <m:r>
              <m:rPr>
                <m:sty m:val="p"/>
              </m:rPr>
              <w:rPr>
                <w:rFonts w:ascii="Cambria Math" w:hAnsi="Cambria Math"/>
                <w:color w:val="000000"/>
              </w:rPr>
              <m:t>'</m:t>
            </m:r>
          </m:sup>
        </m:sSup>
      </m:oMath>
      <w:r w:rsidRPr="001B188B">
        <w:rPr>
          <w:rFonts w:eastAsia="Georgia"/>
          <w:color w:val="000000"/>
        </w:rPr>
        <w:t xml:space="preserve"> is the </w:t>
      </w:r>
      <m:oMath>
        <m:r>
          <w:rPr>
            <w:rFonts w:ascii="Cambria Math" w:hAnsi="Cambria Math"/>
            <w:color w:val="000000"/>
          </w:rPr>
          <m:t>p</m:t>
        </m:r>
      </m:oMath>
      <w:r w:rsidRPr="001B188B">
        <w:rPr>
          <w:rFonts w:eastAsia="Georgia"/>
          <w:color w:val="000000"/>
        </w:rPr>
        <w:t xml:space="preserve">-dimensional covariate vector; </w:t>
      </w:r>
      <m:oMath>
        <m:r>
          <w:rPr>
            <w:rFonts w:ascii="Cambria Math" w:hAnsi="Cambria Math"/>
            <w:color w:val="000000"/>
          </w:rPr>
          <m:t>β</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β</m:t>
            </m:r>
          </m:e>
          <m:sub>
            <m:r>
              <m:rPr>
                <m:sty m:val="p"/>
              </m:rPr>
              <w:rPr>
                <w:rFonts w:ascii="Cambria Math" w:hAnsi="Cambria Math"/>
                <w:color w:val="000000"/>
              </w:rPr>
              <m:t>1</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β</m:t>
            </m:r>
          </m:e>
          <m:sub>
            <m:r>
              <m:rPr>
                <m:sty m:val="p"/>
              </m:rPr>
              <w:rPr>
                <w:rFonts w:ascii="Cambria Math" w:hAnsi="Cambria Math"/>
                <w:color w:val="000000"/>
              </w:rPr>
              <m:t>2</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β</m:t>
            </m:r>
          </m:e>
          <m:sub>
            <m:r>
              <w:rPr>
                <w:rFonts w:ascii="Cambria Math" w:hAnsi="Cambria Math"/>
                <w:color w:val="000000"/>
              </w:rPr>
              <m:t>p</m:t>
            </m:r>
          </m:sub>
        </m:sSub>
        <m:sSup>
          <m:sSupPr>
            <m:ctrlPr>
              <w:rPr>
                <w:rFonts w:ascii="Cambria Math" w:hAnsi="Cambria Math"/>
                <w:color w:val="000000"/>
              </w:rPr>
            </m:ctrlPr>
          </m:sSupPr>
          <m:e>
            <m:r>
              <m:rPr>
                <m:sty m:val="p"/>
              </m:rPr>
              <w:rPr>
                <w:rFonts w:ascii="Cambria Math" w:hAnsi="Cambria Math"/>
                <w:color w:val="000000"/>
              </w:rPr>
              <m:t>)</m:t>
            </m:r>
          </m:e>
          <m:sup>
            <m:r>
              <m:rPr>
                <m:sty m:val="p"/>
              </m:rPr>
              <w:rPr>
                <w:rFonts w:ascii="Cambria Math" w:hAnsi="Cambria Math"/>
                <w:color w:val="000000"/>
              </w:rPr>
              <m:t>'</m:t>
            </m:r>
          </m:sup>
        </m:sSup>
      </m:oMath>
      <w:r w:rsidRPr="001B188B">
        <w:rPr>
          <w:rFonts w:eastAsia="Georgia"/>
          <w:color w:val="000000"/>
        </w:rPr>
        <w:t xml:space="preserve"> is the vector of log-hazard-ratio coefficients; and </w:t>
      </w:r>
      <m:oMath>
        <m:r>
          <m:rPr>
            <m:sty m:val="p"/>
          </m:rPr>
          <w:rPr>
            <w:rFonts w:ascii="Cambria Math" w:hAnsi="Cambria Math"/>
            <w:color w:val="000000"/>
          </w:rPr>
          <m:t>exp⁡(</m:t>
        </m:r>
        <m:sSub>
          <m:sSubPr>
            <m:ctrlPr>
              <w:rPr>
                <w:rFonts w:ascii="Cambria Math" w:hAnsi="Cambria Math"/>
                <w:color w:val="000000"/>
              </w:rPr>
            </m:ctrlPr>
          </m:sSubPr>
          <m:e>
            <m:r>
              <w:rPr>
                <w:rFonts w:ascii="Cambria Math" w:hAnsi="Cambria Math"/>
                <w:color w:val="000000"/>
              </w:rPr>
              <m:t>β</m:t>
            </m:r>
          </m:e>
          <m:sub>
            <m:r>
              <w:rPr>
                <w:rFonts w:ascii="Cambria Math" w:hAnsi="Cambria Math"/>
                <w:color w:val="000000"/>
              </w:rPr>
              <m:t>k</m:t>
            </m:r>
          </m:sub>
        </m:sSub>
        <m:r>
          <m:rPr>
            <m:sty m:val="p"/>
          </m:rPr>
          <w:rPr>
            <w:rFonts w:ascii="Cambria Math" w:hAnsi="Cambria Math"/>
            <w:color w:val="000000"/>
          </w:rPr>
          <m:t>)=</m:t>
        </m:r>
        <m:sSub>
          <m:sSubPr>
            <m:ctrlPr>
              <w:rPr>
                <w:rFonts w:ascii="Cambria Math" w:hAnsi="Cambria Math"/>
                <w:color w:val="000000"/>
              </w:rPr>
            </m:ctrlPr>
          </m:sSubPr>
          <m:e>
            <m:r>
              <m:rPr>
                <m:nor/>
              </m:rPr>
              <w:rPr>
                <w:color w:val="000000"/>
              </w:rPr>
              <m:t>HR</m:t>
            </m:r>
          </m:e>
          <m:sub>
            <m:r>
              <w:rPr>
                <w:rFonts w:ascii="Cambria Math" w:hAnsi="Cambria Math"/>
                <w:color w:val="000000"/>
              </w:rPr>
              <m:t>k</m:t>
            </m:r>
          </m:sub>
        </m:sSub>
      </m:oMath>
      <w:r w:rsidRPr="001B188B">
        <w:rPr>
          <w:rFonts w:eastAsia="Georgia"/>
          <w:color w:val="000000"/>
        </w:rPr>
        <w:t xml:space="preserve"> is the hazard ratio for the </w:t>
      </w:r>
      <m:oMath>
        <m:r>
          <w:rPr>
            <w:rFonts w:ascii="Cambria Math" w:hAnsi="Cambria Math"/>
            <w:color w:val="000000"/>
          </w:rPr>
          <m:t>k</m:t>
        </m:r>
      </m:oMath>
      <w:r w:rsidRPr="001B188B">
        <w:rPr>
          <w:rFonts w:eastAsia="Georgia"/>
          <w:color w:val="000000"/>
        </w:rPr>
        <w:t xml:space="preserve">-th covariate, representing the multiplicative change in instantaneous hazard per unit increase in </w:t>
      </w:r>
      <m:oMath>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k</m:t>
            </m:r>
          </m:sub>
        </m:sSub>
      </m:oMath>
      <w:r w:rsidRPr="001B188B">
        <w:rPr>
          <w:rFonts w:eastAsia="Georgia"/>
          <w:color w:val="000000"/>
        </w:rPr>
        <w:t>.</w:t>
      </w:r>
      <w:bookmarkStart w:id="2" w:name="fnref1"/>
      <w:bookmarkEnd w:id="2"/>
      <w:r w:rsidRPr="001B188B">
        <w:t xml:space="preserve"> </w:t>
      </w:r>
    </w:p>
    <w:p w14:paraId="50069AEF" w14:textId="425B6426" w:rsidR="00C26CBD" w:rsidRPr="001B188B" w:rsidRDefault="00C26CBD" w:rsidP="00B7105A">
      <w:pPr>
        <w:jc w:val="both"/>
      </w:pPr>
      <w:r w:rsidRPr="001B188B">
        <w:rPr>
          <w:rFonts w:eastAsia="Georgia"/>
          <w:color w:val="000000"/>
        </w:rPr>
        <w:t xml:space="preserve">The four models differ solely in the specification of </w:t>
      </w:r>
      <m:oMath>
        <m:sSub>
          <m:sSubPr>
            <m:ctrlPr>
              <w:rPr>
                <w:rFonts w:ascii="Cambria Math" w:hAnsi="Cambria Math"/>
                <w:color w:val="000000"/>
              </w:rPr>
            </m:ctrlPr>
          </m:sSubPr>
          <m:e>
            <m:r>
              <w:rPr>
                <w:rFonts w:ascii="Cambria Math" w:hAnsi="Cambria Math"/>
                <w:color w:val="000000"/>
              </w:rPr>
              <m:t>h</m:t>
            </m:r>
          </m:e>
          <m:sub>
            <m:r>
              <m:rPr>
                <m:sty m:val="p"/>
              </m:rPr>
              <w:rPr>
                <w:rFonts w:ascii="Cambria Math" w:hAnsi="Cambria Math"/>
                <w:color w:val="000000"/>
              </w:rPr>
              <m:t>0</m:t>
            </m:r>
          </m:sub>
        </m:sSub>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oMath>
      <w:r w:rsidRPr="001B188B">
        <w:rPr>
          <w:rFonts w:eastAsia="Georgia"/>
          <w:color w:val="000000"/>
        </w:rPr>
        <w:t xml:space="preserve">. The Cox model leaves </w:t>
      </w:r>
      <m:oMath>
        <m:sSub>
          <m:sSubPr>
            <m:ctrlPr>
              <w:rPr>
                <w:rFonts w:ascii="Cambria Math" w:hAnsi="Cambria Math"/>
                <w:color w:val="000000"/>
              </w:rPr>
            </m:ctrlPr>
          </m:sSubPr>
          <m:e>
            <m:r>
              <w:rPr>
                <w:rFonts w:ascii="Cambria Math" w:hAnsi="Cambria Math"/>
                <w:color w:val="000000"/>
              </w:rPr>
              <m:t>h</m:t>
            </m:r>
          </m:e>
          <m:sub>
            <m:r>
              <m:rPr>
                <m:sty m:val="p"/>
              </m:rPr>
              <w:rPr>
                <w:rFonts w:ascii="Cambria Math" w:hAnsi="Cambria Math"/>
                <w:color w:val="000000"/>
              </w:rPr>
              <m:t>0</m:t>
            </m:r>
          </m:sub>
        </m:sSub>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oMath>
      <w:r w:rsidRPr="001B188B">
        <w:rPr>
          <w:rFonts w:eastAsia="Georgia"/>
          <w:color w:val="000000"/>
        </w:rPr>
        <w:t xml:space="preserve"> entirely unspecified (semiparametric), whereas the exponential, Weibull, and Gompertz models parameterise it as explicit functions </w:t>
      </w:r>
      <w:r w:rsidRPr="001B188B">
        <w:rPr>
          <w:rFonts w:eastAsia="Georgia"/>
          <w:color w:val="000000"/>
        </w:rPr>
        <w:lastRenderedPageBreak/>
        <w:t>of time (fully parametric)</w:t>
      </w:r>
      <w:r w:rsidR="00DD67C4">
        <w:t xml:space="preserve"> </w:t>
      </w:r>
      <w:r w:rsidR="00DD67C4" w:rsidRPr="00DD67C4">
        <w:rPr>
          <w:vertAlign w:val="superscript"/>
        </w:rPr>
        <w:fldChar w:fldCharType="begin"/>
      </w:r>
      <w:r w:rsidR="00DD67C4" w:rsidRPr="00DD67C4">
        <w:rPr>
          <w:vertAlign w:val="superscript"/>
        </w:rPr>
        <w:instrText xml:space="preserve"> REF _Ref223726066 \r \h </w:instrText>
      </w:r>
      <w:r w:rsidR="00DD67C4">
        <w:rPr>
          <w:vertAlign w:val="superscript"/>
        </w:rPr>
        <w:instrText xml:space="preserve"> \* MERGEFORMAT </w:instrText>
      </w:r>
      <w:r w:rsidR="00DD67C4" w:rsidRPr="00DD67C4">
        <w:rPr>
          <w:vertAlign w:val="superscript"/>
        </w:rPr>
      </w:r>
      <w:r w:rsidR="00DD67C4" w:rsidRPr="00DD67C4">
        <w:rPr>
          <w:vertAlign w:val="superscript"/>
        </w:rPr>
        <w:fldChar w:fldCharType="separate"/>
      </w:r>
      <w:r w:rsidR="00DD67C4" w:rsidRPr="00DD67C4">
        <w:rPr>
          <w:vertAlign w:val="superscript"/>
        </w:rPr>
        <w:t>12</w:t>
      </w:r>
      <w:r w:rsidR="00DD67C4" w:rsidRPr="00DD67C4">
        <w:rPr>
          <w:vertAlign w:val="superscript"/>
        </w:rPr>
        <w:fldChar w:fldCharType="end"/>
      </w:r>
      <w:r w:rsidR="00DD67C4" w:rsidRPr="00DD67C4">
        <w:rPr>
          <w:vertAlign w:val="superscript"/>
        </w:rPr>
        <w:t>,</w:t>
      </w:r>
      <w:r w:rsidR="00DD67C4" w:rsidRPr="00DD67C4">
        <w:rPr>
          <w:vertAlign w:val="superscript"/>
        </w:rPr>
        <w:fldChar w:fldCharType="begin"/>
      </w:r>
      <w:r w:rsidR="00DD67C4" w:rsidRPr="00DD67C4">
        <w:rPr>
          <w:vertAlign w:val="superscript"/>
        </w:rPr>
        <w:instrText xml:space="preserve"> REF _Ref223726070 \r \h </w:instrText>
      </w:r>
      <w:r w:rsidR="00DD67C4">
        <w:rPr>
          <w:vertAlign w:val="superscript"/>
        </w:rPr>
        <w:instrText xml:space="preserve"> \* MERGEFORMAT </w:instrText>
      </w:r>
      <w:r w:rsidR="00DD67C4" w:rsidRPr="00DD67C4">
        <w:rPr>
          <w:vertAlign w:val="superscript"/>
        </w:rPr>
      </w:r>
      <w:r w:rsidR="00DD67C4" w:rsidRPr="00DD67C4">
        <w:rPr>
          <w:vertAlign w:val="superscript"/>
        </w:rPr>
        <w:fldChar w:fldCharType="separate"/>
      </w:r>
      <w:r w:rsidR="00DD67C4" w:rsidRPr="00DD67C4">
        <w:rPr>
          <w:vertAlign w:val="superscript"/>
        </w:rPr>
        <w:t>13</w:t>
      </w:r>
      <w:r w:rsidR="00DD67C4" w:rsidRPr="00DD67C4">
        <w:rPr>
          <w:vertAlign w:val="superscript"/>
        </w:rPr>
        <w:fldChar w:fldCharType="end"/>
      </w:r>
      <w:r w:rsidRPr="001B188B">
        <w:rPr>
          <w:rFonts w:eastAsia="Georgia"/>
          <w:color w:val="000000"/>
        </w:rPr>
        <w:t xml:space="preserve">. Covariate effects </w:t>
      </w:r>
      <m:oMath>
        <m:r>
          <m:rPr>
            <m:sty m:val="p"/>
          </m:rPr>
          <w:rPr>
            <w:rFonts w:ascii="Cambria Math" w:hAnsi="Cambria Math"/>
            <w:color w:val="000000"/>
          </w:rPr>
          <m:t>exp⁡(</m:t>
        </m:r>
        <m:r>
          <w:rPr>
            <w:rFonts w:ascii="Cambria Math" w:hAnsi="Cambria Math"/>
            <w:color w:val="000000"/>
          </w:rPr>
          <m:t>β</m:t>
        </m:r>
        <m:r>
          <m:rPr>
            <m:sty m:val="p"/>
          </m:rPr>
          <w:rPr>
            <w:rFonts w:ascii="Cambria Math" w:hAnsi="Cambria Math"/>
            <w:color w:val="000000"/>
          </w:rPr>
          <m:t>)</m:t>
        </m:r>
      </m:oMath>
      <w:r w:rsidRPr="001B188B">
        <w:rPr>
          <w:rFonts w:eastAsia="Georgia"/>
          <w:color w:val="000000"/>
        </w:rPr>
        <w:t xml:space="preserve"> are interpreted identically across all four specifications.</w:t>
      </w:r>
    </w:p>
    <w:p w14:paraId="2872976C" w14:textId="77777777" w:rsidR="00C26CBD" w:rsidRPr="001B188B" w:rsidRDefault="00C26CBD" w:rsidP="00B7105A">
      <w:pPr>
        <w:ind w:left="-30"/>
        <w:jc w:val="both"/>
      </w:pPr>
      <w:bookmarkStart w:id="3" w:name="bm_2_5_2_cox_semiparametric_propo_44a5c2"/>
      <w:r w:rsidRPr="001B188B">
        <w:rPr>
          <w:rFonts w:eastAsia="Georgia"/>
          <w:b/>
          <w:color w:val="000000"/>
        </w:rPr>
        <w:t>Cox Semiparametric Proportional Hazards Model</w:t>
      </w:r>
      <w:bookmarkEnd w:id="3"/>
    </w:p>
    <w:p w14:paraId="4F27C07B" w14:textId="77777777" w:rsidR="00C26CBD" w:rsidRPr="001B188B" w:rsidRDefault="00C26CBD" w:rsidP="00B7105A">
      <w:pPr>
        <w:jc w:val="both"/>
        <w:rPr>
          <w:rFonts w:eastAsia="Georgia"/>
          <w:color w:val="000000"/>
        </w:rPr>
      </w:pPr>
      <w:r w:rsidRPr="001B188B">
        <w:rPr>
          <w:rFonts w:eastAsia="Georgia"/>
          <w:color w:val="000000"/>
        </w:rPr>
        <w:t xml:space="preserve">The Cox model estimates </w:t>
      </w:r>
      <m:oMath>
        <m:r>
          <w:rPr>
            <w:rFonts w:ascii="Cambria Math" w:hAnsi="Cambria Math"/>
            <w:color w:val="000000"/>
          </w:rPr>
          <m:t>β</m:t>
        </m:r>
      </m:oMath>
      <w:r w:rsidRPr="001B188B">
        <w:rPr>
          <w:rFonts w:eastAsia="Georgia"/>
          <w:color w:val="000000"/>
        </w:rPr>
        <w:t xml:space="preserve"> without specifying </w:t>
      </w:r>
      <m:oMath>
        <m:sSub>
          <m:sSubPr>
            <m:ctrlPr>
              <w:rPr>
                <w:rFonts w:ascii="Cambria Math" w:hAnsi="Cambria Math"/>
                <w:color w:val="000000"/>
              </w:rPr>
            </m:ctrlPr>
          </m:sSubPr>
          <m:e>
            <m:r>
              <w:rPr>
                <w:rFonts w:ascii="Cambria Math" w:hAnsi="Cambria Math"/>
                <w:color w:val="000000"/>
              </w:rPr>
              <m:t>h</m:t>
            </m:r>
          </m:e>
          <m:sub>
            <m:r>
              <m:rPr>
                <m:sty m:val="p"/>
              </m:rPr>
              <w:rPr>
                <w:rFonts w:ascii="Cambria Math" w:hAnsi="Cambria Math"/>
                <w:color w:val="000000"/>
              </w:rPr>
              <m:t>0</m:t>
            </m:r>
          </m:sub>
        </m:sSub>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oMath>
      <w:r w:rsidRPr="001B188B">
        <w:rPr>
          <w:rFonts w:eastAsia="Georgia"/>
          <w:color w:val="000000"/>
        </w:rPr>
        <w:t>, using the partial likelihood: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2"/>
        <w:gridCol w:w="496"/>
      </w:tblGrid>
      <w:tr w:rsidR="009F7638" w:rsidRPr="001B188B" w14:paraId="5A58D4F0" w14:textId="77777777" w:rsidTr="007A58F6">
        <w:tc>
          <w:tcPr>
            <w:tcW w:w="10627" w:type="dxa"/>
          </w:tcPr>
          <w:p w14:paraId="463EBF2E" w14:textId="07EA2D33" w:rsidR="009F7638" w:rsidRPr="001B188B" w:rsidRDefault="009F7638" w:rsidP="00B7105A">
            <w:pPr>
              <w:spacing w:after="240"/>
              <w:jc w:val="both"/>
            </w:pPr>
            <m:oMathPara>
              <m:oMath>
                <m:r>
                  <w:rPr>
                    <w:rFonts w:ascii="Cambria Math" w:hAnsi="Cambria Math"/>
                    <w:color w:val="000000"/>
                  </w:rPr>
                  <m:t>L</m:t>
                </m:r>
                <m:r>
                  <m:rPr>
                    <m:sty m:val="p"/>
                  </m:rPr>
                  <w:rPr>
                    <w:rFonts w:ascii="Cambria Math" w:hAnsi="Cambria Math"/>
                    <w:color w:val="000000"/>
                  </w:rPr>
                  <m:t>(</m:t>
                </m:r>
                <m:r>
                  <w:rPr>
                    <w:rFonts w:ascii="Cambria Math" w:hAnsi="Cambria Math"/>
                    <w:color w:val="000000"/>
                  </w:rPr>
                  <m:t>β</m:t>
                </m:r>
                <m:r>
                  <m:rPr>
                    <m:sty m:val="p"/>
                  </m:rPr>
                  <w:rPr>
                    <w:rFonts w:ascii="Cambria Math" w:hAnsi="Cambria Math"/>
                    <w:color w:val="000000"/>
                  </w:rPr>
                  <m:t>)=</m:t>
                </m:r>
                <m:nary>
                  <m:naryPr>
                    <m:chr m:val="∏"/>
                    <m:limLoc m:val="undOvr"/>
                    <m:grow m:val="1"/>
                    <m:supHide m:val="1"/>
                    <m:ctrlPr>
                      <w:rPr>
                        <w:rFonts w:ascii="Cambria Math" w:hAnsi="Cambria Math"/>
                      </w:rPr>
                    </m:ctrlPr>
                  </m:naryPr>
                  <m:sub>
                    <m:r>
                      <w:rPr>
                        <w:rFonts w:ascii="Cambria Math" w:hAnsi="Cambria Math"/>
                        <w:color w:val="000000"/>
                      </w:rPr>
                      <m:t>i</m:t>
                    </m:r>
                    <m:r>
                      <m:rPr>
                        <m:sty m:val="p"/>
                      </m:rPr>
                      <w:rPr>
                        <w:rFonts w:ascii="Cambria Math" w:hAnsi="Cambria Math"/>
                        <w:color w:val="000000"/>
                      </w:rPr>
                      <m:t>∈</m:t>
                    </m:r>
                    <m:r>
                      <w:rPr>
                        <w:rFonts w:ascii="Cambria Math" w:hAnsi="Cambria Math"/>
                        <w:color w:val="000000"/>
                      </w:rPr>
                      <m:t>D</m:t>
                    </m:r>
                  </m:sub>
                  <m:sup/>
                  <m:e>
                    <m:r>
                      <m:rPr>
                        <m:sty m:val="p"/>
                      </m:rPr>
                      <w:rPr>
                        <w:rFonts w:ascii="Cambria Math" w:hAnsi="Cambria Math"/>
                        <w:color w:val="000000"/>
                      </w:rPr>
                      <m:t> </m:t>
                    </m:r>
                  </m:e>
                </m:nary>
                <m:f>
                  <m:fPr>
                    <m:ctrlPr>
                      <w:rPr>
                        <w:rFonts w:ascii="Cambria Math" w:hAnsi="Cambria Math"/>
                        <w:color w:val="000000"/>
                      </w:rPr>
                    </m:ctrlPr>
                  </m:fPr>
                  <m:num>
                    <m:r>
                      <m:rPr>
                        <m:sty m:val="p"/>
                      </m:rPr>
                      <w:rPr>
                        <w:rFonts w:ascii="Cambria Math" w:hAnsi="Cambria Math"/>
                        <w:color w:val="000000"/>
                      </w:rPr>
                      <m:t>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i</m:t>
                        </m:r>
                      </m:sub>
                      <m:sup>
                        <m:r>
                          <m:rPr>
                            <m:sty m:val="p"/>
                          </m:rPr>
                          <w:rPr>
                            <w:rFonts w:ascii="Cambria Math" w:hAnsi="Cambria Math"/>
                            <w:color w:val="000000"/>
                          </w:rPr>
                          <m:t>'</m:t>
                        </m:r>
                      </m:sup>
                    </m:sSubSup>
                    <m:r>
                      <w:rPr>
                        <w:rFonts w:ascii="Cambria Math" w:hAnsi="Cambria Math"/>
                        <w:color w:val="000000"/>
                      </w:rPr>
                      <m:t>β</m:t>
                    </m:r>
                    <m:r>
                      <m:rPr>
                        <m:sty m:val="p"/>
                      </m:rPr>
                      <w:rPr>
                        <w:rFonts w:ascii="Cambria Math" w:hAnsi="Cambria Math"/>
                        <w:color w:val="000000"/>
                      </w:rPr>
                      <m:t>)</m:t>
                    </m:r>
                  </m:num>
                  <m:den>
                    <m:nary>
                      <m:naryPr>
                        <m:chr m:val="∑"/>
                        <m:limLoc m:val="undOvr"/>
                        <m:grow m:val="1"/>
                        <m:supHide m:val="1"/>
                        <m:ctrlPr>
                          <w:rPr>
                            <w:rFonts w:ascii="Cambria Math" w:hAnsi="Cambria Math"/>
                          </w:rPr>
                        </m:ctrlPr>
                      </m:naryPr>
                      <m:sub>
                        <m:r>
                          <w:rPr>
                            <w:rFonts w:ascii="Cambria Math" w:hAnsi="Cambria Math"/>
                            <w:color w:val="000000"/>
                          </w:rPr>
                          <m:t>j</m:t>
                        </m:r>
                        <m:r>
                          <m:rPr>
                            <m:sty m:val="p"/>
                          </m:rPr>
                          <w:rPr>
                            <w:rFonts w:ascii="Cambria Math" w:hAnsi="Cambria Math"/>
                            <w:color w:val="000000"/>
                          </w:rPr>
                          <m:t>∈</m:t>
                        </m:r>
                        <m:r>
                          <w:rPr>
                            <w:rFonts w:ascii="Cambria Math" w:hAnsi="Cambria Math"/>
                            <w:color w:val="000000"/>
                          </w:rPr>
                          <m:t>R</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r>
                          <m:rPr>
                            <m:sty m:val="p"/>
                          </m:rPr>
                          <w:rPr>
                            <w:rFonts w:ascii="Cambria Math" w:hAnsi="Cambria Math"/>
                            <w:color w:val="000000"/>
                          </w:rPr>
                          <m:t>)</m:t>
                        </m:r>
                      </m:sub>
                      <m:sup/>
                      <m:e>
                        <m:r>
                          <m:rPr>
                            <m:sty m:val="p"/>
                          </m:rPr>
                          <w:rPr>
                            <w:rFonts w:ascii="Cambria Math" w:hAnsi="Cambria Math"/>
                            <w:color w:val="000000"/>
                          </w:rPr>
                          <m:t> </m:t>
                        </m:r>
                      </m:e>
                    </m:nary>
                    <m:r>
                      <m:rPr>
                        <m:sty m:val="p"/>
                      </m:rPr>
                      <w:rPr>
                        <w:rFonts w:ascii="Cambria Math" w:hAnsi="Cambria Math"/>
                        <w:color w:val="000000"/>
                      </w:rPr>
                      <m:t> exp⁡(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j</m:t>
                        </m:r>
                      </m:sub>
                      <m:sup>
                        <m:r>
                          <m:rPr>
                            <m:sty m:val="p"/>
                          </m:rPr>
                          <w:rPr>
                            <w:rFonts w:ascii="Cambria Math" w:hAnsi="Cambria Math"/>
                            <w:color w:val="000000"/>
                          </w:rPr>
                          <m:t>'</m:t>
                        </m:r>
                      </m:sup>
                    </m:sSubSup>
                    <m:r>
                      <w:rPr>
                        <w:rFonts w:ascii="Cambria Math" w:hAnsi="Cambria Math"/>
                        <w:color w:val="000000"/>
                      </w:rPr>
                      <m:t>β</m:t>
                    </m:r>
                    <m:r>
                      <m:rPr>
                        <m:sty m:val="p"/>
                      </m:rPr>
                      <w:rPr>
                        <w:rFonts w:ascii="Cambria Math" w:hAnsi="Cambria Math"/>
                        <w:color w:val="000000"/>
                      </w:rPr>
                      <m:t>)</m:t>
                    </m:r>
                  </m:den>
                </m:f>
                <m:r>
                  <m:rPr>
                    <m:sty m:val="p"/>
                  </m:rPr>
                  <w:rPr>
                    <w:rFonts w:ascii="Cambria Math" w:hAnsi="Cambria Math"/>
                    <w:color w:val="000000"/>
                  </w:rPr>
                  <m:t xml:space="preserve"> </m:t>
                </m:r>
              </m:oMath>
            </m:oMathPara>
          </w:p>
        </w:tc>
        <w:tc>
          <w:tcPr>
            <w:tcW w:w="389" w:type="dxa"/>
          </w:tcPr>
          <w:p w14:paraId="70391EA0" w14:textId="212A60F9" w:rsidR="009F7638" w:rsidRPr="001B188B" w:rsidRDefault="009F7638" w:rsidP="00B7105A">
            <w:pPr>
              <w:spacing w:after="240"/>
              <w:jc w:val="both"/>
              <w:rPr>
                <w:rFonts w:eastAsia="Georgia"/>
                <w:color w:val="000000"/>
              </w:rPr>
            </w:pPr>
            <w:r w:rsidRPr="001B188B">
              <w:rPr>
                <w:rFonts w:eastAsia="Georgia"/>
                <w:color w:val="000000"/>
              </w:rPr>
              <w:t>(2)</w:t>
            </w:r>
          </w:p>
        </w:tc>
      </w:tr>
    </w:tbl>
    <w:p w14:paraId="5C0F2CBA" w14:textId="28332ABF" w:rsidR="00C26CBD" w:rsidRPr="001B188B" w:rsidRDefault="00C26CBD" w:rsidP="00B7105A">
      <w:pPr>
        <w:jc w:val="both"/>
        <w:rPr>
          <w:rFonts w:eastAsia="Georgia"/>
          <w:color w:val="000000"/>
        </w:rPr>
      </w:pPr>
      <w:r w:rsidRPr="001B188B">
        <w:rPr>
          <w:rFonts w:eastAsia="Georgia"/>
          <w:color w:val="000000"/>
        </w:rPr>
        <w:t xml:space="preserve">where </w:t>
      </w:r>
      <m:oMath>
        <m:r>
          <w:rPr>
            <w:rFonts w:ascii="Cambria Math" w:hAnsi="Cambria Math"/>
            <w:color w:val="000000"/>
          </w:rPr>
          <m:t>D</m:t>
        </m:r>
      </m:oMath>
      <w:r w:rsidRPr="001B188B">
        <w:rPr>
          <w:rFonts w:eastAsia="Georgia"/>
          <w:color w:val="000000"/>
        </w:rPr>
        <w:t xml:space="preserve"> is the set of observed death times; </w:t>
      </w:r>
      <m:oMath>
        <m:r>
          <w:rPr>
            <w:rFonts w:ascii="Cambria Math" w:hAnsi="Cambria Math"/>
            <w:color w:val="000000"/>
          </w:rPr>
          <m:t>R</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r>
          <m:rPr>
            <m:sty m:val="p"/>
          </m:rPr>
          <w:rPr>
            <w:rFonts w:ascii="Cambria Math" w:hAnsi="Cambria Math"/>
            <w:color w:val="000000"/>
          </w:rPr>
          <m:t>)</m:t>
        </m:r>
      </m:oMath>
      <w:r w:rsidRPr="001B188B">
        <w:rPr>
          <w:rFonts w:eastAsia="Georgia"/>
          <w:color w:val="000000"/>
        </w:rPr>
        <w:t xml:space="preserve"> is the risk set at time </w:t>
      </w:r>
      <m:oMath>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oMath>
      <w:r w:rsidRPr="001B188B">
        <w:rPr>
          <w:rFonts w:eastAsia="Georgia"/>
          <w:color w:val="000000"/>
        </w:rPr>
        <w:t xml:space="preserve">, comprising all individuals under observation at or immediately before </w:t>
      </w:r>
      <m:oMath>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oMath>
      <w:r w:rsidRPr="001B188B">
        <w:rPr>
          <w:rFonts w:eastAsia="Georgia"/>
          <w:color w:val="000000"/>
        </w:rPr>
        <w:t>; and the product is taken over all uncensored failure times</w:t>
      </w:r>
      <w:r w:rsidR="00054E2D">
        <w:rPr>
          <w:rFonts w:eastAsia="Georgia"/>
          <w:color w:val="000000"/>
        </w:rPr>
        <w:t xml:space="preserve"> </w:t>
      </w:r>
      <w:r w:rsidR="00054E2D" w:rsidRPr="00054E2D">
        <w:rPr>
          <w:rFonts w:eastAsia="Georgia"/>
          <w:color w:val="000000"/>
          <w:vertAlign w:val="superscript"/>
        </w:rPr>
        <w:fldChar w:fldCharType="begin"/>
      </w:r>
      <w:r w:rsidR="00054E2D" w:rsidRPr="00054E2D">
        <w:rPr>
          <w:rFonts w:eastAsia="Georgia"/>
          <w:color w:val="000000"/>
          <w:vertAlign w:val="superscript"/>
        </w:rPr>
        <w:instrText xml:space="preserve"> REF _Ref223725984 \r \h </w:instrText>
      </w:r>
      <w:r w:rsidR="00054E2D">
        <w:rPr>
          <w:rFonts w:eastAsia="Georgia"/>
          <w:color w:val="000000"/>
          <w:vertAlign w:val="superscript"/>
        </w:rPr>
        <w:instrText xml:space="preserve"> \* MERGEFORMAT </w:instrText>
      </w:r>
      <w:r w:rsidR="00054E2D" w:rsidRPr="00054E2D">
        <w:rPr>
          <w:rFonts w:eastAsia="Georgia"/>
          <w:color w:val="000000"/>
          <w:vertAlign w:val="superscript"/>
        </w:rPr>
      </w:r>
      <w:r w:rsidR="00054E2D" w:rsidRPr="00054E2D">
        <w:rPr>
          <w:rFonts w:eastAsia="Georgia"/>
          <w:color w:val="000000"/>
          <w:vertAlign w:val="superscript"/>
        </w:rPr>
        <w:fldChar w:fldCharType="separate"/>
      </w:r>
      <w:r w:rsidR="00054E2D" w:rsidRPr="00054E2D">
        <w:rPr>
          <w:rFonts w:eastAsia="Georgia"/>
          <w:color w:val="000000"/>
          <w:vertAlign w:val="superscript"/>
        </w:rPr>
        <w:t>11</w:t>
      </w:r>
      <w:r w:rsidR="00054E2D" w:rsidRPr="00054E2D">
        <w:rPr>
          <w:rFonts w:eastAsia="Georgia"/>
          <w:color w:val="000000"/>
          <w:vertAlign w:val="superscript"/>
        </w:rPr>
        <w:fldChar w:fldCharType="end"/>
      </w:r>
      <w:r w:rsidRPr="001B188B">
        <w:rPr>
          <w:rFonts w:eastAsia="Georgia"/>
          <w:color w:val="000000"/>
        </w:rPr>
        <w:t xml:space="preserve">. Tied event times were handled using the </w:t>
      </w:r>
      <w:proofErr w:type="spellStart"/>
      <w:r w:rsidRPr="001B188B">
        <w:rPr>
          <w:rFonts w:eastAsia="Georgia"/>
          <w:color w:val="000000"/>
        </w:rPr>
        <w:t>Breslow</w:t>
      </w:r>
      <w:proofErr w:type="spellEnd"/>
      <w:r w:rsidRPr="001B188B">
        <w:rPr>
          <w:rFonts w:eastAsia="Georgia"/>
          <w:color w:val="000000"/>
        </w:rPr>
        <w:t xml:space="preserve"> approximation</w:t>
      </w:r>
      <w:r w:rsidR="00054E2D">
        <w:rPr>
          <w:rFonts w:eastAsia="Georgia"/>
          <w:color w:val="000000"/>
        </w:rPr>
        <w:t xml:space="preserve"> </w:t>
      </w:r>
      <w:r w:rsidR="00054E2D" w:rsidRPr="00054E2D">
        <w:rPr>
          <w:rFonts w:eastAsia="Georgia"/>
          <w:color w:val="000000"/>
          <w:vertAlign w:val="superscript"/>
        </w:rPr>
        <w:fldChar w:fldCharType="begin"/>
      </w:r>
      <w:r w:rsidR="00054E2D" w:rsidRPr="00054E2D">
        <w:rPr>
          <w:rFonts w:eastAsia="Georgia"/>
          <w:color w:val="000000"/>
          <w:vertAlign w:val="superscript"/>
        </w:rPr>
        <w:instrText xml:space="preserve"> REF _Ref223725984 \r \h </w:instrText>
      </w:r>
      <w:r w:rsidR="00054E2D">
        <w:rPr>
          <w:rFonts w:eastAsia="Georgia"/>
          <w:color w:val="000000"/>
          <w:vertAlign w:val="superscript"/>
        </w:rPr>
        <w:instrText xml:space="preserve"> \* MERGEFORMAT </w:instrText>
      </w:r>
      <w:r w:rsidR="00054E2D" w:rsidRPr="00054E2D">
        <w:rPr>
          <w:rFonts w:eastAsia="Georgia"/>
          <w:color w:val="000000"/>
          <w:vertAlign w:val="superscript"/>
        </w:rPr>
      </w:r>
      <w:r w:rsidR="00054E2D" w:rsidRPr="00054E2D">
        <w:rPr>
          <w:rFonts w:eastAsia="Georgia"/>
          <w:color w:val="000000"/>
          <w:vertAlign w:val="superscript"/>
        </w:rPr>
        <w:fldChar w:fldCharType="separate"/>
      </w:r>
      <w:r w:rsidR="00054E2D" w:rsidRPr="00054E2D">
        <w:rPr>
          <w:rFonts w:eastAsia="Georgia"/>
          <w:color w:val="000000"/>
          <w:vertAlign w:val="superscript"/>
        </w:rPr>
        <w:t>11</w:t>
      </w:r>
      <w:r w:rsidR="00054E2D" w:rsidRPr="00054E2D">
        <w:rPr>
          <w:rFonts w:eastAsia="Georgia"/>
          <w:color w:val="000000"/>
          <w:vertAlign w:val="superscript"/>
        </w:rPr>
        <w:fldChar w:fldCharType="end"/>
      </w:r>
      <w:r w:rsidR="00054E2D" w:rsidRPr="00054E2D">
        <w:rPr>
          <w:rFonts w:eastAsia="Georgia"/>
          <w:color w:val="000000"/>
          <w:vertAlign w:val="superscript"/>
        </w:rPr>
        <w:t>,</w:t>
      </w:r>
      <w:r w:rsidR="00054E2D" w:rsidRPr="00054E2D">
        <w:rPr>
          <w:rFonts w:eastAsia="Georgia"/>
          <w:color w:val="000000"/>
          <w:vertAlign w:val="superscript"/>
        </w:rPr>
        <w:fldChar w:fldCharType="begin"/>
      </w:r>
      <w:r w:rsidR="00054E2D" w:rsidRPr="00054E2D">
        <w:rPr>
          <w:rFonts w:eastAsia="Georgia"/>
          <w:color w:val="000000"/>
          <w:vertAlign w:val="superscript"/>
        </w:rPr>
        <w:instrText xml:space="preserve"> REF _Ref223726446 \r \h </w:instrText>
      </w:r>
      <w:r w:rsidR="00054E2D">
        <w:rPr>
          <w:rFonts w:eastAsia="Georgia"/>
          <w:color w:val="000000"/>
          <w:vertAlign w:val="superscript"/>
        </w:rPr>
        <w:instrText xml:space="preserve"> \* MERGEFORMAT </w:instrText>
      </w:r>
      <w:r w:rsidR="00054E2D" w:rsidRPr="00054E2D">
        <w:rPr>
          <w:rFonts w:eastAsia="Georgia"/>
          <w:color w:val="000000"/>
          <w:vertAlign w:val="superscript"/>
        </w:rPr>
      </w:r>
      <w:r w:rsidR="00054E2D" w:rsidRPr="00054E2D">
        <w:rPr>
          <w:rFonts w:eastAsia="Georgia"/>
          <w:color w:val="000000"/>
          <w:vertAlign w:val="superscript"/>
        </w:rPr>
        <w:fldChar w:fldCharType="separate"/>
      </w:r>
      <w:r w:rsidR="00054E2D" w:rsidRPr="00054E2D">
        <w:rPr>
          <w:rFonts w:eastAsia="Georgia"/>
          <w:color w:val="000000"/>
          <w:vertAlign w:val="superscript"/>
        </w:rPr>
        <w:t>30</w:t>
      </w:r>
      <w:r w:rsidR="00054E2D" w:rsidRPr="00054E2D">
        <w:rPr>
          <w:rFonts w:eastAsia="Georgia"/>
          <w:color w:val="000000"/>
          <w:vertAlign w:val="superscript"/>
        </w:rPr>
        <w:fldChar w:fldCharType="end"/>
      </w:r>
      <w:r w:rsidR="00054E2D" w:rsidRPr="00054E2D">
        <w:rPr>
          <w:rFonts w:eastAsia="Georgia"/>
          <w:color w:val="000000"/>
          <w:vertAlign w:val="superscript"/>
        </w:rPr>
        <w:t>,</w:t>
      </w:r>
      <w:r w:rsidR="00054E2D" w:rsidRPr="00054E2D">
        <w:rPr>
          <w:rFonts w:eastAsia="Georgia"/>
          <w:color w:val="000000"/>
          <w:vertAlign w:val="superscript"/>
        </w:rPr>
        <w:fldChar w:fldCharType="begin"/>
      </w:r>
      <w:r w:rsidR="00054E2D" w:rsidRPr="00054E2D">
        <w:rPr>
          <w:rFonts w:eastAsia="Georgia"/>
          <w:color w:val="000000"/>
          <w:vertAlign w:val="superscript"/>
        </w:rPr>
        <w:instrText xml:space="preserve"> REF _Ref223726450 \r \h </w:instrText>
      </w:r>
      <w:r w:rsidR="00054E2D">
        <w:rPr>
          <w:rFonts w:eastAsia="Georgia"/>
          <w:color w:val="000000"/>
          <w:vertAlign w:val="superscript"/>
        </w:rPr>
        <w:instrText xml:space="preserve"> \* MERGEFORMAT </w:instrText>
      </w:r>
      <w:r w:rsidR="00054E2D" w:rsidRPr="00054E2D">
        <w:rPr>
          <w:rFonts w:eastAsia="Georgia"/>
          <w:color w:val="000000"/>
          <w:vertAlign w:val="superscript"/>
        </w:rPr>
      </w:r>
      <w:r w:rsidR="00054E2D" w:rsidRPr="00054E2D">
        <w:rPr>
          <w:rFonts w:eastAsia="Georgia"/>
          <w:color w:val="000000"/>
          <w:vertAlign w:val="superscript"/>
        </w:rPr>
        <w:fldChar w:fldCharType="separate"/>
      </w:r>
      <w:r w:rsidR="00054E2D" w:rsidRPr="00054E2D">
        <w:rPr>
          <w:rFonts w:eastAsia="Georgia"/>
          <w:color w:val="000000"/>
          <w:vertAlign w:val="superscript"/>
        </w:rPr>
        <w:t>31</w:t>
      </w:r>
      <w:r w:rsidR="00054E2D" w:rsidRPr="00054E2D">
        <w:rPr>
          <w:rFonts w:eastAsia="Georgia"/>
          <w:color w:val="000000"/>
          <w:vertAlign w:val="superscript"/>
        </w:rPr>
        <w:fldChar w:fldCharType="end"/>
      </w:r>
      <w:r w:rsidRPr="001B188B">
        <w:rPr>
          <w:rFonts w:eastAsia="Georgia"/>
          <w:color w:val="000000"/>
        </w:rPr>
        <w:t xml:space="preserve">. The proportional hazards assumption was assessed using </w:t>
      </w:r>
      <w:proofErr w:type="spellStart"/>
      <w:r w:rsidRPr="001B188B">
        <w:rPr>
          <w:rFonts w:eastAsia="Georgia"/>
          <w:color w:val="000000"/>
        </w:rPr>
        <w:t>Schoenfeld</w:t>
      </w:r>
      <w:proofErr w:type="spellEnd"/>
      <w:r w:rsidRPr="001B188B">
        <w:rPr>
          <w:rFonts w:eastAsia="Georgia"/>
          <w:color w:val="000000"/>
        </w:rPr>
        <w:t xml:space="preserve"> residuals </w:t>
      </w:r>
      <w:r w:rsidR="00054E2D" w:rsidRPr="00054E2D">
        <w:rPr>
          <w:rFonts w:eastAsia="Georgia"/>
          <w:color w:val="000000"/>
          <w:vertAlign w:val="superscript"/>
        </w:rPr>
        <w:fldChar w:fldCharType="begin"/>
      </w:r>
      <w:r w:rsidR="00054E2D" w:rsidRPr="00054E2D">
        <w:rPr>
          <w:rFonts w:eastAsia="Georgia"/>
          <w:color w:val="000000"/>
          <w:vertAlign w:val="superscript"/>
        </w:rPr>
        <w:instrText xml:space="preserve"> REF _Ref223726418 \r \h </w:instrText>
      </w:r>
      <w:r w:rsidR="00054E2D">
        <w:rPr>
          <w:rFonts w:eastAsia="Georgia"/>
          <w:color w:val="000000"/>
          <w:vertAlign w:val="superscript"/>
        </w:rPr>
        <w:instrText xml:space="preserve"> \* MERGEFORMAT </w:instrText>
      </w:r>
      <w:r w:rsidR="00054E2D" w:rsidRPr="00054E2D">
        <w:rPr>
          <w:rFonts w:eastAsia="Georgia"/>
          <w:color w:val="000000"/>
          <w:vertAlign w:val="superscript"/>
        </w:rPr>
      </w:r>
      <w:r w:rsidR="00054E2D" w:rsidRPr="00054E2D">
        <w:rPr>
          <w:rFonts w:eastAsia="Georgia"/>
          <w:color w:val="000000"/>
          <w:vertAlign w:val="superscript"/>
        </w:rPr>
        <w:fldChar w:fldCharType="separate"/>
      </w:r>
      <w:r w:rsidR="00054E2D" w:rsidRPr="00054E2D">
        <w:rPr>
          <w:rFonts w:eastAsia="Georgia"/>
          <w:color w:val="000000"/>
          <w:vertAlign w:val="superscript"/>
        </w:rPr>
        <w:t>28</w:t>
      </w:r>
      <w:r w:rsidR="00054E2D" w:rsidRPr="00054E2D">
        <w:rPr>
          <w:rFonts w:eastAsia="Georgia"/>
          <w:color w:val="000000"/>
          <w:vertAlign w:val="superscript"/>
        </w:rPr>
        <w:fldChar w:fldCharType="end"/>
      </w:r>
      <w:r w:rsidRPr="001B188B">
        <w:rPr>
          <w:rFonts w:eastAsia="Georgia"/>
          <w:color w:val="000000"/>
        </w:rPr>
        <w:t xml:space="preserve">. For each covariate </w:t>
      </w:r>
      <m:oMath>
        <m:r>
          <w:rPr>
            <w:rFonts w:ascii="Cambria Math" w:hAnsi="Cambria Math"/>
            <w:color w:val="000000"/>
          </w:rPr>
          <m:t>k</m:t>
        </m:r>
      </m:oMath>
      <w:r w:rsidRPr="001B188B">
        <w:rPr>
          <w:rFonts w:eastAsia="Georgia"/>
          <w:color w:val="000000"/>
        </w:rPr>
        <w:t xml:space="preserve">, the scaled Schoenfeld residual at the </w:t>
      </w:r>
      <m:oMath>
        <m:r>
          <w:rPr>
            <w:rFonts w:ascii="Cambria Math" w:hAnsi="Cambria Math"/>
            <w:color w:val="000000"/>
          </w:rPr>
          <m:t>i</m:t>
        </m:r>
      </m:oMath>
      <w:r w:rsidRPr="001B188B">
        <w:rPr>
          <w:rFonts w:eastAsia="Georgia"/>
          <w:color w:val="000000"/>
        </w:rPr>
        <w:t>-th failure time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2"/>
        <w:gridCol w:w="496"/>
      </w:tblGrid>
      <w:tr w:rsidR="009F7638" w:rsidRPr="001B188B" w14:paraId="70752B2A" w14:textId="77777777" w:rsidTr="007A58F6">
        <w:tc>
          <w:tcPr>
            <w:tcW w:w="10627" w:type="dxa"/>
          </w:tcPr>
          <w:p w14:paraId="330438FC" w14:textId="05A5F274" w:rsidR="009F7638" w:rsidRPr="001B188B" w:rsidRDefault="00D07F41" w:rsidP="00B7105A">
            <w:pPr>
              <w:spacing w:after="240"/>
              <w:jc w:val="both"/>
            </w:pPr>
            <m:oMathPara>
              <m:oMath>
                <m:sSub>
                  <m:sSubPr>
                    <m:ctrlPr>
                      <w:rPr>
                        <w:rFonts w:ascii="Cambria Math" w:hAnsi="Cambria Math"/>
                        <w:color w:val="000000"/>
                      </w:rPr>
                    </m:ctrlPr>
                  </m:sSubPr>
                  <m:e>
                    <m:r>
                      <w:rPr>
                        <w:rFonts w:ascii="Cambria Math" w:hAnsi="Cambria Math"/>
                        <w:color w:val="000000"/>
                      </w:rPr>
                      <m:t>r</m:t>
                    </m:r>
                  </m:e>
                  <m:sub>
                    <m:r>
                      <w:rPr>
                        <w:rFonts w:ascii="Cambria Math" w:hAnsi="Cambria Math"/>
                        <w:color w:val="000000"/>
                      </w:rPr>
                      <m:t>k</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ki</m:t>
                    </m:r>
                  </m:sub>
                </m:sSub>
                <m:r>
                  <m:rPr>
                    <m:sty m:val="p"/>
                  </m:rPr>
                  <w:rPr>
                    <w:rFonts w:ascii="Cambria Math" w:hAnsi="Cambria Math"/>
                    <w:color w:val="000000"/>
                  </w:rPr>
                  <m:t>-</m:t>
                </m:r>
                <m:acc>
                  <m:accPr>
                    <m:chr m:val="‾"/>
                    <m:ctrlPr>
                      <w:rPr>
                        <w:rFonts w:ascii="Cambria Math" w:hAnsi="Cambria Math"/>
                      </w:rPr>
                    </m:ctrlPr>
                  </m:accPr>
                  <m:e>
                    <m:r>
                      <w:rPr>
                        <w:rFonts w:ascii="Cambria Math" w:hAnsi="Cambria Math"/>
                        <w:color w:val="000000"/>
                      </w:rPr>
                      <m:t>x</m:t>
                    </m:r>
                  </m:e>
                </m:acc>
                <m:r>
                  <m:rPr>
                    <m:sty m:val="p"/>
                  </m:rPr>
                  <w:rPr>
                    <w:rFonts w:ascii="Cambria Math" w:hAnsi="Cambria Math"/>
                    <w:color w:val="000000"/>
                  </w:rPr>
                  <m:t>(</m:t>
                </m:r>
                <m:acc>
                  <m:accPr>
                    <m:chr m:val="ˆ"/>
                    <m:ctrlPr>
                      <w:rPr>
                        <w:rFonts w:ascii="Cambria Math" w:hAnsi="Cambria Math"/>
                      </w:rPr>
                    </m:ctrlPr>
                  </m:accPr>
                  <m:e>
                    <m:r>
                      <w:rPr>
                        <w:rFonts w:ascii="Cambria Math" w:hAnsi="Cambria Math"/>
                        <w:color w:val="000000"/>
                      </w:rPr>
                      <m:t>β</m:t>
                    </m:r>
                  </m:e>
                </m:acc>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r>
                  <m:rPr>
                    <m:sty m:val="p"/>
                  </m:rPr>
                  <w:rPr>
                    <w:rFonts w:ascii="Cambria Math" w:hAnsi="Cambria Math"/>
                    <w:color w:val="000000"/>
                  </w:rPr>
                  <m:t xml:space="preserve">) </m:t>
                </m:r>
              </m:oMath>
            </m:oMathPara>
          </w:p>
        </w:tc>
        <w:tc>
          <w:tcPr>
            <w:tcW w:w="389" w:type="dxa"/>
          </w:tcPr>
          <w:p w14:paraId="440AE161" w14:textId="7657AE88" w:rsidR="009F7638" w:rsidRPr="001B188B" w:rsidRDefault="009F7638" w:rsidP="00B7105A">
            <w:pPr>
              <w:spacing w:after="240"/>
              <w:jc w:val="both"/>
              <w:rPr>
                <w:rFonts w:eastAsia="Georgia"/>
                <w:color w:val="000000"/>
              </w:rPr>
            </w:pPr>
            <w:r w:rsidRPr="001B188B">
              <w:rPr>
                <w:rFonts w:eastAsia="Georgia"/>
                <w:color w:val="000000"/>
              </w:rPr>
              <w:t>(</w:t>
            </w:r>
            <w:r w:rsidR="00C32365" w:rsidRPr="001B188B">
              <w:rPr>
                <w:rFonts w:eastAsia="Georgia"/>
                <w:color w:val="000000"/>
              </w:rPr>
              <w:t>3</w:t>
            </w:r>
            <w:r w:rsidRPr="001B188B">
              <w:rPr>
                <w:rFonts w:eastAsia="Georgia"/>
                <w:color w:val="000000"/>
              </w:rPr>
              <w:t>)</w:t>
            </w:r>
          </w:p>
        </w:tc>
      </w:tr>
    </w:tbl>
    <w:p w14:paraId="54198AF0" w14:textId="2E11075E" w:rsidR="00C26CBD" w:rsidRPr="001B188B" w:rsidRDefault="00C26CBD" w:rsidP="00B7105A">
      <w:pPr>
        <w:jc w:val="both"/>
        <w:rPr>
          <w:rFonts w:eastAsia="Georgia"/>
          <w:color w:val="000000"/>
        </w:rPr>
      </w:pPr>
      <w:r w:rsidRPr="001B188B">
        <w:rPr>
          <w:rFonts w:eastAsia="Georgia"/>
          <w:color w:val="000000"/>
        </w:rPr>
        <w:t xml:space="preserve">where </w:t>
      </w:r>
      <m:oMath>
        <m:acc>
          <m:accPr>
            <m:chr m:val="‾"/>
            <m:ctrlPr>
              <w:rPr>
                <w:rFonts w:ascii="Cambria Math" w:hAnsi="Cambria Math"/>
              </w:rPr>
            </m:ctrlPr>
          </m:accPr>
          <m:e>
            <m:r>
              <w:rPr>
                <w:rFonts w:ascii="Cambria Math" w:hAnsi="Cambria Math"/>
                <w:color w:val="000000"/>
              </w:rPr>
              <m:t>x</m:t>
            </m:r>
          </m:e>
        </m:acc>
        <m:r>
          <m:rPr>
            <m:sty m:val="p"/>
          </m:rPr>
          <w:rPr>
            <w:rFonts w:ascii="Cambria Math" w:hAnsi="Cambria Math"/>
            <w:color w:val="000000"/>
          </w:rPr>
          <m:t>(</m:t>
        </m:r>
        <m:acc>
          <m:accPr>
            <m:chr m:val="ˆ"/>
            <m:ctrlPr>
              <w:rPr>
                <w:rFonts w:ascii="Cambria Math" w:hAnsi="Cambria Math"/>
              </w:rPr>
            </m:ctrlPr>
          </m:accPr>
          <m:e>
            <m:r>
              <w:rPr>
                <w:rFonts w:ascii="Cambria Math" w:hAnsi="Cambria Math"/>
                <w:color w:val="000000"/>
              </w:rPr>
              <m:t>β</m:t>
            </m:r>
          </m:e>
        </m:acc>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r>
          <m:rPr>
            <m:sty m:val="p"/>
          </m:rPr>
          <w:rPr>
            <w:rFonts w:ascii="Cambria Math" w:hAnsi="Cambria Math"/>
            <w:color w:val="000000"/>
          </w:rPr>
          <m:t>)=</m:t>
        </m:r>
        <m:f>
          <m:fPr>
            <m:ctrlPr>
              <w:rPr>
                <w:rFonts w:ascii="Cambria Math" w:hAnsi="Cambria Math"/>
                <w:color w:val="000000"/>
              </w:rPr>
            </m:ctrlPr>
          </m:fPr>
          <m:num>
            <m:nary>
              <m:naryPr>
                <m:chr m:val="∑"/>
                <m:limLoc m:val="undOvr"/>
                <m:grow m:val="1"/>
                <m:supHide m:val="1"/>
                <m:ctrlPr>
                  <w:rPr>
                    <w:rFonts w:ascii="Cambria Math" w:hAnsi="Cambria Math"/>
                  </w:rPr>
                </m:ctrlPr>
              </m:naryPr>
              <m:sub>
                <m:r>
                  <w:rPr>
                    <w:rFonts w:ascii="Cambria Math" w:hAnsi="Cambria Math"/>
                    <w:color w:val="000000"/>
                  </w:rPr>
                  <m:t>j</m:t>
                </m:r>
                <m:r>
                  <m:rPr>
                    <m:sty m:val="p"/>
                  </m:rPr>
                  <w:rPr>
                    <w:rFonts w:ascii="Cambria Math" w:hAnsi="Cambria Math"/>
                    <w:color w:val="000000"/>
                  </w:rPr>
                  <m:t>∈</m:t>
                </m:r>
                <m:r>
                  <w:rPr>
                    <w:rFonts w:ascii="Cambria Math" w:hAnsi="Cambria Math"/>
                    <w:color w:val="000000"/>
                  </w:rPr>
                  <m:t>R</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r>
                  <m:rPr>
                    <m:sty m:val="p"/>
                  </m:rPr>
                  <w:rPr>
                    <w:rFonts w:ascii="Cambria Math" w:hAnsi="Cambria Math"/>
                    <w:color w:val="000000"/>
                  </w:rPr>
                  <m:t>)</m:t>
                </m:r>
              </m:sub>
              <m:sup/>
              <m:e>
                <m:r>
                  <m:rPr>
                    <m:sty m:val="p"/>
                  </m:rPr>
                  <w:rPr>
                    <w:rFonts w:ascii="Cambria Math" w:hAnsi="Cambria Math"/>
                    <w:color w:val="000000"/>
                  </w:rPr>
                  <m:t> </m:t>
                </m:r>
              </m:e>
            </m:nary>
            <m:r>
              <m:rPr>
                <m:sty m:val="p"/>
              </m:rPr>
              <w:rPr>
                <w:rFonts w:ascii="Cambria Math" w:hAnsi="Cambria Math"/>
                <w:color w:val="000000"/>
              </w:rPr>
              <m:t> </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jk</m:t>
                </m:r>
              </m:sub>
            </m:sSub>
            <m:r>
              <m:rPr>
                <m:sty m:val="p"/>
              </m:rPr>
              <w:rPr>
                <w:rFonts w:ascii="Cambria Math" w:hAnsi="Cambria Math"/>
                <w:color w:val="000000"/>
              </w:rPr>
              <m:t>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j</m:t>
                </m:r>
              </m:sub>
              <m:sup>
                <m:r>
                  <m:rPr>
                    <m:sty m:val="p"/>
                  </m:rPr>
                  <w:rPr>
                    <w:rFonts w:ascii="Cambria Math" w:hAnsi="Cambria Math"/>
                    <w:color w:val="000000"/>
                  </w:rPr>
                  <m:t>'</m:t>
                </m:r>
              </m:sup>
            </m:sSubSup>
            <m:acc>
              <m:accPr>
                <m:chr m:val="ˆ"/>
                <m:ctrlPr>
                  <w:rPr>
                    <w:rFonts w:ascii="Cambria Math" w:hAnsi="Cambria Math"/>
                  </w:rPr>
                </m:ctrlPr>
              </m:accPr>
              <m:e>
                <m:r>
                  <w:rPr>
                    <w:rFonts w:ascii="Cambria Math" w:hAnsi="Cambria Math"/>
                    <w:color w:val="000000"/>
                  </w:rPr>
                  <m:t>β</m:t>
                </m:r>
              </m:e>
            </m:acc>
            <m:r>
              <m:rPr>
                <m:sty m:val="p"/>
              </m:rPr>
              <w:rPr>
                <w:rFonts w:ascii="Cambria Math" w:hAnsi="Cambria Math"/>
                <w:color w:val="000000"/>
              </w:rPr>
              <m:t>)</m:t>
            </m:r>
          </m:num>
          <m:den>
            <m:nary>
              <m:naryPr>
                <m:chr m:val="∑"/>
                <m:limLoc m:val="undOvr"/>
                <m:grow m:val="1"/>
                <m:supHide m:val="1"/>
                <m:ctrlPr>
                  <w:rPr>
                    <w:rFonts w:ascii="Cambria Math" w:hAnsi="Cambria Math"/>
                  </w:rPr>
                </m:ctrlPr>
              </m:naryPr>
              <m:sub>
                <m:r>
                  <w:rPr>
                    <w:rFonts w:ascii="Cambria Math" w:hAnsi="Cambria Math"/>
                    <w:color w:val="000000"/>
                  </w:rPr>
                  <m:t>j</m:t>
                </m:r>
                <m:r>
                  <m:rPr>
                    <m:sty m:val="p"/>
                  </m:rPr>
                  <w:rPr>
                    <w:rFonts w:ascii="Cambria Math" w:hAnsi="Cambria Math"/>
                    <w:color w:val="000000"/>
                  </w:rPr>
                  <m:t>∈</m:t>
                </m:r>
                <m:r>
                  <w:rPr>
                    <w:rFonts w:ascii="Cambria Math" w:hAnsi="Cambria Math"/>
                    <w:color w:val="000000"/>
                  </w:rPr>
                  <m:t>R</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r>
                  <m:rPr>
                    <m:sty m:val="p"/>
                  </m:rPr>
                  <w:rPr>
                    <w:rFonts w:ascii="Cambria Math" w:hAnsi="Cambria Math"/>
                    <w:color w:val="000000"/>
                  </w:rPr>
                  <m:t>)</m:t>
                </m:r>
              </m:sub>
              <m:sup/>
              <m:e>
                <m:r>
                  <m:rPr>
                    <m:sty m:val="p"/>
                  </m:rPr>
                  <w:rPr>
                    <w:rFonts w:ascii="Cambria Math" w:hAnsi="Cambria Math"/>
                    <w:color w:val="000000"/>
                  </w:rPr>
                  <m:t> </m:t>
                </m:r>
              </m:e>
            </m:nary>
            <m:r>
              <m:rPr>
                <m:sty m:val="p"/>
              </m:rPr>
              <w:rPr>
                <w:rFonts w:ascii="Cambria Math" w:hAnsi="Cambria Math"/>
                <w:color w:val="000000"/>
              </w:rPr>
              <m:t> exp⁡(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j</m:t>
                </m:r>
              </m:sub>
              <m:sup>
                <m:r>
                  <m:rPr>
                    <m:sty m:val="p"/>
                  </m:rPr>
                  <w:rPr>
                    <w:rFonts w:ascii="Cambria Math" w:hAnsi="Cambria Math"/>
                    <w:color w:val="000000"/>
                  </w:rPr>
                  <m:t>'</m:t>
                </m:r>
              </m:sup>
            </m:sSubSup>
            <m:acc>
              <m:accPr>
                <m:chr m:val="ˆ"/>
                <m:ctrlPr>
                  <w:rPr>
                    <w:rFonts w:ascii="Cambria Math" w:hAnsi="Cambria Math"/>
                  </w:rPr>
                </m:ctrlPr>
              </m:accPr>
              <m:e>
                <m:r>
                  <w:rPr>
                    <w:rFonts w:ascii="Cambria Math" w:hAnsi="Cambria Math"/>
                    <w:color w:val="000000"/>
                  </w:rPr>
                  <m:t>β</m:t>
                </m:r>
              </m:e>
            </m:acc>
            <m:r>
              <m:rPr>
                <m:sty m:val="p"/>
              </m:rPr>
              <w:rPr>
                <w:rFonts w:ascii="Cambria Math" w:hAnsi="Cambria Math"/>
                <w:color w:val="000000"/>
              </w:rPr>
              <m:t>)</m:t>
            </m:r>
          </m:den>
        </m:f>
      </m:oMath>
      <w:r w:rsidRPr="001B188B">
        <w:rPr>
          <w:rFonts w:eastAsia="Georgia"/>
          <w:color w:val="000000"/>
        </w:rPr>
        <w:t xml:space="preserve"> is the weighted covariate mean over the risk set at </w:t>
      </w:r>
      <m:oMath>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oMath>
      <w:r w:rsidRPr="001B188B">
        <w:rPr>
          <w:rFonts w:eastAsia="Georgia"/>
          <w:color w:val="000000"/>
        </w:rPr>
        <w:t xml:space="preserve">, with weights proportional to the estimated relative hazard. Under the PH assumption, </w:t>
      </w:r>
      <m:oMath>
        <m:sSub>
          <m:sSubPr>
            <m:ctrlPr>
              <w:rPr>
                <w:rFonts w:ascii="Cambria Math" w:hAnsi="Cambria Math"/>
                <w:color w:val="000000"/>
              </w:rPr>
            </m:ctrlPr>
          </m:sSubPr>
          <m:e>
            <m:r>
              <w:rPr>
                <w:rFonts w:ascii="Cambria Math" w:hAnsi="Cambria Math"/>
                <w:color w:val="000000"/>
              </w:rPr>
              <m:t>r</m:t>
            </m:r>
          </m:e>
          <m:sub>
            <m:r>
              <w:rPr>
                <w:rFonts w:ascii="Cambria Math" w:hAnsi="Cambria Math"/>
                <w:color w:val="000000"/>
              </w:rPr>
              <m:t>k</m:t>
            </m:r>
          </m:sub>
        </m:sSub>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oMath>
      <w:r w:rsidRPr="001B188B">
        <w:rPr>
          <w:rFonts w:eastAsia="Georgia"/>
          <w:color w:val="000000"/>
        </w:rPr>
        <w:t xml:space="preserve"> should exhibit no systematic correlation with time</w:t>
      </w:r>
      <w:r w:rsidR="00054E2D">
        <w:rPr>
          <w:rFonts w:eastAsia="Georgia"/>
          <w:color w:val="000000"/>
        </w:rPr>
        <w:t xml:space="preserve"> </w:t>
      </w:r>
      <w:r w:rsidR="00054E2D" w:rsidRPr="00054E2D">
        <w:rPr>
          <w:rFonts w:eastAsia="Georgia"/>
          <w:color w:val="000000"/>
          <w:vertAlign w:val="superscript"/>
        </w:rPr>
        <w:fldChar w:fldCharType="begin"/>
      </w:r>
      <w:r w:rsidR="00054E2D" w:rsidRPr="00054E2D">
        <w:rPr>
          <w:rFonts w:eastAsia="Georgia"/>
          <w:color w:val="000000"/>
          <w:vertAlign w:val="superscript"/>
        </w:rPr>
        <w:instrText xml:space="preserve"> REF _Ref223726418 \r \h </w:instrText>
      </w:r>
      <w:r w:rsidR="00054E2D">
        <w:rPr>
          <w:rFonts w:eastAsia="Georgia"/>
          <w:color w:val="000000"/>
          <w:vertAlign w:val="superscript"/>
        </w:rPr>
        <w:instrText xml:space="preserve"> \* MERGEFORMAT </w:instrText>
      </w:r>
      <w:r w:rsidR="00054E2D" w:rsidRPr="00054E2D">
        <w:rPr>
          <w:rFonts w:eastAsia="Georgia"/>
          <w:color w:val="000000"/>
          <w:vertAlign w:val="superscript"/>
        </w:rPr>
      </w:r>
      <w:r w:rsidR="00054E2D" w:rsidRPr="00054E2D">
        <w:rPr>
          <w:rFonts w:eastAsia="Georgia"/>
          <w:color w:val="000000"/>
          <w:vertAlign w:val="superscript"/>
        </w:rPr>
        <w:fldChar w:fldCharType="separate"/>
      </w:r>
      <w:r w:rsidR="00054E2D" w:rsidRPr="00054E2D">
        <w:rPr>
          <w:rFonts w:eastAsia="Georgia"/>
          <w:color w:val="000000"/>
          <w:vertAlign w:val="superscript"/>
        </w:rPr>
        <w:t>28</w:t>
      </w:r>
      <w:r w:rsidR="00054E2D" w:rsidRPr="00054E2D">
        <w:rPr>
          <w:rFonts w:eastAsia="Georgia"/>
          <w:color w:val="000000"/>
          <w:vertAlign w:val="superscript"/>
        </w:rPr>
        <w:fldChar w:fldCharType="end"/>
      </w:r>
      <w:r w:rsidRPr="001B188B">
        <w:rPr>
          <w:rFonts w:eastAsia="Georgia"/>
          <w:color w:val="000000"/>
        </w:rPr>
        <w:t xml:space="preserve">. The Grambsch–Therneau test statistic for each covariate is </w:t>
      </w:r>
      <m:oMath>
        <m:sSubSup>
          <m:sSubSupPr>
            <m:ctrlPr>
              <w:rPr>
                <w:rFonts w:ascii="Cambria Math" w:hAnsi="Cambria Math"/>
                <w:color w:val="000000"/>
              </w:rPr>
            </m:ctrlPr>
          </m:sSubSupPr>
          <m:e>
            <m:r>
              <w:rPr>
                <w:rFonts w:ascii="Cambria Math" w:hAnsi="Cambria Math"/>
                <w:color w:val="000000"/>
              </w:rPr>
              <m:t>ρ</m:t>
            </m:r>
          </m:e>
          <m:sub>
            <m:r>
              <w:rPr>
                <w:rFonts w:ascii="Cambria Math" w:hAnsi="Cambria Math"/>
                <w:color w:val="000000"/>
              </w:rPr>
              <m:t>k</m:t>
            </m:r>
          </m:sub>
          <m:sup>
            <m:r>
              <m:rPr>
                <m:sty m:val="p"/>
              </m:rPr>
              <w:rPr>
                <w:rFonts w:ascii="Cambria Math" w:hAnsi="Cambria Math"/>
                <w:color w:val="000000"/>
              </w:rPr>
              <m:t>2</m:t>
            </m:r>
          </m:sup>
        </m:sSubSup>
        <m:r>
          <m:rPr>
            <m:sty m:val="p"/>
          </m:rPr>
          <w:rPr>
            <w:rFonts w:ascii="Cambria Math" w:hAnsi="Cambria Math"/>
            <w:color w:val="000000"/>
          </w:rPr>
          <m:t>⋅</m:t>
        </m:r>
        <m:f>
          <m:fPr>
            <m:ctrlPr>
              <w:rPr>
                <w:rFonts w:ascii="Cambria Math" w:hAnsi="Cambria Math"/>
                <w:color w:val="000000"/>
              </w:rPr>
            </m:ctrlPr>
          </m:fPr>
          <m:num>
            <m:r>
              <m:rPr>
                <m:sty m:val="p"/>
              </m:rPr>
              <w:rPr>
                <w:rFonts w:ascii="Cambria Math" w:hAnsi="Cambria Math"/>
                <w:color w:val="000000"/>
              </w:rPr>
              <m:t>(</m:t>
            </m:r>
            <m:r>
              <w:rPr>
                <w:rFonts w:ascii="Cambria Math" w:hAnsi="Cambria Math"/>
                <w:color w:val="000000"/>
              </w:rPr>
              <m:t>n</m:t>
            </m:r>
            <m:r>
              <m:rPr>
                <m:sty m:val="p"/>
              </m:rPr>
              <w:rPr>
                <w:rFonts w:ascii="Cambria Math" w:hAnsi="Cambria Math"/>
                <w:color w:val="000000"/>
              </w:rPr>
              <m:t>-1)</m:t>
            </m:r>
            <m:nary>
              <m:naryPr>
                <m:chr m:val="∑"/>
                <m:limLoc m:val="undOvr"/>
                <m:subHide m:val="1"/>
                <m:supHide m:val="1"/>
                <m:ctrlPr>
                  <w:rPr>
                    <w:rFonts w:ascii="Cambria Math" w:hAnsi="Cambria Math"/>
                    <w:color w:val="000000"/>
                  </w:rPr>
                </m:ctrlPr>
              </m:naryPr>
              <m:sub/>
              <m:sup/>
              <m:e>
                <m:r>
                  <w:rPr>
                    <w:rFonts w:ascii="Cambria Math" w:hAnsi="Cambria Math"/>
                  </w:rPr>
                  <m:t xml:space="preserve"> </m:t>
                </m:r>
              </m:e>
            </m:nary>
            <m:sSub>
              <m:sSubPr>
                <m:ctrlPr>
                  <w:rPr>
                    <w:rFonts w:ascii="Cambria Math" w:hAnsi="Cambria Math"/>
                    <w:color w:val="000000"/>
                  </w:rPr>
                </m:ctrlPr>
              </m:sSubPr>
              <m:e>
                <m:r>
                  <w:rPr>
                    <w:rFonts w:ascii="Cambria Math" w:hAnsi="Cambria Math"/>
                    <w:color w:val="000000"/>
                  </w:rPr>
                  <m:t>w</m:t>
                </m:r>
              </m:e>
              <m:sub>
                <m:r>
                  <w:rPr>
                    <w:rFonts w:ascii="Cambria Math" w:hAnsi="Cambria Math"/>
                    <w:color w:val="000000"/>
                  </w:rPr>
                  <m:t>i</m:t>
                </m:r>
              </m:sub>
            </m:sSub>
            <m:sSubSup>
              <m:sSubSupPr>
                <m:ctrlPr>
                  <w:rPr>
                    <w:rFonts w:ascii="Cambria Math" w:hAnsi="Cambria Math"/>
                    <w:color w:val="000000"/>
                  </w:rPr>
                </m:ctrlPr>
              </m:sSubSupPr>
              <m:e>
                <m:r>
                  <w:rPr>
                    <w:rFonts w:ascii="Cambria Math" w:hAnsi="Cambria Math"/>
                    <w:color w:val="000000"/>
                  </w:rPr>
                  <m:t>t</m:t>
                </m:r>
              </m:e>
              <m:sub>
                <m:r>
                  <w:rPr>
                    <w:rFonts w:ascii="Cambria Math" w:hAnsi="Cambria Math"/>
                    <w:color w:val="000000"/>
                  </w:rPr>
                  <m:t>i</m:t>
                </m:r>
              </m:sub>
              <m:sup>
                <m:r>
                  <m:rPr>
                    <m:sty m:val="p"/>
                  </m:rPr>
                  <w:rPr>
                    <w:rFonts w:ascii="Cambria Math" w:hAnsi="Cambria Math"/>
                    <w:color w:val="000000"/>
                  </w:rPr>
                  <m:t>2</m:t>
                </m:r>
              </m:sup>
            </m:sSubSup>
          </m:num>
          <m:den>
            <m:r>
              <m:rPr>
                <m:nor/>
              </m:rPr>
              <w:rPr>
                <w:color w:val="000000"/>
              </w:rPr>
              <m:t>var</m:t>
            </m:r>
            <m:r>
              <m:rPr>
                <m:sty m:val="p"/>
              </m:rPr>
              <w:rPr>
                <w:rFonts w:ascii="Cambria Math" w:hAnsi="Cambria Math"/>
                <w:color w:val="000000"/>
              </w:rPr>
              <m:t>(</m:t>
            </m:r>
            <m:sSub>
              <m:sSubPr>
                <m:ctrlPr>
                  <w:rPr>
                    <w:rFonts w:ascii="Cambria Math" w:hAnsi="Cambria Math"/>
                    <w:color w:val="000000"/>
                  </w:rPr>
                </m:ctrlPr>
              </m:sSubPr>
              <m:e>
                <m:acc>
                  <m:accPr>
                    <m:chr m:val="ˆ"/>
                    <m:ctrlPr>
                      <w:rPr>
                        <w:rFonts w:ascii="Cambria Math" w:hAnsi="Cambria Math"/>
                      </w:rPr>
                    </m:ctrlPr>
                  </m:accPr>
                  <m:e>
                    <m:r>
                      <w:rPr>
                        <w:rFonts w:ascii="Cambria Math" w:hAnsi="Cambria Math"/>
                        <w:color w:val="000000"/>
                      </w:rPr>
                      <m:t>β</m:t>
                    </m:r>
                  </m:e>
                </m:acc>
              </m:e>
              <m:sub>
                <m:r>
                  <w:rPr>
                    <w:rFonts w:ascii="Cambria Math" w:hAnsi="Cambria Math"/>
                    <w:color w:val="000000"/>
                  </w:rPr>
                  <m:t>k</m:t>
                </m:r>
              </m:sub>
            </m:sSub>
            <m:r>
              <m:rPr>
                <m:sty m:val="p"/>
              </m:rPr>
              <w:rPr>
                <w:rFonts w:ascii="Cambria Math" w:hAnsi="Cambria Math"/>
                <w:color w:val="000000"/>
              </w:rPr>
              <m:t>)</m:t>
            </m:r>
          </m:den>
        </m:f>
        <m:r>
          <m:rPr>
            <m:sty m:val="p"/>
          </m:rPr>
          <w:rPr>
            <w:rFonts w:ascii="Cambria Math" w:hAnsi="Cambria Math"/>
            <w:color w:val="000000"/>
          </w:rPr>
          <m:t>∼</m:t>
        </m:r>
        <m:sSup>
          <m:sSupPr>
            <m:ctrlPr>
              <w:rPr>
                <w:rFonts w:ascii="Cambria Math" w:hAnsi="Cambria Math"/>
                <w:color w:val="000000"/>
              </w:rPr>
            </m:ctrlPr>
          </m:sSupPr>
          <m:e>
            <m:r>
              <w:rPr>
                <w:rFonts w:ascii="Cambria Math" w:hAnsi="Cambria Math"/>
                <w:color w:val="000000"/>
              </w:rPr>
              <m:t>χ</m:t>
            </m:r>
          </m:e>
          <m:sup>
            <m:r>
              <m:rPr>
                <m:sty m:val="p"/>
              </m:rPr>
              <w:rPr>
                <w:rFonts w:ascii="Cambria Math" w:hAnsi="Cambria Math"/>
                <w:color w:val="000000"/>
              </w:rPr>
              <m:t>2</m:t>
            </m:r>
          </m:sup>
        </m:sSup>
        <m:r>
          <m:rPr>
            <m:sty m:val="p"/>
          </m:rPr>
          <w:rPr>
            <w:rFonts w:ascii="Cambria Math" w:hAnsi="Cambria Math"/>
            <w:color w:val="000000"/>
          </w:rPr>
          <m:t>(1)</m:t>
        </m:r>
      </m:oMath>
      <w:r w:rsidRPr="001B188B">
        <w:rPr>
          <w:rFonts w:eastAsia="Georgia"/>
          <w:color w:val="000000"/>
        </w:rPr>
        <w:t xml:space="preserve">, where </w:t>
      </w:r>
      <m:oMath>
        <m:sSub>
          <m:sSubPr>
            <m:ctrlPr>
              <w:rPr>
                <w:rFonts w:ascii="Cambria Math" w:hAnsi="Cambria Math"/>
                <w:color w:val="000000"/>
              </w:rPr>
            </m:ctrlPr>
          </m:sSubPr>
          <m:e>
            <m:r>
              <w:rPr>
                <w:rFonts w:ascii="Cambria Math" w:hAnsi="Cambria Math"/>
                <w:color w:val="000000"/>
              </w:rPr>
              <m:t>ρ</m:t>
            </m:r>
          </m:e>
          <m:sub>
            <m:r>
              <w:rPr>
                <w:rFonts w:ascii="Cambria Math" w:hAnsi="Cambria Math"/>
                <w:color w:val="000000"/>
              </w:rPr>
              <m:t>k</m:t>
            </m:r>
          </m:sub>
        </m:sSub>
      </m:oMath>
      <w:r w:rsidRPr="001B188B">
        <w:rPr>
          <w:rFonts w:eastAsia="Georgia"/>
          <w:color w:val="000000"/>
        </w:rPr>
        <w:t xml:space="preserve"> is the Pearson correlation between the scaled residual and ranked analysis time. The global test aggregates across all </w:t>
      </w:r>
      <m:oMath>
        <m:r>
          <w:rPr>
            <w:rFonts w:ascii="Cambria Math" w:hAnsi="Cambria Math"/>
            <w:color w:val="000000"/>
          </w:rPr>
          <m:t>K</m:t>
        </m:r>
      </m:oMath>
      <w:r w:rsidRPr="001B188B">
        <w:rPr>
          <w:rFonts w:eastAsia="Georgia"/>
          <w:color w:val="000000"/>
        </w:rPr>
        <w:t xml:space="preserve"> covariates: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2"/>
        <w:gridCol w:w="496"/>
      </w:tblGrid>
      <w:tr w:rsidR="009F5BF3" w:rsidRPr="001B188B" w14:paraId="524338D6" w14:textId="77777777" w:rsidTr="007A58F6">
        <w:tc>
          <w:tcPr>
            <w:tcW w:w="10627" w:type="dxa"/>
          </w:tcPr>
          <w:p w14:paraId="2EBDE659" w14:textId="07EDCAAF" w:rsidR="009F5BF3" w:rsidRPr="001B188B" w:rsidRDefault="00D07F41" w:rsidP="00B7105A">
            <w:pPr>
              <w:spacing w:after="240"/>
              <w:jc w:val="both"/>
            </w:pPr>
            <m:oMathPara>
              <m:oMath>
                <m:sSubSup>
                  <m:sSubSupPr>
                    <m:ctrlPr>
                      <w:rPr>
                        <w:rFonts w:ascii="Cambria Math" w:hAnsi="Cambria Math"/>
                        <w:color w:val="000000"/>
                      </w:rPr>
                    </m:ctrlPr>
                  </m:sSubSupPr>
                  <m:e>
                    <m:r>
                      <w:rPr>
                        <w:rFonts w:ascii="Cambria Math" w:hAnsi="Cambria Math"/>
                        <w:color w:val="000000"/>
                      </w:rPr>
                      <m:t>χ</m:t>
                    </m:r>
                  </m:e>
                  <m:sub>
                    <m:r>
                      <m:rPr>
                        <m:nor/>
                      </m:rPr>
                      <w:rPr>
                        <w:color w:val="000000"/>
                      </w:rPr>
                      <m:t>Global</m:t>
                    </m:r>
                  </m:sub>
                  <m:sup>
                    <m:r>
                      <m:rPr>
                        <m:sty m:val="p"/>
                      </m:rPr>
                      <w:rPr>
                        <w:rFonts w:ascii="Cambria Math" w:hAnsi="Cambria Math"/>
                        <w:color w:val="000000"/>
                      </w:rPr>
                      <m:t>2</m:t>
                    </m:r>
                  </m:sup>
                </m:sSubSup>
                <m:r>
                  <m:rPr>
                    <m:sty m:val="p"/>
                  </m:rPr>
                  <w:rPr>
                    <w:rFonts w:ascii="Cambria Math" w:hAnsi="Cambria Math"/>
                    <w:color w:val="000000"/>
                  </w:rPr>
                  <m:t>=</m:t>
                </m:r>
                <m:nary>
                  <m:naryPr>
                    <m:chr m:val="∑"/>
                    <m:limLoc m:val="undOvr"/>
                    <m:grow m:val="1"/>
                    <m:ctrlPr>
                      <w:rPr>
                        <w:rFonts w:ascii="Cambria Math" w:hAnsi="Cambria Math"/>
                      </w:rPr>
                    </m:ctrlPr>
                  </m:naryPr>
                  <m:sub>
                    <m:r>
                      <w:rPr>
                        <w:rFonts w:ascii="Cambria Math" w:hAnsi="Cambria Math"/>
                        <w:color w:val="000000"/>
                      </w:rPr>
                      <m:t>k</m:t>
                    </m:r>
                    <m:r>
                      <m:rPr>
                        <m:sty m:val="p"/>
                      </m:rPr>
                      <w:rPr>
                        <w:rFonts w:ascii="Cambria Math" w:hAnsi="Cambria Math"/>
                        <w:color w:val="000000"/>
                      </w:rPr>
                      <m:t>=1</m:t>
                    </m:r>
                  </m:sub>
                  <m:sup>
                    <m:r>
                      <w:rPr>
                        <w:rFonts w:ascii="Cambria Math" w:hAnsi="Cambria Math"/>
                        <w:color w:val="000000"/>
                      </w:rPr>
                      <m:t>K</m:t>
                    </m:r>
                  </m:sup>
                  <m:e>
                    <m:r>
                      <m:rPr>
                        <m:sty m:val="p"/>
                      </m:rPr>
                      <w:rPr>
                        <w:rFonts w:ascii="Cambria Math" w:hAnsi="Cambria Math"/>
                        <w:color w:val="000000"/>
                      </w:rPr>
                      <m:t> </m:t>
                    </m:r>
                  </m:e>
                </m:nary>
                <m:sSubSup>
                  <m:sSubSupPr>
                    <m:ctrlPr>
                      <w:rPr>
                        <w:rFonts w:ascii="Cambria Math" w:hAnsi="Cambria Math"/>
                        <w:color w:val="000000"/>
                      </w:rPr>
                    </m:ctrlPr>
                  </m:sSubSupPr>
                  <m:e>
                    <m:r>
                      <w:rPr>
                        <w:rFonts w:ascii="Cambria Math" w:hAnsi="Cambria Math"/>
                        <w:color w:val="000000"/>
                      </w:rPr>
                      <m:t>ρ</m:t>
                    </m:r>
                  </m:e>
                  <m:sub>
                    <m:r>
                      <w:rPr>
                        <w:rFonts w:ascii="Cambria Math" w:hAnsi="Cambria Math"/>
                        <w:color w:val="000000"/>
                      </w:rPr>
                      <m:t>k</m:t>
                    </m:r>
                  </m:sub>
                  <m:sup>
                    <m:r>
                      <m:rPr>
                        <m:sty m:val="p"/>
                      </m:rPr>
                      <w:rPr>
                        <w:rFonts w:ascii="Cambria Math" w:hAnsi="Cambria Math"/>
                        <w:color w:val="000000"/>
                      </w:rPr>
                      <m:t>2</m:t>
                    </m:r>
                  </m:sup>
                </m:sSubSup>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D</m:t>
                    </m:r>
                  </m:e>
                  <m:sub>
                    <m:r>
                      <w:rPr>
                        <w:rFonts w:ascii="Cambria Math" w:hAnsi="Cambria Math"/>
                        <w:color w:val="000000"/>
                      </w:rPr>
                      <m:t>k</m:t>
                    </m:r>
                  </m:sub>
                </m:sSub>
                <m:r>
                  <m:rPr>
                    <m:sty m:val="p"/>
                  </m:rPr>
                  <w:rPr>
                    <w:rFonts w:ascii="Cambria Math" w:hAnsi="Cambria Math"/>
                    <w:color w:val="000000"/>
                  </w:rPr>
                  <m:t>∼</m:t>
                </m:r>
                <m:sSup>
                  <m:sSupPr>
                    <m:ctrlPr>
                      <w:rPr>
                        <w:rFonts w:ascii="Cambria Math" w:hAnsi="Cambria Math"/>
                        <w:color w:val="000000"/>
                      </w:rPr>
                    </m:ctrlPr>
                  </m:sSupPr>
                  <m:e>
                    <m:r>
                      <w:rPr>
                        <w:rFonts w:ascii="Cambria Math" w:hAnsi="Cambria Math"/>
                        <w:color w:val="000000"/>
                      </w:rPr>
                      <m:t>χ</m:t>
                    </m:r>
                  </m:e>
                  <m:sup>
                    <m:r>
                      <m:rPr>
                        <m:sty m:val="p"/>
                      </m:rPr>
                      <w:rPr>
                        <w:rFonts w:ascii="Cambria Math" w:hAnsi="Cambria Math"/>
                        <w:color w:val="000000"/>
                      </w:rPr>
                      <m:t>2</m:t>
                    </m:r>
                  </m:sup>
                </m:sSup>
                <m:r>
                  <m:rPr>
                    <m:sty m:val="p"/>
                  </m:rPr>
                  <w:rPr>
                    <w:rFonts w:ascii="Cambria Math" w:hAnsi="Cambria Math"/>
                    <w:color w:val="000000"/>
                  </w:rPr>
                  <m:t>(</m:t>
                </m:r>
                <m:r>
                  <w:rPr>
                    <w:rFonts w:ascii="Cambria Math" w:hAnsi="Cambria Math"/>
                    <w:color w:val="000000"/>
                  </w:rPr>
                  <m:t>K</m:t>
                </m:r>
                <m:r>
                  <m:rPr>
                    <m:sty m:val="p"/>
                  </m:rPr>
                  <w:rPr>
                    <w:rFonts w:ascii="Cambria Math" w:hAnsi="Cambria Math"/>
                    <w:color w:val="000000"/>
                  </w:rPr>
                  <m:t>)</m:t>
                </m:r>
              </m:oMath>
            </m:oMathPara>
          </w:p>
        </w:tc>
        <w:tc>
          <w:tcPr>
            <w:tcW w:w="389" w:type="dxa"/>
          </w:tcPr>
          <w:p w14:paraId="463AA11A" w14:textId="3E9DC73B" w:rsidR="009F5BF3" w:rsidRPr="001B188B" w:rsidRDefault="009F5BF3" w:rsidP="00B7105A">
            <w:pPr>
              <w:spacing w:after="240"/>
              <w:jc w:val="both"/>
              <w:rPr>
                <w:rFonts w:eastAsia="Georgia"/>
                <w:color w:val="000000"/>
              </w:rPr>
            </w:pPr>
            <w:r w:rsidRPr="001B188B">
              <w:rPr>
                <w:rFonts w:eastAsia="Georgia"/>
                <w:color w:val="000000"/>
              </w:rPr>
              <w:t>(4)</w:t>
            </w:r>
          </w:p>
        </w:tc>
      </w:tr>
    </w:tbl>
    <w:p w14:paraId="126634BD" w14:textId="12DB1263" w:rsidR="00C26CBD" w:rsidRPr="001B188B" w:rsidRDefault="00C26CBD" w:rsidP="00B7105A">
      <w:pPr>
        <w:jc w:val="both"/>
      </w:pPr>
      <w:r w:rsidRPr="001B188B">
        <w:rPr>
          <w:rFonts w:eastAsia="Georgia"/>
          <w:color w:val="000000"/>
        </w:rPr>
        <w:t xml:space="preserve">where </w:t>
      </w:r>
      <m:oMath>
        <m:sSub>
          <m:sSubPr>
            <m:ctrlPr>
              <w:rPr>
                <w:rFonts w:ascii="Cambria Math" w:hAnsi="Cambria Math"/>
                <w:color w:val="000000"/>
              </w:rPr>
            </m:ctrlPr>
          </m:sSubPr>
          <m:e>
            <m:r>
              <w:rPr>
                <w:rFonts w:ascii="Cambria Math" w:hAnsi="Cambria Math"/>
                <w:color w:val="000000"/>
              </w:rPr>
              <m:t>D</m:t>
            </m:r>
          </m:e>
          <m:sub>
            <m:r>
              <w:rPr>
                <w:rFonts w:ascii="Cambria Math" w:hAnsi="Cambria Math"/>
                <w:color w:val="000000"/>
              </w:rPr>
              <m:t>k</m:t>
            </m:r>
          </m:sub>
        </m:sSub>
      </m:oMath>
      <w:r w:rsidRPr="001B188B">
        <w:rPr>
          <w:rFonts w:eastAsia="Georgia"/>
          <w:color w:val="000000"/>
        </w:rPr>
        <w:t xml:space="preserve"> are scaling factors and </w:t>
      </w:r>
      <m:oMath>
        <m:r>
          <w:rPr>
            <w:rFonts w:ascii="Cambria Math" w:hAnsi="Cambria Math"/>
            <w:color w:val="000000"/>
          </w:rPr>
          <m:t>K</m:t>
        </m:r>
        <m:r>
          <m:rPr>
            <m:sty m:val="p"/>
          </m:rPr>
          <w:rPr>
            <w:rFonts w:ascii="Cambria Math" w:hAnsi="Cambria Math"/>
            <w:color w:val="000000"/>
          </w:rPr>
          <m:t>=20</m:t>
        </m:r>
      </m:oMath>
      <w:r w:rsidRPr="001B188B">
        <w:rPr>
          <w:rFonts w:eastAsia="Georgia"/>
          <w:color w:val="000000"/>
        </w:rPr>
        <w:t xml:space="preserve"> is the total number of covariates. A non-significant global statistic (</w:t>
      </w:r>
      <m:oMath>
        <m:r>
          <w:rPr>
            <w:rFonts w:ascii="Cambria Math" w:hAnsi="Cambria Math"/>
            <w:color w:val="000000"/>
          </w:rPr>
          <m:t>p</m:t>
        </m:r>
        <m:r>
          <m:rPr>
            <m:sty m:val="p"/>
          </m:rPr>
          <w:rPr>
            <w:rFonts w:ascii="Cambria Math" w:hAnsi="Cambria Math"/>
            <w:color w:val="000000"/>
          </w:rPr>
          <m:t>≥0.05</m:t>
        </m:r>
      </m:oMath>
      <w:r w:rsidRPr="001B188B">
        <w:rPr>
          <w:rFonts w:eastAsia="Georgia"/>
          <w:color w:val="000000"/>
        </w:rPr>
        <w:t>) supports the overall PH structure</w:t>
      </w:r>
      <w:r w:rsidR="008E527E">
        <w:rPr>
          <w:rFonts w:eastAsia="Georgia"/>
          <w:color w:val="000000"/>
        </w:rPr>
        <w:t xml:space="preserve"> </w:t>
      </w:r>
      <w:r w:rsidR="008E527E" w:rsidRPr="000F08D4">
        <w:rPr>
          <w:vertAlign w:val="superscript"/>
        </w:rPr>
        <w:fldChar w:fldCharType="begin"/>
      </w:r>
      <w:r w:rsidR="008E527E" w:rsidRPr="000F08D4">
        <w:rPr>
          <w:vertAlign w:val="superscript"/>
        </w:rPr>
        <w:instrText xml:space="preserve"> REF _Ref223726418 \r \h </w:instrText>
      </w:r>
      <w:r w:rsidR="000F08D4">
        <w:rPr>
          <w:vertAlign w:val="superscript"/>
        </w:rPr>
        <w:instrText xml:space="preserve"> \* MERGEFORMAT </w:instrText>
      </w:r>
      <w:r w:rsidR="008E527E" w:rsidRPr="000F08D4">
        <w:rPr>
          <w:vertAlign w:val="superscript"/>
        </w:rPr>
      </w:r>
      <w:r w:rsidR="008E527E" w:rsidRPr="000F08D4">
        <w:rPr>
          <w:vertAlign w:val="superscript"/>
        </w:rPr>
        <w:fldChar w:fldCharType="separate"/>
      </w:r>
      <w:r w:rsidR="008E527E" w:rsidRPr="000F08D4">
        <w:rPr>
          <w:vertAlign w:val="superscript"/>
        </w:rPr>
        <w:t>28</w:t>
      </w:r>
      <w:r w:rsidR="008E527E" w:rsidRPr="000F08D4">
        <w:rPr>
          <w:vertAlign w:val="superscript"/>
        </w:rPr>
        <w:fldChar w:fldCharType="end"/>
      </w:r>
      <w:r w:rsidRPr="000F08D4">
        <w:rPr>
          <w:vertAlign w:val="superscript"/>
        </w:rPr>
        <w:t>.</w:t>
      </w:r>
    </w:p>
    <w:p w14:paraId="7601E5A3" w14:textId="3F0BE28A" w:rsidR="00C26CBD" w:rsidRPr="001B188B" w:rsidRDefault="00C26CBD" w:rsidP="00B7105A">
      <w:pPr>
        <w:jc w:val="both"/>
        <w:rPr>
          <w:rFonts w:eastAsia="Georgia"/>
          <w:color w:val="000000"/>
        </w:rPr>
      </w:pPr>
      <w:r w:rsidRPr="001B188B">
        <w:rPr>
          <w:rFonts w:eastAsia="Georgia"/>
          <w:color w:val="000000"/>
        </w:rPr>
        <w:t xml:space="preserve">Discriminative performance of the model was quantified by Harrell’s </w:t>
      </w:r>
      <m:oMath>
        <m:r>
          <w:rPr>
            <w:rFonts w:ascii="Cambria Math" w:hAnsi="Cambria Math"/>
            <w:color w:val="000000"/>
          </w:rPr>
          <m:t>C</m:t>
        </m:r>
      </m:oMath>
      <w:r w:rsidRPr="001B188B">
        <w:rPr>
          <w:rFonts w:eastAsia="Georgia"/>
          <w:color w:val="000000"/>
        </w:rPr>
        <w:t>-concordance statistic: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2"/>
        <w:gridCol w:w="496"/>
      </w:tblGrid>
      <w:tr w:rsidR="009F5BF3" w:rsidRPr="001B188B" w14:paraId="52D6C4EA" w14:textId="77777777" w:rsidTr="007A58F6">
        <w:tc>
          <w:tcPr>
            <w:tcW w:w="10627" w:type="dxa"/>
          </w:tcPr>
          <w:p w14:paraId="3855B9C6" w14:textId="296493E6" w:rsidR="009F5BF3" w:rsidRPr="001B188B" w:rsidRDefault="009F5BF3" w:rsidP="00B7105A">
            <w:pPr>
              <w:spacing w:after="240"/>
              <w:jc w:val="both"/>
            </w:pPr>
            <m:oMathPara>
              <m:oMath>
                <m:r>
                  <w:rPr>
                    <w:rFonts w:ascii="Cambria Math" w:hAnsi="Cambria Math"/>
                    <w:color w:val="000000"/>
                  </w:rPr>
                  <m:t>C</m:t>
                </m:r>
                <m:r>
                  <m:rPr>
                    <m:sty m:val="p"/>
                  </m:rPr>
                  <w:rPr>
                    <w:rFonts w:ascii="Cambria Math" w:hAnsi="Cambria Math"/>
                    <w:color w:val="000000"/>
                  </w:rPr>
                  <m:t>=</m:t>
                </m:r>
                <m:r>
                  <w:rPr>
                    <w:rFonts w:ascii="Cambria Math" w:hAnsi="Cambria Math"/>
                    <w:color w:val="000000"/>
                  </w:rPr>
                  <m:t>P</m:t>
                </m:r>
                <m:r>
                  <m:rPr>
                    <m:sty m:val="p"/>
                  </m:rPr>
                  <w:rPr>
                    <w:rFonts w:ascii="Cambria Math" w:hAnsi="Cambria Math"/>
                    <w:color w:val="000000"/>
                  </w:rPr>
                  <m:t>(</m:t>
                </m:r>
                <m:r>
                  <w:rPr>
                    <w:rFonts w:ascii="Cambria Math" w:hAnsi="Cambria Math"/>
                    <w:color w:val="000000"/>
                  </w:rPr>
                  <m:t>L</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m:t>
                    </m:r>
                  </m:sub>
                </m:sSub>
                <m:r>
                  <m:rPr>
                    <m:sty m:val="p"/>
                  </m:rPr>
                  <w:rPr>
                    <w:rFonts w:ascii="Cambria Math" w:hAnsi="Cambria Math"/>
                    <w:color w:val="000000"/>
                  </w:rPr>
                  <m:t>&gt;</m:t>
                </m:r>
                <m:r>
                  <w:rPr>
                    <w:rFonts w:ascii="Cambria Math" w:hAnsi="Cambria Math"/>
                    <w:color w:val="000000"/>
                  </w:rPr>
                  <m:t>L</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r>
                  <m:rPr>
                    <m:sty m:val="p"/>
                  </m:rPr>
                  <w:rPr>
                    <w:rFonts w:ascii="Cambria Math" w:hAnsi="Cambria Math"/>
                    <w:color w:val="000000"/>
                  </w:rPr>
                  <m:t>&lt;</m:t>
                </m:r>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δ</m:t>
                    </m:r>
                  </m:e>
                  <m:sub>
                    <m:r>
                      <w:rPr>
                        <w:rFonts w:ascii="Cambria Math" w:hAnsi="Cambria Math"/>
                        <w:color w:val="000000"/>
                      </w:rPr>
                      <m:t>i</m:t>
                    </m:r>
                  </m:sub>
                </m:sSub>
                <m:r>
                  <m:rPr>
                    <m:sty m:val="p"/>
                  </m:rPr>
                  <w:rPr>
                    <w:rFonts w:ascii="Cambria Math" w:hAnsi="Cambria Math"/>
                    <w:color w:val="000000"/>
                  </w:rPr>
                  <m:t>=1)</m:t>
                </m:r>
              </m:oMath>
            </m:oMathPara>
          </w:p>
        </w:tc>
        <w:tc>
          <w:tcPr>
            <w:tcW w:w="389" w:type="dxa"/>
          </w:tcPr>
          <w:p w14:paraId="4BC4AABC" w14:textId="5D552D80" w:rsidR="009F5BF3" w:rsidRPr="001B188B" w:rsidRDefault="009F5BF3" w:rsidP="00B7105A">
            <w:pPr>
              <w:spacing w:after="240"/>
              <w:jc w:val="both"/>
              <w:rPr>
                <w:rFonts w:eastAsia="Georgia"/>
                <w:color w:val="000000"/>
              </w:rPr>
            </w:pPr>
            <w:r w:rsidRPr="001B188B">
              <w:rPr>
                <w:rFonts w:eastAsia="Georgia"/>
                <w:color w:val="000000"/>
              </w:rPr>
              <w:t>(5)</w:t>
            </w:r>
          </w:p>
        </w:tc>
      </w:tr>
    </w:tbl>
    <w:p w14:paraId="32E5B4F5" w14:textId="10B1B83F" w:rsidR="007A2C87" w:rsidRPr="001B188B" w:rsidRDefault="00C26CBD" w:rsidP="00B7105A">
      <w:pPr>
        <w:jc w:val="both"/>
        <w:rPr>
          <w:rFonts w:eastAsia="Georgia"/>
          <w:color w:val="000000"/>
        </w:rPr>
      </w:pPr>
      <w:r w:rsidRPr="001B188B">
        <w:rPr>
          <w:rFonts w:eastAsia="Georgia"/>
          <w:color w:val="000000"/>
        </w:rPr>
        <w:t xml:space="preserve">where </w:t>
      </w:r>
      <m:oMath>
        <m:r>
          <w:rPr>
            <w:rFonts w:ascii="Cambria Math" w:hAnsi="Cambria Math"/>
            <w:color w:val="000000"/>
          </w:rPr>
          <m:t>L</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m:t>
            </m:r>
          </m:sub>
        </m:sSub>
        <m:r>
          <m:rPr>
            <m:sty m:val="p"/>
          </m:rPr>
          <w:rPr>
            <w:rFonts w:ascii="Cambria Math" w:hAnsi="Cambria Math"/>
            <w:color w:val="000000"/>
          </w:rPr>
          <m:t>=</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i</m:t>
            </m:r>
          </m:sub>
          <m:sup>
            <m:r>
              <m:rPr>
                <m:sty m:val="p"/>
              </m:rPr>
              <w:rPr>
                <w:rFonts w:ascii="Cambria Math" w:hAnsi="Cambria Math"/>
                <w:color w:val="000000"/>
              </w:rPr>
              <m:t>'</m:t>
            </m:r>
          </m:sup>
        </m:sSubSup>
        <m:acc>
          <m:accPr>
            <m:chr m:val="ˆ"/>
            <m:ctrlPr>
              <w:rPr>
                <w:rFonts w:ascii="Cambria Math" w:hAnsi="Cambria Math"/>
              </w:rPr>
            </m:ctrlPr>
          </m:accPr>
          <m:e>
            <m:r>
              <w:rPr>
                <w:rFonts w:ascii="Cambria Math" w:hAnsi="Cambria Math"/>
                <w:color w:val="000000"/>
              </w:rPr>
              <m:t>β</m:t>
            </m:r>
          </m:e>
        </m:acc>
      </m:oMath>
      <w:r w:rsidRPr="001B188B">
        <w:rPr>
          <w:rFonts w:eastAsia="Georgia"/>
          <w:color w:val="000000"/>
        </w:rPr>
        <w:t xml:space="preserve"> and </w:t>
      </w:r>
      <m:oMath>
        <m:r>
          <w:rPr>
            <w:rFonts w:ascii="Cambria Math" w:hAnsi="Cambria Math"/>
            <w:color w:val="000000"/>
          </w:rPr>
          <m:t>L</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j</m:t>
            </m:r>
          </m:sub>
        </m:sSub>
        <m:r>
          <m:rPr>
            <m:sty m:val="p"/>
          </m:rPr>
          <w:rPr>
            <w:rFonts w:ascii="Cambria Math" w:hAnsi="Cambria Math"/>
            <w:color w:val="000000"/>
          </w:rPr>
          <m:t>=</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j</m:t>
            </m:r>
          </m:sub>
          <m:sup>
            <m:r>
              <m:rPr>
                <m:sty m:val="p"/>
              </m:rPr>
              <w:rPr>
                <w:rFonts w:ascii="Cambria Math" w:hAnsi="Cambria Math"/>
                <w:color w:val="000000"/>
              </w:rPr>
              <m:t>'</m:t>
            </m:r>
          </m:sup>
        </m:sSubSup>
        <m:acc>
          <m:accPr>
            <m:chr m:val="ˆ"/>
            <m:ctrlPr>
              <w:rPr>
                <w:rFonts w:ascii="Cambria Math" w:hAnsi="Cambria Math"/>
              </w:rPr>
            </m:ctrlPr>
          </m:accPr>
          <m:e>
            <m:r>
              <w:rPr>
                <w:rFonts w:ascii="Cambria Math" w:hAnsi="Cambria Math"/>
                <w:color w:val="000000"/>
              </w:rPr>
              <m:t>β</m:t>
            </m:r>
          </m:e>
        </m:acc>
      </m:oMath>
      <w:r w:rsidRPr="001B188B">
        <w:rPr>
          <w:rFonts w:eastAsia="Georgia"/>
          <w:color w:val="000000"/>
        </w:rPr>
        <w:t xml:space="preserve"> are the linear predictors (prognostic indices) for subjects </w:t>
      </w:r>
      <m:oMath>
        <m:r>
          <w:rPr>
            <w:rFonts w:ascii="Cambria Math" w:hAnsi="Cambria Math"/>
            <w:color w:val="000000"/>
          </w:rPr>
          <m:t>i</m:t>
        </m:r>
      </m:oMath>
      <w:r w:rsidRPr="001B188B">
        <w:rPr>
          <w:rFonts w:eastAsia="Georgia"/>
          <w:color w:val="000000"/>
        </w:rPr>
        <w:t xml:space="preserve"> and </w:t>
      </w:r>
      <m:oMath>
        <m:r>
          <w:rPr>
            <w:rFonts w:ascii="Cambria Math" w:hAnsi="Cambria Math"/>
            <w:color w:val="000000"/>
          </w:rPr>
          <m:t>j</m:t>
        </m:r>
      </m:oMath>
      <w:r w:rsidRPr="001B188B">
        <w:rPr>
          <w:rFonts w:eastAsia="Georgia"/>
          <w:color w:val="000000"/>
        </w:rPr>
        <w:t xml:space="preserve">; </w:t>
      </w:r>
      <m:oMath>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oMath>
      <w:r w:rsidRPr="001B188B">
        <w:rPr>
          <w:rFonts w:eastAsia="Georgia"/>
          <w:color w:val="000000"/>
        </w:rPr>
        <w:t xml:space="preserve">, </w:t>
      </w:r>
      <m:oMath>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j</m:t>
            </m:r>
          </m:sub>
        </m:sSub>
      </m:oMath>
      <w:r w:rsidRPr="001B188B">
        <w:rPr>
          <w:rFonts w:eastAsia="Georgia"/>
          <w:color w:val="000000"/>
        </w:rPr>
        <w:t xml:space="preserve"> are their observed survival times; and </w:t>
      </w:r>
      <m:oMath>
        <m:sSub>
          <m:sSubPr>
            <m:ctrlPr>
              <w:rPr>
                <w:rFonts w:ascii="Cambria Math" w:hAnsi="Cambria Math"/>
                <w:color w:val="000000"/>
              </w:rPr>
            </m:ctrlPr>
          </m:sSubPr>
          <m:e>
            <m:r>
              <w:rPr>
                <w:rFonts w:ascii="Cambria Math" w:hAnsi="Cambria Math"/>
                <w:color w:val="000000"/>
              </w:rPr>
              <m:t>δ</m:t>
            </m:r>
          </m:e>
          <m:sub>
            <m:r>
              <w:rPr>
                <w:rFonts w:ascii="Cambria Math" w:hAnsi="Cambria Math"/>
                <w:color w:val="000000"/>
              </w:rPr>
              <m:t>i</m:t>
            </m:r>
          </m:sub>
        </m:sSub>
        <m:r>
          <m:rPr>
            <m:sty m:val="p"/>
          </m:rPr>
          <w:rPr>
            <w:rFonts w:ascii="Cambria Math" w:hAnsi="Cambria Math"/>
            <w:color w:val="000000"/>
          </w:rPr>
          <m:t>=1</m:t>
        </m:r>
      </m:oMath>
      <w:r w:rsidRPr="001B188B">
        <w:rPr>
          <w:rFonts w:eastAsia="Georgia"/>
          <w:color w:val="000000"/>
        </w:rPr>
        <w:t xml:space="preserve"> denotes an observed event in subject </w:t>
      </w:r>
      <m:oMath>
        <m:r>
          <w:rPr>
            <w:rFonts w:ascii="Cambria Math" w:hAnsi="Cambria Math"/>
            <w:color w:val="000000"/>
          </w:rPr>
          <m:t>i</m:t>
        </m:r>
      </m:oMath>
      <w:r w:rsidRPr="001B188B">
        <w:rPr>
          <w:rFonts w:eastAsia="Georgia"/>
          <w:color w:val="000000"/>
        </w:rPr>
        <w:t xml:space="preserve">. </w:t>
      </w:r>
      <m:oMath>
        <m:r>
          <w:rPr>
            <w:rFonts w:ascii="Cambria Math" w:hAnsi="Cambria Math"/>
            <w:color w:val="000000"/>
          </w:rPr>
          <m:t>C</m:t>
        </m:r>
        <m:r>
          <m:rPr>
            <m:sty m:val="p"/>
          </m:rPr>
          <w:rPr>
            <w:rFonts w:ascii="Cambria Math" w:hAnsi="Cambria Math"/>
            <w:color w:val="000000"/>
          </w:rPr>
          <m:t>=0.5</m:t>
        </m:r>
      </m:oMath>
      <w:r w:rsidRPr="001B188B">
        <w:rPr>
          <w:rFonts w:eastAsia="Georgia"/>
          <w:color w:val="000000"/>
        </w:rPr>
        <w:t xml:space="preserve"> indicates random prediction; </w:t>
      </w:r>
      <m:oMath>
        <m:r>
          <w:rPr>
            <w:rFonts w:ascii="Cambria Math" w:hAnsi="Cambria Math"/>
            <w:color w:val="000000"/>
          </w:rPr>
          <m:t>C</m:t>
        </m:r>
        <m:r>
          <m:rPr>
            <m:sty m:val="p"/>
          </m:rPr>
          <w:rPr>
            <w:rFonts w:ascii="Cambria Math" w:hAnsi="Cambria Math"/>
            <w:color w:val="000000"/>
          </w:rPr>
          <m:t>=1.0</m:t>
        </m:r>
      </m:oMath>
      <w:r w:rsidRPr="001B188B">
        <w:rPr>
          <w:rFonts w:eastAsia="Georgia"/>
          <w:color w:val="000000"/>
        </w:rPr>
        <w:t xml:space="preserve"> indicates perfect discrimination. Values of 0.70–0.80 are conventionally classified as good discriminative performance</w:t>
      </w:r>
      <w:r w:rsidR="008E527E">
        <w:rPr>
          <w:rFonts w:eastAsia="Georgia"/>
          <w:color w:val="000000"/>
        </w:rPr>
        <w:t xml:space="preserve"> </w:t>
      </w:r>
      <w:r w:rsidR="008E527E" w:rsidRPr="000F08D4">
        <w:rPr>
          <w:vertAlign w:val="superscript"/>
        </w:rPr>
        <w:fldChar w:fldCharType="begin"/>
      </w:r>
      <w:r w:rsidR="008E527E" w:rsidRPr="000F08D4">
        <w:rPr>
          <w:vertAlign w:val="superscript"/>
        </w:rPr>
        <w:instrText xml:space="preserve"> REF _Ref223726614 \r \h </w:instrText>
      </w:r>
      <w:r w:rsidR="000F08D4">
        <w:rPr>
          <w:vertAlign w:val="superscript"/>
        </w:rPr>
        <w:instrText xml:space="preserve"> \* MERGEFORMAT </w:instrText>
      </w:r>
      <w:r w:rsidR="008E527E" w:rsidRPr="000F08D4">
        <w:rPr>
          <w:vertAlign w:val="superscript"/>
        </w:rPr>
      </w:r>
      <w:r w:rsidR="008E527E" w:rsidRPr="000F08D4">
        <w:rPr>
          <w:vertAlign w:val="superscript"/>
        </w:rPr>
        <w:fldChar w:fldCharType="separate"/>
      </w:r>
      <w:r w:rsidR="008E527E" w:rsidRPr="000F08D4">
        <w:rPr>
          <w:vertAlign w:val="superscript"/>
        </w:rPr>
        <w:t>16</w:t>
      </w:r>
      <w:r w:rsidR="008E527E" w:rsidRPr="000F08D4">
        <w:rPr>
          <w:vertAlign w:val="superscript"/>
        </w:rPr>
        <w:fldChar w:fldCharType="end"/>
      </w:r>
      <w:r w:rsidRPr="000F08D4">
        <w:rPr>
          <w:vertAlign w:val="superscript"/>
        </w:rPr>
        <w:t>.</w:t>
      </w:r>
    </w:p>
    <w:p w14:paraId="7C1E19DB" w14:textId="77777777" w:rsidR="00C26CBD" w:rsidRPr="001B188B" w:rsidRDefault="00C26CBD" w:rsidP="00B7105A">
      <w:pPr>
        <w:ind w:left="-30"/>
        <w:jc w:val="both"/>
      </w:pPr>
      <w:bookmarkStart w:id="4" w:name="bm_2_5_3_exponential_proportional_152085"/>
      <w:r w:rsidRPr="001B188B">
        <w:rPr>
          <w:rFonts w:eastAsia="Georgia"/>
          <w:b/>
          <w:color w:val="000000"/>
        </w:rPr>
        <w:t>Exponential Proportional Hazards Model</w:t>
      </w:r>
      <w:bookmarkEnd w:id="4"/>
    </w:p>
    <w:p w14:paraId="29D2E411" w14:textId="43985932" w:rsidR="00C26CBD" w:rsidRPr="001B188B" w:rsidRDefault="00C26CBD" w:rsidP="00B7105A">
      <w:pPr>
        <w:jc w:val="both"/>
      </w:pPr>
      <w:r w:rsidRPr="001B188B">
        <w:rPr>
          <w:rFonts w:eastAsia="Georgia"/>
          <w:color w:val="000000"/>
        </w:rPr>
        <w:t>The exponential model specifies a constant baseline hazard, corresponding to a memoryless survival process in which the instantaneous risk of death does not vary with duration of admission. The baseline hazard, conditional hazard, and survival functions are:</w:t>
      </w:r>
      <w:bookmarkStart w:id="5" w:name="fnref1_1"/>
      <w:bookmarkEnd w:id="5"/>
      <w:r w:rsidR="001C5B56" w:rsidRPr="001B188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gridCol w:w="496"/>
      </w:tblGrid>
      <w:tr w:rsidR="001C5B56" w:rsidRPr="001B188B" w14:paraId="4E79FC3B" w14:textId="77777777" w:rsidTr="001C5B56">
        <w:tc>
          <w:tcPr>
            <w:tcW w:w="10196" w:type="dxa"/>
          </w:tcPr>
          <w:p w14:paraId="2A411CAB" w14:textId="50EDF68E" w:rsidR="001C5B56" w:rsidRPr="001B188B" w:rsidRDefault="00D07F41" w:rsidP="00B7105A">
            <w:pPr>
              <w:spacing w:after="240"/>
              <w:jc w:val="both"/>
            </w:pPr>
            <m:oMathPara>
              <m:oMath>
                <m:sSub>
                  <m:sSubPr>
                    <m:ctrlPr>
                      <w:rPr>
                        <w:rFonts w:ascii="Cambria Math" w:hAnsi="Cambria Math"/>
                        <w:color w:val="000000"/>
                      </w:rPr>
                    </m:ctrlPr>
                  </m:sSubPr>
                  <m:e>
                    <m:r>
                      <w:rPr>
                        <w:rFonts w:ascii="Cambria Math" w:hAnsi="Cambria Math"/>
                        <w:color w:val="000000"/>
                      </w:rPr>
                      <m:t>h</m:t>
                    </m:r>
                  </m:e>
                  <m:sub>
                    <m:r>
                      <m:rPr>
                        <m:sty m:val="p"/>
                      </m:rPr>
                      <w:rPr>
                        <w:rFonts w:ascii="Cambria Math" w:hAnsi="Cambria Math"/>
                        <w:color w:val="000000"/>
                      </w:rPr>
                      <m:t>0</m:t>
                    </m:r>
                  </m:sub>
                </m:sSub>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r>
                  <w:rPr>
                    <w:rFonts w:ascii="Cambria Math" w:hAnsi="Cambria Math"/>
                    <w:color w:val="000000"/>
                  </w:rPr>
                  <m:t>λ</m:t>
                </m:r>
                <m:r>
                  <m:rPr>
                    <m:sty m:val="p"/>
                  </m:rPr>
                  <w:rPr>
                    <w:rFonts w:ascii="Cambria Math" w:hAnsi="Cambria Math"/>
                    <w:color w:val="000000"/>
                  </w:rPr>
                  <m:t xml:space="preserve">, </m:t>
                </m:r>
                <m:r>
                  <w:rPr>
                    <w:rFonts w:ascii="Cambria Math" w:hAnsi="Cambria Math"/>
                    <w:color w:val="000000"/>
                  </w:rPr>
                  <m:t>λ</m:t>
                </m:r>
                <m:r>
                  <m:rPr>
                    <m:sty m:val="p"/>
                  </m:rPr>
                  <w:rPr>
                    <w:rFonts w:ascii="Cambria Math" w:hAnsi="Cambria Math"/>
                    <w:color w:val="000000"/>
                  </w:rPr>
                  <m:t>&gt;0</m:t>
                </m:r>
              </m:oMath>
            </m:oMathPara>
          </w:p>
        </w:tc>
        <w:tc>
          <w:tcPr>
            <w:tcW w:w="496" w:type="dxa"/>
          </w:tcPr>
          <w:p w14:paraId="1EF595A1" w14:textId="46C31C92" w:rsidR="001C5B56" w:rsidRPr="001B188B" w:rsidRDefault="001C5B56" w:rsidP="00B7105A">
            <w:pPr>
              <w:spacing w:after="240"/>
              <w:jc w:val="both"/>
              <w:rPr>
                <w:rFonts w:eastAsia="Georgia"/>
                <w:color w:val="000000"/>
              </w:rPr>
            </w:pPr>
            <w:r w:rsidRPr="001B188B">
              <w:rPr>
                <w:rFonts w:eastAsia="Georgia"/>
                <w:color w:val="000000"/>
              </w:rPr>
              <w:t>(6)</w:t>
            </w:r>
          </w:p>
        </w:tc>
      </w:tr>
      <w:tr w:rsidR="001C5B56" w:rsidRPr="001B188B" w14:paraId="5A329B7C" w14:textId="77777777" w:rsidTr="001C5B56">
        <w:tc>
          <w:tcPr>
            <w:tcW w:w="10196" w:type="dxa"/>
          </w:tcPr>
          <w:p w14:paraId="5F81F601" w14:textId="069AF8E1" w:rsidR="001C5B56" w:rsidRPr="001B188B" w:rsidRDefault="001C5B56" w:rsidP="00B7105A">
            <w:pPr>
              <w:spacing w:after="240"/>
              <w:jc w:val="both"/>
            </w:pPr>
            <m:oMathPara>
              <m:oMath>
                <m:r>
                  <w:rPr>
                    <w:rFonts w:ascii="Cambria Math" w:hAnsi="Cambria Math"/>
                    <w:color w:val="000000"/>
                  </w:rPr>
                  <m:t>h</m:t>
                </m:r>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sub>
                </m:sSub>
                <m:r>
                  <m:rPr>
                    <m:sty m:val="p"/>
                  </m:rPr>
                  <w:rPr>
                    <w:rFonts w:ascii="Cambria Math" w:hAnsi="Cambria Math"/>
                    <w:color w:val="000000"/>
                  </w:rPr>
                  <m:t>)=</m:t>
                </m:r>
                <m:r>
                  <w:rPr>
                    <w:rFonts w:ascii="Cambria Math" w:hAnsi="Cambria Math"/>
                    <w:color w:val="000000"/>
                  </w:rPr>
                  <m:t>λ</m:t>
                </m:r>
                <m:r>
                  <m:rPr>
                    <m:sty m:val="p"/>
                  </m:rPr>
                  <w:rPr>
                    <w:rFonts w:ascii="Cambria Math" w:hAnsi="Cambria Math"/>
                    <w:color w:val="000000"/>
                  </w:rPr>
                  <m:t>⋅exp⁡(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i</m:t>
                    </m:r>
                  </m:sub>
                  <m:sup>
                    <m:r>
                      <m:rPr>
                        <m:sty m:val="p"/>
                      </m:rPr>
                      <w:rPr>
                        <w:rFonts w:ascii="Cambria Math" w:hAnsi="Cambria Math"/>
                        <w:color w:val="000000"/>
                      </w:rPr>
                      <m:t>'</m:t>
                    </m:r>
                  </m:sup>
                </m:sSubSup>
                <m:r>
                  <w:rPr>
                    <w:rFonts w:ascii="Cambria Math" w:hAnsi="Cambria Math"/>
                    <w:color w:val="000000"/>
                  </w:rPr>
                  <m:t>β</m:t>
                </m:r>
                <m:r>
                  <m:rPr>
                    <m:sty m:val="p"/>
                  </m:rPr>
                  <w:rPr>
                    <w:rFonts w:ascii="Cambria Math" w:hAnsi="Cambria Math"/>
                    <w:color w:val="000000"/>
                  </w:rPr>
                  <m:t xml:space="preserve">) </m:t>
                </m:r>
                <m:r>
                  <m:rPr>
                    <m:nor/>
                  </m:rPr>
                  <w:rPr>
                    <w:color w:val="000000"/>
                  </w:rPr>
                  <m:t>(Eq. 7)</m:t>
                </m:r>
              </m:oMath>
            </m:oMathPara>
          </w:p>
        </w:tc>
        <w:tc>
          <w:tcPr>
            <w:tcW w:w="496" w:type="dxa"/>
          </w:tcPr>
          <w:p w14:paraId="17C77726" w14:textId="3DED799B" w:rsidR="001C5B56" w:rsidRPr="001B188B" w:rsidRDefault="001C5B56" w:rsidP="00B7105A">
            <w:pPr>
              <w:spacing w:after="240"/>
              <w:jc w:val="both"/>
              <w:rPr>
                <w:rFonts w:eastAsia="Georgia"/>
                <w:color w:val="000000"/>
              </w:rPr>
            </w:pPr>
            <w:r w:rsidRPr="001B188B">
              <w:rPr>
                <w:rFonts w:eastAsia="Georgia"/>
                <w:color w:val="000000"/>
              </w:rPr>
              <w:t>(7)</w:t>
            </w:r>
          </w:p>
        </w:tc>
      </w:tr>
      <w:tr w:rsidR="001C5B56" w:rsidRPr="001B188B" w14:paraId="702385B6" w14:textId="77777777" w:rsidTr="001C5B56">
        <w:tc>
          <w:tcPr>
            <w:tcW w:w="10196" w:type="dxa"/>
          </w:tcPr>
          <w:p w14:paraId="53D71C72" w14:textId="754B91F6" w:rsidR="001C5B56" w:rsidRPr="001B188B" w:rsidRDefault="001C5B56" w:rsidP="00B7105A">
            <w:pPr>
              <w:spacing w:after="240"/>
              <w:jc w:val="both"/>
            </w:pPr>
            <m:oMathPara>
              <m:oMath>
                <m:r>
                  <w:rPr>
                    <w:rFonts w:ascii="Cambria Math" w:hAnsi="Cambria Math"/>
                    <w:color w:val="000000"/>
                  </w:rPr>
                  <m:t>S</m:t>
                </m:r>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sub>
                </m:sSub>
                <m:r>
                  <m:rPr>
                    <m:sty m:val="p"/>
                  </m:rPr>
                  <w:rPr>
                    <w:rFonts w:ascii="Cambria Math" w:hAnsi="Cambria Math"/>
                    <w:color w:val="000000"/>
                  </w:rPr>
                  <m:t>)=exp⁡[-</m:t>
                </m:r>
                <m:r>
                  <w:rPr>
                    <w:rFonts w:ascii="Cambria Math" w:hAnsi="Cambria Math"/>
                    <w:color w:val="000000"/>
                  </w:rPr>
                  <m:t>λt</m:t>
                </m:r>
                <m:r>
                  <m:rPr>
                    <m:sty m:val="p"/>
                  </m:rPr>
                  <w:rPr>
                    <w:rFonts w:ascii="Cambria Math" w:hAnsi="Cambria Math"/>
                    <w:color w:val="000000"/>
                  </w:rPr>
                  <m:t>⋅exp⁡(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i</m:t>
                    </m:r>
                  </m:sub>
                  <m:sup>
                    <m:r>
                      <m:rPr>
                        <m:sty m:val="p"/>
                      </m:rPr>
                      <w:rPr>
                        <w:rFonts w:ascii="Cambria Math" w:hAnsi="Cambria Math"/>
                        <w:color w:val="000000"/>
                      </w:rPr>
                      <m:t>'</m:t>
                    </m:r>
                  </m:sup>
                </m:sSubSup>
                <m:r>
                  <w:rPr>
                    <w:rFonts w:ascii="Cambria Math" w:hAnsi="Cambria Math"/>
                    <w:color w:val="000000"/>
                  </w:rPr>
                  <m:t>β</m:t>
                </m:r>
                <m:r>
                  <m:rPr>
                    <m:sty m:val="p"/>
                  </m:rPr>
                  <w:rPr>
                    <w:rFonts w:ascii="Cambria Math" w:hAnsi="Cambria Math"/>
                    <w:color w:val="000000"/>
                  </w:rPr>
                  <m:t xml:space="preserve">)] </m:t>
                </m:r>
                <m:r>
                  <m:rPr>
                    <m:nor/>
                  </m:rPr>
                  <w:rPr>
                    <w:color w:val="000000"/>
                  </w:rPr>
                  <m:t>(Eq. 8)</m:t>
                </m:r>
              </m:oMath>
            </m:oMathPara>
          </w:p>
        </w:tc>
        <w:tc>
          <w:tcPr>
            <w:tcW w:w="496" w:type="dxa"/>
          </w:tcPr>
          <w:p w14:paraId="7E6B297C" w14:textId="4E811E1F" w:rsidR="001C5B56" w:rsidRPr="001B188B" w:rsidRDefault="001C5B56" w:rsidP="00B7105A">
            <w:pPr>
              <w:spacing w:after="240"/>
              <w:jc w:val="both"/>
              <w:rPr>
                <w:rFonts w:eastAsia="Georgia"/>
                <w:color w:val="000000"/>
              </w:rPr>
            </w:pPr>
            <w:r w:rsidRPr="001B188B">
              <w:rPr>
                <w:rFonts w:eastAsia="Georgia"/>
                <w:color w:val="000000"/>
              </w:rPr>
              <w:t>(8)</w:t>
            </w:r>
          </w:p>
        </w:tc>
      </w:tr>
    </w:tbl>
    <w:p w14:paraId="36E92FD1" w14:textId="376044A9" w:rsidR="00C26CBD" w:rsidRPr="001B188B" w:rsidRDefault="00C26CBD" w:rsidP="00B7105A">
      <w:pPr>
        <w:jc w:val="both"/>
      </w:pPr>
      <w:r w:rsidRPr="001B188B">
        <w:rPr>
          <w:rFonts w:eastAsia="Georgia"/>
          <w:color w:val="000000"/>
        </w:rPr>
        <w:t xml:space="preserve">where </w:t>
      </w:r>
      <m:oMath>
        <m:r>
          <w:rPr>
            <w:rFonts w:ascii="Cambria Math" w:hAnsi="Cambria Math"/>
            <w:color w:val="000000"/>
          </w:rPr>
          <m:t>λ</m:t>
        </m:r>
        <m:r>
          <m:rPr>
            <m:sty m:val="p"/>
          </m:rPr>
          <w:rPr>
            <w:rFonts w:ascii="Cambria Math" w:hAnsi="Cambria Math"/>
            <w:color w:val="000000"/>
          </w:rPr>
          <m:t>=exp⁡(-</m:t>
        </m:r>
        <m:r>
          <w:rPr>
            <w:rFonts w:ascii="Cambria Math" w:hAnsi="Cambria Math"/>
            <w:color w:val="000000"/>
          </w:rPr>
          <m:t>α</m:t>
        </m:r>
        <m:r>
          <m:rPr>
            <m:sty m:val="p"/>
          </m:rPr>
          <w:rPr>
            <w:rFonts w:ascii="Cambria Math" w:hAnsi="Cambria Math"/>
            <w:color w:val="000000"/>
          </w:rPr>
          <m:t>)</m:t>
        </m:r>
      </m:oMath>
      <w:r w:rsidRPr="001B188B">
        <w:rPr>
          <w:rFonts w:eastAsia="Georgia"/>
          <w:color w:val="000000"/>
        </w:rPr>
        <w:t xml:space="preserve"> and </w:t>
      </w:r>
      <m:oMath>
        <m:r>
          <w:rPr>
            <w:rFonts w:ascii="Cambria Math" w:hAnsi="Cambria Math"/>
            <w:color w:val="000000"/>
          </w:rPr>
          <m:t>α</m:t>
        </m:r>
      </m:oMath>
      <w:r w:rsidRPr="001B188B">
        <w:rPr>
          <w:rFonts w:eastAsia="Georgia"/>
          <w:color w:val="000000"/>
        </w:rPr>
        <w:t xml:space="preserve"> is the log-scale intercept. The exponential model is nested within the Weibull model as the special case </w:t>
      </w:r>
      <m:oMath>
        <m:r>
          <w:rPr>
            <w:rFonts w:ascii="Cambria Math" w:hAnsi="Cambria Math"/>
            <w:color w:val="000000"/>
          </w:rPr>
          <m:t>p</m:t>
        </m:r>
        <m:r>
          <m:rPr>
            <m:sty m:val="p"/>
          </m:rPr>
          <w:rPr>
            <w:rFonts w:ascii="Cambria Math" w:hAnsi="Cambria Math"/>
            <w:color w:val="000000"/>
          </w:rPr>
          <m:t>=1</m:t>
        </m:r>
      </m:oMath>
      <w:r w:rsidRPr="001B188B">
        <w:rPr>
          <w:rFonts w:eastAsia="Georgia"/>
          <w:color w:val="000000"/>
        </w:rPr>
        <w:t xml:space="preserve"> , enabling formal likelihood ratio testing of the constant-hazard restriction.</w:t>
      </w:r>
    </w:p>
    <w:p w14:paraId="2ADC3A45" w14:textId="77777777" w:rsidR="00C26CBD" w:rsidRPr="001B188B" w:rsidRDefault="00C26CBD" w:rsidP="00B7105A">
      <w:pPr>
        <w:ind w:left="-30"/>
        <w:jc w:val="both"/>
      </w:pPr>
      <w:bookmarkStart w:id="6" w:name="bm_2_5_4_weibull_proportional_haz_8ba345"/>
      <w:r w:rsidRPr="001B188B">
        <w:rPr>
          <w:rFonts w:eastAsia="Georgia"/>
          <w:b/>
          <w:color w:val="000000"/>
        </w:rPr>
        <w:t>Weibull Proportional Hazards Model</w:t>
      </w:r>
      <w:bookmarkEnd w:id="6"/>
    </w:p>
    <w:p w14:paraId="5DB43EA2" w14:textId="6EDDBCB8" w:rsidR="00C26CBD" w:rsidRPr="001B188B" w:rsidRDefault="00C26CBD" w:rsidP="00B7105A">
      <w:pPr>
        <w:jc w:val="both"/>
        <w:rPr>
          <w:rFonts w:eastAsia="Georgia"/>
          <w:color w:val="000000"/>
        </w:rPr>
      </w:pPr>
      <w:r w:rsidRPr="001B188B">
        <w:rPr>
          <w:rFonts w:eastAsia="Georgia"/>
          <w:color w:val="000000"/>
        </w:rPr>
        <w:t xml:space="preserve">The Weibull model generalises the exponential by introducing a shape parameter </w:t>
      </w:r>
      <m:oMath>
        <m:r>
          <w:rPr>
            <w:rFonts w:ascii="Cambria Math" w:hAnsi="Cambria Math"/>
            <w:color w:val="000000"/>
          </w:rPr>
          <m:t>p</m:t>
        </m:r>
        <m:r>
          <m:rPr>
            <m:sty m:val="p"/>
          </m:rPr>
          <w:rPr>
            <w:rFonts w:ascii="Cambria Math" w:hAnsi="Cambria Math"/>
            <w:color w:val="000000"/>
          </w:rPr>
          <m:t>&gt;0</m:t>
        </m:r>
      </m:oMath>
      <w:r w:rsidRPr="001B188B">
        <w:rPr>
          <w:rFonts w:eastAsia="Georgia"/>
          <w:color w:val="000000"/>
        </w:rPr>
        <w:t xml:space="preserve"> that governs whether the baseline hazard increases (</w:t>
      </w:r>
      <m:oMath>
        <m:r>
          <w:rPr>
            <w:rFonts w:ascii="Cambria Math" w:hAnsi="Cambria Math"/>
            <w:color w:val="000000"/>
          </w:rPr>
          <m:t>p</m:t>
        </m:r>
        <m:r>
          <m:rPr>
            <m:sty m:val="p"/>
          </m:rPr>
          <w:rPr>
            <w:rFonts w:ascii="Cambria Math" w:hAnsi="Cambria Math"/>
            <w:color w:val="000000"/>
          </w:rPr>
          <m:t>&gt;1</m:t>
        </m:r>
      </m:oMath>
      <w:r w:rsidRPr="001B188B">
        <w:rPr>
          <w:rFonts w:eastAsia="Georgia"/>
          <w:color w:val="000000"/>
        </w:rPr>
        <w:t>), decreases (</w:t>
      </w:r>
      <m:oMath>
        <m:r>
          <w:rPr>
            <w:rFonts w:ascii="Cambria Math" w:hAnsi="Cambria Math"/>
            <w:color w:val="000000"/>
          </w:rPr>
          <m:t>p</m:t>
        </m:r>
        <m:r>
          <m:rPr>
            <m:sty m:val="p"/>
          </m:rPr>
          <w:rPr>
            <w:rFonts w:ascii="Cambria Math" w:hAnsi="Cambria Math"/>
            <w:color w:val="000000"/>
          </w:rPr>
          <m:t>&lt;1</m:t>
        </m:r>
      </m:oMath>
      <w:r w:rsidRPr="001B188B">
        <w:rPr>
          <w:rFonts w:eastAsia="Georgia"/>
          <w:color w:val="000000"/>
        </w:rPr>
        <w:t>), or remains constant (</w:t>
      </w:r>
      <m:oMath>
        <m:r>
          <w:rPr>
            <w:rFonts w:ascii="Cambria Math" w:hAnsi="Cambria Math"/>
            <w:color w:val="000000"/>
          </w:rPr>
          <m:t>p</m:t>
        </m:r>
        <m:r>
          <m:rPr>
            <m:sty m:val="p"/>
          </m:rPr>
          <w:rPr>
            <w:rFonts w:ascii="Cambria Math" w:hAnsi="Cambria Math"/>
            <w:color w:val="000000"/>
          </w:rPr>
          <m:t>=1</m:t>
        </m:r>
      </m:oMath>
      <w:r w:rsidRPr="001B188B">
        <w:rPr>
          <w:rFonts w:eastAsia="Georgia"/>
          <w:color w:val="000000"/>
        </w:rPr>
        <w:t>) with time. The model is defined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gridCol w:w="616"/>
      </w:tblGrid>
      <w:tr w:rsidR="001C5B56" w:rsidRPr="001B188B" w14:paraId="03589974" w14:textId="77777777" w:rsidTr="007A58F6">
        <w:tc>
          <w:tcPr>
            <w:tcW w:w="10196" w:type="dxa"/>
          </w:tcPr>
          <w:p w14:paraId="2BA8A5D5" w14:textId="7CCE8D7A" w:rsidR="001C5B56" w:rsidRPr="001B188B" w:rsidRDefault="00D07F41" w:rsidP="00B7105A">
            <w:pPr>
              <w:spacing w:after="240"/>
              <w:jc w:val="both"/>
            </w:pPr>
            <m:oMathPara>
              <m:oMath>
                <m:sSub>
                  <m:sSubPr>
                    <m:ctrlPr>
                      <w:rPr>
                        <w:rFonts w:ascii="Cambria Math" w:hAnsi="Cambria Math"/>
                        <w:color w:val="000000"/>
                      </w:rPr>
                    </m:ctrlPr>
                  </m:sSubPr>
                  <m:e>
                    <m:r>
                      <w:rPr>
                        <w:rFonts w:ascii="Cambria Math" w:hAnsi="Cambria Math"/>
                        <w:color w:val="000000"/>
                      </w:rPr>
                      <m:t>h</m:t>
                    </m:r>
                  </m:e>
                  <m:sub>
                    <m:r>
                      <m:rPr>
                        <m:sty m:val="p"/>
                      </m:rPr>
                      <w:rPr>
                        <w:rFonts w:ascii="Cambria Math" w:hAnsi="Cambria Math"/>
                        <w:color w:val="000000"/>
                      </w:rPr>
                      <m:t>0</m:t>
                    </m:r>
                  </m:sub>
                </m:sSub>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r>
                  <w:rPr>
                    <w:rFonts w:ascii="Cambria Math" w:hAnsi="Cambria Math"/>
                    <w:color w:val="000000"/>
                  </w:rPr>
                  <m:t>pλ</m:t>
                </m:r>
                <m:sSup>
                  <m:sSupPr>
                    <m:ctrlPr>
                      <w:rPr>
                        <w:rFonts w:ascii="Cambria Math" w:hAnsi="Cambria Math"/>
                        <w:color w:val="000000"/>
                      </w:rPr>
                    </m:ctrlPr>
                  </m:sSupPr>
                  <m:e>
                    <m:r>
                      <w:rPr>
                        <w:rFonts w:ascii="Cambria Math" w:hAnsi="Cambria Math"/>
                        <w:color w:val="000000"/>
                      </w:rPr>
                      <m:t>t</m:t>
                    </m:r>
                  </m:e>
                  <m:sup>
                    <m:r>
                      <w:rPr>
                        <w:rFonts w:ascii="Cambria Math" w:hAnsi="Cambria Math"/>
                        <w:color w:val="000000"/>
                      </w:rPr>
                      <m:t>p</m:t>
                    </m:r>
                    <m:r>
                      <m:rPr>
                        <m:sty m:val="p"/>
                      </m:rPr>
                      <w:rPr>
                        <w:rFonts w:ascii="Cambria Math" w:hAnsi="Cambria Math"/>
                        <w:color w:val="000000"/>
                      </w:rPr>
                      <m:t>-1</m:t>
                    </m:r>
                  </m:sup>
                </m:sSup>
              </m:oMath>
            </m:oMathPara>
          </w:p>
        </w:tc>
        <w:tc>
          <w:tcPr>
            <w:tcW w:w="496" w:type="dxa"/>
          </w:tcPr>
          <w:p w14:paraId="7FEEB311" w14:textId="09C323D1" w:rsidR="001C5B56" w:rsidRPr="001B188B" w:rsidRDefault="001C5B56" w:rsidP="00B7105A">
            <w:pPr>
              <w:spacing w:after="240"/>
              <w:jc w:val="both"/>
              <w:rPr>
                <w:rFonts w:eastAsia="Georgia"/>
                <w:color w:val="000000"/>
              </w:rPr>
            </w:pPr>
            <w:r w:rsidRPr="001B188B">
              <w:rPr>
                <w:rFonts w:eastAsia="Georgia"/>
                <w:color w:val="000000"/>
              </w:rPr>
              <w:t>(9)</w:t>
            </w:r>
          </w:p>
        </w:tc>
      </w:tr>
      <w:tr w:rsidR="001C5B56" w:rsidRPr="001B188B" w14:paraId="2A244512" w14:textId="77777777" w:rsidTr="007A58F6">
        <w:tc>
          <w:tcPr>
            <w:tcW w:w="10196" w:type="dxa"/>
          </w:tcPr>
          <w:p w14:paraId="7903976E" w14:textId="74079B54" w:rsidR="001C5B56" w:rsidRPr="001B188B" w:rsidRDefault="001C5B56" w:rsidP="00B7105A">
            <w:pPr>
              <w:spacing w:after="240"/>
              <w:jc w:val="both"/>
            </w:pPr>
            <m:oMathPara>
              <m:oMath>
                <m:r>
                  <w:rPr>
                    <w:rFonts w:ascii="Cambria Math" w:hAnsi="Cambria Math"/>
                    <w:color w:val="000000"/>
                  </w:rPr>
                  <m:t>h</m:t>
                </m:r>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sub>
                </m:sSub>
                <m:r>
                  <m:rPr>
                    <m:sty m:val="p"/>
                  </m:rPr>
                  <w:rPr>
                    <w:rFonts w:ascii="Cambria Math" w:hAnsi="Cambria Math"/>
                    <w:color w:val="000000"/>
                  </w:rPr>
                  <m:t>)=</m:t>
                </m:r>
                <m:r>
                  <w:rPr>
                    <w:rFonts w:ascii="Cambria Math" w:hAnsi="Cambria Math"/>
                    <w:color w:val="000000"/>
                  </w:rPr>
                  <m:t>pλ</m:t>
                </m:r>
                <m:sSup>
                  <m:sSupPr>
                    <m:ctrlPr>
                      <w:rPr>
                        <w:rFonts w:ascii="Cambria Math" w:hAnsi="Cambria Math"/>
                        <w:color w:val="000000"/>
                      </w:rPr>
                    </m:ctrlPr>
                  </m:sSupPr>
                  <m:e>
                    <m:r>
                      <w:rPr>
                        <w:rFonts w:ascii="Cambria Math" w:hAnsi="Cambria Math"/>
                        <w:color w:val="000000"/>
                      </w:rPr>
                      <m:t>t</m:t>
                    </m:r>
                  </m:e>
                  <m:sup>
                    <m:r>
                      <w:rPr>
                        <w:rFonts w:ascii="Cambria Math" w:hAnsi="Cambria Math"/>
                        <w:color w:val="000000"/>
                      </w:rPr>
                      <m:t>p</m:t>
                    </m:r>
                    <m:r>
                      <m:rPr>
                        <m:sty m:val="p"/>
                      </m:rPr>
                      <w:rPr>
                        <w:rFonts w:ascii="Cambria Math" w:hAnsi="Cambria Math"/>
                        <w:color w:val="000000"/>
                      </w:rPr>
                      <m:t>-1</m:t>
                    </m:r>
                  </m:sup>
                </m:sSup>
                <m:r>
                  <m:rPr>
                    <m:sty m:val="p"/>
                  </m:rPr>
                  <w:rPr>
                    <w:rFonts w:ascii="Cambria Math" w:hAnsi="Cambria Math"/>
                    <w:color w:val="000000"/>
                  </w:rPr>
                  <m:t>⋅exp⁡(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i</m:t>
                    </m:r>
                  </m:sub>
                  <m:sup>
                    <m:r>
                      <m:rPr>
                        <m:sty m:val="p"/>
                      </m:rPr>
                      <w:rPr>
                        <w:rFonts w:ascii="Cambria Math" w:hAnsi="Cambria Math"/>
                        <w:color w:val="000000"/>
                      </w:rPr>
                      <m:t>'</m:t>
                    </m:r>
                  </m:sup>
                </m:sSubSup>
                <m:r>
                  <w:rPr>
                    <w:rFonts w:ascii="Cambria Math" w:hAnsi="Cambria Math"/>
                    <w:color w:val="000000"/>
                  </w:rPr>
                  <m:t>β</m:t>
                </m:r>
                <m:r>
                  <m:rPr>
                    <m:sty m:val="p"/>
                  </m:rPr>
                  <w:rPr>
                    <w:rFonts w:ascii="Cambria Math" w:hAnsi="Cambria Math"/>
                    <w:color w:val="000000"/>
                  </w:rPr>
                  <m:t>)</m:t>
                </m:r>
              </m:oMath>
            </m:oMathPara>
          </w:p>
        </w:tc>
        <w:tc>
          <w:tcPr>
            <w:tcW w:w="496" w:type="dxa"/>
          </w:tcPr>
          <w:p w14:paraId="19D5622E" w14:textId="2B699D2C" w:rsidR="001C5B56" w:rsidRPr="001B188B" w:rsidRDefault="001C5B56" w:rsidP="00B7105A">
            <w:pPr>
              <w:spacing w:after="240"/>
              <w:jc w:val="both"/>
              <w:rPr>
                <w:rFonts w:eastAsia="Georgia"/>
                <w:color w:val="000000"/>
              </w:rPr>
            </w:pPr>
            <w:r w:rsidRPr="001B188B">
              <w:rPr>
                <w:rFonts w:eastAsia="Georgia"/>
                <w:color w:val="000000"/>
              </w:rPr>
              <w:t>(10)</w:t>
            </w:r>
          </w:p>
        </w:tc>
      </w:tr>
      <w:tr w:rsidR="001C5B56" w:rsidRPr="001B188B" w14:paraId="4CC6A9A2" w14:textId="77777777" w:rsidTr="007A58F6">
        <w:tc>
          <w:tcPr>
            <w:tcW w:w="10196" w:type="dxa"/>
          </w:tcPr>
          <w:p w14:paraId="4C7A8C85" w14:textId="51C7E46B" w:rsidR="001C5B56" w:rsidRPr="001B188B" w:rsidRDefault="001C5B56" w:rsidP="00B7105A">
            <w:pPr>
              <w:spacing w:after="240"/>
              <w:jc w:val="both"/>
            </w:pPr>
            <m:oMathPara>
              <m:oMath>
                <m:r>
                  <w:rPr>
                    <w:rFonts w:ascii="Cambria Math" w:hAnsi="Cambria Math"/>
                    <w:color w:val="000000"/>
                  </w:rPr>
                  <m:t>S</m:t>
                </m:r>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sub>
                </m:sSub>
                <m:r>
                  <m:rPr>
                    <m:sty m:val="p"/>
                  </m:rPr>
                  <w:rPr>
                    <w:rFonts w:ascii="Cambria Math" w:hAnsi="Cambria Math"/>
                    <w:color w:val="000000"/>
                  </w:rPr>
                  <m:t>)=exp⁡[-</m:t>
                </m:r>
                <m:r>
                  <w:rPr>
                    <w:rFonts w:ascii="Cambria Math" w:hAnsi="Cambria Math"/>
                    <w:color w:val="000000"/>
                  </w:rPr>
                  <m:t>λ</m:t>
                </m:r>
                <m:sSup>
                  <m:sSupPr>
                    <m:ctrlPr>
                      <w:rPr>
                        <w:rFonts w:ascii="Cambria Math" w:hAnsi="Cambria Math"/>
                        <w:color w:val="000000"/>
                      </w:rPr>
                    </m:ctrlPr>
                  </m:sSupPr>
                  <m:e>
                    <m:r>
                      <w:rPr>
                        <w:rFonts w:ascii="Cambria Math" w:hAnsi="Cambria Math"/>
                        <w:color w:val="000000"/>
                      </w:rPr>
                      <m:t>t</m:t>
                    </m:r>
                  </m:e>
                  <m:sup>
                    <m:r>
                      <w:rPr>
                        <w:rFonts w:ascii="Cambria Math" w:hAnsi="Cambria Math"/>
                        <w:color w:val="000000"/>
                      </w:rPr>
                      <m:t>p</m:t>
                    </m:r>
                  </m:sup>
                </m:sSup>
                <m:r>
                  <m:rPr>
                    <m:sty m:val="p"/>
                  </m:rPr>
                  <w:rPr>
                    <w:rFonts w:ascii="Cambria Math" w:hAnsi="Cambria Math"/>
                    <w:color w:val="000000"/>
                  </w:rPr>
                  <m:t>⋅exp⁡(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i</m:t>
                    </m:r>
                  </m:sub>
                  <m:sup>
                    <m:r>
                      <m:rPr>
                        <m:sty m:val="p"/>
                      </m:rPr>
                      <w:rPr>
                        <w:rFonts w:ascii="Cambria Math" w:hAnsi="Cambria Math"/>
                        <w:color w:val="000000"/>
                      </w:rPr>
                      <m:t>'</m:t>
                    </m:r>
                  </m:sup>
                </m:sSubSup>
                <m:r>
                  <w:rPr>
                    <w:rFonts w:ascii="Cambria Math" w:hAnsi="Cambria Math"/>
                    <w:color w:val="000000"/>
                  </w:rPr>
                  <m:t>β</m:t>
                </m:r>
                <m:r>
                  <m:rPr>
                    <m:sty m:val="p"/>
                  </m:rPr>
                  <w:rPr>
                    <w:rFonts w:ascii="Cambria Math" w:hAnsi="Cambria Math"/>
                    <w:color w:val="000000"/>
                  </w:rPr>
                  <m:t>)]</m:t>
                </m:r>
              </m:oMath>
            </m:oMathPara>
          </w:p>
        </w:tc>
        <w:tc>
          <w:tcPr>
            <w:tcW w:w="496" w:type="dxa"/>
          </w:tcPr>
          <w:p w14:paraId="146DA103" w14:textId="47F45897" w:rsidR="001C5B56" w:rsidRPr="001B188B" w:rsidRDefault="001C5B56" w:rsidP="00B7105A">
            <w:pPr>
              <w:spacing w:after="240"/>
              <w:jc w:val="both"/>
              <w:rPr>
                <w:rFonts w:eastAsia="Georgia"/>
                <w:color w:val="000000"/>
              </w:rPr>
            </w:pPr>
            <w:r w:rsidRPr="001B188B">
              <w:rPr>
                <w:rFonts w:eastAsia="Georgia"/>
                <w:color w:val="000000"/>
              </w:rPr>
              <w:t>(11)</w:t>
            </w:r>
          </w:p>
        </w:tc>
      </w:tr>
    </w:tbl>
    <w:p w14:paraId="3E9A5212" w14:textId="5AFE38CB" w:rsidR="00C26CBD" w:rsidRPr="001B188B" w:rsidRDefault="00C26CBD" w:rsidP="00B7105A">
      <w:pPr>
        <w:jc w:val="both"/>
        <w:rPr>
          <w:rFonts w:eastAsia="Georgia"/>
          <w:color w:val="000000"/>
        </w:rPr>
      </w:pPr>
      <w:r w:rsidRPr="001B188B">
        <w:rPr>
          <w:rFonts w:eastAsia="Georgia"/>
          <w:color w:val="000000"/>
        </w:rPr>
        <w:t xml:space="preserve">where </w:t>
      </w:r>
      <m:oMath>
        <m:r>
          <w:rPr>
            <w:rFonts w:ascii="Cambria Math" w:hAnsi="Cambria Math"/>
            <w:color w:val="000000"/>
          </w:rPr>
          <m:t>λ</m:t>
        </m:r>
        <m:r>
          <m:rPr>
            <m:sty m:val="p"/>
          </m:rPr>
          <w:rPr>
            <w:rFonts w:ascii="Cambria Math" w:hAnsi="Cambria Math"/>
            <w:color w:val="000000"/>
          </w:rPr>
          <m:t>=exp⁡(-</m:t>
        </m:r>
        <m:r>
          <w:rPr>
            <w:rFonts w:ascii="Cambria Math" w:hAnsi="Cambria Math"/>
            <w:color w:val="000000"/>
          </w:rPr>
          <m:t>α</m:t>
        </m:r>
        <m:r>
          <m:rPr>
            <m:sty m:val="p"/>
          </m:rPr>
          <w:rPr>
            <w:rFonts w:ascii="Cambria Math" w:hAnsi="Cambria Math"/>
            <w:color w:val="000000"/>
          </w:rPr>
          <m:t>)</m:t>
        </m:r>
      </m:oMath>
      <w:r w:rsidRPr="001B188B">
        <w:rPr>
          <w:rFonts w:eastAsia="Georgia"/>
          <w:color w:val="000000"/>
        </w:rPr>
        <w:t xml:space="preserve"> is the baseline scale parameter and </w:t>
      </w:r>
      <m:oMath>
        <m:r>
          <w:rPr>
            <w:rFonts w:ascii="Cambria Math" w:hAnsi="Cambria Math"/>
            <w:color w:val="000000"/>
          </w:rPr>
          <m:t>p</m:t>
        </m:r>
      </m:oMath>
      <w:r w:rsidRPr="001B188B">
        <w:rPr>
          <w:rFonts w:eastAsia="Georgia"/>
          <w:color w:val="000000"/>
        </w:rPr>
        <w:t xml:space="preserve"> is the shape parameter</w:t>
      </w:r>
      <w:r w:rsidR="008916D4" w:rsidRPr="001B188B">
        <w:rPr>
          <w:rFonts w:eastAsia="Georgia"/>
          <w:color w:va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2"/>
        <w:gridCol w:w="616"/>
      </w:tblGrid>
      <w:tr w:rsidR="001C5B56" w:rsidRPr="001B188B" w14:paraId="36F41E33" w14:textId="77777777" w:rsidTr="007A58F6">
        <w:tc>
          <w:tcPr>
            <w:tcW w:w="10627" w:type="dxa"/>
          </w:tcPr>
          <w:p w14:paraId="085FA3A0" w14:textId="4BB3E8D0" w:rsidR="001C5B56" w:rsidRPr="001B188B" w:rsidRDefault="001C5B56" w:rsidP="00B7105A">
            <w:pPr>
              <w:spacing w:after="240"/>
              <w:jc w:val="both"/>
            </w:pPr>
            <m:oMathPara>
              <m:oMath>
                <m:r>
                  <w:rPr>
                    <w:rFonts w:ascii="Cambria Math" w:hAnsi="Cambria Math"/>
                    <w:color w:val="000000"/>
                  </w:rPr>
                  <m:t>p</m:t>
                </m:r>
                <m:r>
                  <m:rPr>
                    <m:sty m:val="p"/>
                  </m:rPr>
                  <w:rPr>
                    <w:rFonts w:ascii="Cambria Math" w:hAnsi="Cambria Math"/>
                    <w:color w:val="000000"/>
                  </w:rPr>
                  <m:t>=exp⁡(</m:t>
                </m:r>
                <m:r>
                  <w:rPr>
                    <w:rFonts w:ascii="Cambria Math" w:hAnsi="Cambria Math"/>
                    <w:color w:val="000000"/>
                  </w:rPr>
                  <m:t>κ</m:t>
                </m:r>
                <m:r>
                  <m:rPr>
                    <m:sty m:val="p"/>
                  </m:rPr>
                  <w:rPr>
                    <w:rFonts w:ascii="Cambria Math" w:hAnsi="Cambria Math"/>
                    <w:color w:val="000000"/>
                  </w:rPr>
                  <m:t>)</m:t>
                </m:r>
              </m:oMath>
            </m:oMathPara>
          </w:p>
        </w:tc>
        <w:tc>
          <w:tcPr>
            <w:tcW w:w="389" w:type="dxa"/>
          </w:tcPr>
          <w:p w14:paraId="5814F47C" w14:textId="05D10FCB" w:rsidR="001C5B56" w:rsidRPr="001B188B" w:rsidRDefault="001C5B56" w:rsidP="00B7105A">
            <w:pPr>
              <w:spacing w:after="240"/>
              <w:jc w:val="both"/>
              <w:rPr>
                <w:rFonts w:eastAsia="Georgia"/>
                <w:color w:val="000000"/>
              </w:rPr>
            </w:pPr>
            <w:r w:rsidRPr="001B188B">
              <w:rPr>
                <w:rFonts w:eastAsia="Georgia"/>
                <w:color w:val="000000"/>
              </w:rPr>
              <w:t>(12)</w:t>
            </w:r>
          </w:p>
        </w:tc>
      </w:tr>
    </w:tbl>
    <w:p w14:paraId="03B3481A" w14:textId="65D5B51C" w:rsidR="00C26CBD" w:rsidRPr="001B188B" w:rsidRDefault="00D07F41" w:rsidP="00B7105A">
      <w:pPr>
        <w:jc w:val="both"/>
        <w:rPr>
          <w:rFonts w:eastAsia="Georgia"/>
          <w:color w:val="000000"/>
        </w:rPr>
      </w:pPr>
      <m:oMath>
        <m:acc>
          <m:accPr>
            <m:chr m:val="ˆ"/>
            <m:ctrlPr>
              <w:rPr>
                <w:rFonts w:ascii="Cambria Math" w:hAnsi="Cambria Math"/>
              </w:rPr>
            </m:ctrlPr>
          </m:accPr>
          <m:e>
            <m:r>
              <w:rPr>
                <w:rFonts w:ascii="Cambria Math" w:hAnsi="Cambria Math"/>
                <w:color w:val="000000"/>
              </w:rPr>
              <m:t>p</m:t>
            </m:r>
          </m:e>
        </m:acc>
        <m:r>
          <m:rPr>
            <m:sty m:val="p"/>
          </m:rPr>
          <w:rPr>
            <w:rFonts w:ascii="Cambria Math" w:hAnsi="Cambria Math"/>
            <w:color w:val="000000"/>
          </w:rPr>
          <m:t>&gt;1</m:t>
        </m:r>
      </m:oMath>
      <w:r w:rsidR="00C26CBD" w:rsidRPr="001B188B">
        <w:rPr>
          <w:rFonts w:eastAsia="Georgia"/>
          <w:color w:val="000000"/>
        </w:rPr>
        <w:t xml:space="preserve"> implies an increasing baseline hazard over the admission period (secondary deterioration pattern); </w:t>
      </w:r>
      <m:oMath>
        <m:acc>
          <m:accPr>
            <m:chr m:val="ˆ"/>
            <m:ctrlPr>
              <w:rPr>
                <w:rFonts w:ascii="Cambria Math" w:hAnsi="Cambria Math"/>
              </w:rPr>
            </m:ctrlPr>
          </m:accPr>
          <m:e>
            <m:r>
              <w:rPr>
                <w:rFonts w:ascii="Cambria Math" w:hAnsi="Cambria Math"/>
                <w:color w:val="000000"/>
              </w:rPr>
              <m:t>p</m:t>
            </m:r>
          </m:e>
        </m:acc>
        <m:r>
          <m:rPr>
            <m:sty m:val="p"/>
          </m:rPr>
          <w:rPr>
            <w:rFonts w:ascii="Cambria Math" w:hAnsi="Cambria Math"/>
            <w:color w:val="000000"/>
          </w:rPr>
          <m:t>&lt;1</m:t>
        </m:r>
      </m:oMath>
      <w:r w:rsidR="00C26CBD" w:rsidRPr="001B188B">
        <w:rPr>
          <w:rFonts w:eastAsia="Georgia"/>
          <w:color w:val="000000"/>
        </w:rPr>
        <w:t xml:space="preserve"> implies a decreasing hazard (front-loaded mortality pattern). The 95% confidence interval for </w:t>
      </w:r>
      <m:oMath>
        <m:r>
          <w:rPr>
            <w:rFonts w:ascii="Cambria Math" w:hAnsi="Cambria Math"/>
            <w:color w:val="000000"/>
          </w:rPr>
          <m:t>p</m:t>
        </m:r>
      </m:oMath>
      <w:r w:rsidR="00C26CBD" w:rsidRPr="001B188B">
        <w:rPr>
          <w:rFonts w:eastAsia="Georgia"/>
          <w:color w:val="000000"/>
        </w:rPr>
        <w:t xml:space="preserve"> is obtained by the delta method: </w:t>
      </w:r>
      <m:oMath>
        <m:r>
          <m:rPr>
            <m:sty m:val="p"/>
          </m:rPr>
          <w:rPr>
            <w:rFonts w:ascii="Cambria Math" w:hAnsi="Cambria Math"/>
            <w:color w:val="000000"/>
          </w:rPr>
          <m:t>exp⁡(</m:t>
        </m:r>
        <m:acc>
          <m:accPr>
            <m:chr m:val="ˆ"/>
            <m:ctrlPr>
              <w:rPr>
                <w:rFonts w:ascii="Cambria Math" w:hAnsi="Cambria Math"/>
              </w:rPr>
            </m:ctrlPr>
          </m:accPr>
          <m:e>
            <m:r>
              <w:rPr>
                <w:rFonts w:ascii="Cambria Math" w:hAnsi="Cambria Math"/>
                <w:color w:val="000000"/>
              </w:rPr>
              <m:t>κ</m:t>
            </m:r>
          </m:e>
        </m:acc>
        <m:r>
          <m:rPr>
            <m:sty m:val="p"/>
          </m:rPr>
          <w:rPr>
            <w:rFonts w:ascii="Cambria Math" w:hAnsi="Cambria Math"/>
            <w:color w:val="000000"/>
          </w:rPr>
          <m:t>±1.96⋅</m:t>
        </m:r>
        <m:r>
          <m:rPr>
            <m:nor/>
          </m:rPr>
          <w:rPr>
            <w:color w:val="000000"/>
          </w:rPr>
          <m:t>SE</m:t>
        </m:r>
        <m:r>
          <m:rPr>
            <m:sty m:val="p"/>
          </m:rPr>
          <w:rPr>
            <w:rFonts w:ascii="Cambria Math" w:hAnsi="Cambria Math"/>
            <w:color w:val="000000"/>
          </w:rPr>
          <m:t>(</m:t>
        </m:r>
        <m:acc>
          <m:accPr>
            <m:chr m:val="ˆ"/>
            <m:ctrlPr>
              <w:rPr>
                <w:rFonts w:ascii="Cambria Math" w:hAnsi="Cambria Math"/>
              </w:rPr>
            </m:ctrlPr>
          </m:accPr>
          <m:e>
            <m:r>
              <w:rPr>
                <w:rFonts w:ascii="Cambria Math" w:hAnsi="Cambria Math"/>
                <w:color w:val="000000"/>
              </w:rPr>
              <m:t>κ</m:t>
            </m:r>
          </m:e>
        </m:acc>
        <m:r>
          <m:rPr>
            <m:sty m:val="p"/>
          </m:rPr>
          <w:rPr>
            <w:rFonts w:ascii="Cambria Math" w:hAnsi="Cambria Math"/>
            <w:color w:val="000000"/>
          </w:rPr>
          <m:t>))</m:t>
        </m:r>
      </m:oMath>
      <w:r w:rsidR="00C26CBD" w:rsidRPr="001B188B">
        <w:rPr>
          <w:rFonts w:eastAsia="Georgia"/>
          <w:color w:val="000000"/>
        </w:rPr>
        <w:t xml:space="preserve">. The exponential model is nested within the Weibull under </w:t>
      </w:r>
      <m:oMath>
        <m:sSub>
          <m:sSubPr>
            <m:ctrlPr>
              <w:rPr>
                <w:rFonts w:ascii="Cambria Math" w:hAnsi="Cambria Math"/>
                <w:color w:val="000000"/>
              </w:rPr>
            </m:ctrlPr>
          </m:sSubPr>
          <m:e>
            <m:r>
              <w:rPr>
                <w:rFonts w:ascii="Cambria Math" w:hAnsi="Cambria Math"/>
                <w:color w:val="000000"/>
              </w:rPr>
              <m:t>H</m:t>
            </m:r>
          </m:e>
          <m:sub>
            <m:r>
              <m:rPr>
                <m:sty m:val="p"/>
              </m:rPr>
              <w:rPr>
                <w:rFonts w:ascii="Cambria Math" w:hAnsi="Cambria Math"/>
                <w:color w:val="000000"/>
              </w:rPr>
              <m:t>0</m:t>
            </m:r>
          </m:sub>
        </m:sSub>
        <m:r>
          <m:rPr>
            <m:sty m:val="p"/>
          </m:rPr>
          <w:rPr>
            <w:rFonts w:ascii="Cambria Math" w:hAnsi="Cambria Math"/>
            <w:color w:val="000000"/>
          </w:rPr>
          <m:t>:</m:t>
        </m:r>
        <m:r>
          <w:rPr>
            <w:rFonts w:ascii="Cambria Math" w:hAnsi="Cambria Math"/>
            <w:color w:val="000000"/>
          </w:rPr>
          <m:t>p</m:t>
        </m:r>
        <m:r>
          <m:rPr>
            <m:sty m:val="p"/>
          </m:rPr>
          <w:rPr>
            <w:rFonts w:ascii="Cambria Math" w:hAnsi="Cambria Math"/>
            <w:color w:val="000000"/>
          </w:rPr>
          <m:t>=1</m:t>
        </m:r>
      </m:oMath>
      <w:r w:rsidR="00C26CBD" w:rsidRPr="001B188B">
        <w:rPr>
          <w:rFonts w:eastAsia="Georgia"/>
          <w:color w:val="000000"/>
        </w:rPr>
        <w:t xml:space="preserve"> (equivalently, </w:t>
      </w:r>
      <m:oMath>
        <m:r>
          <w:rPr>
            <w:rFonts w:ascii="Cambria Math" w:hAnsi="Cambria Math"/>
            <w:color w:val="000000"/>
          </w:rPr>
          <m:t>κ</m:t>
        </m:r>
        <m:r>
          <m:rPr>
            <m:sty m:val="p"/>
          </m:rPr>
          <w:rPr>
            <w:rFonts w:ascii="Cambria Math" w:hAnsi="Cambria Math"/>
            <w:color w:val="000000"/>
          </w:rPr>
          <m:t>=0</m:t>
        </m:r>
      </m:oMath>
      <w:r w:rsidR="00C26CBD" w:rsidRPr="001B188B">
        <w:rPr>
          <w:rFonts w:eastAsia="Georgia"/>
          <w:color w:val="000000"/>
        </w:rPr>
        <w:t>). This restriction is formally tested by the likelihood ratio statistic: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2"/>
        <w:gridCol w:w="616"/>
      </w:tblGrid>
      <w:tr w:rsidR="001C5B56" w:rsidRPr="001B188B" w14:paraId="4EA7B46F" w14:textId="77777777" w:rsidTr="007A58F6">
        <w:tc>
          <w:tcPr>
            <w:tcW w:w="10627" w:type="dxa"/>
          </w:tcPr>
          <w:p w14:paraId="59E7C939" w14:textId="4812E785" w:rsidR="001C5B56" w:rsidRPr="001B188B" w:rsidRDefault="00D07F41" w:rsidP="00B7105A">
            <w:pPr>
              <w:spacing w:after="240"/>
              <w:jc w:val="both"/>
            </w:pPr>
            <m:oMathPara>
              <m:oMath>
                <m:sSub>
                  <m:sSubPr>
                    <m:ctrlPr>
                      <w:rPr>
                        <w:rFonts w:ascii="Cambria Math" w:hAnsi="Cambria Math"/>
                        <w:color w:val="000000"/>
                      </w:rPr>
                    </m:ctrlPr>
                  </m:sSubPr>
                  <m:e>
                    <m:r>
                      <m:rPr>
                        <m:nor/>
                      </m:rPr>
                      <w:rPr>
                        <w:color w:val="000000"/>
                      </w:rPr>
                      <m:t>LRT</m:t>
                    </m:r>
                  </m:e>
                  <m:sub>
                    <m:r>
                      <w:rPr>
                        <w:rFonts w:ascii="Cambria Math" w:hAnsi="Cambria Math"/>
                        <w:color w:val="000000"/>
                      </w:rPr>
                      <m:t>W</m:t>
                    </m:r>
                    <m:r>
                      <m:rPr>
                        <m:sty m:val="p"/>
                      </m:rPr>
                      <w:rPr>
                        <w:rFonts w:ascii="Cambria Math" w:hAnsi="Cambria Math"/>
                        <w:color w:val="000000"/>
                      </w:rPr>
                      <m:t>-</m:t>
                    </m:r>
                    <m:r>
                      <w:rPr>
                        <w:rFonts w:ascii="Cambria Math" w:hAnsi="Cambria Math"/>
                        <w:color w:val="000000"/>
                      </w:rPr>
                      <m:t>E</m:t>
                    </m:r>
                  </m:sub>
                </m:sSub>
                <m:r>
                  <m:rPr>
                    <m:sty m:val="p"/>
                  </m:rPr>
                  <w:rPr>
                    <w:rFonts w:ascii="Cambria Math" w:hAnsi="Cambria Math"/>
                    <w:color w:val="000000"/>
                  </w:rPr>
                  <m:t>=-2[</m:t>
                </m:r>
                <m:sSub>
                  <m:sSubPr>
                    <m:ctrlPr>
                      <w:rPr>
                        <w:rFonts w:ascii="Cambria Math" w:hAnsi="Cambria Math"/>
                        <w:color w:val="000000"/>
                      </w:rPr>
                    </m:ctrlPr>
                  </m:sSubPr>
                  <m:e>
                    <m:acc>
                      <m:accPr>
                        <m:chr m:val="ˆ"/>
                        <m:ctrlPr>
                          <w:rPr>
                            <w:rFonts w:ascii="Cambria Math" w:hAnsi="Cambria Math"/>
                          </w:rPr>
                        </m:ctrlPr>
                      </m:accPr>
                      <m:e>
                        <m:r>
                          <m:rPr>
                            <m:scr m:val="script"/>
                          </m:rPr>
                          <w:rPr>
                            <w:rFonts w:ascii="Cambria Math" w:hAnsi="Cambria Math"/>
                            <w:color w:val="000000"/>
                          </w:rPr>
                          <m:t>l</m:t>
                        </m:r>
                      </m:e>
                    </m:acc>
                  </m:e>
                  <m:sub>
                    <m:r>
                      <m:rPr>
                        <m:nor/>
                      </m:rPr>
                      <w:rPr>
                        <w:color w:val="000000"/>
                      </w:rPr>
                      <m:t>Exp</m:t>
                    </m:r>
                  </m:sub>
                </m:sSub>
                <m:r>
                  <m:rPr>
                    <m:sty m:val="p"/>
                  </m:rPr>
                  <w:rPr>
                    <w:rFonts w:ascii="Cambria Math" w:hAnsi="Cambria Math"/>
                    <w:color w:val="000000"/>
                  </w:rPr>
                  <m:t>-</m:t>
                </m:r>
                <m:sSub>
                  <m:sSubPr>
                    <m:ctrlPr>
                      <w:rPr>
                        <w:rFonts w:ascii="Cambria Math" w:hAnsi="Cambria Math"/>
                        <w:color w:val="000000"/>
                      </w:rPr>
                    </m:ctrlPr>
                  </m:sSubPr>
                  <m:e>
                    <m:acc>
                      <m:accPr>
                        <m:chr m:val="ˆ"/>
                        <m:ctrlPr>
                          <w:rPr>
                            <w:rFonts w:ascii="Cambria Math" w:hAnsi="Cambria Math"/>
                          </w:rPr>
                        </m:ctrlPr>
                      </m:accPr>
                      <m:e>
                        <m:r>
                          <m:rPr>
                            <m:scr m:val="script"/>
                          </m:rPr>
                          <w:rPr>
                            <w:rFonts w:ascii="Cambria Math" w:hAnsi="Cambria Math"/>
                            <w:color w:val="000000"/>
                          </w:rPr>
                          <m:t>l</m:t>
                        </m:r>
                      </m:e>
                    </m:acc>
                  </m:e>
                  <m:sub>
                    <m:r>
                      <m:rPr>
                        <m:nor/>
                      </m:rPr>
                      <w:rPr>
                        <w:color w:val="000000"/>
                      </w:rPr>
                      <m:t>Weibull</m:t>
                    </m:r>
                  </m:sub>
                </m:sSub>
                <m:r>
                  <m:rPr>
                    <m:sty m:val="p"/>
                  </m:rPr>
                  <w:rPr>
                    <w:rFonts w:ascii="Cambria Math" w:hAnsi="Cambria Math"/>
                    <w:color w:val="000000"/>
                  </w:rPr>
                  <m:t>]∼</m:t>
                </m:r>
                <m:sSup>
                  <m:sSupPr>
                    <m:ctrlPr>
                      <w:rPr>
                        <w:rFonts w:ascii="Cambria Math" w:hAnsi="Cambria Math"/>
                        <w:color w:val="000000"/>
                      </w:rPr>
                    </m:ctrlPr>
                  </m:sSupPr>
                  <m:e>
                    <m:r>
                      <w:rPr>
                        <w:rFonts w:ascii="Cambria Math" w:hAnsi="Cambria Math"/>
                        <w:color w:val="000000"/>
                      </w:rPr>
                      <m:t>χ</m:t>
                    </m:r>
                  </m:e>
                  <m:sup>
                    <m:r>
                      <m:rPr>
                        <m:sty m:val="p"/>
                      </m:rPr>
                      <w:rPr>
                        <w:rFonts w:ascii="Cambria Math" w:hAnsi="Cambria Math"/>
                        <w:color w:val="000000"/>
                      </w:rPr>
                      <m:t>2</m:t>
                    </m:r>
                  </m:sup>
                </m:sSup>
                <m:r>
                  <m:rPr>
                    <m:sty m:val="p"/>
                  </m:rPr>
                  <w:rPr>
                    <w:rFonts w:ascii="Cambria Math" w:hAnsi="Cambria Math"/>
                    <w:color w:val="000000"/>
                  </w:rPr>
                  <m:t>(1)</m:t>
                </m:r>
              </m:oMath>
            </m:oMathPara>
          </w:p>
        </w:tc>
        <w:tc>
          <w:tcPr>
            <w:tcW w:w="389" w:type="dxa"/>
          </w:tcPr>
          <w:p w14:paraId="2C1F7A68" w14:textId="081DF89C" w:rsidR="001C5B56" w:rsidRPr="001B188B" w:rsidRDefault="001C5B56" w:rsidP="00B7105A">
            <w:pPr>
              <w:spacing w:after="240"/>
              <w:jc w:val="both"/>
              <w:rPr>
                <w:rFonts w:eastAsia="Georgia"/>
                <w:color w:val="000000"/>
              </w:rPr>
            </w:pPr>
            <w:r w:rsidRPr="001B188B">
              <w:rPr>
                <w:rFonts w:eastAsia="Georgia"/>
                <w:color w:val="000000"/>
              </w:rPr>
              <w:t>(13)</w:t>
            </w:r>
          </w:p>
        </w:tc>
      </w:tr>
    </w:tbl>
    <w:p w14:paraId="4DE3D1E0" w14:textId="126086F8" w:rsidR="00EB1B99" w:rsidRPr="00B7105A" w:rsidRDefault="00C26CBD" w:rsidP="00B7105A">
      <w:pPr>
        <w:jc w:val="both"/>
        <w:rPr>
          <w:rFonts w:eastAsia="Georgia"/>
          <w:color w:val="000000"/>
        </w:rPr>
      </w:pPr>
      <w:r w:rsidRPr="001B188B">
        <w:rPr>
          <w:rFonts w:eastAsia="Georgia"/>
          <w:color w:val="000000"/>
        </w:rPr>
        <w:t xml:space="preserve">where </w:t>
      </w:r>
      <m:oMath>
        <m:sSub>
          <m:sSubPr>
            <m:ctrlPr>
              <w:rPr>
                <w:rFonts w:ascii="Cambria Math" w:hAnsi="Cambria Math"/>
                <w:color w:val="000000"/>
              </w:rPr>
            </m:ctrlPr>
          </m:sSubPr>
          <m:e>
            <m:acc>
              <m:accPr>
                <m:chr m:val="ˆ"/>
                <m:ctrlPr>
                  <w:rPr>
                    <w:rFonts w:ascii="Cambria Math" w:hAnsi="Cambria Math"/>
                  </w:rPr>
                </m:ctrlPr>
              </m:accPr>
              <m:e>
                <m:r>
                  <m:rPr>
                    <m:scr m:val="script"/>
                  </m:rPr>
                  <w:rPr>
                    <w:rFonts w:ascii="Cambria Math" w:hAnsi="Cambria Math"/>
                    <w:color w:val="000000"/>
                  </w:rPr>
                  <m:t>l</m:t>
                </m:r>
              </m:e>
            </m:acc>
          </m:e>
          <m:sub>
            <m:r>
              <m:rPr>
                <m:nor/>
              </m:rPr>
              <w:rPr>
                <w:color w:val="000000"/>
              </w:rPr>
              <m:t>Exp</m:t>
            </m:r>
          </m:sub>
        </m:sSub>
      </m:oMath>
      <w:r w:rsidRPr="001B188B">
        <w:rPr>
          <w:rFonts w:eastAsia="Georgia"/>
          <w:color w:val="000000"/>
        </w:rPr>
        <w:t xml:space="preserve"> and </w:t>
      </w:r>
      <m:oMath>
        <m:sSub>
          <m:sSubPr>
            <m:ctrlPr>
              <w:rPr>
                <w:rFonts w:ascii="Cambria Math" w:hAnsi="Cambria Math"/>
                <w:color w:val="000000"/>
              </w:rPr>
            </m:ctrlPr>
          </m:sSubPr>
          <m:e>
            <m:acc>
              <m:accPr>
                <m:chr m:val="ˆ"/>
                <m:ctrlPr>
                  <w:rPr>
                    <w:rFonts w:ascii="Cambria Math" w:hAnsi="Cambria Math"/>
                  </w:rPr>
                </m:ctrlPr>
              </m:accPr>
              <m:e>
                <m:r>
                  <m:rPr>
                    <m:scr m:val="script"/>
                  </m:rPr>
                  <w:rPr>
                    <w:rFonts w:ascii="Cambria Math" w:hAnsi="Cambria Math"/>
                    <w:color w:val="000000"/>
                  </w:rPr>
                  <m:t>l</m:t>
                </m:r>
              </m:e>
            </m:acc>
          </m:e>
          <m:sub>
            <m:r>
              <m:rPr>
                <m:nor/>
              </m:rPr>
              <w:rPr>
                <w:color w:val="000000"/>
              </w:rPr>
              <m:t>Weibull</m:t>
            </m:r>
          </m:sub>
        </m:sSub>
      </m:oMath>
      <w:r w:rsidRPr="001B188B">
        <w:rPr>
          <w:rFonts w:eastAsia="Georgia"/>
          <w:color w:val="000000"/>
        </w:rPr>
        <w:t xml:space="preserve"> are the respective maximised log-likelihoods. A statistically significant </w:t>
      </w:r>
      <m:oMath>
        <m:sSub>
          <m:sSubPr>
            <m:ctrlPr>
              <w:rPr>
                <w:rFonts w:ascii="Cambria Math" w:hAnsi="Cambria Math"/>
                <w:color w:val="000000"/>
              </w:rPr>
            </m:ctrlPr>
          </m:sSubPr>
          <m:e>
            <m:r>
              <m:rPr>
                <m:nor/>
              </m:rPr>
              <w:rPr>
                <w:color w:val="000000"/>
              </w:rPr>
              <m:t>LRT</m:t>
            </m:r>
          </m:e>
          <m:sub>
            <m:r>
              <w:rPr>
                <w:rFonts w:ascii="Cambria Math" w:hAnsi="Cambria Math"/>
                <w:color w:val="000000"/>
              </w:rPr>
              <m:t>W</m:t>
            </m:r>
            <m:r>
              <m:rPr>
                <m:sty m:val="p"/>
              </m:rPr>
              <w:rPr>
                <w:rFonts w:ascii="Cambria Math" w:hAnsi="Cambria Math"/>
                <w:color w:val="000000"/>
              </w:rPr>
              <m:t>-</m:t>
            </m:r>
            <m:r>
              <w:rPr>
                <w:rFonts w:ascii="Cambria Math" w:hAnsi="Cambria Math"/>
                <w:color w:val="000000"/>
              </w:rPr>
              <m:t>E</m:t>
            </m:r>
          </m:sub>
        </m:sSub>
      </m:oMath>
      <w:r w:rsidRPr="001B188B">
        <w:rPr>
          <w:rFonts w:eastAsia="Georgia"/>
          <w:color w:val="000000"/>
        </w:rPr>
        <w:t xml:space="preserve"> (</w:t>
      </w:r>
      <m:oMath>
        <m:r>
          <w:rPr>
            <w:rFonts w:ascii="Cambria Math" w:hAnsi="Cambria Math"/>
            <w:color w:val="000000"/>
          </w:rPr>
          <m:t>p</m:t>
        </m:r>
        <m:r>
          <m:rPr>
            <m:sty m:val="p"/>
          </m:rPr>
          <w:rPr>
            <w:rFonts w:ascii="Cambria Math" w:hAnsi="Cambria Math"/>
            <w:color w:val="000000"/>
          </w:rPr>
          <m:t>&lt;0.05</m:t>
        </m:r>
      </m:oMath>
      <w:r w:rsidRPr="001B188B">
        <w:rPr>
          <w:rFonts w:eastAsia="Georgia"/>
          <w:color w:val="000000"/>
        </w:rPr>
        <w:t xml:space="preserve">) rejects the constant-hazard constraint and establishes the Weibull as preferable to the </w:t>
      </w:r>
      <w:r w:rsidR="008916D4" w:rsidRPr="001B188B">
        <w:rPr>
          <w:rFonts w:eastAsia="Georgia"/>
          <w:color w:val="000000"/>
        </w:rPr>
        <w:t>exponential.</w:t>
      </w:r>
    </w:p>
    <w:p w14:paraId="30E438DC" w14:textId="77777777" w:rsidR="00C26CBD" w:rsidRPr="001B188B" w:rsidRDefault="00C26CBD" w:rsidP="00B7105A">
      <w:pPr>
        <w:ind w:left="-30"/>
        <w:jc w:val="both"/>
      </w:pPr>
      <w:bookmarkStart w:id="7" w:name="bm_2_5_5_gompertz_proportional_ha_f23220"/>
      <w:r w:rsidRPr="001B188B">
        <w:rPr>
          <w:rFonts w:eastAsia="Georgia"/>
          <w:b/>
          <w:color w:val="000000"/>
        </w:rPr>
        <w:t>Gompertz Proportional Hazards Model</w:t>
      </w:r>
      <w:bookmarkEnd w:id="7"/>
    </w:p>
    <w:p w14:paraId="3E6622A5" w14:textId="65297A05" w:rsidR="00C26CBD" w:rsidRPr="001B188B" w:rsidRDefault="00C26CBD" w:rsidP="00B7105A">
      <w:pPr>
        <w:jc w:val="both"/>
        <w:rPr>
          <w:rFonts w:eastAsia="Georgia"/>
          <w:color w:val="000000"/>
        </w:rPr>
      </w:pPr>
      <w:r w:rsidRPr="001B188B">
        <w:rPr>
          <w:rFonts w:eastAsia="Georgia"/>
          <w:color w:val="000000"/>
        </w:rPr>
        <w:t xml:space="preserve">The Gompertz model specifies an exponentially changing baseline hazard governed by a shape parameter </w:t>
      </w:r>
      <m:oMath>
        <m:r>
          <w:rPr>
            <w:rFonts w:ascii="Cambria Math" w:hAnsi="Cambria Math"/>
            <w:color w:val="000000"/>
          </w:rPr>
          <m:t>γ</m:t>
        </m:r>
      </m:oMath>
      <w:r w:rsidRPr="001B188B">
        <w:rPr>
          <w:rFonts w:eastAsia="Georgia"/>
          <w:color w:val="000000"/>
        </w:rPr>
        <w:t xml:space="preserve">, making it particularly suited to survival processes characterised by progressively accelerating mortality </w:t>
      </w:r>
      <w:r w:rsidR="008916D4" w:rsidRPr="001B188B">
        <w:rPr>
          <w:rFonts w:eastAsia="Georgia"/>
          <w:color w:val="000000"/>
        </w:rPr>
        <w:t>risk.</w:t>
      </w:r>
      <w:r w:rsidRPr="001B188B">
        <w:rPr>
          <w:rFonts w:eastAsia="Georgia"/>
          <w:color w:val="000000"/>
        </w:rPr>
        <w:t xml:space="preserve"> The baseline hazard, conditional hazard, and survival functions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gridCol w:w="616"/>
      </w:tblGrid>
      <w:tr w:rsidR="001C5B56" w:rsidRPr="001B188B" w14:paraId="064DE60C" w14:textId="77777777" w:rsidTr="007A58F6">
        <w:tc>
          <w:tcPr>
            <w:tcW w:w="10196" w:type="dxa"/>
          </w:tcPr>
          <w:p w14:paraId="0F16524C" w14:textId="705CA281" w:rsidR="001C5B56" w:rsidRPr="001B188B" w:rsidRDefault="00D07F41" w:rsidP="00B7105A">
            <w:pPr>
              <w:spacing w:after="240"/>
              <w:jc w:val="both"/>
            </w:pPr>
            <m:oMathPara>
              <m:oMath>
                <m:sSub>
                  <m:sSubPr>
                    <m:ctrlPr>
                      <w:rPr>
                        <w:rFonts w:ascii="Cambria Math" w:hAnsi="Cambria Math"/>
                        <w:color w:val="000000"/>
                      </w:rPr>
                    </m:ctrlPr>
                  </m:sSubPr>
                  <m:e>
                    <m:r>
                      <w:rPr>
                        <w:rFonts w:ascii="Cambria Math" w:hAnsi="Cambria Math"/>
                        <w:color w:val="000000"/>
                      </w:rPr>
                      <m:t>h</m:t>
                    </m:r>
                  </m:e>
                  <m:sub>
                    <m:r>
                      <m:rPr>
                        <m:sty m:val="p"/>
                      </m:rPr>
                      <w:rPr>
                        <w:rFonts w:ascii="Cambria Math" w:hAnsi="Cambria Math"/>
                        <w:color w:val="000000"/>
                      </w:rPr>
                      <m:t>0</m:t>
                    </m:r>
                  </m:sub>
                </m:sSub>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r>
                  <w:rPr>
                    <w:rFonts w:ascii="Cambria Math" w:hAnsi="Cambria Math"/>
                    <w:color w:val="000000"/>
                  </w:rPr>
                  <m:t>λ</m:t>
                </m:r>
                <m:r>
                  <m:rPr>
                    <m:sty m:val="p"/>
                  </m:rPr>
                  <w:rPr>
                    <w:rFonts w:ascii="Cambria Math" w:hAnsi="Cambria Math"/>
                    <w:color w:val="000000"/>
                  </w:rPr>
                  <m:t>⋅exp⁡(</m:t>
                </m:r>
                <m:r>
                  <w:rPr>
                    <w:rFonts w:ascii="Cambria Math" w:hAnsi="Cambria Math"/>
                    <w:color w:val="000000"/>
                  </w:rPr>
                  <m:t>γt</m:t>
                </m:r>
                <m:r>
                  <m:rPr>
                    <m:sty m:val="p"/>
                  </m:rPr>
                  <w:rPr>
                    <w:rFonts w:ascii="Cambria Math" w:hAnsi="Cambria Math"/>
                    <w:color w:val="000000"/>
                  </w:rPr>
                  <m:t>)</m:t>
                </m:r>
              </m:oMath>
            </m:oMathPara>
          </w:p>
        </w:tc>
        <w:tc>
          <w:tcPr>
            <w:tcW w:w="496" w:type="dxa"/>
          </w:tcPr>
          <w:p w14:paraId="665FDA7D" w14:textId="5E6EF981" w:rsidR="001C5B56" w:rsidRPr="001B188B" w:rsidRDefault="001C5B56" w:rsidP="00B7105A">
            <w:pPr>
              <w:spacing w:after="240"/>
              <w:jc w:val="both"/>
              <w:rPr>
                <w:rFonts w:eastAsia="Georgia"/>
                <w:color w:val="000000"/>
              </w:rPr>
            </w:pPr>
            <w:r w:rsidRPr="001B188B">
              <w:rPr>
                <w:rFonts w:eastAsia="Georgia"/>
                <w:color w:val="000000"/>
              </w:rPr>
              <w:t>(</w:t>
            </w:r>
            <w:r w:rsidR="0000356D" w:rsidRPr="001B188B">
              <w:rPr>
                <w:rFonts w:eastAsia="Georgia"/>
                <w:color w:val="000000"/>
              </w:rPr>
              <w:t>14</w:t>
            </w:r>
            <w:r w:rsidRPr="001B188B">
              <w:rPr>
                <w:rFonts w:eastAsia="Georgia"/>
                <w:color w:val="000000"/>
              </w:rPr>
              <w:t>)</w:t>
            </w:r>
          </w:p>
        </w:tc>
      </w:tr>
      <w:tr w:rsidR="001C5B56" w:rsidRPr="001B188B" w14:paraId="3EA0E330" w14:textId="77777777" w:rsidTr="007A58F6">
        <w:tc>
          <w:tcPr>
            <w:tcW w:w="10196" w:type="dxa"/>
          </w:tcPr>
          <w:p w14:paraId="757F1EC4" w14:textId="455E7CAD" w:rsidR="001C5B56" w:rsidRPr="001B188B" w:rsidRDefault="001C5B56" w:rsidP="00B7105A">
            <w:pPr>
              <w:spacing w:after="240"/>
              <w:jc w:val="both"/>
            </w:pPr>
            <m:oMathPara>
              <m:oMath>
                <m:r>
                  <w:rPr>
                    <w:rFonts w:ascii="Cambria Math" w:hAnsi="Cambria Math"/>
                    <w:color w:val="000000"/>
                  </w:rPr>
                  <w:lastRenderedPageBreak/>
                  <m:t>h</m:t>
                </m:r>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sub>
                </m:sSub>
                <m:r>
                  <m:rPr>
                    <m:sty m:val="p"/>
                  </m:rPr>
                  <w:rPr>
                    <w:rFonts w:ascii="Cambria Math" w:hAnsi="Cambria Math"/>
                    <w:color w:val="000000"/>
                  </w:rPr>
                  <m:t>)=</m:t>
                </m:r>
                <m:r>
                  <w:rPr>
                    <w:rFonts w:ascii="Cambria Math" w:hAnsi="Cambria Math"/>
                    <w:color w:val="000000"/>
                  </w:rPr>
                  <m:t>λ</m:t>
                </m:r>
                <m:r>
                  <m:rPr>
                    <m:sty m:val="p"/>
                  </m:rPr>
                  <w:rPr>
                    <w:rFonts w:ascii="Cambria Math" w:hAnsi="Cambria Math"/>
                    <w:color w:val="000000"/>
                  </w:rPr>
                  <m:t>⋅exp⁡(</m:t>
                </m:r>
                <m:r>
                  <w:rPr>
                    <w:rFonts w:ascii="Cambria Math" w:hAnsi="Cambria Math"/>
                    <w:color w:val="000000"/>
                  </w:rPr>
                  <m:t>γt</m:t>
                </m:r>
                <m:r>
                  <m:rPr>
                    <m:sty m:val="p"/>
                  </m:rPr>
                  <w:rPr>
                    <w:rFonts w:ascii="Cambria Math" w:hAnsi="Cambria Math"/>
                    <w:color w:val="000000"/>
                  </w:rPr>
                  <m:t>)⋅exp⁡(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i</m:t>
                    </m:r>
                  </m:sub>
                  <m:sup>
                    <m:r>
                      <m:rPr>
                        <m:sty m:val="p"/>
                      </m:rPr>
                      <w:rPr>
                        <w:rFonts w:ascii="Cambria Math" w:hAnsi="Cambria Math"/>
                        <w:color w:val="000000"/>
                      </w:rPr>
                      <m:t>'</m:t>
                    </m:r>
                  </m:sup>
                </m:sSubSup>
                <m:r>
                  <w:rPr>
                    <w:rFonts w:ascii="Cambria Math" w:hAnsi="Cambria Math"/>
                    <w:color w:val="000000"/>
                  </w:rPr>
                  <m:t>β</m:t>
                </m:r>
                <m:r>
                  <m:rPr>
                    <m:sty m:val="p"/>
                  </m:rPr>
                  <w:rPr>
                    <w:rFonts w:ascii="Cambria Math" w:hAnsi="Cambria Math"/>
                    <w:color w:val="000000"/>
                  </w:rPr>
                  <m:t>)</m:t>
                </m:r>
              </m:oMath>
            </m:oMathPara>
          </w:p>
        </w:tc>
        <w:tc>
          <w:tcPr>
            <w:tcW w:w="496" w:type="dxa"/>
          </w:tcPr>
          <w:p w14:paraId="28CC3F30" w14:textId="1915A5DF" w:rsidR="001C5B56" w:rsidRPr="001B188B" w:rsidRDefault="001C5B56" w:rsidP="00B7105A">
            <w:pPr>
              <w:spacing w:after="240"/>
              <w:jc w:val="both"/>
              <w:rPr>
                <w:rFonts w:eastAsia="Georgia"/>
                <w:color w:val="000000"/>
              </w:rPr>
            </w:pPr>
            <w:r w:rsidRPr="001B188B">
              <w:rPr>
                <w:rFonts w:eastAsia="Georgia"/>
                <w:color w:val="000000"/>
              </w:rPr>
              <w:t>(1</w:t>
            </w:r>
            <w:r w:rsidR="0000356D" w:rsidRPr="001B188B">
              <w:rPr>
                <w:rFonts w:eastAsia="Georgia"/>
                <w:color w:val="000000"/>
              </w:rPr>
              <w:t>5</w:t>
            </w:r>
            <w:r w:rsidRPr="001B188B">
              <w:rPr>
                <w:rFonts w:eastAsia="Georgia"/>
                <w:color w:val="000000"/>
              </w:rPr>
              <w:t>)</w:t>
            </w:r>
          </w:p>
        </w:tc>
      </w:tr>
      <w:tr w:rsidR="001C5B56" w:rsidRPr="001B188B" w14:paraId="19DFFCFB" w14:textId="77777777" w:rsidTr="007A58F6">
        <w:tc>
          <w:tcPr>
            <w:tcW w:w="10196" w:type="dxa"/>
          </w:tcPr>
          <w:p w14:paraId="3D387E9B" w14:textId="0266B849" w:rsidR="001C5B56" w:rsidRPr="001B188B" w:rsidRDefault="001C5B56" w:rsidP="00B7105A">
            <w:pPr>
              <w:spacing w:after="240"/>
              <w:jc w:val="both"/>
            </w:pPr>
            <m:oMathPara>
              <m:oMath>
                <m:r>
                  <w:rPr>
                    <w:rFonts w:ascii="Cambria Math" w:hAnsi="Cambria Math"/>
                    <w:color w:val="000000"/>
                  </w:rPr>
                  <m:t>S</m:t>
                </m:r>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sub>
                </m:sSub>
                <m:r>
                  <m:rPr>
                    <m:sty m:val="p"/>
                  </m:rPr>
                  <w:rPr>
                    <w:rFonts w:ascii="Cambria Math" w:hAnsi="Cambria Math"/>
                    <w:color w:val="000000"/>
                  </w:rPr>
                  <m:t>)=exp⁡</m:t>
                </m:r>
                <m:d>
                  <m:dPr>
                    <m:begChr m:val="{"/>
                    <m:endChr m:val="}"/>
                    <m:ctrlPr>
                      <w:rPr>
                        <w:rFonts w:ascii="Cambria Math" w:hAnsi="Cambria Math"/>
                        <w:color w:val="000000"/>
                      </w:rPr>
                    </m:ctrlPr>
                  </m:dPr>
                  <m:e>
                    <m:r>
                      <m:rPr>
                        <m:sty m:val="p"/>
                      </m:rPr>
                      <w:rPr>
                        <w:rFonts w:ascii="Cambria Math" w:hAnsi="Cambria Math"/>
                        <w:color w:val="000000"/>
                      </w:rPr>
                      <m:t>-</m:t>
                    </m:r>
                    <m:d>
                      <m:dPr>
                        <m:ctrlPr>
                          <w:rPr>
                            <w:rFonts w:ascii="Cambria Math" w:hAnsi="Cambria Math"/>
                            <w:color w:val="000000"/>
                          </w:rPr>
                        </m:ctrlPr>
                      </m:dPr>
                      <m:e>
                        <m:f>
                          <m:fPr>
                            <m:ctrlPr>
                              <w:rPr>
                                <w:rFonts w:ascii="Cambria Math" w:hAnsi="Cambria Math"/>
                                <w:color w:val="000000"/>
                              </w:rPr>
                            </m:ctrlPr>
                          </m:fPr>
                          <m:num>
                            <m:r>
                              <w:rPr>
                                <w:rFonts w:ascii="Cambria Math" w:hAnsi="Cambria Math"/>
                                <w:color w:val="000000"/>
                              </w:rPr>
                              <m:t>λ</m:t>
                            </m:r>
                          </m:num>
                          <m:den>
                            <m:r>
                              <w:rPr>
                                <w:rFonts w:ascii="Cambria Math" w:hAnsi="Cambria Math"/>
                                <w:color w:val="000000"/>
                              </w:rPr>
                              <m:t>γ</m:t>
                            </m:r>
                          </m:den>
                        </m:f>
                      </m:e>
                    </m:d>
                    <m:r>
                      <m:rPr>
                        <m:sty m:val="p"/>
                      </m:rPr>
                      <w:rPr>
                        <w:rFonts w:ascii="Cambria Math" w:hAnsi="Cambria Math"/>
                        <w:color w:val="000000"/>
                      </w:rPr>
                      <m:t>[exp⁡(</m:t>
                    </m:r>
                    <m:r>
                      <w:rPr>
                        <w:rFonts w:ascii="Cambria Math" w:hAnsi="Cambria Math"/>
                        <w:color w:val="000000"/>
                      </w:rPr>
                      <m:t>γt</m:t>
                    </m:r>
                    <m:r>
                      <m:rPr>
                        <m:sty m:val="p"/>
                      </m:rPr>
                      <w:rPr>
                        <w:rFonts w:ascii="Cambria Math" w:hAnsi="Cambria Math"/>
                        <w:color w:val="000000"/>
                      </w:rPr>
                      <m:t>)-1]⋅exp⁡(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i</m:t>
                        </m:r>
                      </m:sub>
                      <m:sup>
                        <m:r>
                          <m:rPr>
                            <m:sty m:val="p"/>
                          </m:rPr>
                          <w:rPr>
                            <w:rFonts w:ascii="Cambria Math" w:hAnsi="Cambria Math"/>
                            <w:color w:val="000000"/>
                          </w:rPr>
                          <m:t>'</m:t>
                        </m:r>
                      </m:sup>
                    </m:sSubSup>
                    <m:r>
                      <w:rPr>
                        <w:rFonts w:ascii="Cambria Math" w:hAnsi="Cambria Math"/>
                        <w:color w:val="000000"/>
                      </w:rPr>
                      <m:t>β</m:t>
                    </m:r>
                    <m:r>
                      <m:rPr>
                        <m:sty m:val="p"/>
                      </m:rPr>
                      <w:rPr>
                        <w:rFonts w:ascii="Cambria Math" w:hAnsi="Cambria Math"/>
                        <w:color w:val="000000"/>
                      </w:rPr>
                      <m:t>)</m:t>
                    </m:r>
                  </m:e>
                </m:d>
              </m:oMath>
            </m:oMathPara>
          </w:p>
        </w:tc>
        <w:tc>
          <w:tcPr>
            <w:tcW w:w="496" w:type="dxa"/>
          </w:tcPr>
          <w:p w14:paraId="3B5DD5CD" w14:textId="1E6B5A52" w:rsidR="001C5B56" w:rsidRPr="001B188B" w:rsidRDefault="001C5B56" w:rsidP="00B7105A">
            <w:pPr>
              <w:spacing w:after="240"/>
              <w:jc w:val="both"/>
              <w:rPr>
                <w:rFonts w:eastAsia="Georgia"/>
                <w:color w:val="000000"/>
              </w:rPr>
            </w:pPr>
            <w:r w:rsidRPr="001B188B">
              <w:rPr>
                <w:rFonts w:eastAsia="Georgia"/>
                <w:color w:val="000000"/>
              </w:rPr>
              <w:t>(1</w:t>
            </w:r>
            <w:r w:rsidR="0000356D" w:rsidRPr="001B188B">
              <w:rPr>
                <w:rFonts w:eastAsia="Georgia"/>
                <w:color w:val="000000"/>
              </w:rPr>
              <w:t>6</w:t>
            </w:r>
            <w:r w:rsidRPr="001B188B">
              <w:rPr>
                <w:rFonts w:eastAsia="Georgia"/>
                <w:color w:val="000000"/>
              </w:rPr>
              <w:t>)</w:t>
            </w:r>
          </w:p>
        </w:tc>
      </w:tr>
    </w:tbl>
    <w:p w14:paraId="18BFAF96" w14:textId="65D2766F" w:rsidR="00C26CBD" w:rsidRPr="001B188B" w:rsidRDefault="00C26CBD" w:rsidP="00B7105A">
      <w:pPr>
        <w:jc w:val="both"/>
      </w:pPr>
      <w:r w:rsidRPr="001B188B">
        <w:rPr>
          <w:rFonts w:eastAsia="Georgia"/>
          <w:color w:val="000000"/>
        </w:rPr>
        <w:t xml:space="preserve">where </w:t>
      </w:r>
      <m:oMath>
        <m:r>
          <w:rPr>
            <w:rFonts w:ascii="Cambria Math" w:hAnsi="Cambria Math"/>
            <w:color w:val="000000"/>
          </w:rPr>
          <m:t>λ</m:t>
        </m:r>
        <m:r>
          <m:rPr>
            <m:sty m:val="p"/>
          </m:rPr>
          <w:rPr>
            <w:rFonts w:ascii="Cambria Math" w:hAnsi="Cambria Math"/>
            <w:color w:val="000000"/>
          </w:rPr>
          <m:t>&gt;0</m:t>
        </m:r>
      </m:oMath>
      <w:r w:rsidRPr="001B188B">
        <w:rPr>
          <w:rFonts w:eastAsia="Georgia"/>
          <w:color w:val="000000"/>
        </w:rPr>
        <w:t xml:space="preserve"> is the scale parameter and </w:t>
      </w:r>
      <m:oMath>
        <m:r>
          <w:rPr>
            <w:rFonts w:ascii="Cambria Math" w:hAnsi="Cambria Math"/>
            <w:color w:val="000000"/>
          </w:rPr>
          <m:t>γ</m:t>
        </m:r>
      </m:oMath>
      <w:r w:rsidRPr="001B188B">
        <w:rPr>
          <w:rFonts w:eastAsia="Georgia"/>
          <w:color w:val="000000"/>
        </w:rPr>
        <w:t xml:space="preserve"> is the Gompertz shape parameter. </w:t>
      </w:r>
      <m:oMath>
        <m:r>
          <w:rPr>
            <w:rFonts w:ascii="Cambria Math" w:hAnsi="Cambria Math"/>
            <w:color w:val="000000"/>
          </w:rPr>
          <m:t>γ</m:t>
        </m:r>
        <m:r>
          <m:rPr>
            <m:sty m:val="p"/>
          </m:rPr>
          <w:rPr>
            <w:rFonts w:ascii="Cambria Math" w:hAnsi="Cambria Math"/>
            <w:color w:val="000000"/>
          </w:rPr>
          <m:t>&gt;0</m:t>
        </m:r>
      </m:oMath>
      <w:r w:rsidRPr="001B188B">
        <w:rPr>
          <w:rFonts w:eastAsia="Georgia"/>
          <w:color w:val="000000"/>
        </w:rPr>
        <w:t xml:space="preserve"> indicates an exponentially increasing hazard; </w:t>
      </w:r>
      <m:oMath>
        <m:r>
          <w:rPr>
            <w:rFonts w:ascii="Cambria Math" w:hAnsi="Cambria Math"/>
            <w:color w:val="000000"/>
          </w:rPr>
          <m:t>γ</m:t>
        </m:r>
        <m:r>
          <m:rPr>
            <m:sty m:val="p"/>
          </m:rPr>
          <w:rPr>
            <w:rFonts w:ascii="Cambria Math" w:hAnsi="Cambria Math"/>
            <w:color w:val="000000"/>
          </w:rPr>
          <m:t>&lt;0</m:t>
        </m:r>
      </m:oMath>
      <w:r w:rsidRPr="001B188B">
        <w:rPr>
          <w:rFonts w:eastAsia="Georgia"/>
          <w:color w:val="000000"/>
        </w:rPr>
        <w:t xml:space="preserve"> indicates a decreasing hazard; </w:t>
      </w:r>
      <m:oMath>
        <m:r>
          <w:rPr>
            <w:rFonts w:ascii="Cambria Math" w:hAnsi="Cambria Math"/>
            <w:color w:val="000000"/>
          </w:rPr>
          <m:t>γ</m:t>
        </m:r>
        <m:r>
          <m:rPr>
            <m:sty m:val="p"/>
          </m:rPr>
          <w:rPr>
            <w:rFonts w:ascii="Cambria Math" w:hAnsi="Cambria Math"/>
            <w:color w:val="000000"/>
          </w:rPr>
          <m:t>=0</m:t>
        </m:r>
      </m:oMath>
      <w:r w:rsidRPr="001B188B">
        <w:rPr>
          <w:rFonts w:eastAsia="Georgia"/>
          <w:color w:val="000000"/>
        </w:rPr>
        <w:t xml:space="preserve"> reduces the survival function (Eq. 16) to the exponential form (Eq. 8). Statistical non-significance of </w:t>
      </w:r>
      <m:oMath>
        <m:acc>
          <m:accPr>
            <m:chr m:val="ˆ"/>
            <m:ctrlPr>
              <w:rPr>
                <w:rFonts w:ascii="Cambria Math" w:hAnsi="Cambria Math"/>
              </w:rPr>
            </m:ctrlPr>
          </m:accPr>
          <m:e>
            <m:r>
              <w:rPr>
                <w:rFonts w:ascii="Cambria Math" w:hAnsi="Cambria Math"/>
                <w:color w:val="000000"/>
              </w:rPr>
              <m:t>γ</m:t>
            </m:r>
          </m:e>
        </m:acc>
      </m:oMath>
      <w:r w:rsidRPr="001B188B">
        <w:rPr>
          <w:rFonts w:eastAsia="Georgia"/>
          <w:color w:val="000000"/>
        </w:rPr>
        <w:t xml:space="preserve"> indicates that the exponentially changing hazard structure is not supported by the observed data. The Gompertz model is not nested within the Weibull; direct comparison therefore relies exclusively on information criteria.</w:t>
      </w:r>
    </w:p>
    <w:p w14:paraId="0CBFD234" w14:textId="1BF05AF2" w:rsidR="00C26CBD" w:rsidRPr="001B188B" w:rsidRDefault="00C26CBD" w:rsidP="00B7105A">
      <w:pPr>
        <w:ind w:left="-30"/>
        <w:jc w:val="both"/>
      </w:pPr>
      <w:bookmarkStart w:id="8" w:name="bm_2_5_6_model_selection_criteria"/>
      <w:r w:rsidRPr="001B188B">
        <w:rPr>
          <w:rFonts w:eastAsia="Georgia"/>
          <w:b/>
          <w:color w:val="000000"/>
        </w:rPr>
        <w:t>Model Selection Criteria</w:t>
      </w:r>
      <w:bookmarkEnd w:id="8"/>
    </w:p>
    <w:p w14:paraId="35EFDE06" w14:textId="77777777" w:rsidR="00C26CBD" w:rsidRPr="001B188B" w:rsidRDefault="00C26CBD" w:rsidP="00B7105A">
      <w:pPr>
        <w:jc w:val="both"/>
        <w:rPr>
          <w:rFonts w:eastAsia="Georgia"/>
          <w:color w:val="000000"/>
        </w:rPr>
      </w:pPr>
      <w:r w:rsidRPr="001B188B">
        <w:rPr>
          <w:rFonts w:eastAsia="Georgia"/>
          <w:color w:val="000000"/>
        </w:rPr>
        <w:t>Model selection among the three parametric specifications was performed using the Akaike Information Criterion (AIC) and the Bayesian Information Criterion (BIC), defined respectively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6"/>
        <w:gridCol w:w="616"/>
      </w:tblGrid>
      <w:tr w:rsidR="0000356D" w:rsidRPr="001B188B" w14:paraId="33593F02" w14:textId="77777777" w:rsidTr="0000356D">
        <w:tc>
          <w:tcPr>
            <w:tcW w:w="10076" w:type="dxa"/>
          </w:tcPr>
          <w:p w14:paraId="05D5DD17" w14:textId="5599FC5E" w:rsidR="0000356D" w:rsidRPr="001B188B" w:rsidRDefault="0000356D" w:rsidP="00B7105A">
            <w:pPr>
              <w:spacing w:after="240"/>
              <w:jc w:val="both"/>
            </w:pPr>
            <m:oMathPara>
              <m:oMath>
                <m:r>
                  <m:rPr>
                    <m:nor/>
                  </m:rPr>
                  <w:rPr>
                    <w:color w:val="000000"/>
                  </w:rPr>
                  <m:t>AIC</m:t>
                </m:r>
                <m:r>
                  <m:rPr>
                    <m:sty m:val="p"/>
                  </m:rPr>
                  <w:rPr>
                    <w:rFonts w:ascii="Cambria Math" w:hAnsi="Cambria Math"/>
                    <w:color w:val="000000"/>
                  </w:rPr>
                  <m:t>=-2</m:t>
                </m:r>
                <m:acc>
                  <m:accPr>
                    <m:chr m:val="ˆ"/>
                    <m:ctrlPr>
                      <w:rPr>
                        <w:rFonts w:ascii="Cambria Math" w:hAnsi="Cambria Math"/>
                      </w:rPr>
                    </m:ctrlPr>
                  </m:accPr>
                  <m:e>
                    <m:r>
                      <m:rPr>
                        <m:scr m:val="script"/>
                      </m:rPr>
                      <w:rPr>
                        <w:rFonts w:ascii="Cambria Math" w:hAnsi="Cambria Math"/>
                        <w:color w:val="000000"/>
                      </w:rPr>
                      <m:t>l</m:t>
                    </m:r>
                  </m:e>
                </m:acc>
                <m:r>
                  <m:rPr>
                    <m:sty m:val="p"/>
                  </m:rPr>
                  <w:rPr>
                    <w:rFonts w:ascii="Cambria Math" w:hAnsi="Cambria Math"/>
                    <w:color w:val="000000"/>
                  </w:rPr>
                  <m:t>+2</m:t>
                </m:r>
                <m:r>
                  <w:rPr>
                    <w:rFonts w:ascii="Cambria Math" w:hAnsi="Cambria Math"/>
                    <w:color w:val="000000"/>
                  </w:rPr>
                  <m:t>k</m:t>
                </m:r>
                <m:r>
                  <m:rPr>
                    <m:sty m:val="p"/>
                  </m:rPr>
                  <w:rPr>
                    <w:rFonts w:ascii="Cambria Math" w:hAnsi="Cambria Math"/>
                    <w:color w:val="000000"/>
                  </w:rPr>
                  <m:t xml:space="preserve"> </m:t>
                </m:r>
              </m:oMath>
            </m:oMathPara>
          </w:p>
        </w:tc>
        <w:tc>
          <w:tcPr>
            <w:tcW w:w="616" w:type="dxa"/>
          </w:tcPr>
          <w:p w14:paraId="788F7A71" w14:textId="760C6BFD" w:rsidR="0000356D" w:rsidRPr="001B188B" w:rsidRDefault="0000356D" w:rsidP="00B7105A">
            <w:pPr>
              <w:spacing w:after="240"/>
              <w:jc w:val="both"/>
              <w:rPr>
                <w:rFonts w:eastAsia="Georgia"/>
                <w:color w:val="000000"/>
              </w:rPr>
            </w:pPr>
            <w:r w:rsidRPr="001B188B">
              <w:rPr>
                <w:rFonts w:eastAsia="Georgia"/>
                <w:color w:val="000000"/>
              </w:rPr>
              <w:t>(17)</w:t>
            </w:r>
          </w:p>
        </w:tc>
      </w:tr>
      <w:tr w:rsidR="0051386C" w:rsidRPr="001B188B" w14:paraId="28D4DCA7" w14:textId="77777777" w:rsidTr="0051386C">
        <w:tc>
          <w:tcPr>
            <w:tcW w:w="10076" w:type="dxa"/>
          </w:tcPr>
          <w:p w14:paraId="2C66C269" w14:textId="59EB9EE0" w:rsidR="0000356D" w:rsidRPr="001B188B" w:rsidRDefault="0000356D" w:rsidP="00B7105A">
            <w:pPr>
              <w:spacing w:after="240"/>
              <w:jc w:val="both"/>
            </w:pPr>
            <m:oMathPara>
              <m:oMath>
                <m:r>
                  <m:rPr>
                    <m:nor/>
                  </m:rPr>
                  <w:rPr>
                    <w:color w:val="000000"/>
                  </w:rPr>
                  <m:t>BIC</m:t>
                </m:r>
                <m:r>
                  <m:rPr>
                    <m:sty m:val="p"/>
                  </m:rPr>
                  <w:rPr>
                    <w:rFonts w:ascii="Cambria Math" w:hAnsi="Cambria Math"/>
                    <w:color w:val="000000"/>
                  </w:rPr>
                  <m:t>=-2</m:t>
                </m:r>
                <m:acc>
                  <m:accPr>
                    <m:chr m:val="ˆ"/>
                    <m:ctrlPr>
                      <w:rPr>
                        <w:rFonts w:ascii="Cambria Math" w:hAnsi="Cambria Math"/>
                      </w:rPr>
                    </m:ctrlPr>
                  </m:accPr>
                  <m:e>
                    <m:r>
                      <m:rPr>
                        <m:scr m:val="script"/>
                      </m:rPr>
                      <w:rPr>
                        <w:rFonts w:ascii="Cambria Math" w:hAnsi="Cambria Math"/>
                        <w:color w:val="000000"/>
                      </w:rPr>
                      <m:t>l</m:t>
                    </m:r>
                  </m:e>
                </m:acc>
                <m:r>
                  <m:rPr>
                    <m:sty m:val="p"/>
                  </m:rPr>
                  <w:rPr>
                    <w:rFonts w:ascii="Cambria Math" w:hAnsi="Cambria Math"/>
                    <w:color w:val="000000"/>
                  </w:rPr>
                  <m:t>+</m:t>
                </m:r>
                <m:r>
                  <w:rPr>
                    <w:rFonts w:ascii="Cambria Math" w:hAnsi="Cambria Math"/>
                    <w:color w:val="000000"/>
                  </w:rPr>
                  <m:t>k</m:t>
                </m:r>
                <m:r>
                  <m:rPr>
                    <m:sty m:val="p"/>
                  </m:rPr>
                  <w:rPr>
                    <w:rFonts w:ascii="Cambria Math" w:hAnsi="Cambria Math"/>
                    <w:color w:val="000000"/>
                  </w:rPr>
                  <m:t>⋅ln⁡(</m:t>
                </m:r>
                <m:r>
                  <w:rPr>
                    <w:rFonts w:ascii="Cambria Math" w:hAnsi="Cambria Math"/>
                    <w:color w:val="000000"/>
                  </w:rPr>
                  <m:t>n</m:t>
                </m:r>
                <m:r>
                  <m:rPr>
                    <m:sty m:val="p"/>
                  </m:rPr>
                  <w:rPr>
                    <w:rFonts w:ascii="Cambria Math" w:hAnsi="Cambria Math"/>
                    <w:color w:val="000000"/>
                  </w:rPr>
                  <m:t>)</m:t>
                </m:r>
              </m:oMath>
            </m:oMathPara>
          </w:p>
        </w:tc>
        <w:tc>
          <w:tcPr>
            <w:tcW w:w="616" w:type="dxa"/>
          </w:tcPr>
          <w:p w14:paraId="7D3D0424" w14:textId="6C7DD0FD" w:rsidR="0000356D" w:rsidRPr="001B188B" w:rsidRDefault="0000356D" w:rsidP="00B7105A">
            <w:pPr>
              <w:spacing w:after="240"/>
              <w:jc w:val="both"/>
              <w:rPr>
                <w:rFonts w:eastAsia="Georgia"/>
                <w:color w:val="000000"/>
              </w:rPr>
            </w:pPr>
            <w:r w:rsidRPr="001B188B">
              <w:rPr>
                <w:rFonts w:eastAsia="Georgia"/>
                <w:color w:val="000000"/>
              </w:rPr>
              <w:t>(18)</w:t>
            </w:r>
          </w:p>
        </w:tc>
      </w:tr>
    </w:tbl>
    <w:p w14:paraId="69F9D1AA" w14:textId="1FAA05EC" w:rsidR="008E527E" w:rsidRPr="008E527E" w:rsidRDefault="00C26CBD" w:rsidP="008E527E">
      <w:pPr>
        <w:jc w:val="both"/>
        <w:rPr>
          <w:rFonts w:eastAsia="Georgia"/>
          <w:color w:val="000000"/>
        </w:rPr>
      </w:pPr>
      <w:r w:rsidRPr="001B188B">
        <w:rPr>
          <w:rFonts w:eastAsia="Georgia"/>
          <w:color w:val="000000"/>
        </w:rPr>
        <w:t xml:space="preserve">where </w:t>
      </w:r>
      <m:oMath>
        <m:acc>
          <m:accPr>
            <m:chr m:val="ˆ"/>
            <m:ctrlPr>
              <w:rPr>
                <w:rFonts w:ascii="Cambria Math" w:hAnsi="Cambria Math"/>
              </w:rPr>
            </m:ctrlPr>
          </m:accPr>
          <m:e>
            <m:r>
              <m:rPr>
                <m:scr m:val="script"/>
              </m:rPr>
              <w:rPr>
                <w:rFonts w:ascii="Cambria Math" w:hAnsi="Cambria Math"/>
                <w:color w:val="000000"/>
              </w:rPr>
              <m:t>l</m:t>
            </m:r>
          </m:e>
        </m:acc>
      </m:oMath>
      <w:r w:rsidRPr="001B188B">
        <w:rPr>
          <w:rFonts w:eastAsia="Georgia"/>
          <w:color w:val="000000"/>
        </w:rPr>
        <w:t xml:space="preserve"> is the maximised log-likelihood of the fitted model; </w:t>
      </w:r>
      <m:oMath>
        <m:r>
          <w:rPr>
            <w:rFonts w:ascii="Cambria Math" w:hAnsi="Cambria Math"/>
            <w:color w:val="000000"/>
          </w:rPr>
          <m:t>k</m:t>
        </m:r>
      </m:oMath>
      <w:r w:rsidRPr="001B188B">
        <w:rPr>
          <w:rFonts w:eastAsia="Georgia"/>
          <w:color w:val="000000"/>
        </w:rPr>
        <w:t xml:space="preserve"> is the total number of estimated parameters, including ancillary parameters and </w:t>
      </w:r>
      <m:oMath>
        <m:r>
          <w:rPr>
            <w:rFonts w:ascii="Cambria Math" w:hAnsi="Cambria Math"/>
            <w:color w:val="000000"/>
          </w:rPr>
          <m:t>n</m:t>
        </m:r>
        <m:r>
          <m:rPr>
            <m:sty m:val="p"/>
          </m:rPr>
          <w:rPr>
            <w:rFonts w:ascii="Cambria Math" w:hAnsi="Cambria Math"/>
            <w:color w:val="000000"/>
          </w:rPr>
          <m:t>=686</m:t>
        </m:r>
      </m:oMath>
      <w:r w:rsidRPr="001B188B">
        <w:rPr>
          <w:rFonts w:eastAsia="Georgia"/>
          <w:color w:val="000000"/>
        </w:rPr>
        <w:t xml:space="preserve"> is the sample size. Both criteria penalise model complexity; the BIC imposes a stronger penalty as </w:t>
      </w:r>
      <m:oMath>
        <m:r>
          <w:rPr>
            <w:rFonts w:ascii="Cambria Math" w:hAnsi="Cambria Math"/>
            <w:color w:val="000000"/>
          </w:rPr>
          <m:t>n</m:t>
        </m:r>
      </m:oMath>
      <w:r w:rsidRPr="001B188B">
        <w:rPr>
          <w:rFonts w:eastAsia="Georgia"/>
          <w:color w:val="000000"/>
        </w:rPr>
        <w:t xml:space="preserve"> increases. Lower values of AIC and BIC indicate a superior trade-off between goodness-of-fit and parsimony. Following Burnham and Anderson, a difference </w:t>
      </w:r>
      <m:oMath>
        <m:r>
          <m:rPr>
            <m:sty m:val="p"/>
          </m:rPr>
          <w:rPr>
            <w:rFonts w:ascii="Cambria Math" w:hAnsi="Cambria Math"/>
            <w:color w:val="000000"/>
          </w:rPr>
          <m:t>Δ</m:t>
        </m:r>
        <m:r>
          <m:rPr>
            <m:nor/>
          </m:rPr>
          <w:rPr>
            <w:color w:val="000000"/>
          </w:rPr>
          <m:t>AIC</m:t>
        </m:r>
        <m:r>
          <m:rPr>
            <m:sty m:val="p"/>
          </m:rPr>
          <w:rPr>
            <w:rFonts w:ascii="Cambria Math" w:hAnsi="Cambria Math"/>
            <w:color w:val="000000"/>
          </w:rPr>
          <m:t>≥6</m:t>
        </m:r>
      </m:oMath>
      <w:r w:rsidRPr="001B188B">
        <w:rPr>
          <w:rFonts w:eastAsia="Georgia"/>
          <w:color w:val="000000"/>
        </w:rPr>
        <w:t xml:space="preserve"> constitutes strong evidence in favour of the model with the lower AIC. The formal nested likelihood ratio test comparing the exponential and Weibull models is given in Eq. (13). Because the Gompertz is not nested within either the exponential or the Weibull, model comparisons involving the Gompertz rely solely on </w:t>
      </w:r>
      <m:oMath>
        <m:r>
          <m:rPr>
            <m:sty m:val="p"/>
          </m:rPr>
          <w:rPr>
            <w:rFonts w:ascii="Cambria Math" w:hAnsi="Cambria Math"/>
            <w:color w:val="000000"/>
          </w:rPr>
          <m:t>Δ</m:t>
        </m:r>
        <m:r>
          <m:rPr>
            <m:nor/>
          </m:rPr>
          <w:rPr>
            <w:color w:val="000000"/>
          </w:rPr>
          <m:t>AIC</m:t>
        </m:r>
      </m:oMath>
      <w:r w:rsidRPr="001B188B">
        <w:rPr>
          <w:rFonts w:eastAsia="Georgia"/>
          <w:color w:val="000000"/>
        </w:rPr>
        <w:t xml:space="preserve"> and </w:t>
      </w:r>
      <m:oMath>
        <m:r>
          <m:rPr>
            <m:sty m:val="p"/>
          </m:rPr>
          <w:rPr>
            <w:rFonts w:ascii="Cambria Math" w:hAnsi="Cambria Math"/>
            <w:color w:val="000000"/>
          </w:rPr>
          <m:t>Δ</m:t>
        </m:r>
        <m:r>
          <m:rPr>
            <m:nor/>
          </m:rPr>
          <w:rPr>
            <w:color w:val="000000"/>
          </w:rPr>
          <m:t>BIC</m:t>
        </m:r>
      </m:oMath>
      <w:r w:rsidRPr="001B188B">
        <w:rPr>
          <w:rFonts w:eastAsia="Georgia"/>
          <w:color w:val="000000"/>
        </w:rPr>
        <w:t xml:space="preserve">. The Cox partial log-likelihood is not comparable to the full parametric log-likelihoods and was therefore excluded from AIC/BIC ranking; its discriminative performance was assessed separately via Harrell’s </w:t>
      </w:r>
      <m:oMath>
        <m:r>
          <w:rPr>
            <w:rFonts w:ascii="Cambria Math" w:hAnsi="Cambria Math"/>
            <w:color w:val="000000"/>
          </w:rPr>
          <m:t>C</m:t>
        </m:r>
      </m:oMath>
      <w:r w:rsidRPr="001B188B">
        <w:rPr>
          <w:rFonts w:eastAsia="Georgia"/>
          <w:color w:val="000000"/>
        </w:rPr>
        <w:t xml:space="preserve"> (Eq. 5).</w:t>
      </w:r>
    </w:p>
    <w:p w14:paraId="42C9EB91" w14:textId="5A827491" w:rsidR="00391038" w:rsidRPr="001B188B" w:rsidRDefault="00756A0A" w:rsidP="00B7105A">
      <w:pPr>
        <w:pStyle w:val="NoSpacing"/>
        <w:spacing w:after="240"/>
        <w:jc w:val="both"/>
        <w:rPr>
          <w:rFonts w:eastAsia="Arial" w:cs="Times New Roman"/>
          <w:b/>
          <w:bCs/>
          <w:szCs w:val="24"/>
        </w:rPr>
      </w:pPr>
      <w:r w:rsidRPr="001B188B">
        <w:rPr>
          <w:rFonts w:eastAsia="Arial" w:cs="Times New Roman"/>
          <w:b/>
          <w:bCs/>
          <w:szCs w:val="24"/>
        </w:rPr>
        <w:t>RESULTS</w:t>
      </w:r>
    </w:p>
    <w:p w14:paraId="233BEFE9" w14:textId="59BEBBCF" w:rsidR="001F5EE9" w:rsidRPr="001B188B" w:rsidRDefault="00FC109F" w:rsidP="00B7105A">
      <w:pPr>
        <w:pStyle w:val="NoSpacing"/>
        <w:spacing w:after="240"/>
        <w:jc w:val="both"/>
        <w:rPr>
          <w:rFonts w:cs="Times New Roman"/>
          <w:szCs w:val="24"/>
        </w:rPr>
      </w:pPr>
      <w:r w:rsidRPr="001B188B">
        <w:rPr>
          <w:rFonts w:cs="Times New Roman"/>
          <w:szCs w:val="24"/>
        </w:rPr>
        <w:t xml:space="preserve">The </w:t>
      </w:r>
      <w:r w:rsidR="00E05BD9" w:rsidRPr="001B188B">
        <w:rPr>
          <w:rFonts w:cs="Times New Roman"/>
          <w:szCs w:val="24"/>
        </w:rPr>
        <w:t>data</w:t>
      </w:r>
      <w:r w:rsidRPr="001B188B">
        <w:rPr>
          <w:rFonts w:cs="Times New Roman"/>
          <w:szCs w:val="24"/>
        </w:rPr>
        <w:t xml:space="preserve"> comprised 686 neonates, of whom 155 (22.59%) died during the follow-up period. The remaining 531 (77.41%) were censored either discharged alive or surviving to day 28. </w:t>
      </w:r>
      <w:r w:rsidR="003903BB" w:rsidRPr="001B188B">
        <w:rPr>
          <w:rFonts w:cs="Times New Roman"/>
          <w:szCs w:val="24"/>
        </w:rPr>
        <w:t xml:space="preserve">The chi-square test statistics was implemented to see the bivariate </w:t>
      </w:r>
      <w:r w:rsidR="006D5C5C" w:rsidRPr="001B188B">
        <w:rPr>
          <w:rFonts w:cs="Times New Roman"/>
          <w:szCs w:val="24"/>
        </w:rPr>
        <w:t>association</w:t>
      </w:r>
      <w:r w:rsidR="003903BB" w:rsidRPr="001B188B">
        <w:rPr>
          <w:rFonts w:cs="Times New Roman"/>
          <w:szCs w:val="24"/>
        </w:rPr>
        <w:t xml:space="preserve"> between the</w:t>
      </w:r>
      <w:r w:rsidR="00E05BD9" w:rsidRPr="001B188B">
        <w:rPr>
          <w:rFonts w:cs="Times New Roman"/>
          <w:szCs w:val="24"/>
        </w:rPr>
        <w:t xml:space="preserve"> prognostic </w:t>
      </w:r>
      <w:r w:rsidR="003903BB" w:rsidRPr="001B188B">
        <w:rPr>
          <w:rFonts w:cs="Times New Roman"/>
          <w:szCs w:val="24"/>
        </w:rPr>
        <w:t>and outcome variables</w:t>
      </w:r>
      <w:r w:rsidR="00E05BD9" w:rsidRPr="001B188B">
        <w:rPr>
          <w:rFonts w:cs="Times New Roman"/>
          <w:szCs w:val="24"/>
        </w:rPr>
        <w:t xml:space="preserve"> as </w:t>
      </w:r>
      <w:r w:rsidRPr="001B188B">
        <w:rPr>
          <w:rFonts w:cs="Times New Roman"/>
          <w:szCs w:val="24"/>
        </w:rPr>
        <w:t>summarised in Table 1.</w:t>
      </w:r>
    </w:p>
    <w:p w14:paraId="3E7BAC50" w14:textId="1FBDCFCB" w:rsidR="00F24903" w:rsidRPr="001B188B" w:rsidRDefault="00F24903" w:rsidP="00B7105A">
      <w:pPr>
        <w:pStyle w:val="NoSpacing"/>
        <w:spacing w:after="240"/>
        <w:jc w:val="both"/>
        <w:rPr>
          <w:rFonts w:cs="Times New Roman"/>
          <w:szCs w:val="24"/>
        </w:rPr>
      </w:pPr>
      <w:r w:rsidRPr="001B188B">
        <w:rPr>
          <w:rFonts w:cs="Times New Roman"/>
          <w:szCs w:val="24"/>
        </w:rPr>
        <w:t>Clinical complications showed a strong bivariate association with higher mortality rates. Neonates with Respiratory Distress (34.95% vs. 7.96%), Birth Asphyxia (41.40% vs. 17.01%), and Neonatal Sepsis (43.21% vs. 11.29%) experienced significantly higher death rates compared to those without these conditions. Notably, over half of the neonates with Congenital Malformations (55.56%) did not survive.</w:t>
      </w:r>
      <w:r w:rsidR="00DF416A" w:rsidRPr="001B188B">
        <w:rPr>
          <w:rFonts w:cs="Times New Roman"/>
          <w:szCs w:val="24"/>
        </w:rPr>
        <w:t xml:space="preserve"> Birth weight and gestational age were critical predictors of survival. Mortality was highest among Extremely Low Birth Weight (64.52%) and Extreme Preterm (70.00%) infants. Conversely, early breastfeeding (within one hour) appeared protective, with a mortality rate of only 9.16% compared to 25.77% for those who did not. Maternal factors such as induced </w:t>
      </w:r>
      <w:proofErr w:type="spellStart"/>
      <w:r w:rsidR="00DF416A" w:rsidRPr="001B188B">
        <w:rPr>
          <w:rFonts w:cs="Times New Roman"/>
          <w:szCs w:val="24"/>
        </w:rPr>
        <w:t>labor</w:t>
      </w:r>
      <w:proofErr w:type="spellEnd"/>
      <w:r w:rsidR="00DF416A" w:rsidRPr="001B188B">
        <w:rPr>
          <w:rFonts w:cs="Times New Roman"/>
          <w:szCs w:val="24"/>
        </w:rPr>
        <w:t xml:space="preserve"> (32.29%) and stained amniotic fluid (33.83%) were also associated with higher neonatal death rates compared to spontaneous </w:t>
      </w:r>
      <w:proofErr w:type="spellStart"/>
      <w:r w:rsidR="00DF416A" w:rsidRPr="001B188B">
        <w:rPr>
          <w:rFonts w:cs="Times New Roman"/>
          <w:szCs w:val="24"/>
        </w:rPr>
        <w:t>labor</w:t>
      </w:r>
      <w:proofErr w:type="spellEnd"/>
      <w:r w:rsidR="00DF416A" w:rsidRPr="001B188B">
        <w:rPr>
          <w:rFonts w:cs="Times New Roman"/>
          <w:szCs w:val="24"/>
        </w:rPr>
        <w:t xml:space="preserve"> and clear fluid.</w:t>
      </w:r>
    </w:p>
    <w:p w14:paraId="3B96F628" w14:textId="5CC8CFA4" w:rsidR="00E1416A" w:rsidRPr="001B188B" w:rsidRDefault="00EE67EF" w:rsidP="00B7105A">
      <w:pPr>
        <w:pStyle w:val="NoSpacing"/>
        <w:spacing w:after="240"/>
        <w:jc w:val="center"/>
        <w:rPr>
          <w:rFonts w:cs="Times New Roman"/>
          <w:b/>
          <w:bCs/>
          <w:szCs w:val="24"/>
          <w:lang w:val="en-US"/>
        </w:rPr>
      </w:pPr>
      <w:r w:rsidRPr="001B188B">
        <w:rPr>
          <w:rFonts w:cs="Times New Roman"/>
          <w:b/>
          <w:bCs/>
          <w:szCs w:val="24"/>
        </w:rPr>
        <w:t>Table 1</w:t>
      </w:r>
      <w:r w:rsidR="002947AF" w:rsidRPr="001B188B">
        <w:rPr>
          <w:rFonts w:cs="Times New Roman"/>
          <w:b/>
          <w:bCs/>
          <w:szCs w:val="24"/>
        </w:rPr>
        <w:t xml:space="preserve">. </w:t>
      </w:r>
      <w:r w:rsidRPr="001B188B">
        <w:rPr>
          <w:rFonts w:cs="Times New Roman"/>
          <w:b/>
          <w:bCs/>
          <w:szCs w:val="24"/>
        </w:rPr>
        <w:t>Distribution of Neonatal Outcomes Across Selected Maternal and Clinical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1667"/>
        <w:gridCol w:w="1667"/>
        <w:gridCol w:w="1667"/>
      </w:tblGrid>
      <w:tr w:rsidR="00E1416A" w:rsidRPr="001B188B" w14:paraId="66ED0832" w14:textId="77777777" w:rsidTr="00B7105A">
        <w:trPr>
          <w:trHeight w:val="20"/>
        </w:trPr>
        <w:tc>
          <w:tcPr>
            <w:tcW w:w="2405" w:type="dxa"/>
            <w:hideMark/>
          </w:tcPr>
          <w:p w14:paraId="296E3C4B" w14:textId="78D88312" w:rsidR="00E1416A" w:rsidRPr="001B188B" w:rsidRDefault="00EE67EF" w:rsidP="00B7105A">
            <w:pPr>
              <w:pStyle w:val="NoSpacing"/>
              <w:spacing w:before="0" w:line="276" w:lineRule="auto"/>
              <w:rPr>
                <w:rFonts w:cs="Times New Roman"/>
                <w:b/>
                <w:bCs/>
                <w:color w:val="000000"/>
                <w:szCs w:val="24"/>
              </w:rPr>
            </w:pPr>
            <w:r w:rsidRPr="001B188B">
              <w:rPr>
                <w:rFonts w:cs="Times New Roman"/>
                <w:b/>
                <w:bCs/>
                <w:color w:val="000000"/>
                <w:szCs w:val="24"/>
              </w:rPr>
              <w:lastRenderedPageBreak/>
              <w:t xml:space="preserve">Prognostic </w:t>
            </w:r>
            <w:r w:rsidR="00E1416A" w:rsidRPr="001B188B">
              <w:rPr>
                <w:rFonts w:cs="Times New Roman"/>
                <w:b/>
                <w:bCs/>
                <w:color w:val="000000"/>
                <w:szCs w:val="24"/>
              </w:rPr>
              <w:t>Variables</w:t>
            </w:r>
          </w:p>
        </w:tc>
        <w:tc>
          <w:tcPr>
            <w:tcW w:w="3260" w:type="dxa"/>
            <w:hideMark/>
          </w:tcPr>
          <w:p w14:paraId="050BC1F9" w14:textId="77777777" w:rsidR="00E1416A" w:rsidRPr="001B188B" w:rsidRDefault="00E1416A" w:rsidP="00B7105A">
            <w:pPr>
              <w:pStyle w:val="NoSpacing"/>
              <w:spacing w:before="0" w:line="276" w:lineRule="auto"/>
              <w:rPr>
                <w:rFonts w:cs="Times New Roman"/>
                <w:b/>
                <w:bCs/>
                <w:color w:val="000000"/>
                <w:szCs w:val="24"/>
              </w:rPr>
            </w:pPr>
            <w:r w:rsidRPr="001B188B">
              <w:rPr>
                <w:rFonts w:cs="Times New Roman"/>
                <w:b/>
                <w:bCs/>
                <w:color w:val="000000"/>
                <w:szCs w:val="24"/>
              </w:rPr>
              <w:t>Category</w:t>
            </w:r>
          </w:p>
        </w:tc>
        <w:tc>
          <w:tcPr>
            <w:tcW w:w="1667" w:type="dxa"/>
            <w:hideMark/>
          </w:tcPr>
          <w:p w14:paraId="038934C8" w14:textId="77777777" w:rsidR="00EE67EF" w:rsidRPr="001B188B" w:rsidRDefault="00E1416A" w:rsidP="00B7105A">
            <w:pPr>
              <w:pStyle w:val="NoSpacing"/>
              <w:spacing w:before="0" w:line="276" w:lineRule="auto"/>
              <w:rPr>
                <w:rFonts w:cs="Times New Roman"/>
                <w:b/>
                <w:bCs/>
                <w:color w:val="000000"/>
                <w:szCs w:val="24"/>
              </w:rPr>
            </w:pPr>
            <w:r w:rsidRPr="001B188B">
              <w:rPr>
                <w:rFonts w:cs="Times New Roman"/>
                <w:b/>
                <w:bCs/>
                <w:color w:val="000000"/>
                <w:szCs w:val="24"/>
              </w:rPr>
              <w:t xml:space="preserve">Alive </w:t>
            </w:r>
          </w:p>
          <w:p w14:paraId="08A8437A" w14:textId="6ACADCE5" w:rsidR="00E1416A" w:rsidRPr="001B188B" w:rsidRDefault="00E1416A" w:rsidP="00B7105A">
            <w:pPr>
              <w:pStyle w:val="NoSpacing"/>
              <w:spacing w:before="0" w:line="276" w:lineRule="auto"/>
              <w:rPr>
                <w:rFonts w:cs="Times New Roman"/>
                <w:b/>
                <w:bCs/>
                <w:color w:val="000000"/>
                <w:szCs w:val="24"/>
              </w:rPr>
            </w:pPr>
            <w:r w:rsidRPr="001B188B">
              <w:rPr>
                <w:rFonts w:cs="Times New Roman"/>
                <w:b/>
                <w:bCs/>
                <w:color w:val="000000"/>
                <w:szCs w:val="24"/>
              </w:rPr>
              <w:t>N (%)</w:t>
            </w:r>
          </w:p>
        </w:tc>
        <w:tc>
          <w:tcPr>
            <w:tcW w:w="1667" w:type="dxa"/>
            <w:hideMark/>
          </w:tcPr>
          <w:p w14:paraId="2CA2C0C0" w14:textId="77777777" w:rsidR="00EE67EF" w:rsidRPr="001B188B" w:rsidRDefault="00E1416A" w:rsidP="00B7105A">
            <w:pPr>
              <w:pStyle w:val="NoSpacing"/>
              <w:spacing w:before="0" w:line="276" w:lineRule="auto"/>
              <w:rPr>
                <w:rFonts w:cs="Times New Roman"/>
                <w:b/>
                <w:bCs/>
                <w:color w:val="000000"/>
                <w:szCs w:val="24"/>
              </w:rPr>
            </w:pPr>
            <w:r w:rsidRPr="001B188B">
              <w:rPr>
                <w:rFonts w:cs="Times New Roman"/>
                <w:b/>
                <w:bCs/>
                <w:color w:val="000000"/>
                <w:szCs w:val="24"/>
              </w:rPr>
              <w:t xml:space="preserve">Death </w:t>
            </w:r>
          </w:p>
          <w:p w14:paraId="1372B491" w14:textId="41BA8C3C" w:rsidR="00E1416A" w:rsidRPr="001B188B" w:rsidRDefault="00E1416A" w:rsidP="00B7105A">
            <w:pPr>
              <w:pStyle w:val="NoSpacing"/>
              <w:spacing w:before="0" w:line="276" w:lineRule="auto"/>
              <w:rPr>
                <w:rFonts w:cs="Times New Roman"/>
                <w:b/>
                <w:bCs/>
                <w:color w:val="000000"/>
                <w:szCs w:val="24"/>
              </w:rPr>
            </w:pPr>
            <w:r w:rsidRPr="001B188B">
              <w:rPr>
                <w:rFonts w:cs="Times New Roman"/>
                <w:b/>
                <w:bCs/>
                <w:color w:val="000000"/>
                <w:szCs w:val="24"/>
              </w:rPr>
              <w:t>N (%)</w:t>
            </w:r>
          </w:p>
        </w:tc>
        <w:tc>
          <w:tcPr>
            <w:tcW w:w="1667" w:type="dxa"/>
            <w:hideMark/>
          </w:tcPr>
          <w:p w14:paraId="17F251B9" w14:textId="77777777" w:rsidR="00EE67EF" w:rsidRPr="001B188B" w:rsidRDefault="00E1416A" w:rsidP="00B7105A">
            <w:pPr>
              <w:pStyle w:val="NoSpacing"/>
              <w:spacing w:before="0" w:line="276" w:lineRule="auto"/>
              <w:rPr>
                <w:rFonts w:cs="Times New Roman"/>
                <w:b/>
                <w:bCs/>
                <w:color w:val="000000"/>
                <w:szCs w:val="24"/>
              </w:rPr>
            </w:pPr>
            <w:r w:rsidRPr="001B188B">
              <w:rPr>
                <w:rFonts w:cs="Times New Roman"/>
                <w:b/>
                <w:bCs/>
                <w:color w:val="000000"/>
                <w:szCs w:val="24"/>
              </w:rPr>
              <w:t>Total</w:t>
            </w:r>
            <w:r w:rsidR="00EF14AB" w:rsidRPr="001B188B">
              <w:rPr>
                <w:rFonts w:cs="Times New Roman"/>
                <w:b/>
                <w:bCs/>
                <w:color w:val="000000"/>
                <w:szCs w:val="24"/>
              </w:rPr>
              <w:t xml:space="preserve"> </w:t>
            </w:r>
          </w:p>
          <w:p w14:paraId="53185120" w14:textId="7AC94F40" w:rsidR="00E1416A" w:rsidRPr="001B188B" w:rsidRDefault="00E1416A" w:rsidP="00B7105A">
            <w:pPr>
              <w:pStyle w:val="NoSpacing"/>
              <w:spacing w:before="0" w:line="276" w:lineRule="auto"/>
              <w:rPr>
                <w:rFonts w:cs="Times New Roman"/>
                <w:b/>
                <w:bCs/>
                <w:color w:val="000000"/>
                <w:szCs w:val="24"/>
              </w:rPr>
            </w:pPr>
            <w:r w:rsidRPr="001B188B">
              <w:rPr>
                <w:rFonts w:cs="Times New Roman"/>
                <w:b/>
                <w:bCs/>
                <w:color w:val="000000"/>
                <w:szCs w:val="24"/>
              </w:rPr>
              <w:t>N (%)</w:t>
            </w:r>
          </w:p>
        </w:tc>
      </w:tr>
      <w:tr w:rsidR="00E1416A" w:rsidRPr="001B188B" w14:paraId="65B2B0B4" w14:textId="77777777" w:rsidTr="00B7105A">
        <w:trPr>
          <w:trHeight w:val="20"/>
        </w:trPr>
        <w:tc>
          <w:tcPr>
            <w:tcW w:w="2405" w:type="dxa"/>
            <w:vMerge w:val="restart"/>
            <w:hideMark/>
          </w:tcPr>
          <w:p w14:paraId="2E60629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Sex of Baby</w:t>
            </w:r>
          </w:p>
        </w:tc>
        <w:tc>
          <w:tcPr>
            <w:tcW w:w="3260" w:type="dxa"/>
            <w:hideMark/>
          </w:tcPr>
          <w:p w14:paraId="42B43C49"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Female</w:t>
            </w:r>
          </w:p>
        </w:tc>
        <w:tc>
          <w:tcPr>
            <w:tcW w:w="1667" w:type="dxa"/>
            <w:hideMark/>
          </w:tcPr>
          <w:p w14:paraId="1779A426"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223 (77.70)</w:t>
            </w:r>
          </w:p>
        </w:tc>
        <w:tc>
          <w:tcPr>
            <w:tcW w:w="1667" w:type="dxa"/>
            <w:hideMark/>
          </w:tcPr>
          <w:p w14:paraId="309B014D"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64 (22.30)</w:t>
            </w:r>
          </w:p>
        </w:tc>
        <w:tc>
          <w:tcPr>
            <w:tcW w:w="1667" w:type="dxa"/>
            <w:hideMark/>
          </w:tcPr>
          <w:p w14:paraId="458DA2FD"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287 (41.84)</w:t>
            </w:r>
          </w:p>
        </w:tc>
      </w:tr>
      <w:tr w:rsidR="00E1416A" w:rsidRPr="001B188B" w14:paraId="40F8C0F7" w14:textId="77777777" w:rsidTr="00B7105A">
        <w:trPr>
          <w:trHeight w:val="20"/>
        </w:trPr>
        <w:tc>
          <w:tcPr>
            <w:tcW w:w="2405" w:type="dxa"/>
            <w:vMerge/>
            <w:hideMark/>
          </w:tcPr>
          <w:p w14:paraId="1331DFB5"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7B5FCEF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Male</w:t>
            </w:r>
          </w:p>
        </w:tc>
        <w:tc>
          <w:tcPr>
            <w:tcW w:w="1667" w:type="dxa"/>
            <w:hideMark/>
          </w:tcPr>
          <w:p w14:paraId="259393A7"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308 (77.19)</w:t>
            </w:r>
          </w:p>
        </w:tc>
        <w:tc>
          <w:tcPr>
            <w:tcW w:w="1667" w:type="dxa"/>
            <w:hideMark/>
          </w:tcPr>
          <w:p w14:paraId="299430E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91 (22.81)</w:t>
            </w:r>
          </w:p>
        </w:tc>
        <w:tc>
          <w:tcPr>
            <w:tcW w:w="1667" w:type="dxa"/>
            <w:hideMark/>
          </w:tcPr>
          <w:p w14:paraId="3523FEF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399 (58.16)</w:t>
            </w:r>
          </w:p>
        </w:tc>
      </w:tr>
      <w:tr w:rsidR="00E1416A" w:rsidRPr="001B188B" w14:paraId="0D3F361D" w14:textId="77777777" w:rsidTr="00B7105A">
        <w:trPr>
          <w:trHeight w:val="20"/>
        </w:trPr>
        <w:tc>
          <w:tcPr>
            <w:tcW w:w="2405" w:type="dxa"/>
            <w:vMerge w:val="restart"/>
            <w:hideMark/>
          </w:tcPr>
          <w:p w14:paraId="220F93E8"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Respiratory Distress</w:t>
            </w:r>
          </w:p>
        </w:tc>
        <w:tc>
          <w:tcPr>
            <w:tcW w:w="3260" w:type="dxa"/>
            <w:hideMark/>
          </w:tcPr>
          <w:p w14:paraId="4AA9EC6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No</w:t>
            </w:r>
          </w:p>
        </w:tc>
        <w:tc>
          <w:tcPr>
            <w:tcW w:w="1667" w:type="dxa"/>
            <w:hideMark/>
          </w:tcPr>
          <w:p w14:paraId="73DEB29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289 (92.04)</w:t>
            </w:r>
          </w:p>
        </w:tc>
        <w:tc>
          <w:tcPr>
            <w:tcW w:w="1667" w:type="dxa"/>
            <w:hideMark/>
          </w:tcPr>
          <w:p w14:paraId="4176F54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25 (7.96)</w:t>
            </w:r>
          </w:p>
        </w:tc>
        <w:tc>
          <w:tcPr>
            <w:tcW w:w="1667" w:type="dxa"/>
            <w:hideMark/>
          </w:tcPr>
          <w:p w14:paraId="0BAD2A5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314 (45.77)</w:t>
            </w:r>
          </w:p>
        </w:tc>
      </w:tr>
      <w:tr w:rsidR="00E1416A" w:rsidRPr="001B188B" w14:paraId="5582C272" w14:textId="77777777" w:rsidTr="00B7105A">
        <w:trPr>
          <w:trHeight w:val="20"/>
        </w:trPr>
        <w:tc>
          <w:tcPr>
            <w:tcW w:w="2405" w:type="dxa"/>
            <w:vMerge/>
            <w:hideMark/>
          </w:tcPr>
          <w:p w14:paraId="4D0BA178"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523E558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Yes</w:t>
            </w:r>
          </w:p>
        </w:tc>
        <w:tc>
          <w:tcPr>
            <w:tcW w:w="1667" w:type="dxa"/>
            <w:hideMark/>
          </w:tcPr>
          <w:p w14:paraId="3C6318B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242 (65.05)</w:t>
            </w:r>
          </w:p>
        </w:tc>
        <w:tc>
          <w:tcPr>
            <w:tcW w:w="1667" w:type="dxa"/>
            <w:hideMark/>
          </w:tcPr>
          <w:p w14:paraId="40B72E8B"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130 (34.95)</w:t>
            </w:r>
          </w:p>
        </w:tc>
        <w:tc>
          <w:tcPr>
            <w:tcW w:w="1667" w:type="dxa"/>
            <w:hideMark/>
          </w:tcPr>
          <w:p w14:paraId="4E81681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372 (54.23)</w:t>
            </w:r>
          </w:p>
        </w:tc>
      </w:tr>
      <w:tr w:rsidR="00E1416A" w:rsidRPr="001B188B" w14:paraId="5293B89D" w14:textId="77777777" w:rsidTr="00B7105A">
        <w:trPr>
          <w:trHeight w:val="20"/>
        </w:trPr>
        <w:tc>
          <w:tcPr>
            <w:tcW w:w="2405" w:type="dxa"/>
            <w:vMerge w:val="restart"/>
            <w:hideMark/>
          </w:tcPr>
          <w:p w14:paraId="146A80E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Birth Asphyxia</w:t>
            </w:r>
          </w:p>
        </w:tc>
        <w:tc>
          <w:tcPr>
            <w:tcW w:w="3260" w:type="dxa"/>
            <w:hideMark/>
          </w:tcPr>
          <w:p w14:paraId="54E10B6B"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No</w:t>
            </w:r>
          </w:p>
        </w:tc>
        <w:tc>
          <w:tcPr>
            <w:tcW w:w="1667" w:type="dxa"/>
            <w:hideMark/>
          </w:tcPr>
          <w:p w14:paraId="587FE35B"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439 (82.99)</w:t>
            </w:r>
          </w:p>
        </w:tc>
        <w:tc>
          <w:tcPr>
            <w:tcW w:w="1667" w:type="dxa"/>
            <w:hideMark/>
          </w:tcPr>
          <w:p w14:paraId="3D4211F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90 (17.01)</w:t>
            </w:r>
          </w:p>
        </w:tc>
        <w:tc>
          <w:tcPr>
            <w:tcW w:w="1667" w:type="dxa"/>
            <w:hideMark/>
          </w:tcPr>
          <w:p w14:paraId="2AB73C5E"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529 (77.11)</w:t>
            </w:r>
          </w:p>
        </w:tc>
      </w:tr>
      <w:tr w:rsidR="00E1416A" w:rsidRPr="001B188B" w14:paraId="68C92D00" w14:textId="77777777" w:rsidTr="00B7105A">
        <w:trPr>
          <w:trHeight w:val="20"/>
        </w:trPr>
        <w:tc>
          <w:tcPr>
            <w:tcW w:w="2405" w:type="dxa"/>
            <w:vMerge/>
            <w:hideMark/>
          </w:tcPr>
          <w:p w14:paraId="081E5068"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0DFF527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Yes</w:t>
            </w:r>
          </w:p>
        </w:tc>
        <w:tc>
          <w:tcPr>
            <w:tcW w:w="1667" w:type="dxa"/>
            <w:hideMark/>
          </w:tcPr>
          <w:p w14:paraId="170A766B"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92 (58.60)</w:t>
            </w:r>
          </w:p>
        </w:tc>
        <w:tc>
          <w:tcPr>
            <w:tcW w:w="1667" w:type="dxa"/>
            <w:hideMark/>
          </w:tcPr>
          <w:p w14:paraId="076DB7A6"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65 (41.40)</w:t>
            </w:r>
          </w:p>
        </w:tc>
        <w:tc>
          <w:tcPr>
            <w:tcW w:w="1667" w:type="dxa"/>
            <w:hideMark/>
          </w:tcPr>
          <w:p w14:paraId="172B077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157 (22.89)</w:t>
            </w:r>
          </w:p>
        </w:tc>
      </w:tr>
      <w:tr w:rsidR="00E1416A" w:rsidRPr="001B188B" w14:paraId="3A07E959" w14:textId="77777777" w:rsidTr="00B7105A">
        <w:trPr>
          <w:trHeight w:val="20"/>
        </w:trPr>
        <w:tc>
          <w:tcPr>
            <w:tcW w:w="2405" w:type="dxa"/>
            <w:vMerge w:val="restart"/>
            <w:hideMark/>
          </w:tcPr>
          <w:p w14:paraId="08D046A0"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Neonatal Sepsis</w:t>
            </w:r>
          </w:p>
        </w:tc>
        <w:tc>
          <w:tcPr>
            <w:tcW w:w="3260" w:type="dxa"/>
            <w:hideMark/>
          </w:tcPr>
          <w:p w14:paraId="393211A3"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No</w:t>
            </w:r>
          </w:p>
        </w:tc>
        <w:tc>
          <w:tcPr>
            <w:tcW w:w="1667" w:type="dxa"/>
            <w:hideMark/>
          </w:tcPr>
          <w:p w14:paraId="50DB65D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393 (88.71)</w:t>
            </w:r>
          </w:p>
        </w:tc>
        <w:tc>
          <w:tcPr>
            <w:tcW w:w="1667" w:type="dxa"/>
            <w:hideMark/>
          </w:tcPr>
          <w:p w14:paraId="0BDDE75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50 (11.29)</w:t>
            </w:r>
          </w:p>
        </w:tc>
        <w:tc>
          <w:tcPr>
            <w:tcW w:w="1667" w:type="dxa"/>
            <w:hideMark/>
          </w:tcPr>
          <w:p w14:paraId="5B006AA4"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443 (64.58)</w:t>
            </w:r>
          </w:p>
        </w:tc>
      </w:tr>
      <w:tr w:rsidR="00E1416A" w:rsidRPr="001B188B" w14:paraId="7E2C4CEC" w14:textId="77777777" w:rsidTr="00B7105A">
        <w:trPr>
          <w:trHeight w:val="20"/>
        </w:trPr>
        <w:tc>
          <w:tcPr>
            <w:tcW w:w="2405" w:type="dxa"/>
            <w:vMerge/>
            <w:hideMark/>
          </w:tcPr>
          <w:p w14:paraId="5C8FD804"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155F05B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Yes</w:t>
            </w:r>
          </w:p>
        </w:tc>
        <w:tc>
          <w:tcPr>
            <w:tcW w:w="1667" w:type="dxa"/>
            <w:hideMark/>
          </w:tcPr>
          <w:p w14:paraId="796C2043"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138 (56.79)</w:t>
            </w:r>
          </w:p>
        </w:tc>
        <w:tc>
          <w:tcPr>
            <w:tcW w:w="1667" w:type="dxa"/>
            <w:hideMark/>
          </w:tcPr>
          <w:p w14:paraId="441EAD2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105 (43.21)</w:t>
            </w:r>
          </w:p>
        </w:tc>
        <w:tc>
          <w:tcPr>
            <w:tcW w:w="1667" w:type="dxa"/>
            <w:hideMark/>
          </w:tcPr>
          <w:p w14:paraId="67E603C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243 (35.42)</w:t>
            </w:r>
          </w:p>
        </w:tc>
      </w:tr>
      <w:tr w:rsidR="00E1416A" w:rsidRPr="001B188B" w14:paraId="35FFEA22" w14:textId="77777777" w:rsidTr="00B7105A">
        <w:trPr>
          <w:trHeight w:val="20"/>
        </w:trPr>
        <w:tc>
          <w:tcPr>
            <w:tcW w:w="2405" w:type="dxa"/>
            <w:vMerge w:val="restart"/>
            <w:hideMark/>
          </w:tcPr>
          <w:p w14:paraId="048FF332" w14:textId="34035261"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Congenital Mal</w:t>
            </w:r>
            <w:r w:rsidR="003573CC" w:rsidRPr="001B188B">
              <w:rPr>
                <w:rFonts w:cs="Times New Roman"/>
                <w:color w:val="000000"/>
                <w:szCs w:val="24"/>
              </w:rPr>
              <w:t xml:space="preserve">formation </w:t>
            </w:r>
          </w:p>
        </w:tc>
        <w:tc>
          <w:tcPr>
            <w:tcW w:w="3260" w:type="dxa"/>
            <w:hideMark/>
          </w:tcPr>
          <w:p w14:paraId="21718993"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No</w:t>
            </w:r>
          </w:p>
        </w:tc>
        <w:tc>
          <w:tcPr>
            <w:tcW w:w="1667" w:type="dxa"/>
            <w:hideMark/>
          </w:tcPr>
          <w:p w14:paraId="1BB7A006"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515 (79.23)</w:t>
            </w:r>
          </w:p>
        </w:tc>
        <w:tc>
          <w:tcPr>
            <w:tcW w:w="1667" w:type="dxa"/>
            <w:hideMark/>
          </w:tcPr>
          <w:p w14:paraId="6E82D4ED"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135 (20.77)</w:t>
            </w:r>
          </w:p>
        </w:tc>
        <w:tc>
          <w:tcPr>
            <w:tcW w:w="1667" w:type="dxa"/>
            <w:hideMark/>
          </w:tcPr>
          <w:p w14:paraId="2C2F84A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650 (94.75)</w:t>
            </w:r>
          </w:p>
        </w:tc>
      </w:tr>
      <w:tr w:rsidR="00E1416A" w:rsidRPr="001B188B" w14:paraId="389265AC" w14:textId="77777777" w:rsidTr="00B7105A">
        <w:trPr>
          <w:trHeight w:val="20"/>
        </w:trPr>
        <w:tc>
          <w:tcPr>
            <w:tcW w:w="2405" w:type="dxa"/>
            <w:vMerge/>
            <w:hideMark/>
          </w:tcPr>
          <w:p w14:paraId="35C5E56E"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03FF86F4"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Yes</w:t>
            </w:r>
          </w:p>
        </w:tc>
        <w:tc>
          <w:tcPr>
            <w:tcW w:w="1667" w:type="dxa"/>
            <w:hideMark/>
          </w:tcPr>
          <w:p w14:paraId="7CE8F7E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16 (44.44)</w:t>
            </w:r>
          </w:p>
        </w:tc>
        <w:tc>
          <w:tcPr>
            <w:tcW w:w="1667" w:type="dxa"/>
            <w:hideMark/>
          </w:tcPr>
          <w:p w14:paraId="107A909E"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20 (55.56)</w:t>
            </w:r>
          </w:p>
        </w:tc>
        <w:tc>
          <w:tcPr>
            <w:tcW w:w="1667" w:type="dxa"/>
            <w:hideMark/>
          </w:tcPr>
          <w:p w14:paraId="490AA616"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36 (5.25)</w:t>
            </w:r>
          </w:p>
        </w:tc>
      </w:tr>
      <w:tr w:rsidR="00E1416A" w:rsidRPr="001B188B" w14:paraId="3B948ADB" w14:textId="77777777" w:rsidTr="00B7105A">
        <w:trPr>
          <w:trHeight w:val="20"/>
        </w:trPr>
        <w:tc>
          <w:tcPr>
            <w:tcW w:w="2405" w:type="dxa"/>
            <w:vMerge w:val="restart"/>
            <w:hideMark/>
          </w:tcPr>
          <w:p w14:paraId="63533C7E"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Birth Weight</w:t>
            </w:r>
          </w:p>
        </w:tc>
        <w:tc>
          <w:tcPr>
            <w:tcW w:w="3260" w:type="dxa"/>
            <w:hideMark/>
          </w:tcPr>
          <w:p w14:paraId="0B4492C8" w14:textId="05CF301F" w:rsidR="00E1416A" w:rsidRPr="001B188B" w:rsidRDefault="003573CC" w:rsidP="00B7105A">
            <w:pPr>
              <w:pStyle w:val="NoSpacing"/>
              <w:spacing w:before="0" w:line="276" w:lineRule="auto"/>
              <w:rPr>
                <w:rFonts w:cs="Times New Roman"/>
                <w:color w:val="000000"/>
                <w:szCs w:val="24"/>
              </w:rPr>
            </w:pPr>
            <w:r w:rsidRPr="001B188B">
              <w:rPr>
                <w:rFonts w:cs="Times New Roman"/>
                <w:color w:val="000000"/>
                <w:szCs w:val="24"/>
              </w:rPr>
              <w:t>Extremely Low Birth Weight</w:t>
            </w:r>
          </w:p>
        </w:tc>
        <w:tc>
          <w:tcPr>
            <w:tcW w:w="1667" w:type="dxa"/>
            <w:hideMark/>
          </w:tcPr>
          <w:p w14:paraId="60BFB070"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11 (35.48)</w:t>
            </w:r>
          </w:p>
        </w:tc>
        <w:tc>
          <w:tcPr>
            <w:tcW w:w="1667" w:type="dxa"/>
            <w:hideMark/>
          </w:tcPr>
          <w:p w14:paraId="34E091D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20 (64.52)</w:t>
            </w:r>
          </w:p>
        </w:tc>
        <w:tc>
          <w:tcPr>
            <w:tcW w:w="1667" w:type="dxa"/>
            <w:hideMark/>
          </w:tcPr>
          <w:p w14:paraId="264837E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31 (4.52)</w:t>
            </w:r>
          </w:p>
        </w:tc>
      </w:tr>
      <w:tr w:rsidR="00E1416A" w:rsidRPr="001B188B" w14:paraId="1993BF26" w14:textId="77777777" w:rsidTr="00B7105A">
        <w:trPr>
          <w:trHeight w:val="20"/>
        </w:trPr>
        <w:tc>
          <w:tcPr>
            <w:tcW w:w="2405" w:type="dxa"/>
            <w:vMerge/>
            <w:hideMark/>
          </w:tcPr>
          <w:p w14:paraId="4C9FBE69"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2758AD98" w14:textId="6C909EEF" w:rsidR="00E1416A" w:rsidRPr="001B188B" w:rsidRDefault="003573CC" w:rsidP="00B7105A">
            <w:pPr>
              <w:pStyle w:val="NoSpacing"/>
              <w:spacing w:before="0" w:line="276" w:lineRule="auto"/>
              <w:rPr>
                <w:rFonts w:cs="Times New Roman"/>
                <w:color w:val="000000"/>
                <w:szCs w:val="24"/>
              </w:rPr>
            </w:pPr>
            <w:r w:rsidRPr="001B188B">
              <w:rPr>
                <w:rFonts w:cs="Times New Roman"/>
                <w:color w:val="000000"/>
                <w:szCs w:val="24"/>
              </w:rPr>
              <w:t>Very Low Birth Weight</w:t>
            </w:r>
          </w:p>
        </w:tc>
        <w:tc>
          <w:tcPr>
            <w:tcW w:w="1667" w:type="dxa"/>
            <w:hideMark/>
          </w:tcPr>
          <w:p w14:paraId="100865D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46 (55.42)</w:t>
            </w:r>
          </w:p>
        </w:tc>
        <w:tc>
          <w:tcPr>
            <w:tcW w:w="1667" w:type="dxa"/>
            <w:hideMark/>
          </w:tcPr>
          <w:p w14:paraId="2D37460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37 (44.58)</w:t>
            </w:r>
          </w:p>
        </w:tc>
        <w:tc>
          <w:tcPr>
            <w:tcW w:w="1667" w:type="dxa"/>
            <w:hideMark/>
          </w:tcPr>
          <w:p w14:paraId="3C86C72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83 (12.10)</w:t>
            </w:r>
          </w:p>
        </w:tc>
      </w:tr>
      <w:tr w:rsidR="00E1416A" w:rsidRPr="001B188B" w14:paraId="59CE2DA3" w14:textId="77777777" w:rsidTr="00B7105A">
        <w:trPr>
          <w:trHeight w:val="20"/>
        </w:trPr>
        <w:tc>
          <w:tcPr>
            <w:tcW w:w="2405" w:type="dxa"/>
            <w:vMerge/>
            <w:hideMark/>
          </w:tcPr>
          <w:p w14:paraId="5418D850"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582F6827" w14:textId="6E619F21" w:rsidR="00E1416A" w:rsidRPr="001B188B" w:rsidRDefault="003573CC" w:rsidP="00B7105A">
            <w:pPr>
              <w:pStyle w:val="NoSpacing"/>
              <w:spacing w:before="0" w:line="276" w:lineRule="auto"/>
              <w:rPr>
                <w:rFonts w:cs="Times New Roman"/>
                <w:color w:val="000000"/>
                <w:szCs w:val="24"/>
              </w:rPr>
            </w:pPr>
            <w:r w:rsidRPr="001B188B">
              <w:rPr>
                <w:rFonts w:cs="Times New Roman"/>
                <w:color w:val="000000"/>
                <w:szCs w:val="24"/>
              </w:rPr>
              <w:t>Low Birth Weight</w:t>
            </w:r>
          </w:p>
        </w:tc>
        <w:tc>
          <w:tcPr>
            <w:tcW w:w="1667" w:type="dxa"/>
            <w:hideMark/>
          </w:tcPr>
          <w:p w14:paraId="2DBB7A0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207 (84.15)</w:t>
            </w:r>
          </w:p>
        </w:tc>
        <w:tc>
          <w:tcPr>
            <w:tcW w:w="1667" w:type="dxa"/>
            <w:hideMark/>
          </w:tcPr>
          <w:p w14:paraId="0C447067"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39 (15.85)</w:t>
            </w:r>
          </w:p>
        </w:tc>
        <w:tc>
          <w:tcPr>
            <w:tcW w:w="1667" w:type="dxa"/>
            <w:hideMark/>
          </w:tcPr>
          <w:p w14:paraId="3898D27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246 (35.86)</w:t>
            </w:r>
          </w:p>
        </w:tc>
      </w:tr>
      <w:tr w:rsidR="00E1416A" w:rsidRPr="001B188B" w14:paraId="04B017A8" w14:textId="77777777" w:rsidTr="00B7105A">
        <w:trPr>
          <w:trHeight w:val="20"/>
        </w:trPr>
        <w:tc>
          <w:tcPr>
            <w:tcW w:w="2405" w:type="dxa"/>
            <w:vMerge/>
            <w:hideMark/>
          </w:tcPr>
          <w:p w14:paraId="55B9B854"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50E160DB"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Normal Weight</w:t>
            </w:r>
          </w:p>
        </w:tc>
        <w:tc>
          <w:tcPr>
            <w:tcW w:w="1667" w:type="dxa"/>
            <w:hideMark/>
          </w:tcPr>
          <w:p w14:paraId="714D9270"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267 (81.90)</w:t>
            </w:r>
          </w:p>
        </w:tc>
        <w:tc>
          <w:tcPr>
            <w:tcW w:w="1667" w:type="dxa"/>
            <w:hideMark/>
          </w:tcPr>
          <w:p w14:paraId="47F7CD9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59 (18.10)</w:t>
            </w:r>
          </w:p>
        </w:tc>
        <w:tc>
          <w:tcPr>
            <w:tcW w:w="1667" w:type="dxa"/>
            <w:hideMark/>
          </w:tcPr>
          <w:p w14:paraId="08962FB0"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326 (47.52)</w:t>
            </w:r>
          </w:p>
        </w:tc>
      </w:tr>
      <w:tr w:rsidR="00E1416A" w:rsidRPr="001B188B" w14:paraId="649D740F" w14:textId="77777777" w:rsidTr="00B7105A">
        <w:trPr>
          <w:trHeight w:val="20"/>
        </w:trPr>
        <w:tc>
          <w:tcPr>
            <w:tcW w:w="2405" w:type="dxa"/>
            <w:vMerge w:val="restart"/>
            <w:hideMark/>
          </w:tcPr>
          <w:p w14:paraId="72883BA7"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Gestational Age</w:t>
            </w:r>
          </w:p>
        </w:tc>
        <w:tc>
          <w:tcPr>
            <w:tcW w:w="3260" w:type="dxa"/>
            <w:hideMark/>
          </w:tcPr>
          <w:p w14:paraId="6F657BA3"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Extreme Preterm</w:t>
            </w:r>
          </w:p>
        </w:tc>
        <w:tc>
          <w:tcPr>
            <w:tcW w:w="1667" w:type="dxa"/>
            <w:hideMark/>
          </w:tcPr>
          <w:p w14:paraId="234513B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9 (30.00)</w:t>
            </w:r>
          </w:p>
        </w:tc>
        <w:tc>
          <w:tcPr>
            <w:tcW w:w="1667" w:type="dxa"/>
            <w:hideMark/>
          </w:tcPr>
          <w:p w14:paraId="2C12959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21 (70.00)</w:t>
            </w:r>
          </w:p>
        </w:tc>
        <w:tc>
          <w:tcPr>
            <w:tcW w:w="1667" w:type="dxa"/>
            <w:hideMark/>
          </w:tcPr>
          <w:p w14:paraId="6002C070"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30 (4.37)</w:t>
            </w:r>
          </w:p>
        </w:tc>
      </w:tr>
      <w:tr w:rsidR="00E1416A" w:rsidRPr="001B188B" w14:paraId="00E6CF5C" w14:textId="77777777" w:rsidTr="00B7105A">
        <w:trPr>
          <w:trHeight w:val="20"/>
        </w:trPr>
        <w:tc>
          <w:tcPr>
            <w:tcW w:w="2405" w:type="dxa"/>
            <w:vMerge/>
            <w:hideMark/>
          </w:tcPr>
          <w:p w14:paraId="077A4875"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793A5E48" w14:textId="7457FAF8"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Preterm</w:t>
            </w:r>
          </w:p>
        </w:tc>
        <w:tc>
          <w:tcPr>
            <w:tcW w:w="1667" w:type="dxa"/>
            <w:hideMark/>
          </w:tcPr>
          <w:p w14:paraId="4F3FEFA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195 (73.58)</w:t>
            </w:r>
          </w:p>
        </w:tc>
        <w:tc>
          <w:tcPr>
            <w:tcW w:w="1667" w:type="dxa"/>
            <w:hideMark/>
          </w:tcPr>
          <w:p w14:paraId="62DAEC68"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70 (26.42)</w:t>
            </w:r>
          </w:p>
        </w:tc>
        <w:tc>
          <w:tcPr>
            <w:tcW w:w="1667" w:type="dxa"/>
            <w:hideMark/>
          </w:tcPr>
          <w:p w14:paraId="03AC37D6"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265 (38.63)</w:t>
            </w:r>
          </w:p>
        </w:tc>
      </w:tr>
      <w:tr w:rsidR="00E1416A" w:rsidRPr="001B188B" w14:paraId="4B6638FC" w14:textId="77777777" w:rsidTr="00B7105A">
        <w:trPr>
          <w:trHeight w:val="20"/>
        </w:trPr>
        <w:tc>
          <w:tcPr>
            <w:tcW w:w="2405" w:type="dxa"/>
            <w:vMerge/>
            <w:hideMark/>
          </w:tcPr>
          <w:p w14:paraId="31AD9BE5"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6C425EC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Full Term</w:t>
            </w:r>
          </w:p>
        </w:tc>
        <w:tc>
          <w:tcPr>
            <w:tcW w:w="1667" w:type="dxa"/>
            <w:hideMark/>
          </w:tcPr>
          <w:p w14:paraId="493A1127"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327 (83.63)</w:t>
            </w:r>
          </w:p>
        </w:tc>
        <w:tc>
          <w:tcPr>
            <w:tcW w:w="1667" w:type="dxa"/>
            <w:hideMark/>
          </w:tcPr>
          <w:p w14:paraId="53B0F124"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64 (16.37)</w:t>
            </w:r>
          </w:p>
        </w:tc>
        <w:tc>
          <w:tcPr>
            <w:tcW w:w="1667" w:type="dxa"/>
            <w:hideMark/>
          </w:tcPr>
          <w:p w14:paraId="461FC21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391 (57.00)</w:t>
            </w:r>
          </w:p>
        </w:tc>
      </w:tr>
      <w:tr w:rsidR="00E1416A" w:rsidRPr="001B188B" w14:paraId="19F3EFC2" w14:textId="77777777" w:rsidTr="00B7105A">
        <w:trPr>
          <w:trHeight w:val="20"/>
        </w:trPr>
        <w:tc>
          <w:tcPr>
            <w:tcW w:w="2405" w:type="dxa"/>
            <w:vMerge w:val="restart"/>
            <w:hideMark/>
          </w:tcPr>
          <w:p w14:paraId="2BA4F7B6" w14:textId="6B06133C" w:rsidR="00E1416A" w:rsidRPr="001B188B" w:rsidRDefault="006C57DA" w:rsidP="00B7105A">
            <w:pPr>
              <w:pStyle w:val="NoSpacing"/>
              <w:spacing w:before="0" w:line="276" w:lineRule="auto"/>
              <w:rPr>
                <w:rFonts w:cs="Times New Roman"/>
                <w:color w:val="000000"/>
                <w:szCs w:val="24"/>
              </w:rPr>
            </w:pPr>
            <w:r w:rsidRPr="001B188B">
              <w:rPr>
                <w:rFonts w:cs="Times New Roman"/>
                <w:color w:val="000000"/>
                <w:szCs w:val="24"/>
              </w:rPr>
              <w:t xml:space="preserve">Breast feeding within one hour </w:t>
            </w:r>
          </w:p>
        </w:tc>
        <w:tc>
          <w:tcPr>
            <w:tcW w:w="3260" w:type="dxa"/>
            <w:hideMark/>
          </w:tcPr>
          <w:p w14:paraId="72BFC4A0"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No</w:t>
            </w:r>
          </w:p>
        </w:tc>
        <w:tc>
          <w:tcPr>
            <w:tcW w:w="1667" w:type="dxa"/>
            <w:hideMark/>
          </w:tcPr>
          <w:p w14:paraId="41E72137"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412 (74.23)</w:t>
            </w:r>
          </w:p>
        </w:tc>
        <w:tc>
          <w:tcPr>
            <w:tcW w:w="1667" w:type="dxa"/>
            <w:hideMark/>
          </w:tcPr>
          <w:p w14:paraId="5AF214D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143 (25.77)</w:t>
            </w:r>
          </w:p>
        </w:tc>
        <w:tc>
          <w:tcPr>
            <w:tcW w:w="1667" w:type="dxa"/>
            <w:hideMark/>
          </w:tcPr>
          <w:p w14:paraId="14158DF7"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555 (80.90)</w:t>
            </w:r>
          </w:p>
        </w:tc>
      </w:tr>
      <w:tr w:rsidR="00E1416A" w:rsidRPr="001B188B" w14:paraId="6969E046" w14:textId="77777777" w:rsidTr="00B7105A">
        <w:trPr>
          <w:trHeight w:val="20"/>
        </w:trPr>
        <w:tc>
          <w:tcPr>
            <w:tcW w:w="2405" w:type="dxa"/>
            <w:vMerge/>
            <w:hideMark/>
          </w:tcPr>
          <w:p w14:paraId="3E41B3B4"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7997CC24"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Yes</w:t>
            </w:r>
          </w:p>
        </w:tc>
        <w:tc>
          <w:tcPr>
            <w:tcW w:w="1667" w:type="dxa"/>
            <w:hideMark/>
          </w:tcPr>
          <w:p w14:paraId="4F7F736B"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119 (90.84)</w:t>
            </w:r>
          </w:p>
        </w:tc>
        <w:tc>
          <w:tcPr>
            <w:tcW w:w="1667" w:type="dxa"/>
            <w:hideMark/>
          </w:tcPr>
          <w:p w14:paraId="677BB0E7"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12 (9.16)</w:t>
            </w:r>
          </w:p>
        </w:tc>
        <w:tc>
          <w:tcPr>
            <w:tcW w:w="1667" w:type="dxa"/>
            <w:hideMark/>
          </w:tcPr>
          <w:p w14:paraId="0F3E706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131 (19.10)</w:t>
            </w:r>
          </w:p>
        </w:tc>
      </w:tr>
      <w:tr w:rsidR="00E1416A" w:rsidRPr="001B188B" w14:paraId="63AB1042" w14:textId="77777777" w:rsidTr="00B7105A">
        <w:trPr>
          <w:trHeight w:val="20"/>
        </w:trPr>
        <w:tc>
          <w:tcPr>
            <w:tcW w:w="2405" w:type="dxa"/>
            <w:vMerge w:val="restart"/>
            <w:hideMark/>
          </w:tcPr>
          <w:p w14:paraId="1DCDCF9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Gravida</w:t>
            </w:r>
          </w:p>
        </w:tc>
        <w:tc>
          <w:tcPr>
            <w:tcW w:w="3260" w:type="dxa"/>
            <w:hideMark/>
          </w:tcPr>
          <w:p w14:paraId="7BA2D9B4" w14:textId="6C0E4FB7" w:rsidR="00E1416A" w:rsidRPr="001B188B" w:rsidRDefault="003573CC" w:rsidP="00B7105A">
            <w:pPr>
              <w:pStyle w:val="NoSpacing"/>
              <w:spacing w:before="0" w:line="276" w:lineRule="auto"/>
              <w:rPr>
                <w:rFonts w:cs="Times New Roman"/>
                <w:color w:val="000000"/>
                <w:szCs w:val="24"/>
              </w:rPr>
            </w:pPr>
            <w:r w:rsidRPr="001B188B">
              <w:rPr>
                <w:rFonts w:cs="Times New Roman"/>
                <w:color w:val="000000"/>
                <w:szCs w:val="24"/>
              </w:rPr>
              <w:t xml:space="preserve">Primigravida </w:t>
            </w:r>
          </w:p>
        </w:tc>
        <w:tc>
          <w:tcPr>
            <w:tcW w:w="1667" w:type="dxa"/>
            <w:hideMark/>
          </w:tcPr>
          <w:p w14:paraId="3186D184"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258 (80.12)</w:t>
            </w:r>
          </w:p>
        </w:tc>
        <w:tc>
          <w:tcPr>
            <w:tcW w:w="1667" w:type="dxa"/>
            <w:hideMark/>
          </w:tcPr>
          <w:p w14:paraId="1C208A00"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64 (19.88)</w:t>
            </w:r>
          </w:p>
        </w:tc>
        <w:tc>
          <w:tcPr>
            <w:tcW w:w="1667" w:type="dxa"/>
            <w:hideMark/>
          </w:tcPr>
          <w:p w14:paraId="275ADBB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322 (46.94)</w:t>
            </w:r>
          </w:p>
        </w:tc>
      </w:tr>
      <w:tr w:rsidR="00E1416A" w:rsidRPr="001B188B" w14:paraId="35D2775F" w14:textId="77777777" w:rsidTr="00B7105A">
        <w:trPr>
          <w:trHeight w:val="20"/>
        </w:trPr>
        <w:tc>
          <w:tcPr>
            <w:tcW w:w="2405" w:type="dxa"/>
            <w:vMerge/>
            <w:hideMark/>
          </w:tcPr>
          <w:p w14:paraId="349B9097"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4FC680ED" w14:textId="72A2F99C" w:rsidR="00E1416A" w:rsidRPr="001B188B" w:rsidRDefault="003573CC" w:rsidP="00B7105A">
            <w:pPr>
              <w:pStyle w:val="NoSpacing"/>
              <w:spacing w:before="0" w:line="276" w:lineRule="auto"/>
              <w:rPr>
                <w:rFonts w:cs="Times New Roman"/>
                <w:color w:val="000000"/>
                <w:szCs w:val="24"/>
              </w:rPr>
            </w:pPr>
            <w:r w:rsidRPr="001B188B">
              <w:rPr>
                <w:rFonts w:cs="Times New Roman"/>
                <w:color w:val="000000"/>
                <w:szCs w:val="24"/>
              </w:rPr>
              <w:t xml:space="preserve">Multigravida </w:t>
            </w:r>
            <w:r w:rsidR="00E1416A" w:rsidRPr="001B188B">
              <w:rPr>
                <w:rFonts w:cs="Times New Roman"/>
                <w:color w:val="000000"/>
                <w:szCs w:val="24"/>
              </w:rPr>
              <w:t xml:space="preserve"> </w:t>
            </w:r>
          </w:p>
        </w:tc>
        <w:tc>
          <w:tcPr>
            <w:tcW w:w="1667" w:type="dxa"/>
            <w:hideMark/>
          </w:tcPr>
          <w:p w14:paraId="0D4CE030"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273 (75.00)</w:t>
            </w:r>
          </w:p>
        </w:tc>
        <w:tc>
          <w:tcPr>
            <w:tcW w:w="1667" w:type="dxa"/>
            <w:hideMark/>
          </w:tcPr>
          <w:p w14:paraId="59414DF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91 (25.00)</w:t>
            </w:r>
          </w:p>
        </w:tc>
        <w:tc>
          <w:tcPr>
            <w:tcW w:w="1667" w:type="dxa"/>
            <w:hideMark/>
          </w:tcPr>
          <w:p w14:paraId="39596708"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364 (53.06)</w:t>
            </w:r>
          </w:p>
        </w:tc>
      </w:tr>
      <w:tr w:rsidR="00E1416A" w:rsidRPr="001B188B" w14:paraId="717F291F" w14:textId="77777777" w:rsidTr="00B7105A">
        <w:trPr>
          <w:trHeight w:val="20"/>
        </w:trPr>
        <w:tc>
          <w:tcPr>
            <w:tcW w:w="2405" w:type="dxa"/>
            <w:vMerge w:val="restart"/>
            <w:hideMark/>
          </w:tcPr>
          <w:p w14:paraId="663A4CB4"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Maternal Age</w:t>
            </w:r>
          </w:p>
        </w:tc>
        <w:tc>
          <w:tcPr>
            <w:tcW w:w="3260" w:type="dxa"/>
            <w:hideMark/>
          </w:tcPr>
          <w:p w14:paraId="659D836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17-24 years</w:t>
            </w:r>
          </w:p>
        </w:tc>
        <w:tc>
          <w:tcPr>
            <w:tcW w:w="1667" w:type="dxa"/>
            <w:hideMark/>
          </w:tcPr>
          <w:p w14:paraId="66C6395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140 (79.10)</w:t>
            </w:r>
          </w:p>
        </w:tc>
        <w:tc>
          <w:tcPr>
            <w:tcW w:w="1667" w:type="dxa"/>
            <w:hideMark/>
          </w:tcPr>
          <w:p w14:paraId="5D91B5C9"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37 (20.90)</w:t>
            </w:r>
          </w:p>
        </w:tc>
        <w:tc>
          <w:tcPr>
            <w:tcW w:w="1667" w:type="dxa"/>
            <w:hideMark/>
          </w:tcPr>
          <w:p w14:paraId="39F7C64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177 (25.80)</w:t>
            </w:r>
          </w:p>
        </w:tc>
      </w:tr>
      <w:tr w:rsidR="00E1416A" w:rsidRPr="001B188B" w14:paraId="6A68490E" w14:textId="77777777" w:rsidTr="00B7105A">
        <w:trPr>
          <w:trHeight w:val="20"/>
        </w:trPr>
        <w:tc>
          <w:tcPr>
            <w:tcW w:w="2405" w:type="dxa"/>
            <w:vMerge/>
            <w:hideMark/>
          </w:tcPr>
          <w:p w14:paraId="36599076"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2507BEA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25-30 years</w:t>
            </w:r>
          </w:p>
        </w:tc>
        <w:tc>
          <w:tcPr>
            <w:tcW w:w="1667" w:type="dxa"/>
            <w:hideMark/>
          </w:tcPr>
          <w:p w14:paraId="3529166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268 (74.03)</w:t>
            </w:r>
          </w:p>
        </w:tc>
        <w:tc>
          <w:tcPr>
            <w:tcW w:w="1667" w:type="dxa"/>
            <w:hideMark/>
          </w:tcPr>
          <w:p w14:paraId="044E620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94 (25.97)</w:t>
            </w:r>
          </w:p>
        </w:tc>
        <w:tc>
          <w:tcPr>
            <w:tcW w:w="1667" w:type="dxa"/>
            <w:hideMark/>
          </w:tcPr>
          <w:p w14:paraId="4E13D89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362 (52.77)</w:t>
            </w:r>
          </w:p>
        </w:tc>
      </w:tr>
      <w:tr w:rsidR="00E1416A" w:rsidRPr="001B188B" w14:paraId="4439FE16" w14:textId="77777777" w:rsidTr="00B7105A">
        <w:trPr>
          <w:trHeight w:val="20"/>
        </w:trPr>
        <w:tc>
          <w:tcPr>
            <w:tcW w:w="2405" w:type="dxa"/>
            <w:vMerge/>
            <w:hideMark/>
          </w:tcPr>
          <w:p w14:paraId="3DC78D21"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2B7E0C2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&gt; 30 years</w:t>
            </w:r>
          </w:p>
        </w:tc>
        <w:tc>
          <w:tcPr>
            <w:tcW w:w="1667" w:type="dxa"/>
            <w:hideMark/>
          </w:tcPr>
          <w:p w14:paraId="1DA5BE04"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123 (83.67)</w:t>
            </w:r>
          </w:p>
        </w:tc>
        <w:tc>
          <w:tcPr>
            <w:tcW w:w="1667" w:type="dxa"/>
            <w:hideMark/>
          </w:tcPr>
          <w:p w14:paraId="7A77649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24 (16.33)</w:t>
            </w:r>
          </w:p>
        </w:tc>
        <w:tc>
          <w:tcPr>
            <w:tcW w:w="1667" w:type="dxa"/>
            <w:hideMark/>
          </w:tcPr>
          <w:p w14:paraId="515BA79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147 (21.43)</w:t>
            </w:r>
          </w:p>
        </w:tc>
      </w:tr>
      <w:tr w:rsidR="00E1416A" w:rsidRPr="001B188B" w14:paraId="36E664E7" w14:textId="77777777" w:rsidTr="00B7105A">
        <w:trPr>
          <w:trHeight w:val="20"/>
        </w:trPr>
        <w:tc>
          <w:tcPr>
            <w:tcW w:w="2405" w:type="dxa"/>
            <w:vMerge w:val="restart"/>
            <w:hideMark/>
          </w:tcPr>
          <w:p w14:paraId="7FD579D7" w14:textId="6E88DC76"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P</w:t>
            </w:r>
            <w:r w:rsidR="006C57DA" w:rsidRPr="001B188B">
              <w:rPr>
                <w:rFonts w:cs="Times New Roman"/>
                <w:color w:val="000000"/>
                <w:szCs w:val="24"/>
              </w:rPr>
              <w:t>regnancy Induced Harmone (PIH)</w:t>
            </w:r>
          </w:p>
        </w:tc>
        <w:tc>
          <w:tcPr>
            <w:tcW w:w="3260" w:type="dxa"/>
            <w:hideMark/>
          </w:tcPr>
          <w:p w14:paraId="3BB023DE"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No</w:t>
            </w:r>
          </w:p>
        </w:tc>
        <w:tc>
          <w:tcPr>
            <w:tcW w:w="1667" w:type="dxa"/>
            <w:hideMark/>
          </w:tcPr>
          <w:p w14:paraId="6F5CD1BD"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458 (77.23)</w:t>
            </w:r>
          </w:p>
        </w:tc>
        <w:tc>
          <w:tcPr>
            <w:tcW w:w="1667" w:type="dxa"/>
            <w:hideMark/>
          </w:tcPr>
          <w:p w14:paraId="56E7348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135 (22.77)</w:t>
            </w:r>
          </w:p>
        </w:tc>
        <w:tc>
          <w:tcPr>
            <w:tcW w:w="1667" w:type="dxa"/>
            <w:hideMark/>
          </w:tcPr>
          <w:p w14:paraId="7ED7C67B"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593 (86.44)</w:t>
            </w:r>
          </w:p>
        </w:tc>
      </w:tr>
      <w:tr w:rsidR="00E1416A" w:rsidRPr="001B188B" w14:paraId="5C3260C0" w14:textId="77777777" w:rsidTr="00B7105A">
        <w:trPr>
          <w:trHeight w:val="20"/>
        </w:trPr>
        <w:tc>
          <w:tcPr>
            <w:tcW w:w="2405" w:type="dxa"/>
            <w:vMerge/>
            <w:hideMark/>
          </w:tcPr>
          <w:p w14:paraId="3FB9D473"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5718142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Yes</w:t>
            </w:r>
          </w:p>
        </w:tc>
        <w:tc>
          <w:tcPr>
            <w:tcW w:w="1667" w:type="dxa"/>
            <w:hideMark/>
          </w:tcPr>
          <w:p w14:paraId="51C9BD83"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73 (78.49)</w:t>
            </w:r>
          </w:p>
        </w:tc>
        <w:tc>
          <w:tcPr>
            <w:tcW w:w="1667" w:type="dxa"/>
            <w:hideMark/>
          </w:tcPr>
          <w:p w14:paraId="43781DE9"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20 (21.51)</w:t>
            </w:r>
          </w:p>
        </w:tc>
        <w:tc>
          <w:tcPr>
            <w:tcW w:w="1667" w:type="dxa"/>
            <w:hideMark/>
          </w:tcPr>
          <w:p w14:paraId="72204CE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93 (13.56)</w:t>
            </w:r>
          </w:p>
        </w:tc>
      </w:tr>
      <w:tr w:rsidR="00E1416A" w:rsidRPr="001B188B" w14:paraId="00CEF683" w14:textId="77777777" w:rsidTr="00B7105A">
        <w:trPr>
          <w:trHeight w:val="20"/>
        </w:trPr>
        <w:tc>
          <w:tcPr>
            <w:tcW w:w="2405" w:type="dxa"/>
            <w:vMerge w:val="restart"/>
            <w:hideMark/>
          </w:tcPr>
          <w:p w14:paraId="13B6A043"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Amniotic Fluid</w:t>
            </w:r>
          </w:p>
        </w:tc>
        <w:tc>
          <w:tcPr>
            <w:tcW w:w="3260" w:type="dxa"/>
            <w:hideMark/>
          </w:tcPr>
          <w:p w14:paraId="602EDD24"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Clear</w:t>
            </w:r>
          </w:p>
        </w:tc>
        <w:tc>
          <w:tcPr>
            <w:tcW w:w="1667" w:type="dxa"/>
            <w:hideMark/>
          </w:tcPr>
          <w:p w14:paraId="00E68DC4"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443 (80.11)</w:t>
            </w:r>
          </w:p>
        </w:tc>
        <w:tc>
          <w:tcPr>
            <w:tcW w:w="1667" w:type="dxa"/>
            <w:hideMark/>
          </w:tcPr>
          <w:p w14:paraId="27D949F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110 (19.89)</w:t>
            </w:r>
          </w:p>
        </w:tc>
        <w:tc>
          <w:tcPr>
            <w:tcW w:w="1667" w:type="dxa"/>
            <w:hideMark/>
          </w:tcPr>
          <w:p w14:paraId="55F706D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553 (80.61)</w:t>
            </w:r>
          </w:p>
        </w:tc>
      </w:tr>
      <w:tr w:rsidR="00E1416A" w:rsidRPr="001B188B" w14:paraId="32907FF1" w14:textId="77777777" w:rsidTr="00B7105A">
        <w:trPr>
          <w:trHeight w:val="20"/>
        </w:trPr>
        <w:tc>
          <w:tcPr>
            <w:tcW w:w="2405" w:type="dxa"/>
            <w:vMerge/>
            <w:hideMark/>
          </w:tcPr>
          <w:p w14:paraId="1ED3AD73"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39B1CE8D"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Stained</w:t>
            </w:r>
          </w:p>
        </w:tc>
        <w:tc>
          <w:tcPr>
            <w:tcW w:w="1667" w:type="dxa"/>
            <w:hideMark/>
          </w:tcPr>
          <w:p w14:paraId="754DB7E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88 (66.17)</w:t>
            </w:r>
          </w:p>
        </w:tc>
        <w:tc>
          <w:tcPr>
            <w:tcW w:w="1667" w:type="dxa"/>
            <w:hideMark/>
          </w:tcPr>
          <w:p w14:paraId="4195BFD6"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45 (33.83)</w:t>
            </w:r>
          </w:p>
        </w:tc>
        <w:tc>
          <w:tcPr>
            <w:tcW w:w="1667" w:type="dxa"/>
            <w:hideMark/>
          </w:tcPr>
          <w:p w14:paraId="28ED4C2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133 (19.39)</w:t>
            </w:r>
          </w:p>
        </w:tc>
      </w:tr>
      <w:tr w:rsidR="00E1416A" w:rsidRPr="001B188B" w14:paraId="3631FD17" w14:textId="77777777" w:rsidTr="00B7105A">
        <w:trPr>
          <w:trHeight w:val="20"/>
        </w:trPr>
        <w:tc>
          <w:tcPr>
            <w:tcW w:w="2405" w:type="dxa"/>
            <w:vMerge w:val="restart"/>
            <w:hideMark/>
          </w:tcPr>
          <w:p w14:paraId="6C89045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Labour</w:t>
            </w:r>
          </w:p>
        </w:tc>
        <w:tc>
          <w:tcPr>
            <w:tcW w:w="3260" w:type="dxa"/>
            <w:hideMark/>
          </w:tcPr>
          <w:p w14:paraId="5F79260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Induced</w:t>
            </w:r>
          </w:p>
        </w:tc>
        <w:tc>
          <w:tcPr>
            <w:tcW w:w="1667" w:type="dxa"/>
            <w:hideMark/>
          </w:tcPr>
          <w:p w14:paraId="45B47D89"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65 (67.71)</w:t>
            </w:r>
          </w:p>
        </w:tc>
        <w:tc>
          <w:tcPr>
            <w:tcW w:w="1667" w:type="dxa"/>
            <w:hideMark/>
          </w:tcPr>
          <w:p w14:paraId="3840C3F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31 (32.29)</w:t>
            </w:r>
          </w:p>
        </w:tc>
        <w:tc>
          <w:tcPr>
            <w:tcW w:w="1667" w:type="dxa"/>
            <w:hideMark/>
          </w:tcPr>
          <w:p w14:paraId="27A9BFDB"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96 (13.99)</w:t>
            </w:r>
          </w:p>
        </w:tc>
      </w:tr>
      <w:tr w:rsidR="00E1416A" w:rsidRPr="001B188B" w14:paraId="55ADEC87" w14:textId="77777777" w:rsidTr="00B7105A">
        <w:trPr>
          <w:trHeight w:val="20"/>
        </w:trPr>
        <w:tc>
          <w:tcPr>
            <w:tcW w:w="2405" w:type="dxa"/>
            <w:vMerge/>
            <w:hideMark/>
          </w:tcPr>
          <w:p w14:paraId="36C72E9A"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12539C38"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Spontaneous</w:t>
            </w:r>
          </w:p>
        </w:tc>
        <w:tc>
          <w:tcPr>
            <w:tcW w:w="1667" w:type="dxa"/>
            <w:hideMark/>
          </w:tcPr>
          <w:p w14:paraId="2C9CD4C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466 (78.98)</w:t>
            </w:r>
          </w:p>
        </w:tc>
        <w:tc>
          <w:tcPr>
            <w:tcW w:w="1667" w:type="dxa"/>
            <w:hideMark/>
          </w:tcPr>
          <w:p w14:paraId="179AC3B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124 (21.02)</w:t>
            </w:r>
          </w:p>
        </w:tc>
        <w:tc>
          <w:tcPr>
            <w:tcW w:w="1667" w:type="dxa"/>
            <w:hideMark/>
          </w:tcPr>
          <w:p w14:paraId="2753D20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590 (86.01)</w:t>
            </w:r>
          </w:p>
        </w:tc>
      </w:tr>
      <w:tr w:rsidR="00E1416A" w:rsidRPr="001B188B" w14:paraId="3C7F25A8" w14:textId="77777777" w:rsidTr="00B7105A">
        <w:trPr>
          <w:trHeight w:val="20"/>
        </w:trPr>
        <w:tc>
          <w:tcPr>
            <w:tcW w:w="2405" w:type="dxa"/>
            <w:vMerge w:val="restart"/>
            <w:hideMark/>
          </w:tcPr>
          <w:p w14:paraId="0C57CC8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Delivery Type</w:t>
            </w:r>
          </w:p>
        </w:tc>
        <w:tc>
          <w:tcPr>
            <w:tcW w:w="3260" w:type="dxa"/>
            <w:hideMark/>
          </w:tcPr>
          <w:p w14:paraId="1F4E8747" w14:textId="3EBD34F9" w:rsidR="00E1416A" w:rsidRPr="001B188B" w:rsidRDefault="006C57DA" w:rsidP="00B7105A">
            <w:pPr>
              <w:pStyle w:val="NoSpacing"/>
              <w:spacing w:before="0" w:line="276" w:lineRule="auto"/>
              <w:rPr>
                <w:rFonts w:cs="Times New Roman"/>
                <w:color w:val="000000"/>
                <w:szCs w:val="24"/>
              </w:rPr>
            </w:pPr>
            <w:r w:rsidRPr="001B188B">
              <w:rPr>
                <w:rFonts w:cs="Times New Roman"/>
                <w:szCs w:val="24"/>
              </w:rPr>
              <w:t>LSCS</w:t>
            </w:r>
          </w:p>
        </w:tc>
        <w:tc>
          <w:tcPr>
            <w:tcW w:w="1667" w:type="dxa"/>
            <w:hideMark/>
          </w:tcPr>
          <w:p w14:paraId="22A86AA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252 (78.26)</w:t>
            </w:r>
          </w:p>
        </w:tc>
        <w:tc>
          <w:tcPr>
            <w:tcW w:w="1667" w:type="dxa"/>
            <w:hideMark/>
          </w:tcPr>
          <w:p w14:paraId="3210B44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70 (21.74)</w:t>
            </w:r>
          </w:p>
        </w:tc>
        <w:tc>
          <w:tcPr>
            <w:tcW w:w="1667" w:type="dxa"/>
            <w:hideMark/>
          </w:tcPr>
          <w:p w14:paraId="45DFF9CE"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322 (46.94)</w:t>
            </w:r>
          </w:p>
        </w:tc>
      </w:tr>
      <w:tr w:rsidR="00E1416A" w:rsidRPr="001B188B" w14:paraId="15285E06" w14:textId="77777777" w:rsidTr="00B7105A">
        <w:trPr>
          <w:trHeight w:val="20"/>
        </w:trPr>
        <w:tc>
          <w:tcPr>
            <w:tcW w:w="2405" w:type="dxa"/>
            <w:vMerge/>
            <w:hideMark/>
          </w:tcPr>
          <w:p w14:paraId="74D4855B"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180CE068" w14:textId="05191DF7" w:rsidR="00E1416A" w:rsidRPr="001B188B" w:rsidRDefault="006C57DA" w:rsidP="00B7105A">
            <w:pPr>
              <w:pStyle w:val="NoSpacing"/>
              <w:spacing w:before="0" w:line="276" w:lineRule="auto"/>
              <w:rPr>
                <w:rFonts w:cs="Times New Roman"/>
                <w:color w:val="000000"/>
                <w:szCs w:val="24"/>
              </w:rPr>
            </w:pPr>
            <w:r w:rsidRPr="001B188B">
              <w:rPr>
                <w:rFonts w:cs="Times New Roman"/>
                <w:color w:val="000000"/>
                <w:szCs w:val="24"/>
              </w:rPr>
              <w:t>NVD</w:t>
            </w:r>
          </w:p>
        </w:tc>
        <w:tc>
          <w:tcPr>
            <w:tcW w:w="1667" w:type="dxa"/>
            <w:hideMark/>
          </w:tcPr>
          <w:p w14:paraId="4109C26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279 (76.65)</w:t>
            </w:r>
          </w:p>
        </w:tc>
        <w:tc>
          <w:tcPr>
            <w:tcW w:w="1667" w:type="dxa"/>
            <w:hideMark/>
          </w:tcPr>
          <w:p w14:paraId="2E74EF3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85 (23.35)</w:t>
            </w:r>
          </w:p>
        </w:tc>
        <w:tc>
          <w:tcPr>
            <w:tcW w:w="1667" w:type="dxa"/>
            <w:hideMark/>
          </w:tcPr>
          <w:p w14:paraId="570926F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364 (53.06)</w:t>
            </w:r>
          </w:p>
        </w:tc>
      </w:tr>
      <w:tr w:rsidR="00E1416A" w:rsidRPr="001B188B" w14:paraId="0D023532" w14:textId="77777777" w:rsidTr="00B7105A">
        <w:trPr>
          <w:trHeight w:val="20"/>
        </w:trPr>
        <w:tc>
          <w:tcPr>
            <w:tcW w:w="2405" w:type="dxa"/>
            <w:hideMark/>
          </w:tcPr>
          <w:p w14:paraId="48ABB790" w14:textId="77777777" w:rsidR="00E1416A" w:rsidRPr="001B188B" w:rsidRDefault="00E1416A" w:rsidP="00B7105A">
            <w:pPr>
              <w:pStyle w:val="NoSpacing"/>
              <w:spacing w:before="0" w:line="276" w:lineRule="auto"/>
              <w:rPr>
                <w:rFonts w:cs="Times New Roman"/>
                <w:b/>
                <w:bCs/>
                <w:i/>
                <w:iCs/>
                <w:color w:val="000000"/>
                <w:szCs w:val="24"/>
              </w:rPr>
            </w:pPr>
            <w:r w:rsidRPr="001B188B">
              <w:rPr>
                <w:rFonts w:cs="Times New Roman"/>
                <w:b/>
                <w:bCs/>
                <w:i/>
                <w:iCs/>
                <w:color w:val="000000"/>
                <w:szCs w:val="24"/>
              </w:rPr>
              <w:t>Total Outcome</w:t>
            </w:r>
          </w:p>
        </w:tc>
        <w:tc>
          <w:tcPr>
            <w:tcW w:w="3260" w:type="dxa"/>
            <w:hideMark/>
          </w:tcPr>
          <w:p w14:paraId="7EADEFAB" w14:textId="77777777" w:rsidR="00E1416A" w:rsidRPr="001B188B" w:rsidRDefault="00E1416A" w:rsidP="00B7105A">
            <w:pPr>
              <w:pStyle w:val="NoSpacing"/>
              <w:spacing w:before="0" w:line="276" w:lineRule="auto"/>
              <w:rPr>
                <w:rFonts w:cs="Times New Roman"/>
                <w:b/>
                <w:bCs/>
                <w:i/>
                <w:iCs/>
                <w:color w:val="000000"/>
                <w:szCs w:val="24"/>
              </w:rPr>
            </w:pPr>
            <w:r w:rsidRPr="001B188B">
              <w:rPr>
                <w:rFonts w:cs="Times New Roman"/>
                <w:b/>
                <w:bCs/>
                <w:i/>
                <w:iCs/>
                <w:color w:val="000000"/>
                <w:szCs w:val="24"/>
              </w:rPr>
              <w:t> </w:t>
            </w:r>
          </w:p>
        </w:tc>
        <w:tc>
          <w:tcPr>
            <w:tcW w:w="1667" w:type="dxa"/>
            <w:hideMark/>
          </w:tcPr>
          <w:p w14:paraId="71D06396" w14:textId="77777777" w:rsidR="00E1416A" w:rsidRPr="001B188B" w:rsidRDefault="00E1416A" w:rsidP="00B7105A">
            <w:pPr>
              <w:pStyle w:val="NoSpacing"/>
              <w:spacing w:before="0" w:line="276" w:lineRule="auto"/>
              <w:rPr>
                <w:rFonts w:cs="Times New Roman"/>
                <w:b/>
                <w:bCs/>
                <w:i/>
                <w:iCs/>
                <w:color w:val="000000"/>
                <w:szCs w:val="24"/>
              </w:rPr>
            </w:pPr>
            <w:r w:rsidRPr="001B188B">
              <w:rPr>
                <w:rFonts w:cs="Times New Roman"/>
                <w:b/>
                <w:bCs/>
                <w:i/>
                <w:iCs/>
                <w:color w:val="000000"/>
                <w:szCs w:val="24"/>
              </w:rPr>
              <w:t xml:space="preserve">531 </w:t>
            </w:r>
          </w:p>
          <w:p w14:paraId="6289640E" w14:textId="77777777" w:rsidR="00E1416A" w:rsidRPr="001B188B" w:rsidRDefault="00E1416A" w:rsidP="00B7105A">
            <w:pPr>
              <w:pStyle w:val="NoSpacing"/>
              <w:spacing w:before="0" w:line="276" w:lineRule="auto"/>
              <w:rPr>
                <w:rFonts w:cs="Times New Roman"/>
                <w:b/>
                <w:bCs/>
                <w:i/>
                <w:iCs/>
                <w:color w:val="000000"/>
                <w:szCs w:val="24"/>
              </w:rPr>
            </w:pPr>
            <w:r w:rsidRPr="001B188B">
              <w:rPr>
                <w:rFonts w:cs="Times New Roman"/>
                <w:b/>
                <w:bCs/>
                <w:i/>
                <w:iCs/>
                <w:color w:val="000000"/>
                <w:szCs w:val="24"/>
              </w:rPr>
              <w:t>(77.41)</w:t>
            </w:r>
          </w:p>
        </w:tc>
        <w:tc>
          <w:tcPr>
            <w:tcW w:w="1667" w:type="dxa"/>
            <w:hideMark/>
          </w:tcPr>
          <w:p w14:paraId="4BD062F3" w14:textId="77777777" w:rsidR="00E1416A" w:rsidRPr="001B188B" w:rsidRDefault="00E1416A" w:rsidP="00B7105A">
            <w:pPr>
              <w:pStyle w:val="NoSpacing"/>
              <w:spacing w:before="0" w:line="276" w:lineRule="auto"/>
              <w:rPr>
                <w:rFonts w:cs="Times New Roman"/>
                <w:b/>
                <w:bCs/>
                <w:i/>
                <w:iCs/>
                <w:color w:val="000000"/>
                <w:szCs w:val="24"/>
              </w:rPr>
            </w:pPr>
            <w:r w:rsidRPr="001B188B">
              <w:rPr>
                <w:rFonts w:cs="Times New Roman"/>
                <w:b/>
                <w:bCs/>
                <w:i/>
                <w:iCs/>
                <w:color w:val="000000"/>
                <w:szCs w:val="24"/>
              </w:rPr>
              <w:t>155</w:t>
            </w:r>
          </w:p>
          <w:p w14:paraId="1470D368" w14:textId="77777777" w:rsidR="00E1416A" w:rsidRPr="001B188B" w:rsidRDefault="00E1416A" w:rsidP="00B7105A">
            <w:pPr>
              <w:pStyle w:val="NoSpacing"/>
              <w:spacing w:before="0" w:line="276" w:lineRule="auto"/>
              <w:rPr>
                <w:rFonts w:cs="Times New Roman"/>
                <w:b/>
                <w:bCs/>
                <w:i/>
                <w:iCs/>
                <w:color w:val="000000"/>
                <w:szCs w:val="24"/>
              </w:rPr>
            </w:pPr>
            <w:r w:rsidRPr="001B188B">
              <w:rPr>
                <w:rFonts w:cs="Times New Roman"/>
                <w:b/>
                <w:bCs/>
                <w:i/>
                <w:iCs/>
                <w:color w:val="000000"/>
                <w:szCs w:val="24"/>
              </w:rPr>
              <w:t xml:space="preserve"> (22.59)</w:t>
            </w:r>
          </w:p>
        </w:tc>
        <w:tc>
          <w:tcPr>
            <w:tcW w:w="1667" w:type="dxa"/>
            <w:hideMark/>
          </w:tcPr>
          <w:p w14:paraId="476AE910" w14:textId="77777777" w:rsidR="00E1416A" w:rsidRPr="001B188B" w:rsidRDefault="00E1416A" w:rsidP="00B7105A">
            <w:pPr>
              <w:pStyle w:val="NoSpacing"/>
              <w:spacing w:before="0" w:line="276" w:lineRule="auto"/>
              <w:rPr>
                <w:rFonts w:cs="Times New Roman"/>
                <w:b/>
                <w:bCs/>
                <w:i/>
                <w:iCs/>
                <w:color w:val="000000"/>
                <w:szCs w:val="24"/>
              </w:rPr>
            </w:pPr>
            <w:r w:rsidRPr="001B188B">
              <w:rPr>
                <w:rFonts w:cs="Times New Roman"/>
                <w:b/>
                <w:bCs/>
                <w:i/>
                <w:iCs/>
                <w:color w:val="000000"/>
                <w:szCs w:val="24"/>
              </w:rPr>
              <w:t xml:space="preserve">686 </w:t>
            </w:r>
          </w:p>
          <w:p w14:paraId="6B7BF210" w14:textId="77777777" w:rsidR="00E1416A" w:rsidRPr="001B188B" w:rsidRDefault="00E1416A" w:rsidP="00B7105A">
            <w:pPr>
              <w:pStyle w:val="NoSpacing"/>
              <w:spacing w:before="0" w:line="276" w:lineRule="auto"/>
              <w:rPr>
                <w:rFonts w:cs="Times New Roman"/>
                <w:b/>
                <w:bCs/>
                <w:i/>
                <w:iCs/>
                <w:color w:val="000000"/>
                <w:szCs w:val="24"/>
              </w:rPr>
            </w:pPr>
            <w:r w:rsidRPr="001B188B">
              <w:rPr>
                <w:rFonts w:cs="Times New Roman"/>
                <w:b/>
                <w:bCs/>
                <w:i/>
                <w:iCs/>
                <w:color w:val="000000"/>
                <w:szCs w:val="24"/>
              </w:rPr>
              <w:t>(100.00)</w:t>
            </w:r>
          </w:p>
        </w:tc>
      </w:tr>
    </w:tbl>
    <w:p w14:paraId="10B9E559" w14:textId="77777777" w:rsidR="00AA5EE7" w:rsidRPr="001B188B" w:rsidRDefault="00117DE1" w:rsidP="00B7105A">
      <w:pPr>
        <w:ind w:right="720"/>
        <w:jc w:val="both"/>
        <w:rPr>
          <w:b/>
          <w:bCs/>
        </w:rPr>
      </w:pPr>
      <w:r w:rsidRPr="001B188B">
        <w:rPr>
          <w:b/>
          <w:bCs/>
        </w:rPr>
        <w:t>Model Fit Comparison</w:t>
      </w:r>
    </w:p>
    <w:p w14:paraId="2884E005" w14:textId="6A0D7D8F" w:rsidR="00C43CC0" w:rsidRPr="001B188B" w:rsidRDefault="00601397" w:rsidP="00B7105A">
      <w:pPr>
        <w:ind w:right="720"/>
        <w:jc w:val="both"/>
      </w:pPr>
      <w:r w:rsidRPr="001B188B">
        <w:t>Table 2 presents the model fit statistic. The Weibull PH model provided the best fit with the lowest AIC and BIC values among the three parametric candidates. The Weibull shape parameter, estimated with statistical significance, exceeded unity (p = 1.179; 95% CI: 1.038–1.341), indicating a monotonically increasing baseline hazard over the admission period</w:t>
      </w:r>
      <w:r w:rsidR="00DC62D3" w:rsidRPr="001B188B">
        <w:t>.</w:t>
      </w:r>
    </w:p>
    <w:p w14:paraId="6D439C53" w14:textId="450D0D69" w:rsidR="00EB6609" w:rsidRPr="001B188B" w:rsidRDefault="00EB6609" w:rsidP="00B7105A">
      <w:pPr>
        <w:pStyle w:val="NoSpacing"/>
        <w:spacing w:after="240"/>
        <w:rPr>
          <w:rFonts w:cs="Times New Roman"/>
          <w:b/>
          <w:bCs/>
          <w:szCs w:val="24"/>
        </w:rPr>
      </w:pPr>
      <w:r w:rsidRPr="001B188B">
        <w:rPr>
          <w:rFonts w:cs="Times New Roman"/>
          <w:b/>
          <w:bCs/>
          <w:szCs w:val="24"/>
        </w:rPr>
        <w:t xml:space="preserve">Table 2. </w:t>
      </w:r>
      <w:r w:rsidR="00D31773" w:rsidRPr="001B188B">
        <w:rPr>
          <w:rFonts w:cs="Times New Roman"/>
          <w:b/>
          <w:bCs/>
          <w:szCs w:val="24"/>
        </w:rPr>
        <w:t>Comparative Model Performance Statistic</w:t>
      </w:r>
    </w:p>
    <w:tbl>
      <w:tblPr>
        <w:tblStyle w:val="TableGrid"/>
        <w:tblW w:w="7853" w:type="dxa"/>
        <w:tblLook w:val="04A0" w:firstRow="1" w:lastRow="0" w:firstColumn="1" w:lastColumn="0" w:noHBand="0" w:noVBand="1"/>
      </w:tblPr>
      <w:tblGrid>
        <w:gridCol w:w="2602"/>
        <w:gridCol w:w="1907"/>
        <w:gridCol w:w="1672"/>
        <w:gridCol w:w="1672"/>
      </w:tblGrid>
      <w:tr w:rsidR="00326898" w:rsidRPr="001B188B" w14:paraId="79B76522" w14:textId="77777777" w:rsidTr="00BD55E1">
        <w:trPr>
          <w:trHeight w:val="20"/>
        </w:trPr>
        <w:tc>
          <w:tcPr>
            <w:tcW w:w="2602" w:type="dxa"/>
          </w:tcPr>
          <w:p w14:paraId="55D10DE4" w14:textId="77777777" w:rsidR="000F37AA" w:rsidRPr="001B188B" w:rsidRDefault="000F37AA" w:rsidP="00BD55E1">
            <w:pPr>
              <w:pStyle w:val="NoSpacing"/>
              <w:spacing w:before="0" w:line="276" w:lineRule="auto"/>
              <w:rPr>
                <w:rFonts w:cs="Times New Roman"/>
                <w:b/>
                <w:bCs/>
                <w:szCs w:val="24"/>
              </w:rPr>
            </w:pPr>
            <w:r w:rsidRPr="001B188B">
              <w:rPr>
                <w:rFonts w:cs="Times New Roman"/>
                <w:b/>
                <w:bCs/>
                <w:szCs w:val="24"/>
              </w:rPr>
              <w:t>Model</w:t>
            </w:r>
          </w:p>
        </w:tc>
        <w:tc>
          <w:tcPr>
            <w:tcW w:w="1907" w:type="dxa"/>
          </w:tcPr>
          <w:p w14:paraId="500ED9D7" w14:textId="77777777" w:rsidR="000F37AA" w:rsidRPr="001B188B" w:rsidRDefault="000F37AA" w:rsidP="00BD55E1">
            <w:pPr>
              <w:pStyle w:val="NoSpacing"/>
              <w:spacing w:before="0" w:line="276" w:lineRule="auto"/>
              <w:rPr>
                <w:rFonts w:cs="Times New Roman"/>
                <w:b/>
                <w:bCs/>
                <w:szCs w:val="24"/>
              </w:rPr>
            </w:pPr>
            <w:r w:rsidRPr="001B188B">
              <w:rPr>
                <w:rFonts w:cs="Times New Roman"/>
                <w:b/>
                <w:bCs/>
                <w:szCs w:val="24"/>
              </w:rPr>
              <w:t>Log-Likelihood</w:t>
            </w:r>
          </w:p>
        </w:tc>
        <w:tc>
          <w:tcPr>
            <w:tcW w:w="1672" w:type="dxa"/>
          </w:tcPr>
          <w:p w14:paraId="646F3E06" w14:textId="77777777" w:rsidR="000F37AA" w:rsidRPr="001B188B" w:rsidRDefault="000F37AA" w:rsidP="00BD55E1">
            <w:pPr>
              <w:pStyle w:val="NoSpacing"/>
              <w:spacing w:before="0" w:line="276" w:lineRule="auto"/>
              <w:rPr>
                <w:rFonts w:cs="Times New Roman"/>
                <w:b/>
                <w:bCs/>
                <w:szCs w:val="24"/>
              </w:rPr>
            </w:pPr>
            <w:r w:rsidRPr="001B188B">
              <w:rPr>
                <w:rFonts w:cs="Times New Roman"/>
                <w:b/>
                <w:bCs/>
                <w:szCs w:val="24"/>
              </w:rPr>
              <w:t>AIC</w:t>
            </w:r>
          </w:p>
        </w:tc>
        <w:tc>
          <w:tcPr>
            <w:tcW w:w="1672" w:type="dxa"/>
          </w:tcPr>
          <w:p w14:paraId="1AAB542F" w14:textId="77777777" w:rsidR="000F37AA" w:rsidRPr="001B188B" w:rsidRDefault="000F37AA" w:rsidP="00BD55E1">
            <w:pPr>
              <w:pStyle w:val="NoSpacing"/>
              <w:spacing w:before="0" w:line="276" w:lineRule="auto"/>
              <w:rPr>
                <w:rFonts w:cs="Times New Roman"/>
                <w:b/>
                <w:bCs/>
                <w:szCs w:val="24"/>
              </w:rPr>
            </w:pPr>
            <w:r w:rsidRPr="001B188B">
              <w:rPr>
                <w:rFonts w:cs="Times New Roman"/>
                <w:b/>
                <w:bCs/>
                <w:szCs w:val="24"/>
              </w:rPr>
              <w:t>BIC</w:t>
            </w:r>
          </w:p>
        </w:tc>
      </w:tr>
      <w:tr w:rsidR="00326898" w:rsidRPr="001B188B" w14:paraId="49F5B5E0" w14:textId="77777777" w:rsidTr="00BD55E1">
        <w:trPr>
          <w:trHeight w:val="20"/>
        </w:trPr>
        <w:tc>
          <w:tcPr>
            <w:tcW w:w="2602" w:type="dxa"/>
          </w:tcPr>
          <w:p w14:paraId="0BAFB806"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lastRenderedPageBreak/>
              <w:t>Weibull PH</w:t>
            </w:r>
          </w:p>
        </w:tc>
        <w:tc>
          <w:tcPr>
            <w:tcW w:w="1907" w:type="dxa"/>
          </w:tcPr>
          <w:p w14:paraId="6F337C98"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−391.88</w:t>
            </w:r>
          </w:p>
        </w:tc>
        <w:tc>
          <w:tcPr>
            <w:tcW w:w="1672" w:type="dxa"/>
          </w:tcPr>
          <w:p w14:paraId="18A235D2"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827.77</w:t>
            </w:r>
          </w:p>
        </w:tc>
        <w:tc>
          <w:tcPr>
            <w:tcW w:w="1672" w:type="dxa"/>
          </w:tcPr>
          <w:p w14:paraId="21F7717D"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927.44</w:t>
            </w:r>
          </w:p>
        </w:tc>
      </w:tr>
      <w:tr w:rsidR="00326898" w:rsidRPr="001B188B" w14:paraId="7047DC91" w14:textId="77777777" w:rsidTr="00BD55E1">
        <w:trPr>
          <w:trHeight w:val="20"/>
        </w:trPr>
        <w:tc>
          <w:tcPr>
            <w:tcW w:w="2602" w:type="dxa"/>
          </w:tcPr>
          <w:p w14:paraId="724F3833"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Exponential PH</w:t>
            </w:r>
          </w:p>
        </w:tc>
        <w:tc>
          <w:tcPr>
            <w:tcW w:w="1907" w:type="dxa"/>
          </w:tcPr>
          <w:p w14:paraId="642BF6F5"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−394.83</w:t>
            </w:r>
          </w:p>
        </w:tc>
        <w:tc>
          <w:tcPr>
            <w:tcW w:w="1672" w:type="dxa"/>
          </w:tcPr>
          <w:p w14:paraId="0150F0DD"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831.66</w:t>
            </w:r>
          </w:p>
        </w:tc>
        <w:tc>
          <w:tcPr>
            <w:tcW w:w="1672" w:type="dxa"/>
          </w:tcPr>
          <w:p w14:paraId="1934F76C"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926.80</w:t>
            </w:r>
          </w:p>
        </w:tc>
      </w:tr>
      <w:tr w:rsidR="00326898" w:rsidRPr="001B188B" w14:paraId="5EE2B0D6" w14:textId="77777777" w:rsidTr="00BD55E1">
        <w:trPr>
          <w:trHeight w:val="20"/>
        </w:trPr>
        <w:tc>
          <w:tcPr>
            <w:tcW w:w="2602" w:type="dxa"/>
          </w:tcPr>
          <w:p w14:paraId="0FE59C94"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Gompertz PH</w:t>
            </w:r>
          </w:p>
        </w:tc>
        <w:tc>
          <w:tcPr>
            <w:tcW w:w="1907" w:type="dxa"/>
          </w:tcPr>
          <w:p w14:paraId="76B4993A"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−394.29</w:t>
            </w:r>
          </w:p>
        </w:tc>
        <w:tc>
          <w:tcPr>
            <w:tcW w:w="1672" w:type="dxa"/>
          </w:tcPr>
          <w:p w14:paraId="59226735"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832.57</w:t>
            </w:r>
          </w:p>
        </w:tc>
        <w:tc>
          <w:tcPr>
            <w:tcW w:w="1672" w:type="dxa"/>
          </w:tcPr>
          <w:p w14:paraId="17DE4DFF"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932.25</w:t>
            </w:r>
          </w:p>
        </w:tc>
      </w:tr>
      <w:tr w:rsidR="00E1416A" w:rsidRPr="001B188B" w14:paraId="50C04157" w14:textId="77777777" w:rsidTr="00BD55E1">
        <w:trPr>
          <w:trHeight w:val="20"/>
        </w:trPr>
        <w:tc>
          <w:tcPr>
            <w:tcW w:w="2602" w:type="dxa"/>
          </w:tcPr>
          <w:p w14:paraId="653A2F29" w14:textId="31046722" w:rsidR="00E1416A" w:rsidRPr="001B188B" w:rsidRDefault="00E1416A" w:rsidP="00BD55E1">
            <w:pPr>
              <w:pStyle w:val="NoSpacing"/>
              <w:spacing w:before="0" w:line="276" w:lineRule="auto"/>
              <w:rPr>
                <w:rFonts w:cs="Times New Roman"/>
                <w:szCs w:val="24"/>
              </w:rPr>
            </w:pPr>
            <w:r w:rsidRPr="001B188B">
              <w:rPr>
                <w:rFonts w:cs="Times New Roman"/>
                <w:szCs w:val="24"/>
              </w:rPr>
              <w:t>Cox PH</w:t>
            </w:r>
          </w:p>
        </w:tc>
        <w:tc>
          <w:tcPr>
            <w:tcW w:w="1907" w:type="dxa"/>
          </w:tcPr>
          <w:p w14:paraId="04303421" w14:textId="1886629D" w:rsidR="00E1416A" w:rsidRPr="001B188B" w:rsidRDefault="00CE4C82" w:rsidP="00BD55E1">
            <w:pPr>
              <w:pStyle w:val="NoSpacing"/>
              <w:spacing w:before="0" w:line="276" w:lineRule="auto"/>
              <w:rPr>
                <w:rFonts w:cs="Times New Roman"/>
                <w:szCs w:val="24"/>
              </w:rPr>
            </w:pPr>
            <w:r w:rsidRPr="001B188B">
              <w:rPr>
                <w:rFonts w:cs="Times New Roman"/>
                <w:szCs w:val="24"/>
              </w:rPr>
              <w:t>-828.14</w:t>
            </w:r>
          </w:p>
        </w:tc>
        <w:tc>
          <w:tcPr>
            <w:tcW w:w="1672" w:type="dxa"/>
          </w:tcPr>
          <w:p w14:paraId="484C8F9C" w14:textId="7B25D8F9" w:rsidR="00E1416A" w:rsidRPr="001B188B" w:rsidRDefault="00CE4C82" w:rsidP="00BD55E1">
            <w:pPr>
              <w:pStyle w:val="NoSpacing"/>
              <w:spacing w:before="0" w:line="276" w:lineRule="auto"/>
              <w:rPr>
                <w:rFonts w:cs="Times New Roman"/>
                <w:szCs w:val="24"/>
              </w:rPr>
            </w:pPr>
            <w:r w:rsidRPr="001B188B">
              <w:rPr>
                <w:rFonts w:cs="Times New Roman"/>
                <w:szCs w:val="24"/>
              </w:rPr>
              <w:t>1696.274</w:t>
            </w:r>
          </w:p>
        </w:tc>
        <w:tc>
          <w:tcPr>
            <w:tcW w:w="1672" w:type="dxa"/>
          </w:tcPr>
          <w:p w14:paraId="3C2E214C" w14:textId="6CD2FC8E" w:rsidR="00E1416A" w:rsidRPr="001B188B" w:rsidRDefault="00CE4C82" w:rsidP="00BD55E1">
            <w:pPr>
              <w:pStyle w:val="NoSpacing"/>
              <w:spacing w:before="0" w:line="276" w:lineRule="auto"/>
              <w:rPr>
                <w:rFonts w:cs="Times New Roman"/>
                <w:szCs w:val="24"/>
              </w:rPr>
            </w:pPr>
            <w:r w:rsidRPr="001B188B">
              <w:rPr>
                <w:rFonts w:cs="Times New Roman"/>
                <w:szCs w:val="24"/>
              </w:rPr>
              <w:t>1786.891</w:t>
            </w:r>
          </w:p>
        </w:tc>
      </w:tr>
    </w:tbl>
    <w:p w14:paraId="41FA1C1D" w14:textId="2EC190D2" w:rsidR="00FB6FF2" w:rsidRPr="001B188B" w:rsidRDefault="004B35A8" w:rsidP="00BD55E1">
      <w:pPr>
        <w:pStyle w:val="NoSpacing"/>
        <w:spacing w:before="0" w:after="240"/>
        <w:rPr>
          <w:rFonts w:cs="Times New Roman"/>
          <w:i/>
          <w:iCs/>
          <w:szCs w:val="24"/>
        </w:rPr>
      </w:pPr>
      <w:r w:rsidRPr="001B188B">
        <w:rPr>
          <w:rFonts w:cs="Times New Roman"/>
          <w:i/>
          <w:iCs/>
          <w:szCs w:val="24"/>
        </w:rPr>
        <w:t>AIC = Akaike Information Criterion; BIC = Bayesian Information Criterion</w:t>
      </w:r>
    </w:p>
    <w:p w14:paraId="2F4177EF" w14:textId="7DA2D8FF" w:rsidR="00BD55E1" w:rsidRPr="001B188B" w:rsidRDefault="00E876D3" w:rsidP="00B7105A">
      <w:pPr>
        <w:jc w:val="both"/>
      </w:pPr>
      <w:r w:rsidRPr="001B188B">
        <w:t>The Schoenfeld resid test results, presented in Table 3, demonstrated a non-significant global test (χ²</w:t>
      </w:r>
      <w:r w:rsidR="008D5454" w:rsidRPr="001B188B">
        <w:t xml:space="preserve"> </w:t>
      </w:r>
      <w:r w:rsidRPr="001B188B">
        <w:t xml:space="preserve">(20) = </w:t>
      </w:r>
      <w:r w:rsidR="0083393E" w:rsidRPr="001B188B">
        <w:rPr>
          <w:color w:val="1F1F1F"/>
        </w:rPr>
        <w:t>28.52</w:t>
      </w:r>
      <w:r w:rsidRPr="001B188B">
        <w:t>; p = 0.0</w:t>
      </w:r>
      <w:r w:rsidR="0083393E" w:rsidRPr="001B188B">
        <w:t>976</w:t>
      </w:r>
      <w:r w:rsidRPr="001B188B">
        <w:t xml:space="preserve">), supporting the overall proportional hazards structure of the Cox model [28]. The Cox PH model achieved Harrell's C = 0.7948 (Somers' D = 0.5897), computed from 686 subjects. This C-statistic indicates good discriminative performance: approximately 79.5% of neonate pairs in which one member died were correctly risk-ranked by the model. A C-statistic in the range 0.75–0.85 is conventionally classified as good [16]. The Somers' D of 0.59 represents the net proportion of concordant minus discordant pairs relative to the total, reinforcing clinically meaningful discrimination. </w:t>
      </w:r>
    </w:p>
    <w:p w14:paraId="1144BA7C" w14:textId="7B2501D6" w:rsidR="007B36B0" w:rsidRPr="001B188B" w:rsidRDefault="007B36B0" w:rsidP="00B7105A">
      <w:pPr>
        <w:pStyle w:val="NoSpacing"/>
        <w:spacing w:after="240"/>
        <w:rPr>
          <w:rFonts w:cs="Times New Roman"/>
          <w:b/>
          <w:bCs/>
          <w:szCs w:val="24"/>
        </w:rPr>
      </w:pPr>
      <w:r w:rsidRPr="001B188B">
        <w:rPr>
          <w:rFonts w:cs="Times New Roman"/>
          <w:b/>
          <w:bCs/>
          <w:szCs w:val="24"/>
        </w:rPr>
        <w:t>Table 3</w:t>
      </w:r>
      <w:r w:rsidR="002947AF" w:rsidRPr="001B188B">
        <w:rPr>
          <w:rFonts w:cs="Times New Roman"/>
          <w:b/>
          <w:bCs/>
          <w:szCs w:val="24"/>
        </w:rPr>
        <w:t xml:space="preserve">. </w:t>
      </w:r>
      <w:r w:rsidR="008D5454" w:rsidRPr="001B188B">
        <w:rPr>
          <w:rFonts w:cs="Times New Roman"/>
          <w:b/>
          <w:bCs/>
          <w:szCs w:val="24"/>
        </w:rPr>
        <w:t>Model Discrimination and Proportional Hazards Assumption Diagnostics</w:t>
      </w:r>
    </w:p>
    <w:tbl>
      <w:tblPr>
        <w:tblW w:w="0" w:type="auto"/>
        <w:tblLook w:val="04A0" w:firstRow="1" w:lastRow="0" w:firstColumn="1" w:lastColumn="0" w:noHBand="0" w:noVBand="1"/>
      </w:tblPr>
      <w:tblGrid>
        <w:gridCol w:w="2463"/>
        <w:gridCol w:w="2721"/>
        <w:gridCol w:w="910"/>
      </w:tblGrid>
      <w:tr w:rsidR="00FB6FF2" w:rsidRPr="001B188B" w14:paraId="396C3B22" w14:textId="77777777" w:rsidTr="00FB6FF2">
        <w:trPr>
          <w:trHeight w:val="2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8FC79F3" w14:textId="77777777" w:rsidR="00FB6FF2" w:rsidRPr="001B188B" w:rsidRDefault="00FB6FF2" w:rsidP="00BD55E1">
            <w:pPr>
              <w:pStyle w:val="NoSpacing"/>
              <w:spacing w:before="0" w:line="276" w:lineRule="auto"/>
              <w:rPr>
                <w:rFonts w:cs="Times New Roman"/>
                <w:b/>
                <w:bCs/>
                <w:color w:val="1F1F1F"/>
                <w:szCs w:val="24"/>
              </w:rPr>
            </w:pPr>
            <w:r w:rsidRPr="001B188B">
              <w:rPr>
                <w:rFonts w:cs="Times New Roman"/>
                <w:b/>
                <w:bCs/>
                <w:color w:val="1F1F1F"/>
                <w:szCs w:val="24"/>
              </w:rPr>
              <w:t>Assessment Category</w:t>
            </w:r>
          </w:p>
        </w:tc>
        <w:tc>
          <w:tcPr>
            <w:tcW w:w="0" w:type="auto"/>
            <w:tcBorders>
              <w:top w:val="single" w:sz="8" w:space="0" w:color="000000"/>
              <w:left w:val="nil"/>
              <w:bottom w:val="single" w:sz="8" w:space="0" w:color="000000"/>
              <w:right w:val="single" w:sz="8" w:space="0" w:color="000000"/>
            </w:tcBorders>
            <w:vAlign w:val="center"/>
            <w:hideMark/>
          </w:tcPr>
          <w:p w14:paraId="68DF3AB0" w14:textId="58D93D05" w:rsidR="00FB6FF2" w:rsidRPr="001B188B" w:rsidRDefault="00FC539B" w:rsidP="00BD55E1">
            <w:pPr>
              <w:pStyle w:val="NoSpacing"/>
              <w:spacing w:before="0" w:line="276" w:lineRule="auto"/>
              <w:rPr>
                <w:rFonts w:cs="Times New Roman"/>
                <w:b/>
                <w:bCs/>
                <w:color w:val="1F1F1F"/>
                <w:szCs w:val="24"/>
              </w:rPr>
            </w:pPr>
            <w:r w:rsidRPr="001B188B">
              <w:rPr>
                <w:rFonts w:cs="Times New Roman"/>
                <w:b/>
                <w:bCs/>
                <w:color w:val="1F1F1F"/>
                <w:szCs w:val="24"/>
              </w:rPr>
              <w:t>Test Statistic</w:t>
            </w:r>
          </w:p>
        </w:tc>
        <w:tc>
          <w:tcPr>
            <w:tcW w:w="0" w:type="auto"/>
            <w:tcBorders>
              <w:top w:val="single" w:sz="8" w:space="0" w:color="000000"/>
              <w:left w:val="nil"/>
              <w:bottom w:val="single" w:sz="8" w:space="0" w:color="000000"/>
              <w:right w:val="single" w:sz="8" w:space="0" w:color="000000"/>
            </w:tcBorders>
            <w:vAlign w:val="center"/>
            <w:hideMark/>
          </w:tcPr>
          <w:p w14:paraId="56DB62DA" w14:textId="26DA6663" w:rsidR="00FB6FF2" w:rsidRPr="001B188B" w:rsidRDefault="0025191B" w:rsidP="00BD55E1">
            <w:pPr>
              <w:pStyle w:val="NoSpacing"/>
              <w:spacing w:before="0" w:line="276" w:lineRule="auto"/>
              <w:rPr>
                <w:rFonts w:cs="Times New Roman"/>
                <w:b/>
                <w:bCs/>
                <w:color w:val="1F1F1F"/>
                <w:szCs w:val="24"/>
              </w:rPr>
            </w:pPr>
            <w:r w:rsidRPr="001B188B">
              <w:rPr>
                <w:rFonts w:cs="Times New Roman"/>
                <w:b/>
                <w:bCs/>
                <w:color w:val="1F1F1F"/>
                <w:szCs w:val="24"/>
              </w:rPr>
              <w:t xml:space="preserve">Values </w:t>
            </w:r>
          </w:p>
        </w:tc>
      </w:tr>
      <w:tr w:rsidR="00FB6FF2" w:rsidRPr="001B188B" w14:paraId="7551BF6A" w14:textId="77777777" w:rsidTr="00FB6FF2">
        <w:trPr>
          <w:trHeight w:val="20"/>
        </w:trPr>
        <w:tc>
          <w:tcPr>
            <w:tcW w:w="0" w:type="auto"/>
            <w:vMerge w:val="restart"/>
            <w:tcBorders>
              <w:top w:val="nil"/>
              <w:left w:val="single" w:sz="8" w:space="0" w:color="000000"/>
              <w:bottom w:val="single" w:sz="8" w:space="0" w:color="000000"/>
              <w:right w:val="single" w:sz="8" w:space="0" w:color="000000"/>
            </w:tcBorders>
            <w:vAlign w:val="center"/>
            <w:hideMark/>
          </w:tcPr>
          <w:p w14:paraId="08255D73" w14:textId="77777777" w:rsidR="00FB6FF2" w:rsidRPr="001B188B" w:rsidRDefault="00FB6FF2" w:rsidP="00BD55E1">
            <w:pPr>
              <w:pStyle w:val="NoSpacing"/>
              <w:spacing w:before="0" w:line="276" w:lineRule="auto"/>
              <w:rPr>
                <w:rFonts w:cs="Times New Roman"/>
                <w:b/>
                <w:bCs/>
                <w:color w:val="1F1F1F"/>
                <w:szCs w:val="24"/>
              </w:rPr>
            </w:pPr>
            <w:r w:rsidRPr="001B188B">
              <w:rPr>
                <w:rFonts w:cs="Times New Roman"/>
                <w:b/>
                <w:bCs/>
                <w:color w:val="1F1F1F"/>
                <w:szCs w:val="24"/>
              </w:rPr>
              <w:t>Model Discrimination</w:t>
            </w:r>
          </w:p>
        </w:tc>
        <w:tc>
          <w:tcPr>
            <w:tcW w:w="0" w:type="auto"/>
            <w:tcBorders>
              <w:top w:val="nil"/>
              <w:left w:val="nil"/>
              <w:bottom w:val="single" w:sz="8" w:space="0" w:color="000000"/>
              <w:right w:val="single" w:sz="8" w:space="0" w:color="000000"/>
            </w:tcBorders>
            <w:vAlign w:val="center"/>
            <w:hideMark/>
          </w:tcPr>
          <w:p w14:paraId="1C7EACF1" w14:textId="77777777" w:rsidR="00FB6FF2" w:rsidRPr="001B188B" w:rsidRDefault="00FB6FF2" w:rsidP="00BD55E1">
            <w:pPr>
              <w:pStyle w:val="NoSpacing"/>
              <w:spacing w:before="0" w:line="276" w:lineRule="auto"/>
              <w:rPr>
                <w:rFonts w:cs="Times New Roman"/>
                <w:color w:val="1F1F1F"/>
                <w:szCs w:val="24"/>
              </w:rPr>
            </w:pPr>
            <w:r w:rsidRPr="001B188B">
              <w:rPr>
                <w:rFonts w:cs="Times New Roman"/>
                <w:color w:val="1F1F1F"/>
                <w:szCs w:val="24"/>
              </w:rPr>
              <w:t>Harrell’s C Concordance</w:t>
            </w:r>
          </w:p>
        </w:tc>
        <w:tc>
          <w:tcPr>
            <w:tcW w:w="0" w:type="auto"/>
            <w:tcBorders>
              <w:top w:val="nil"/>
              <w:left w:val="nil"/>
              <w:bottom w:val="single" w:sz="8" w:space="0" w:color="000000"/>
              <w:right w:val="single" w:sz="8" w:space="0" w:color="000000"/>
            </w:tcBorders>
            <w:vAlign w:val="center"/>
            <w:hideMark/>
          </w:tcPr>
          <w:p w14:paraId="42BD5AD0" w14:textId="35F333C8" w:rsidR="00FB6FF2" w:rsidRPr="001B188B" w:rsidRDefault="00FB6FF2" w:rsidP="00BD55E1">
            <w:pPr>
              <w:pStyle w:val="NoSpacing"/>
              <w:spacing w:before="0" w:line="276" w:lineRule="auto"/>
              <w:rPr>
                <w:rFonts w:cs="Times New Roman"/>
                <w:color w:val="1F1F1F"/>
                <w:szCs w:val="24"/>
              </w:rPr>
            </w:pPr>
            <w:r w:rsidRPr="001B188B">
              <w:rPr>
                <w:rFonts w:cs="Times New Roman"/>
                <w:color w:val="1F1F1F"/>
                <w:szCs w:val="24"/>
              </w:rPr>
              <w:t>0.7948</w:t>
            </w:r>
          </w:p>
        </w:tc>
      </w:tr>
      <w:tr w:rsidR="00FB6FF2" w:rsidRPr="001B188B" w14:paraId="44B5E929" w14:textId="77777777" w:rsidTr="00FB6FF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5C294E40" w14:textId="77777777" w:rsidR="00FB6FF2" w:rsidRPr="001B188B" w:rsidRDefault="00FB6FF2" w:rsidP="00BD55E1">
            <w:pPr>
              <w:spacing w:before="0" w:after="0" w:line="276" w:lineRule="auto"/>
              <w:rPr>
                <w:b/>
                <w:bCs/>
                <w:color w:val="1F1F1F"/>
              </w:rPr>
            </w:pPr>
          </w:p>
        </w:tc>
        <w:tc>
          <w:tcPr>
            <w:tcW w:w="0" w:type="auto"/>
            <w:tcBorders>
              <w:top w:val="nil"/>
              <w:left w:val="nil"/>
              <w:bottom w:val="single" w:sz="8" w:space="0" w:color="000000"/>
              <w:right w:val="single" w:sz="8" w:space="0" w:color="000000"/>
            </w:tcBorders>
            <w:vAlign w:val="center"/>
            <w:hideMark/>
          </w:tcPr>
          <w:p w14:paraId="37ABDA1F" w14:textId="77777777" w:rsidR="00FB6FF2" w:rsidRPr="001B188B" w:rsidRDefault="00FB6FF2" w:rsidP="00BD55E1">
            <w:pPr>
              <w:spacing w:before="0" w:after="0" w:line="276" w:lineRule="auto"/>
              <w:rPr>
                <w:color w:val="1F1F1F"/>
              </w:rPr>
            </w:pPr>
            <w:r w:rsidRPr="001B188B">
              <w:rPr>
                <w:color w:val="1F1F1F"/>
              </w:rPr>
              <w:t>Somers’ D</w:t>
            </w:r>
          </w:p>
        </w:tc>
        <w:tc>
          <w:tcPr>
            <w:tcW w:w="0" w:type="auto"/>
            <w:tcBorders>
              <w:top w:val="nil"/>
              <w:left w:val="nil"/>
              <w:bottom w:val="single" w:sz="8" w:space="0" w:color="000000"/>
              <w:right w:val="single" w:sz="8" w:space="0" w:color="000000"/>
            </w:tcBorders>
            <w:vAlign w:val="center"/>
            <w:hideMark/>
          </w:tcPr>
          <w:p w14:paraId="56DBAE2D" w14:textId="4B65A3F2" w:rsidR="00FB6FF2" w:rsidRPr="001B188B" w:rsidRDefault="00FB6FF2" w:rsidP="00BD55E1">
            <w:pPr>
              <w:spacing w:before="0" w:after="0" w:line="276" w:lineRule="auto"/>
              <w:rPr>
                <w:color w:val="1F1F1F"/>
              </w:rPr>
            </w:pPr>
            <w:r w:rsidRPr="001B188B">
              <w:rPr>
                <w:color w:val="1F1F1F"/>
              </w:rPr>
              <w:t>0.5897</w:t>
            </w:r>
          </w:p>
        </w:tc>
      </w:tr>
      <w:tr w:rsidR="00FB6FF2" w:rsidRPr="001B188B" w14:paraId="4BAD17D4" w14:textId="77777777" w:rsidTr="00FB6FF2">
        <w:trPr>
          <w:trHeight w:val="20"/>
        </w:trPr>
        <w:tc>
          <w:tcPr>
            <w:tcW w:w="0" w:type="auto"/>
            <w:vMerge w:val="restart"/>
            <w:tcBorders>
              <w:top w:val="nil"/>
              <w:left w:val="single" w:sz="8" w:space="0" w:color="000000"/>
              <w:bottom w:val="single" w:sz="8" w:space="0" w:color="000000"/>
              <w:right w:val="single" w:sz="8" w:space="0" w:color="000000"/>
            </w:tcBorders>
            <w:vAlign w:val="center"/>
            <w:hideMark/>
          </w:tcPr>
          <w:p w14:paraId="21852DC3" w14:textId="77777777" w:rsidR="00FB6FF2" w:rsidRPr="001B188B" w:rsidRDefault="00FB6FF2" w:rsidP="00BD55E1">
            <w:pPr>
              <w:spacing w:before="0" w:after="0" w:line="276" w:lineRule="auto"/>
              <w:jc w:val="center"/>
              <w:rPr>
                <w:b/>
                <w:bCs/>
                <w:color w:val="1F1F1F"/>
              </w:rPr>
            </w:pPr>
            <w:r w:rsidRPr="001B188B">
              <w:rPr>
                <w:b/>
                <w:bCs/>
                <w:color w:val="1F1F1F"/>
              </w:rPr>
              <w:t>Model Assumption</w:t>
            </w:r>
          </w:p>
        </w:tc>
        <w:tc>
          <w:tcPr>
            <w:tcW w:w="0" w:type="auto"/>
            <w:tcBorders>
              <w:top w:val="nil"/>
              <w:left w:val="nil"/>
              <w:bottom w:val="single" w:sz="8" w:space="0" w:color="000000"/>
              <w:right w:val="single" w:sz="8" w:space="0" w:color="000000"/>
            </w:tcBorders>
            <w:vAlign w:val="center"/>
            <w:hideMark/>
          </w:tcPr>
          <w:p w14:paraId="0D39628B" w14:textId="3335DB3C" w:rsidR="00FB6FF2" w:rsidRPr="001B188B" w:rsidRDefault="00FB6FF2" w:rsidP="00BD55E1">
            <w:pPr>
              <w:spacing w:before="0" w:after="0" w:line="276" w:lineRule="auto"/>
              <w:rPr>
                <w:color w:val="1F1F1F"/>
              </w:rPr>
            </w:pPr>
            <w:r w:rsidRPr="001B188B">
              <w:rPr>
                <w:color w:val="1F1F1F"/>
              </w:rPr>
              <w:t>Global Schoenfeld Test</w:t>
            </w:r>
            <w:r w:rsidR="007B36B0" w:rsidRPr="001B188B">
              <w:rPr>
                <w:color w:val="1F1F1F"/>
              </w:rPr>
              <w:t xml:space="preserve"> </w:t>
            </w:r>
            <w:r w:rsidR="007B36B0" w:rsidRPr="001B188B">
              <w:t>χ²</w:t>
            </w:r>
          </w:p>
        </w:tc>
        <w:tc>
          <w:tcPr>
            <w:tcW w:w="0" w:type="auto"/>
            <w:tcBorders>
              <w:top w:val="nil"/>
              <w:left w:val="nil"/>
              <w:bottom w:val="single" w:sz="8" w:space="0" w:color="000000"/>
              <w:right w:val="single" w:sz="8" w:space="0" w:color="000000"/>
            </w:tcBorders>
            <w:vAlign w:val="center"/>
            <w:hideMark/>
          </w:tcPr>
          <w:p w14:paraId="6D8613A8" w14:textId="66A607B8" w:rsidR="00FB6FF2" w:rsidRPr="001B188B" w:rsidRDefault="00FB6FF2" w:rsidP="00BD55E1">
            <w:pPr>
              <w:spacing w:before="0" w:after="0" w:line="276" w:lineRule="auto"/>
              <w:rPr>
                <w:color w:val="1F1F1F"/>
              </w:rPr>
            </w:pPr>
            <w:r w:rsidRPr="001B188B">
              <w:rPr>
                <w:color w:val="1F1F1F"/>
              </w:rPr>
              <w:t>28.52</w:t>
            </w:r>
          </w:p>
        </w:tc>
      </w:tr>
      <w:tr w:rsidR="00FB6FF2" w:rsidRPr="001B188B" w14:paraId="12BAA9AD" w14:textId="77777777" w:rsidTr="00FB6FF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4A780D56" w14:textId="77777777" w:rsidR="00FB6FF2" w:rsidRPr="001B188B" w:rsidRDefault="00FB6FF2" w:rsidP="00BD55E1">
            <w:pPr>
              <w:spacing w:before="0" w:after="0" w:line="276" w:lineRule="auto"/>
              <w:rPr>
                <w:b/>
                <w:bCs/>
                <w:color w:val="1F1F1F"/>
              </w:rPr>
            </w:pPr>
          </w:p>
        </w:tc>
        <w:tc>
          <w:tcPr>
            <w:tcW w:w="0" w:type="auto"/>
            <w:tcBorders>
              <w:top w:val="nil"/>
              <w:left w:val="nil"/>
              <w:bottom w:val="single" w:sz="8" w:space="0" w:color="000000"/>
              <w:right w:val="single" w:sz="8" w:space="0" w:color="000000"/>
            </w:tcBorders>
            <w:vAlign w:val="center"/>
            <w:hideMark/>
          </w:tcPr>
          <w:p w14:paraId="7AA4769A" w14:textId="75AF4C30" w:rsidR="00FB6FF2" w:rsidRPr="001B188B" w:rsidRDefault="00FB6FF2" w:rsidP="00BD55E1">
            <w:pPr>
              <w:spacing w:before="0" w:after="0" w:line="276" w:lineRule="auto"/>
              <w:rPr>
                <w:color w:val="1F1F1F"/>
              </w:rPr>
            </w:pPr>
            <w:r w:rsidRPr="001B188B">
              <w:rPr>
                <w:color w:val="1F1F1F"/>
              </w:rPr>
              <w:t xml:space="preserve">Degrees of Freedom </w:t>
            </w:r>
          </w:p>
        </w:tc>
        <w:tc>
          <w:tcPr>
            <w:tcW w:w="0" w:type="auto"/>
            <w:tcBorders>
              <w:top w:val="nil"/>
              <w:left w:val="nil"/>
              <w:bottom w:val="single" w:sz="8" w:space="0" w:color="000000"/>
              <w:right w:val="single" w:sz="8" w:space="0" w:color="000000"/>
            </w:tcBorders>
            <w:vAlign w:val="center"/>
            <w:hideMark/>
          </w:tcPr>
          <w:p w14:paraId="1266F466" w14:textId="5E33954A" w:rsidR="00FB6FF2" w:rsidRPr="001B188B" w:rsidRDefault="00FB6FF2" w:rsidP="00BD55E1">
            <w:pPr>
              <w:spacing w:before="0" w:after="0" w:line="276" w:lineRule="auto"/>
              <w:rPr>
                <w:color w:val="1F1F1F"/>
              </w:rPr>
            </w:pPr>
            <w:r w:rsidRPr="001B188B">
              <w:rPr>
                <w:color w:val="1F1F1F"/>
              </w:rPr>
              <w:t>20</w:t>
            </w:r>
          </w:p>
        </w:tc>
      </w:tr>
      <w:tr w:rsidR="00FB6FF2" w:rsidRPr="001B188B" w14:paraId="3EEEB8BF" w14:textId="77777777" w:rsidTr="00FB6FF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1E0C034D" w14:textId="77777777" w:rsidR="00FB6FF2" w:rsidRPr="001B188B" w:rsidRDefault="00FB6FF2" w:rsidP="00BD55E1">
            <w:pPr>
              <w:spacing w:before="0" w:after="0" w:line="276" w:lineRule="auto"/>
              <w:rPr>
                <w:b/>
                <w:bCs/>
                <w:color w:val="1F1F1F"/>
              </w:rPr>
            </w:pPr>
          </w:p>
        </w:tc>
        <w:tc>
          <w:tcPr>
            <w:tcW w:w="0" w:type="auto"/>
            <w:tcBorders>
              <w:top w:val="nil"/>
              <w:left w:val="nil"/>
              <w:bottom w:val="single" w:sz="8" w:space="0" w:color="000000"/>
              <w:right w:val="single" w:sz="8" w:space="0" w:color="000000"/>
            </w:tcBorders>
            <w:vAlign w:val="center"/>
            <w:hideMark/>
          </w:tcPr>
          <w:p w14:paraId="4DE77651" w14:textId="77777777" w:rsidR="00FB6FF2" w:rsidRPr="001B188B" w:rsidRDefault="00FB6FF2" w:rsidP="00BD55E1">
            <w:pPr>
              <w:spacing w:before="0" w:after="0" w:line="276" w:lineRule="auto"/>
              <w:rPr>
                <w:color w:val="1F1F1F"/>
              </w:rPr>
            </w:pPr>
            <w:r w:rsidRPr="001B188B">
              <w:rPr>
                <w:color w:val="1F1F1F"/>
              </w:rPr>
              <w:t>p-value</w:t>
            </w:r>
          </w:p>
        </w:tc>
        <w:tc>
          <w:tcPr>
            <w:tcW w:w="0" w:type="auto"/>
            <w:tcBorders>
              <w:top w:val="nil"/>
              <w:left w:val="nil"/>
              <w:bottom w:val="single" w:sz="8" w:space="0" w:color="000000"/>
              <w:right w:val="single" w:sz="8" w:space="0" w:color="000000"/>
            </w:tcBorders>
            <w:vAlign w:val="center"/>
            <w:hideMark/>
          </w:tcPr>
          <w:p w14:paraId="43B2D6FE" w14:textId="39110B53" w:rsidR="00FB6FF2" w:rsidRPr="001B188B" w:rsidRDefault="00FB6FF2" w:rsidP="00BD55E1">
            <w:pPr>
              <w:spacing w:before="0" w:after="0" w:line="276" w:lineRule="auto"/>
              <w:rPr>
                <w:color w:val="1F1F1F"/>
              </w:rPr>
            </w:pPr>
            <w:r w:rsidRPr="001B188B">
              <w:rPr>
                <w:color w:val="1F1F1F"/>
              </w:rPr>
              <w:t>0.0976</w:t>
            </w:r>
          </w:p>
        </w:tc>
      </w:tr>
    </w:tbl>
    <w:p w14:paraId="6C159164" w14:textId="2B2F4973" w:rsidR="00FE6E20" w:rsidRPr="001B188B" w:rsidRDefault="00C376FF" w:rsidP="00B7105A">
      <w:pPr>
        <w:ind w:right="720"/>
        <w:jc w:val="both"/>
      </w:pPr>
      <w:r w:rsidRPr="001B188B">
        <w:t xml:space="preserve">Table </w:t>
      </w:r>
      <w:r w:rsidR="0012672B" w:rsidRPr="001B188B">
        <w:t>4</w:t>
      </w:r>
      <w:r w:rsidRPr="001B188B">
        <w:t xml:space="preserve"> presents the hazard ratios (HRs) with 95% confidence intervals from all four survival models. A HR &gt; 1 denotes elevated instantaneous mortality risk; HR &lt; 1 denotes reduced risk, relative to the stated reference category. The high concordance of direction, magnitude, and statistical significance across all model specifications confirms the robustness of the identified predictors to distributional assumptions. The Weibull PH model represents the best-fitting specification as determined by information criteri</w:t>
      </w:r>
      <w:r w:rsidR="00FE6E20" w:rsidRPr="001B188B">
        <w:t>a.</w:t>
      </w:r>
    </w:p>
    <w:p w14:paraId="18CD8F81" w14:textId="409D77ED" w:rsidR="0044201E" w:rsidRPr="001B188B" w:rsidRDefault="0044201E" w:rsidP="00B7105A">
      <w:pPr>
        <w:ind w:right="720"/>
        <w:jc w:val="both"/>
      </w:pPr>
      <w:r w:rsidRPr="001B188B">
        <w:t xml:space="preserve">The analysis </w:t>
      </w:r>
      <w:r w:rsidR="00F46680" w:rsidRPr="001B188B">
        <w:t xml:space="preserve">showed </w:t>
      </w:r>
      <w:r w:rsidRPr="001B188B">
        <w:t>that neonatal clinical conditions and birth characteristics were the most potent predictors of mortality. Congenital malformations significantly increased the hazard of neonatal death by 2.71 times (</w:t>
      </w:r>
      <w:r w:rsidRPr="001B188B">
        <w:rPr>
          <w:i/>
          <w:iCs/>
        </w:rPr>
        <w:t>HR</w:t>
      </w:r>
      <w:r w:rsidRPr="001B188B">
        <w:t xml:space="preserve"> = 2.71; 95% CI: 1.60–4.59; </w:t>
      </w:r>
      <w:r w:rsidRPr="001B188B">
        <w:rPr>
          <w:i/>
          <w:iCs/>
        </w:rPr>
        <w:t>p</w:t>
      </w:r>
      <w:r w:rsidRPr="001B188B">
        <w:t xml:space="preserve"> &lt; 0.001). High mortality risks were also strongly associated with perinatal asphyxia (</w:t>
      </w:r>
      <w:r w:rsidRPr="001B188B">
        <w:rPr>
          <w:i/>
          <w:iCs/>
        </w:rPr>
        <w:t>HR</w:t>
      </w:r>
      <w:r w:rsidRPr="001B188B">
        <w:t xml:space="preserve"> = 2.58; 95% CI: 1.77–3.76; </w:t>
      </w:r>
      <w:r w:rsidRPr="001B188B">
        <w:rPr>
          <w:i/>
          <w:iCs/>
        </w:rPr>
        <w:t>p</w:t>
      </w:r>
      <w:r w:rsidRPr="001B188B">
        <w:t xml:space="preserve"> &lt; 0.001) and neonatal sepsis (</w:t>
      </w:r>
      <w:r w:rsidRPr="001B188B">
        <w:rPr>
          <w:i/>
          <w:iCs/>
        </w:rPr>
        <w:t>HR</w:t>
      </w:r>
      <w:r w:rsidRPr="001B188B">
        <w:t xml:space="preserve"> = 2.17; 95% CI: 1.52–3.08; </w:t>
      </w:r>
      <w:r w:rsidRPr="001B188B">
        <w:rPr>
          <w:i/>
          <w:iCs/>
        </w:rPr>
        <w:t>p</w:t>
      </w:r>
      <w:r w:rsidRPr="001B188B">
        <w:t xml:space="preserve"> &lt; 0.001). Furthermore, respiratory distress syndrome was a significant contributor to mortality, increasing the hazard by 62% (</w:t>
      </w:r>
      <w:r w:rsidRPr="001B188B">
        <w:rPr>
          <w:i/>
          <w:iCs/>
        </w:rPr>
        <w:t>HR</w:t>
      </w:r>
      <w:r w:rsidRPr="001B188B">
        <w:t xml:space="preserve"> = 1.62; 95% CI: 0.99–2.66; </w:t>
      </w:r>
      <w:r w:rsidRPr="001B188B">
        <w:rPr>
          <w:i/>
          <w:iCs/>
        </w:rPr>
        <w:t>p</w:t>
      </w:r>
      <w:r w:rsidRPr="001B188B">
        <w:t xml:space="preserve"> &lt; 0.05).</w:t>
      </w:r>
    </w:p>
    <w:p w14:paraId="5D0B4736" w14:textId="77777777" w:rsidR="00F26764" w:rsidRPr="001B188B" w:rsidRDefault="00F26764" w:rsidP="00B7105A">
      <w:pPr>
        <w:ind w:right="720"/>
        <w:jc w:val="both"/>
      </w:pPr>
      <w:r w:rsidRPr="001B188B">
        <w:t>Regarding physical and gestational maturity, extreme preterm birth emerged as the strongest overall predictor in the model, with affected neonates facing a 3.43-fold increase in the hazard of death compared to full-term infants (</w:t>
      </w:r>
      <w:r w:rsidRPr="001B188B">
        <w:rPr>
          <w:i/>
          <w:iCs/>
        </w:rPr>
        <w:t>HR</w:t>
      </w:r>
      <w:r w:rsidRPr="001B188B">
        <w:t xml:space="preserve"> = 3.43; 95% CI: 1.68–7.03; </w:t>
      </w:r>
      <w:r w:rsidRPr="001B188B">
        <w:rPr>
          <w:i/>
          <w:iCs/>
        </w:rPr>
        <w:t>p</w:t>
      </w:r>
      <w:r w:rsidRPr="001B188B">
        <w:t xml:space="preserve"> &lt; 0.001). Similarly, extremely low birth weight (&lt; 1,000 g) was associated with a significantly higher hazard of death (</w:t>
      </w:r>
      <w:r w:rsidRPr="001B188B">
        <w:rPr>
          <w:i/>
          <w:iCs/>
        </w:rPr>
        <w:t>HR</w:t>
      </w:r>
      <w:r w:rsidRPr="001B188B">
        <w:t xml:space="preserve"> = 2.69; 95% CI: 1.29–5.61; </w:t>
      </w:r>
      <w:r w:rsidRPr="001B188B">
        <w:rPr>
          <w:i/>
          <w:iCs/>
        </w:rPr>
        <w:t>p</w:t>
      </w:r>
      <w:r w:rsidRPr="001B188B">
        <w:t xml:space="preserve"> &lt; 0.01). In contrast, very low and low birth weights did not reach statistical significance within the Weibull framework.</w:t>
      </w:r>
    </w:p>
    <w:p w14:paraId="271C37F6" w14:textId="3D35ACAF" w:rsidR="00F26764" w:rsidRPr="001B188B" w:rsidRDefault="00F26764" w:rsidP="00B7105A">
      <w:pPr>
        <w:ind w:right="720"/>
        <w:jc w:val="both"/>
      </w:pPr>
      <w:r w:rsidRPr="001B188B">
        <w:t>Maternal and obstetric factors also played a critical role in neonatal survival. Induced labour was associated with a doubling of the mortality hazard compared to spontaneous labour (HR = 2.06; 95% CI: 1.34–3.16; p &lt; 0.001). Additionally, neonates born to multigravida mothers experienced a 47% higher hazard of death than those born to primigravida mothers (HR = 1.47; 95% CI: 1.04–2.09; p &lt; 0.05). Pregnancy-induced hypertension was also a significant predictor of mortality (HR = 1.67; 95% CI: 1.01–2.76; p &lt; 0.05). Other variables including infant sex, maternal age, mode of delivery, and timing of breastfeeding initiation did not demonstrate statistically significant associations with the hazard of neonatal death</w:t>
      </w:r>
      <w:r w:rsidR="00427180" w:rsidRPr="001B188B">
        <w:t xml:space="preserve">. </w:t>
      </w:r>
    </w:p>
    <w:p w14:paraId="103A3FFD" w14:textId="6136B563" w:rsidR="00FE6E20" w:rsidRPr="001B188B" w:rsidRDefault="00427180" w:rsidP="00B7105A">
      <w:pPr>
        <w:pStyle w:val="NoSpacing"/>
        <w:spacing w:after="240"/>
        <w:rPr>
          <w:rFonts w:cs="Times New Roman"/>
          <w:b/>
          <w:bCs/>
          <w:szCs w:val="24"/>
        </w:rPr>
      </w:pPr>
      <w:r w:rsidRPr="001B188B">
        <w:rPr>
          <w:rFonts w:cs="Times New Roman"/>
          <w:b/>
          <w:bCs/>
          <w:szCs w:val="24"/>
        </w:rPr>
        <w:lastRenderedPageBreak/>
        <w:t>Table 4</w:t>
      </w:r>
      <w:r w:rsidR="002947AF" w:rsidRPr="001B188B">
        <w:rPr>
          <w:rFonts w:cs="Times New Roman"/>
          <w:b/>
          <w:bCs/>
          <w:szCs w:val="24"/>
        </w:rPr>
        <w:t xml:space="preserve">. </w:t>
      </w:r>
      <w:r w:rsidRPr="001B188B">
        <w:rPr>
          <w:rFonts w:cs="Times New Roman"/>
          <w:b/>
          <w:bCs/>
          <w:szCs w:val="24"/>
        </w:rPr>
        <w:t>Survival Analysis of Neonatal Mortality using Cox and Parametric Proportional Hazard Models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71"/>
        <w:gridCol w:w="1971"/>
        <w:gridCol w:w="1971"/>
        <w:gridCol w:w="1972"/>
      </w:tblGrid>
      <w:tr w:rsidR="00FE6E20" w:rsidRPr="001B188B" w14:paraId="1265E798" w14:textId="77777777" w:rsidTr="00BD55E1">
        <w:trPr>
          <w:trHeight w:val="20"/>
        </w:trPr>
        <w:tc>
          <w:tcPr>
            <w:tcW w:w="2689" w:type="dxa"/>
            <w:hideMark/>
          </w:tcPr>
          <w:p w14:paraId="25B58A34" w14:textId="77777777" w:rsidR="00FE6E20" w:rsidRPr="001B188B" w:rsidRDefault="00FE6E20" w:rsidP="006C25CF">
            <w:pPr>
              <w:pStyle w:val="NoSpacing"/>
              <w:spacing w:before="0" w:line="276" w:lineRule="auto"/>
              <w:rPr>
                <w:rFonts w:cs="Times New Roman"/>
                <w:b/>
                <w:bCs/>
                <w:szCs w:val="24"/>
              </w:rPr>
            </w:pPr>
            <w:r w:rsidRPr="001B188B">
              <w:rPr>
                <w:rFonts w:cs="Times New Roman"/>
                <w:b/>
                <w:bCs/>
                <w:szCs w:val="24"/>
              </w:rPr>
              <w:t>Predictors</w:t>
            </w:r>
          </w:p>
        </w:tc>
        <w:tc>
          <w:tcPr>
            <w:tcW w:w="1971" w:type="dxa"/>
            <w:hideMark/>
          </w:tcPr>
          <w:p w14:paraId="4083B6B2" w14:textId="77777777" w:rsidR="00FE6E20" w:rsidRPr="001B188B" w:rsidRDefault="00FE6E20" w:rsidP="006C25CF">
            <w:pPr>
              <w:pStyle w:val="NoSpacing"/>
              <w:spacing w:before="0" w:line="276" w:lineRule="auto"/>
              <w:rPr>
                <w:rFonts w:cs="Times New Roman"/>
                <w:b/>
                <w:bCs/>
                <w:szCs w:val="24"/>
              </w:rPr>
            </w:pPr>
            <w:r w:rsidRPr="001B188B">
              <w:rPr>
                <w:rFonts w:cs="Times New Roman"/>
                <w:b/>
                <w:bCs/>
                <w:szCs w:val="24"/>
              </w:rPr>
              <w:t>Cox PH</w:t>
            </w:r>
          </w:p>
          <w:p w14:paraId="1804A149" w14:textId="77777777" w:rsidR="00FE6E20" w:rsidRPr="001B188B" w:rsidRDefault="00FE6E20" w:rsidP="006C25CF">
            <w:pPr>
              <w:pStyle w:val="NoSpacing"/>
              <w:spacing w:before="0" w:line="276" w:lineRule="auto"/>
              <w:rPr>
                <w:rFonts w:cs="Times New Roman"/>
                <w:b/>
                <w:bCs/>
                <w:szCs w:val="24"/>
              </w:rPr>
            </w:pPr>
            <w:r w:rsidRPr="001B188B">
              <w:rPr>
                <w:rFonts w:cs="Times New Roman"/>
                <w:b/>
                <w:bCs/>
                <w:szCs w:val="24"/>
              </w:rPr>
              <w:t>HR (95% CI)</w:t>
            </w:r>
          </w:p>
        </w:tc>
        <w:tc>
          <w:tcPr>
            <w:tcW w:w="1971" w:type="dxa"/>
            <w:hideMark/>
          </w:tcPr>
          <w:p w14:paraId="04AC201A" w14:textId="77777777" w:rsidR="00FE6E20" w:rsidRPr="001B188B" w:rsidRDefault="00FE6E20" w:rsidP="006C25CF">
            <w:pPr>
              <w:pStyle w:val="NoSpacing"/>
              <w:spacing w:before="0" w:line="276" w:lineRule="auto"/>
              <w:rPr>
                <w:rFonts w:cs="Times New Roman"/>
                <w:b/>
                <w:bCs/>
                <w:szCs w:val="24"/>
              </w:rPr>
            </w:pPr>
            <w:r w:rsidRPr="001B188B">
              <w:rPr>
                <w:rFonts w:cs="Times New Roman"/>
                <w:b/>
                <w:bCs/>
                <w:szCs w:val="24"/>
              </w:rPr>
              <w:t>Exponential PH</w:t>
            </w:r>
          </w:p>
          <w:p w14:paraId="5A5829DC" w14:textId="77777777" w:rsidR="00FE6E20" w:rsidRPr="001B188B" w:rsidRDefault="00FE6E20" w:rsidP="006C25CF">
            <w:pPr>
              <w:pStyle w:val="NoSpacing"/>
              <w:spacing w:before="0" w:line="276" w:lineRule="auto"/>
              <w:rPr>
                <w:rFonts w:cs="Times New Roman"/>
                <w:b/>
                <w:bCs/>
                <w:szCs w:val="24"/>
              </w:rPr>
            </w:pPr>
            <w:r w:rsidRPr="001B188B">
              <w:rPr>
                <w:rFonts w:cs="Times New Roman"/>
                <w:b/>
                <w:bCs/>
                <w:szCs w:val="24"/>
              </w:rPr>
              <w:t>HR (95% CI)</w:t>
            </w:r>
          </w:p>
        </w:tc>
        <w:tc>
          <w:tcPr>
            <w:tcW w:w="1971" w:type="dxa"/>
            <w:hideMark/>
          </w:tcPr>
          <w:p w14:paraId="034AC168" w14:textId="77777777" w:rsidR="00FE6E20" w:rsidRPr="001B188B" w:rsidRDefault="00FE6E20" w:rsidP="006C25CF">
            <w:pPr>
              <w:pStyle w:val="NoSpacing"/>
              <w:spacing w:before="0" w:line="276" w:lineRule="auto"/>
              <w:rPr>
                <w:rFonts w:cs="Times New Roman"/>
                <w:b/>
                <w:bCs/>
                <w:szCs w:val="24"/>
              </w:rPr>
            </w:pPr>
            <w:r w:rsidRPr="001B188B">
              <w:rPr>
                <w:rFonts w:cs="Times New Roman"/>
                <w:b/>
                <w:bCs/>
                <w:szCs w:val="24"/>
              </w:rPr>
              <w:t>Weibull PH</w:t>
            </w:r>
          </w:p>
          <w:p w14:paraId="65EA5625" w14:textId="77777777" w:rsidR="00FE6E20" w:rsidRPr="001B188B" w:rsidRDefault="00FE6E20" w:rsidP="006C25CF">
            <w:pPr>
              <w:pStyle w:val="NoSpacing"/>
              <w:spacing w:before="0" w:line="276" w:lineRule="auto"/>
              <w:rPr>
                <w:rFonts w:cs="Times New Roman"/>
                <w:b/>
                <w:bCs/>
                <w:szCs w:val="24"/>
              </w:rPr>
            </w:pPr>
            <w:r w:rsidRPr="001B188B">
              <w:rPr>
                <w:rFonts w:cs="Times New Roman"/>
                <w:b/>
                <w:bCs/>
                <w:szCs w:val="24"/>
              </w:rPr>
              <w:t>HR (95% CI)</w:t>
            </w:r>
          </w:p>
        </w:tc>
        <w:tc>
          <w:tcPr>
            <w:tcW w:w="1972" w:type="dxa"/>
            <w:noWrap/>
            <w:hideMark/>
          </w:tcPr>
          <w:p w14:paraId="69F7BF74" w14:textId="77777777" w:rsidR="00FE6E20" w:rsidRPr="001B188B" w:rsidRDefault="00FE6E20" w:rsidP="006C25CF">
            <w:pPr>
              <w:pStyle w:val="NoSpacing"/>
              <w:spacing w:before="0" w:line="276" w:lineRule="auto"/>
              <w:rPr>
                <w:rFonts w:cs="Times New Roman"/>
                <w:b/>
                <w:bCs/>
                <w:szCs w:val="24"/>
              </w:rPr>
            </w:pPr>
            <w:r w:rsidRPr="001B188B">
              <w:rPr>
                <w:rFonts w:cs="Times New Roman"/>
                <w:b/>
                <w:bCs/>
                <w:szCs w:val="24"/>
              </w:rPr>
              <w:t>Gompertz PH</w:t>
            </w:r>
          </w:p>
          <w:p w14:paraId="6078B934" w14:textId="77777777" w:rsidR="00FE6E20" w:rsidRPr="001B188B" w:rsidRDefault="00FE6E20" w:rsidP="006C25CF">
            <w:pPr>
              <w:pStyle w:val="NoSpacing"/>
              <w:spacing w:before="0" w:line="276" w:lineRule="auto"/>
              <w:rPr>
                <w:rFonts w:cs="Times New Roman"/>
                <w:b/>
                <w:bCs/>
                <w:szCs w:val="24"/>
              </w:rPr>
            </w:pPr>
            <w:r w:rsidRPr="001B188B">
              <w:rPr>
                <w:rFonts w:cs="Times New Roman"/>
                <w:b/>
                <w:bCs/>
                <w:szCs w:val="24"/>
              </w:rPr>
              <w:t>HR (95% CI)</w:t>
            </w:r>
          </w:p>
        </w:tc>
      </w:tr>
      <w:tr w:rsidR="00FE6E20" w:rsidRPr="001B188B" w14:paraId="43F31579" w14:textId="77777777" w:rsidTr="00FC757F">
        <w:trPr>
          <w:trHeight w:val="20"/>
        </w:trPr>
        <w:tc>
          <w:tcPr>
            <w:tcW w:w="0" w:type="auto"/>
            <w:gridSpan w:val="5"/>
            <w:noWrap/>
            <w:hideMark/>
          </w:tcPr>
          <w:p w14:paraId="6A7274AE" w14:textId="77777777" w:rsidR="00FE6E20" w:rsidRPr="001B188B" w:rsidRDefault="00FE6E20" w:rsidP="006C25CF">
            <w:pPr>
              <w:spacing w:before="0" w:after="0" w:line="276" w:lineRule="auto"/>
              <w:jc w:val="both"/>
              <w:rPr>
                <w:b/>
                <w:bCs/>
                <w:i/>
                <w:iCs/>
              </w:rPr>
            </w:pPr>
            <w:r w:rsidRPr="001B188B">
              <w:rPr>
                <w:b/>
                <w:bCs/>
                <w:i/>
                <w:iCs/>
              </w:rPr>
              <w:t>Sex (Ref: Female)</w:t>
            </w:r>
          </w:p>
        </w:tc>
      </w:tr>
      <w:tr w:rsidR="00FE6E20" w:rsidRPr="001B188B" w14:paraId="78DEA957" w14:textId="77777777" w:rsidTr="00BD55E1">
        <w:trPr>
          <w:trHeight w:val="20"/>
        </w:trPr>
        <w:tc>
          <w:tcPr>
            <w:tcW w:w="2689" w:type="dxa"/>
            <w:hideMark/>
          </w:tcPr>
          <w:p w14:paraId="5F8B89C3" w14:textId="77777777" w:rsidR="00FE6E20" w:rsidRPr="001B188B" w:rsidRDefault="00FE6E20" w:rsidP="006C25CF">
            <w:pPr>
              <w:spacing w:before="0" w:after="0" w:line="276" w:lineRule="auto"/>
              <w:jc w:val="both"/>
            </w:pPr>
            <w:r w:rsidRPr="001B188B">
              <w:t>Male</w:t>
            </w:r>
          </w:p>
        </w:tc>
        <w:tc>
          <w:tcPr>
            <w:tcW w:w="1971" w:type="dxa"/>
            <w:hideMark/>
          </w:tcPr>
          <w:p w14:paraId="0730F0A2" w14:textId="77777777" w:rsidR="00FE6E20" w:rsidRPr="001B188B" w:rsidRDefault="00FE6E20" w:rsidP="006C25CF">
            <w:pPr>
              <w:spacing w:before="0" w:after="0" w:line="276" w:lineRule="auto"/>
              <w:jc w:val="both"/>
            </w:pPr>
            <w:r w:rsidRPr="001B188B">
              <w:t>0.97</w:t>
            </w:r>
          </w:p>
          <w:p w14:paraId="7B8C34D0" w14:textId="77777777" w:rsidR="00FE6E20" w:rsidRPr="001B188B" w:rsidRDefault="00FE6E20" w:rsidP="006C25CF">
            <w:pPr>
              <w:spacing w:before="0" w:after="0" w:line="276" w:lineRule="auto"/>
              <w:jc w:val="both"/>
            </w:pPr>
            <w:r w:rsidRPr="001B188B">
              <w:t>(0.70–1.36)</w:t>
            </w:r>
          </w:p>
        </w:tc>
        <w:tc>
          <w:tcPr>
            <w:tcW w:w="1971" w:type="dxa"/>
            <w:hideMark/>
          </w:tcPr>
          <w:p w14:paraId="4CD31815" w14:textId="77777777" w:rsidR="00FE6E20" w:rsidRPr="001B188B" w:rsidRDefault="00FE6E20" w:rsidP="006C25CF">
            <w:pPr>
              <w:spacing w:before="0" w:after="0" w:line="276" w:lineRule="auto"/>
              <w:jc w:val="both"/>
            </w:pPr>
            <w:r w:rsidRPr="001B188B">
              <w:t xml:space="preserve">0.98 </w:t>
            </w:r>
          </w:p>
          <w:p w14:paraId="594FB5AB" w14:textId="77777777" w:rsidR="00FE6E20" w:rsidRPr="001B188B" w:rsidRDefault="00FE6E20" w:rsidP="006C25CF">
            <w:pPr>
              <w:spacing w:before="0" w:after="0" w:line="276" w:lineRule="auto"/>
              <w:jc w:val="both"/>
            </w:pPr>
            <w:r w:rsidRPr="001B188B">
              <w:t>(0.70–1.37)</w:t>
            </w:r>
          </w:p>
        </w:tc>
        <w:tc>
          <w:tcPr>
            <w:tcW w:w="1971" w:type="dxa"/>
            <w:hideMark/>
          </w:tcPr>
          <w:p w14:paraId="61F94B5E" w14:textId="77777777" w:rsidR="00FE6E20" w:rsidRPr="001B188B" w:rsidRDefault="00FE6E20" w:rsidP="006C25CF">
            <w:pPr>
              <w:spacing w:before="0" w:after="0" w:line="276" w:lineRule="auto"/>
              <w:jc w:val="both"/>
            </w:pPr>
            <w:r w:rsidRPr="001B188B">
              <w:t xml:space="preserve">0.99 </w:t>
            </w:r>
          </w:p>
          <w:p w14:paraId="33CD44B8" w14:textId="77777777" w:rsidR="00FE6E20" w:rsidRPr="001B188B" w:rsidRDefault="00FE6E20" w:rsidP="006C25CF">
            <w:pPr>
              <w:spacing w:before="0" w:after="0" w:line="276" w:lineRule="auto"/>
              <w:jc w:val="both"/>
            </w:pPr>
            <w:r w:rsidRPr="001B188B">
              <w:t>(0.71–1.39)</w:t>
            </w:r>
          </w:p>
        </w:tc>
        <w:tc>
          <w:tcPr>
            <w:tcW w:w="1972" w:type="dxa"/>
            <w:hideMark/>
          </w:tcPr>
          <w:p w14:paraId="64D20C13" w14:textId="77777777" w:rsidR="00FE6E20" w:rsidRPr="001B188B" w:rsidRDefault="00FE6E20" w:rsidP="006C25CF">
            <w:pPr>
              <w:spacing w:before="0" w:after="0" w:line="276" w:lineRule="auto"/>
              <w:jc w:val="both"/>
            </w:pPr>
            <w:r w:rsidRPr="001B188B">
              <w:t xml:space="preserve">0.98 </w:t>
            </w:r>
          </w:p>
          <w:p w14:paraId="69262ECF" w14:textId="77777777" w:rsidR="00FE6E20" w:rsidRPr="001B188B" w:rsidRDefault="00FE6E20" w:rsidP="006C25CF">
            <w:pPr>
              <w:spacing w:before="0" w:after="0" w:line="276" w:lineRule="auto"/>
              <w:jc w:val="both"/>
            </w:pPr>
            <w:r w:rsidRPr="001B188B">
              <w:t>(0.70–1.38)</w:t>
            </w:r>
          </w:p>
        </w:tc>
      </w:tr>
      <w:tr w:rsidR="00FE6E20" w:rsidRPr="001B188B" w14:paraId="31A00C2C" w14:textId="77777777" w:rsidTr="00FC757F">
        <w:trPr>
          <w:trHeight w:val="20"/>
        </w:trPr>
        <w:tc>
          <w:tcPr>
            <w:tcW w:w="0" w:type="auto"/>
            <w:gridSpan w:val="5"/>
            <w:noWrap/>
            <w:hideMark/>
          </w:tcPr>
          <w:p w14:paraId="11136F43" w14:textId="1898A084" w:rsidR="00FE6E20" w:rsidRPr="001B188B" w:rsidRDefault="00FE6E20" w:rsidP="006C25CF">
            <w:pPr>
              <w:spacing w:before="0" w:after="0" w:line="276" w:lineRule="auto"/>
              <w:jc w:val="both"/>
            </w:pPr>
            <w:r w:rsidRPr="001B188B">
              <w:rPr>
                <w:b/>
                <w:bCs/>
                <w:i/>
                <w:iCs/>
              </w:rPr>
              <w:t>Respiratory Distress (Ref: No)</w:t>
            </w:r>
          </w:p>
        </w:tc>
      </w:tr>
      <w:tr w:rsidR="00FE6E20" w:rsidRPr="001B188B" w14:paraId="0BE9052F" w14:textId="77777777" w:rsidTr="00BD55E1">
        <w:trPr>
          <w:trHeight w:val="20"/>
        </w:trPr>
        <w:tc>
          <w:tcPr>
            <w:tcW w:w="2689" w:type="dxa"/>
            <w:hideMark/>
          </w:tcPr>
          <w:p w14:paraId="63FFBB9D" w14:textId="77777777" w:rsidR="00FE6E20" w:rsidRPr="001B188B" w:rsidRDefault="00FE6E20" w:rsidP="006C25CF">
            <w:pPr>
              <w:spacing w:before="0" w:after="0" w:line="276" w:lineRule="auto"/>
              <w:jc w:val="both"/>
            </w:pPr>
            <w:r w:rsidRPr="001B188B">
              <w:t>Yes</w:t>
            </w:r>
          </w:p>
        </w:tc>
        <w:tc>
          <w:tcPr>
            <w:tcW w:w="1971" w:type="dxa"/>
            <w:hideMark/>
          </w:tcPr>
          <w:p w14:paraId="64CD68C0" w14:textId="77777777" w:rsidR="00FE6E20" w:rsidRPr="001B188B" w:rsidRDefault="00FE6E20" w:rsidP="006C25CF">
            <w:pPr>
              <w:spacing w:before="0" w:after="0" w:line="276" w:lineRule="auto"/>
              <w:jc w:val="both"/>
            </w:pPr>
            <w:r w:rsidRPr="001B188B">
              <w:t xml:space="preserve">1.66* </w:t>
            </w:r>
          </w:p>
          <w:p w14:paraId="37386B1D" w14:textId="77777777" w:rsidR="00FE6E20" w:rsidRPr="001B188B" w:rsidRDefault="00FE6E20" w:rsidP="006C25CF">
            <w:pPr>
              <w:spacing w:before="0" w:after="0" w:line="276" w:lineRule="auto"/>
              <w:jc w:val="both"/>
            </w:pPr>
            <w:r w:rsidRPr="001B188B">
              <w:t>(1.01–2.73)</w:t>
            </w:r>
          </w:p>
        </w:tc>
        <w:tc>
          <w:tcPr>
            <w:tcW w:w="1971" w:type="dxa"/>
            <w:hideMark/>
          </w:tcPr>
          <w:p w14:paraId="0A71F774" w14:textId="77777777" w:rsidR="00FE6E20" w:rsidRPr="001B188B" w:rsidRDefault="00FE6E20" w:rsidP="006C25CF">
            <w:pPr>
              <w:spacing w:before="0" w:after="0" w:line="276" w:lineRule="auto"/>
              <w:jc w:val="both"/>
            </w:pPr>
            <w:r w:rsidRPr="001B188B">
              <w:t xml:space="preserve">1.66* </w:t>
            </w:r>
          </w:p>
          <w:p w14:paraId="512ECE4B" w14:textId="77777777" w:rsidR="00FE6E20" w:rsidRPr="001B188B" w:rsidRDefault="00FE6E20" w:rsidP="006C25CF">
            <w:pPr>
              <w:spacing w:before="0" w:after="0" w:line="276" w:lineRule="auto"/>
              <w:jc w:val="both"/>
            </w:pPr>
            <w:r w:rsidRPr="001B188B">
              <w:t>(1.01–2.72)</w:t>
            </w:r>
          </w:p>
        </w:tc>
        <w:tc>
          <w:tcPr>
            <w:tcW w:w="1971" w:type="dxa"/>
            <w:hideMark/>
          </w:tcPr>
          <w:p w14:paraId="0BACF315" w14:textId="293935EC" w:rsidR="00FE6E20" w:rsidRPr="001B188B" w:rsidRDefault="00FE6E20" w:rsidP="006C25CF">
            <w:pPr>
              <w:spacing w:before="0" w:after="0" w:line="276" w:lineRule="auto"/>
              <w:jc w:val="both"/>
            </w:pPr>
            <w:r w:rsidRPr="001B188B">
              <w:t>1.62</w:t>
            </w:r>
            <w:r w:rsidR="005F4ABB" w:rsidRPr="001B188B">
              <w:t>*</w:t>
            </w:r>
          </w:p>
          <w:p w14:paraId="04F62C52" w14:textId="77777777" w:rsidR="00FE6E20" w:rsidRPr="001B188B" w:rsidRDefault="00FE6E20" w:rsidP="006C25CF">
            <w:pPr>
              <w:spacing w:before="0" w:after="0" w:line="276" w:lineRule="auto"/>
              <w:jc w:val="both"/>
            </w:pPr>
            <w:r w:rsidRPr="001B188B">
              <w:t>(0.99–2.66)</w:t>
            </w:r>
          </w:p>
        </w:tc>
        <w:tc>
          <w:tcPr>
            <w:tcW w:w="1972" w:type="dxa"/>
            <w:noWrap/>
            <w:hideMark/>
          </w:tcPr>
          <w:p w14:paraId="730F0866" w14:textId="77777777" w:rsidR="00FE6E20" w:rsidRPr="001B188B" w:rsidRDefault="00FE6E20" w:rsidP="006C25CF">
            <w:pPr>
              <w:spacing w:before="0" w:after="0" w:line="276" w:lineRule="auto"/>
              <w:jc w:val="both"/>
            </w:pPr>
            <w:r w:rsidRPr="001B188B">
              <w:t xml:space="preserve">1.64* </w:t>
            </w:r>
          </w:p>
          <w:p w14:paraId="22C21D41" w14:textId="77777777" w:rsidR="00FE6E20" w:rsidRPr="001B188B" w:rsidRDefault="00FE6E20" w:rsidP="006C25CF">
            <w:pPr>
              <w:spacing w:before="0" w:after="0" w:line="276" w:lineRule="auto"/>
              <w:jc w:val="both"/>
            </w:pPr>
            <w:r w:rsidRPr="001B188B">
              <w:t>(1.00–2.70)</w:t>
            </w:r>
          </w:p>
        </w:tc>
      </w:tr>
      <w:tr w:rsidR="00FE6E20" w:rsidRPr="001B188B" w14:paraId="7B421BBF" w14:textId="77777777" w:rsidTr="00FC757F">
        <w:trPr>
          <w:trHeight w:val="20"/>
        </w:trPr>
        <w:tc>
          <w:tcPr>
            <w:tcW w:w="0" w:type="auto"/>
            <w:gridSpan w:val="5"/>
            <w:noWrap/>
            <w:hideMark/>
          </w:tcPr>
          <w:p w14:paraId="057882E4" w14:textId="77777777" w:rsidR="00FE6E20" w:rsidRPr="001B188B" w:rsidRDefault="00FE6E20" w:rsidP="006C25CF">
            <w:pPr>
              <w:spacing w:before="0" w:after="0" w:line="276" w:lineRule="auto"/>
              <w:jc w:val="both"/>
              <w:rPr>
                <w:b/>
                <w:bCs/>
                <w:i/>
                <w:iCs/>
              </w:rPr>
            </w:pPr>
            <w:r w:rsidRPr="001B188B">
              <w:rPr>
                <w:b/>
                <w:bCs/>
                <w:i/>
                <w:iCs/>
              </w:rPr>
              <w:t>Perinatal Asphyxia (Ref: No)</w:t>
            </w:r>
          </w:p>
        </w:tc>
      </w:tr>
      <w:tr w:rsidR="00FE6E20" w:rsidRPr="001B188B" w14:paraId="635E2B0E" w14:textId="77777777" w:rsidTr="00BD55E1">
        <w:trPr>
          <w:trHeight w:val="20"/>
        </w:trPr>
        <w:tc>
          <w:tcPr>
            <w:tcW w:w="2689" w:type="dxa"/>
            <w:hideMark/>
          </w:tcPr>
          <w:p w14:paraId="322F740F" w14:textId="77777777" w:rsidR="00FE6E20" w:rsidRPr="001B188B" w:rsidRDefault="00FE6E20" w:rsidP="006C25CF">
            <w:pPr>
              <w:spacing w:before="0" w:after="0" w:line="276" w:lineRule="auto"/>
              <w:jc w:val="both"/>
            </w:pPr>
            <w:r w:rsidRPr="001B188B">
              <w:t>Yes</w:t>
            </w:r>
          </w:p>
        </w:tc>
        <w:tc>
          <w:tcPr>
            <w:tcW w:w="1971" w:type="dxa"/>
            <w:hideMark/>
          </w:tcPr>
          <w:p w14:paraId="61843F16" w14:textId="77777777" w:rsidR="00FE6E20" w:rsidRPr="001B188B" w:rsidRDefault="00FE6E20" w:rsidP="006C25CF">
            <w:pPr>
              <w:spacing w:before="0" w:after="0" w:line="276" w:lineRule="auto"/>
              <w:jc w:val="both"/>
            </w:pPr>
            <w:r w:rsidRPr="001B188B">
              <w:t xml:space="preserve">2.46*** </w:t>
            </w:r>
          </w:p>
          <w:p w14:paraId="29750E74" w14:textId="77777777" w:rsidR="00FE6E20" w:rsidRPr="001B188B" w:rsidRDefault="00FE6E20" w:rsidP="006C25CF">
            <w:pPr>
              <w:spacing w:before="0" w:after="0" w:line="276" w:lineRule="auto"/>
              <w:jc w:val="both"/>
            </w:pPr>
            <w:r w:rsidRPr="001B188B">
              <w:t>(1.70–3.58)</w:t>
            </w:r>
          </w:p>
        </w:tc>
        <w:tc>
          <w:tcPr>
            <w:tcW w:w="1971" w:type="dxa"/>
            <w:hideMark/>
          </w:tcPr>
          <w:p w14:paraId="0AB83B5B" w14:textId="77777777" w:rsidR="00FE6E20" w:rsidRPr="001B188B" w:rsidRDefault="00FE6E20" w:rsidP="006C25CF">
            <w:pPr>
              <w:spacing w:before="0" w:after="0" w:line="276" w:lineRule="auto"/>
              <w:jc w:val="both"/>
            </w:pPr>
            <w:r w:rsidRPr="001B188B">
              <w:t xml:space="preserve">2.45*** </w:t>
            </w:r>
          </w:p>
          <w:p w14:paraId="58C9C2E9" w14:textId="77777777" w:rsidR="00FE6E20" w:rsidRPr="001B188B" w:rsidRDefault="00FE6E20" w:rsidP="006C25CF">
            <w:pPr>
              <w:spacing w:before="0" w:after="0" w:line="276" w:lineRule="auto"/>
              <w:jc w:val="both"/>
            </w:pPr>
            <w:r w:rsidRPr="001B188B">
              <w:t>(1.69–3.54)</w:t>
            </w:r>
          </w:p>
        </w:tc>
        <w:tc>
          <w:tcPr>
            <w:tcW w:w="1971" w:type="dxa"/>
            <w:hideMark/>
          </w:tcPr>
          <w:p w14:paraId="4F474EF8" w14:textId="77777777" w:rsidR="00FE6E20" w:rsidRPr="001B188B" w:rsidRDefault="00FE6E20" w:rsidP="006C25CF">
            <w:pPr>
              <w:spacing w:before="0" w:after="0" w:line="276" w:lineRule="auto"/>
              <w:jc w:val="both"/>
            </w:pPr>
            <w:r w:rsidRPr="001B188B">
              <w:t xml:space="preserve">2.58*** </w:t>
            </w:r>
          </w:p>
          <w:p w14:paraId="7DAD5043" w14:textId="77777777" w:rsidR="00FE6E20" w:rsidRPr="001B188B" w:rsidRDefault="00FE6E20" w:rsidP="006C25CF">
            <w:pPr>
              <w:spacing w:before="0" w:after="0" w:line="276" w:lineRule="auto"/>
              <w:jc w:val="both"/>
            </w:pPr>
            <w:r w:rsidRPr="001B188B">
              <w:t>(1.77–3.76)</w:t>
            </w:r>
          </w:p>
        </w:tc>
        <w:tc>
          <w:tcPr>
            <w:tcW w:w="1972" w:type="dxa"/>
            <w:noWrap/>
            <w:hideMark/>
          </w:tcPr>
          <w:p w14:paraId="7CED282D" w14:textId="77777777" w:rsidR="00FE6E20" w:rsidRPr="001B188B" w:rsidRDefault="00FE6E20" w:rsidP="006C25CF">
            <w:pPr>
              <w:spacing w:before="0" w:after="0" w:line="276" w:lineRule="auto"/>
              <w:jc w:val="both"/>
            </w:pPr>
            <w:r w:rsidRPr="001B188B">
              <w:t xml:space="preserve">2.50*** </w:t>
            </w:r>
          </w:p>
          <w:p w14:paraId="312B40B5" w14:textId="77777777" w:rsidR="00FE6E20" w:rsidRPr="001B188B" w:rsidRDefault="00FE6E20" w:rsidP="006C25CF">
            <w:pPr>
              <w:spacing w:before="0" w:after="0" w:line="276" w:lineRule="auto"/>
              <w:jc w:val="both"/>
            </w:pPr>
            <w:r w:rsidRPr="001B188B">
              <w:t>(1.72–3.64)</w:t>
            </w:r>
          </w:p>
        </w:tc>
      </w:tr>
      <w:tr w:rsidR="00FE6E20" w:rsidRPr="001B188B" w14:paraId="4A60BE6E" w14:textId="77777777" w:rsidTr="00FC757F">
        <w:trPr>
          <w:trHeight w:val="20"/>
        </w:trPr>
        <w:tc>
          <w:tcPr>
            <w:tcW w:w="0" w:type="auto"/>
            <w:gridSpan w:val="5"/>
            <w:noWrap/>
            <w:hideMark/>
          </w:tcPr>
          <w:p w14:paraId="2EA6A6FB" w14:textId="77777777" w:rsidR="00FE6E20" w:rsidRPr="001B188B" w:rsidRDefault="00FE6E20" w:rsidP="006C25CF">
            <w:pPr>
              <w:spacing w:before="0" w:after="0" w:line="276" w:lineRule="auto"/>
              <w:jc w:val="both"/>
            </w:pPr>
            <w:r w:rsidRPr="001B188B">
              <w:rPr>
                <w:b/>
                <w:bCs/>
                <w:i/>
                <w:iCs/>
              </w:rPr>
              <w:t>Neonatal Sepsis (Ref: No)</w:t>
            </w:r>
          </w:p>
        </w:tc>
      </w:tr>
      <w:tr w:rsidR="00FE6E20" w:rsidRPr="001B188B" w14:paraId="5051F7AF" w14:textId="77777777" w:rsidTr="00BD55E1">
        <w:trPr>
          <w:trHeight w:val="20"/>
        </w:trPr>
        <w:tc>
          <w:tcPr>
            <w:tcW w:w="2689" w:type="dxa"/>
            <w:hideMark/>
          </w:tcPr>
          <w:p w14:paraId="7C76543B" w14:textId="77777777" w:rsidR="00FE6E20" w:rsidRPr="001B188B" w:rsidRDefault="00FE6E20" w:rsidP="006C25CF">
            <w:pPr>
              <w:spacing w:before="0" w:after="0" w:line="276" w:lineRule="auto"/>
              <w:jc w:val="both"/>
            </w:pPr>
            <w:r w:rsidRPr="001B188B">
              <w:t>Yes</w:t>
            </w:r>
          </w:p>
        </w:tc>
        <w:tc>
          <w:tcPr>
            <w:tcW w:w="1971" w:type="dxa"/>
            <w:hideMark/>
          </w:tcPr>
          <w:p w14:paraId="628A4634" w14:textId="77777777" w:rsidR="00FE6E20" w:rsidRPr="001B188B" w:rsidRDefault="00FE6E20" w:rsidP="006C25CF">
            <w:pPr>
              <w:spacing w:before="0" w:after="0" w:line="276" w:lineRule="auto"/>
              <w:jc w:val="both"/>
            </w:pPr>
            <w:r w:rsidRPr="001B188B">
              <w:t xml:space="preserve">2.26*** </w:t>
            </w:r>
          </w:p>
          <w:p w14:paraId="6DB432F2" w14:textId="77777777" w:rsidR="00FE6E20" w:rsidRPr="001B188B" w:rsidRDefault="00FE6E20" w:rsidP="006C25CF">
            <w:pPr>
              <w:spacing w:before="0" w:after="0" w:line="276" w:lineRule="auto"/>
              <w:jc w:val="both"/>
            </w:pPr>
            <w:r w:rsidRPr="001B188B">
              <w:t>(1.59–3.22)</w:t>
            </w:r>
          </w:p>
        </w:tc>
        <w:tc>
          <w:tcPr>
            <w:tcW w:w="1971" w:type="dxa"/>
            <w:hideMark/>
          </w:tcPr>
          <w:p w14:paraId="351369FF" w14:textId="77777777" w:rsidR="00FE6E20" w:rsidRPr="001B188B" w:rsidRDefault="00FE6E20" w:rsidP="006C25CF">
            <w:pPr>
              <w:spacing w:before="0" w:after="0" w:line="276" w:lineRule="auto"/>
              <w:jc w:val="both"/>
            </w:pPr>
            <w:r w:rsidRPr="001B188B">
              <w:t xml:space="preserve">2.23*** </w:t>
            </w:r>
          </w:p>
          <w:p w14:paraId="44D62DAF" w14:textId="77777777" w:rsidR="00FE6E20" w:rsidRPr="001B188B" w:rsidRDefault="00FE6E20" w:rsidP="006C25CF">
            <w:pPr>
              <w:spacing w:before="0" w:after="0" w:line="276" w:lineRule="auto"/>
              <w:jc w:val="both"/>
            </w:pPr>
            <w:r w:rsidRPr="001B188B">
              <w:t>(1.57–3.17)</w:t>
            </w:r>
          </w:p>
        </w:tc>
        <w:tc>
          <w:tcPr>
            <w:tcW w:w="1971" w:type="dxa"/>
            <w:hideMark/>
          </w:tcPr>
          <w:p w14:paraId="67A36871" w14:textId="77777777" w:rsidR="00FE6E20" w:rsidRPr="001B188B" w:rsidRDefault="00FE6E20" w:rsidP="006C25CF">
            <w:pPr>
              <w:spacing w:before="0" w:after="0" w:line="276" w:lineRule="auto"/>
              <w:jc w:val="both"/>
            </w:pPr>
            <w:r w:rsidRPr="001B188B">
              <w:t xml:space="preserve">2.17*** </w:t>
            </w:r>
          </w:p>
          <w:p w14:paraId="02EA970A" w14:textId="77777777" w:rsidR="00FE6E20" w:rsidRPr="001B188B" w:rsidRDefault="00FE6E20" w:rsidP="006C25CF">
            <w:pPr>
              <w:spacing w:before="0" w:after="0" w:line="276" w:lineRule="auto"/>
              <w:jc w:val="both"/>
            </w:pPr>
            <w:r w:rsidRPr="001B188B">
              <w:t>(1.52–3.08)</w:t>
            </w:r>
          </w:p>
        </w:tc>
        <w:tc>
          <w:tcPr>
            <w:tcW w:w="1972" w:type="dxa"/>
            <w:noWrap/>
            <w:hideMark/>
          </w:tcPr>
          <w:p w14:paraId="7CB101E4" w14:textId="77777777" w:rsidR="00FE6E20" w:rsidRPr="001B188B" w:rsidRDefault="00FE6E20" w:rsidP="006C25CF">
            <w:pPr>
              <w:spacing w:before="0" w:after="0" w:line="276" w:lineRule="auto"/>
              <w:jc w:val="both"/>
            </w:pPr>
            <w:r w:rsidRPr="001B188B">
              <w:t xml:space="preserve">2.20*** </w:t>
            </w:r>
          </w:p>
          <w:p w14:paraId="2DA28EED" w14:textId="77777777" w:rsidR="00FE6E20" w:rsidRPr="001B188B" w:rsidRDefault="00FE6E20" w:rsidP="006C25CF">
            <w:pPr>
              <w:spacing w:before="0" w:after="0" w:line="276" w:lineRule="auto"/>
              <w:jc w:val="both"/>
            </w:pPr>
            <w:r w:rsidRPr="001B188B">
              <w:t>(1.54–3.13)</w:t>
            </w:r>
          </w:p>
        </w:tc>
      </w:tr>
      <w:tr w:rsidR="00FE6E20" w:rsidRPr="001B188B" w14:paraId="2115F2D9" w14:textId="77777777" w:rsidTr="00FC757F">
        <w:trPr>
          <w:trHeight w:val="20"/>
        </w:trPr>
        <w:tc>
          <w:tcPr>
            <w:tcW w:w="0" w:type="auto"/>
            <w:gridSpan w:val="5"/>
            <w:noWrap/>
            <w:hideMark/>
          </w:tcPr>
          <w:p w14:paraId="7397C964" w14:textId="77777777" w:rsidR="00FE6E20" w:rsidRPr="001B188B" w:rsidRDefault="00FE6E20" w:rsidP="006C25CF">
            <w:pPr>
              <w:spacing w:before="0" w:after="0" w:line="276" w:lineRule="auto"/>
              <w:jc w:val="both"/>
            </w:pPr>
            <w:r w:rsidRPr="001B188B">
              <w:rPr>
                <w:b/>
                <w:bCs/>
                <w:i/>
                <w:iCs/>
              </w:rPr>
              <w:t>Congenital Malformations (Ref: No)</w:t>
            </w:r>
          </w:p>
        </w:tc>
      </w:tr>
      <w:tr w:rsidR="00FE6E20" w:rsidRPr="001B188B" w14:paraId="6B0E1EC5" w14:textId="77777777" w:rsidTr="00BD55E1">
        <w:trPr>
          <w:trHeight w:val="20"/>
        </w:trPr>
        <w:tc>
          <w:tcPr>
            <w:tcW w:w="2689" w:type="dxa"/>
            <w:hideMark/>
          </w:tcPr>
          <w:p w14:paraId="62122980" w14:textId="77777777" w:rsidR="00FE6E20" w:rsidRPr="001B188B" w:rsidRDefault="00FE6E20" w:rsidP="006C25CF">
            <w:pPr>
              <w:spacing w:before="0" w:after="0" w:line="276" w:lineRule="auto"/>
              <w:jc w:val="both"/>
            </w:pPr>
            <w:r w:rsidRPr="001B188B">
              <w:t>Yes</w:t>
            </w:r>
          </w:p>
        </w:tc>
        <w:tc>
          <w:tcPr>
            <w:tcW w:w="1971" w:type="dxa"/>
            <w:hideMark/>
          </w:tcPr>
          <w:p w14:paraId="6DCEF5F4" w14:textId="77777777" w:rsidR="00FE6E20" w:rsidRPr="001B188B" w:rsidRDefault="00FE6E20" w:rsidP="006C25CF">
            <w:pPr>
              <w:spacing w:before="0" w:after="0" w:line="276" w:lineRule="auto"/>
              <w:jc w:val="both"/>
            </w:pPr>
            <w:r w:rsidRPr="001B188B">
              <w:t xml:space="preserve">2.63*** </w:t>
            </w:r>
          </w:p>
          <w:p w14:paraId="37BE8568" w14:textId="77777777" w:rsidR="00FE6E20" w:rsidRPr="001B188B" w:rsidRDefault="00FE6E20" w:rsidP="006C25CF">
            <w:pPr>
              <w:spacing w:before="0" w:after="0" w:line="276" w:lineRule="auto"/>
              <w:jc w:val="both"/>
            </w:pPr>
            <w:r w:rsidRPr="001B188B">
              <w:t>(1.56–4.44)</w:t>
            </w:r>
          </w:p>
        </w:tc>
        <w:tc>
          <w:tcPr>
            <w:tcW w:w="1971" w:type="dxa"/>
            <w:hideMark/>
          </w:tcPr>
          <w:p w14:paraId="2310B2B0" w14:textId="77777777" w:rsidR="00FE6E20" w:rsidRPr="001B188B" w:rsidRDefault="00FE6E20" w:rsidP="006C25CF">
            <w:pPr>
              <w:spacing w:before="0" w:after="0" w:line="276" w:lineRule="auto"/>
              <w:jc w:val="both"/>
            </w:pPr>
            <w:r w:rsidRPr="001B188B">
              <w:t xml:space="preserve">2.63*** </w:t>
            </w:r>
          </w:p>
          <w:p w14:paraId="52A3BD7D" w14:textId="77777777" w:rsidR="00FE6E20" w:rsidRPr="001B188B" w:rsidRDefault="00FE6E20" w:rsidP="006C25CF">
            <w:pPr>
              <w:spacing w:before="0" w:after="0" w:line="276" w:lineRule="auto"/>
              <w:jc w:val="both"/>
            </w:pPr>
            <w:r w:rsidRPr="001B188B">
              <w:t>(1.56–4.42)</w:t>
            </w:r>
          </w:p>
        </w:tc>
        <w:tc>
          <w:tcPr>
            <w:tcW w:w="1971" w:type="dxa"/>
            <w:hideMark/>
          </w:tcPr>
          <w:p w14:paraId="6EA93D0C" w14:textId="77777777" w:rsidR="00FE6E20" w:rsidRPr="001B188B" w:rsidRDefault="00FE6E20" w:rsidP="006C25CF">
            <w:pPr>
              <w:spacing w:before="0" w:after="0" w:line="276" w:lineRule="auto"/>
              <w:jc w:val="both"/>
            </w:pPr>
            <w:r w:rsidRPr="001B188B">
              <w:t xml:space="preserve">2.71*** </w:t>
            </w:r>
          </w:p>
          <w:p w14:paraId="6D97F0FD" w14:textId="77777777" w:rsidR="00FE6E20" w:rsidRPr="001B188B" w:rsidRDefault="00FE6E20" w:rsidP="006C25CF">
            <w:pPr>
              <w:spacing w:before="0" w:after="0" w:line="276" w:lineRule="auto"/>
              <w:jc w:val="both"/>
            </w:pPr>
            <w:r w:rsidRPr="001B188B">
              <w:t>(1.60–4.59)</w:t>
            </w:r>
          </w:p>
        </w:tc>
        <w:tc>
          <w:tcPr>
            <w:tcW w:w="1972" w:type="dxa"/>
            <w:noWrap/>
            <w:hideMark/>
          </w:tcPr>
          <w:p w14:paraId="79050F05" w14:textId="77777777" w:rsidR="00FE6E20" w:rsidRPr="001B188B" w:rsidRDefault="00FE6E20" w:rsidP="006C25CF">
            <w:pPr>
              <w:spacing w:before="0" w:after="0" w:line="276" w:lineRule="auto"/>
              <w:jc w:val="both"/>
            </w:pPr>
            <w:r w:rsidRPr="001B188B">
              <w:t xml:space="preserve">2.67*** </w:t>
            </w:r>
          </w:p>
          <w:p w14:paraId="521E2F6C" w14:textId="77777777" w:rsidR="00FE6E20" w:rsidRPr="001B188B" w:rsidRDefault="00FE6E20" w:rsidP="006C25CF">
            <w:pPr>
              <w:spacing w:before="0" w:after="0" w:line="276" w:lineRule="auto"/>
              <w:jc w:val="both"/>
            </w:pPr>
            <w:r w:rsidRPr="001B188B">
              <w:t>(1.58–4.51)</w:t>
            </w:r>
          </w:p>
        </w:tc>
      </w:tr>
      <w:tr w:rsidR="00FE6E20" w:rsidRPr="001B188B" w14:paraId="21B68302" w14:textId="77777777" w:rsidTr="00FC757F">
        <w:trPr>
          <w:trHeight w:val="20"/>
        </w:trPr>
        <w:tc>
          <w:tcPr>
            <w:tcW w:w="0" w:type="auto"/>
            <w:gridSpan w:val="5"/>
            <w:noWrap/>
            <w:hideMark/>
          </w:tcPr>
          <w:p w14:paraId="17BF51EC" w14:textId="7B05D4FC" w:rsidR="00FE6E20" w:rsidRPr="001B188B" w:rsidRDefault="00FE6E20" w:rsidP="006C25CF">
            <w:pPr>
              <w:spacing w:before="0" w:after="0" w:line="276" w:lineRule="auto"/>
              <w:jc w:val="both"/>
              <w:rPr>
                <w:b/>
                <w:bCs/>
                <w:i/>
                <w:iCs/>
              </w:rPr>
            </w:pPr>
            <w:r w:rsidRPr="001B188B">
              <w:rPr>
                <w:b/>
                <w:bCs/>
                <w:i/>
                <w:iCs/>
              </w:rPr>
              <w:t xml:space="preserve">Birth Weight (Ref: Normal </w:t>
            </w:r>
            <w:r w:rsidR="00773341" w:rsidRPr="001B188B">
              <w:rPr>
                <w:b/>
                <w:bCs/>
                <w:i/>
                <w:iCs/>
              </w:rPr>
              <w:t>Birth Weight</w:t>
            </w:r>
            <w:r w:rsidRPr="001B188B">
              <w:rPr>
                <w:b/>
                <w:bCs/>
                <w:i/>
                <w:iCs/>
              </w:rPr>
              <w:t>)</w:t>
            </w:r>
          </w:p>
        </w:tc>
      </w:tr>
      <w:tr w:rsidR="00FE6E20" w:rsidRPr="001B188B" w14:paraId="0C403E4E" w14:textId="77777777" w:rsidTr="00BD55E1">
        <w:trPr>
          <w:trHeight w:val="20"/>
        </w:trPr>
        <w:tc>
          <w:tcPr>
            <w:tcW w:w="2689" w:type="dxa"/>
            <w:hideMark/>
          </w:tcPr>
          <w:p w14:paraId="71CCA702" w14:textId="44424B14" w:rsidR="00FE6E20" w:rsidRPr="001B188B" w:rsidRDefault="00FE6E20" w:rsidP="006C25CF">
            <w:pPr>
              <w:spacing w:before="0" w:after="0" w:line="276" w:lineRule="auto"/>
              <w:jc w:val="both"/>
            </w:pPr>
            <w:r w:rsidRPr="001B188B">
              <w:t>Extremely Low B</w:t>
            </w:r>
            <w:r w:rsidR="00773341" w:rsidRPr="001B188B">
              <w:t xml:space="preserve">rith </w:t>
            </w:r>
            <w:r w:rsidRPr="001B188B">
              <w:t>W</w:t>
            </w:r>
            <w:r w:rsidR="00773341" w:rsidRPr="001B188B">
              <w:t>eight</w:t>
            </w:r>
            <w:r w:rsidRPr="001B188B">
              <w:t xml:space="preserve"> </w:t>
            </w:r>
          </w:p>
        </w:tc>
        <w:tc>
          <w:tcPr>
            <w:tcW w:w="1971" w:type="dxa"/>
            <w:hideMark/>
          </w:tcPr>
          <w:p w14:paraId="532FFC46" w14:textId="77777777" w:rsidR="00FE6E20" w:rsidRPr="001B188B" w:rsidRDefault="00FE6E20" w:rsidP="006C25CF">
            <w:pPr>
              <w:spacing w:before="0" w:after="0" w:line="276" w:lineRule="auto"/>
              <w:jc w:val="both"/>
            </w:pPr>
            <w:r w:rsidRPr="001B188B">
              <w:t xml:space="preserve">2.42* </w:t>
            </w:r>
          </w:p>
          <w:p w14:paraId="72EDEFB4" w14:textId="77777777" w:rsidR="00FE6E20" w:rsidRPr="001B188B" w:rsidRDefault="00FE6E20" w:rsidP="006C25CF">
            <w:pPr>
              <w:spacing w:before="0" w:after="0" w:line="276" w:lineRule="auto"/>
              <w:jc w:val="both"/>
            </w:pPr>
            <w:r w:rsidRPr="001B188B">
              <w:t>(1.15–5.06)</w:t>
            </w:r>
          </w:p>
        </w:tc>
        <w:tc>
          <w:tcPr>
            <w:tcW w:w="1971" w:type="dxa"/>
            <w:hideMark/>
          </w:tcPr>
          <w:p w14:paraId="2D11CA46" w14:textId="77777777" w:rsidR="00FE6E20" w:rsidRPr="001B188B" w:rsidRDefault="00FE6E20" w:rsidP="006C25CF">
            <w:pPr>
              <w:spacing w:before="0" w:after="0" w:line="276" w:lineRule="auto"/>
              <w:jc w:val="both"/>
            </w:pPr>
            <w:r w:rsidRPr="001B188B">
              <w:t xml:space="preserve">2.56* </w:t>
            </w:r>
          </w:p>
          <w:p w14:paraId="1E8998E7" w14:textId="77777777" w:rsidR="00FE6E20" w:rsidRPr="001B188B" w:rsidRDefault="00FE6E20" w:rsidP="006C25CF">
            <w:pPr>
              <w:spacing w:before="0" w:after="0" w:line="276" w:lineRule="auto"/>
              <w:jc w:val="both"/>
            </w:pPr>
            <w:r w:rsidRPr="001B188B">
              <w:t>(1.22–5.33)</w:t>
            </w:r>
          </w:p>
        </w:tc>
        <w:tc>
          <w:tcPr>
            <w:tcW w:w="1971" w:type="dxa"/>
            <w:hideMark/>
          </w:tcPr>
          <w:p w14:paraId="1FBB959C" w14:textId="77777777" w:rsidR="00FE6E20" w:rsidRPr="001B188B" w:rsidRDefault="00FE6E20" w:rsidP="006C25CF">
            <w:pPr>
              <w:spacing w:before="0" w:after="0" w:line="276" w:lineRule="auto"/>
              <w:jc w:val="both"/>
            </w:pPr>
            <w:r w:rsidRPr="001B188B">
              <w:t xml:space="preserve">2.69** </w:t>
            </w:r>
          </w:p>
          <w:p w14:paraId="7A674448" w14:textId="77777777" w:rsidR="00FE6E20" w:rsidRPr="001B188B" w:rsidRDefault="00FE6E20" w:rsidP="006C25CF">
            <w:pPr>
              <w:spacing w:before="0" w:after="0" w:line="276" w:lineRule="auto"/>
              <w:jc w:val="both"/>
            </w:pPr>
            <w:r w:rsidRPr="001B188B">
              <w:t>(1.29–5.61)</w:t>
            </w:r>
          </w:p>
        </w:tc>
        <w:tc>
          <w:tcPr>
            <w:tcW w:w="1972" w:type="dxa"/>
            <w:noWrap/>
            <w:hideMark/>
          </w:tcPr>
          <w:p w14:paraId="66B36A5A" w14:textId="77777777" w:rsidR="00FE6E20" w:rsidRPr="001B188B" w:rsidRDefault="00FE6E20" w:rsidP="006C25CF">
            <w:pPr>
              <w:spacing w:before="0" w:after="0" w:line="276" w:lineRule="auto"/>
              <w:jc w:val="both"/>
            </w:pPr>
            <w:r w:rsidRPr="001B188B">
              <w:t xml:space="preserve">2.59* </w:t>
            </w:r>
          </w:p>
          <w:p w14:paraId="0C03E3A1" w14:textId="77777777" w:rsidR="00FE6E20" w:rsidRPr="001B188B" w:rsidRDefault="00FE6E20" w:rsidP="006C25CF">
            <w:pPr>
              <w:spacing w:before="0" w:after="0" w:line="276" w:lineRule="auto"/>
              <w:jc w:val="both"/>
            </w:pPr>
            <w:r w:rsidRPr="001B188B">
              <w:t>(1.24–5.40)</w:t>
            </w:r>
          </w:p>
        </w:tc>
      </w:tr>
      <w:tr w:rsidR="00FE6E20" w:rsidRPr="001B188B" w14:paraId="2DB942EC" w14:textId="77777777" w:rsidTr="00BD55E1">
        <w:trPr>
          <w:trHeight w:val="20"/>
        </w:trPr>
        <w:tc>
          <w:tcPr>
            <w:tcW w:w="2689" w:type="dxa"/>
            <w:hideMark/>
          </w:tcPr>
          <w:p w14:paraId="17A2ED43" w14:textId="73FBB9E6" w:rsidR="00FE6E20" w:rsidRPr="001B188B" w:rsidRDefault="00FE6E20" w:rsidP="006C25CF">
            <w:pPr>
              <w:spacing w:before="0" w:after="0" w:line="276" w:lineRule="auto"/>
              <w:jc w:val="both"/>
            </w:pPr>
            <w:r w:rsidRPr="001B188B">
              <w:t>Very Low</w:t>
            </w:r>
            <w:r w:rsidR="00773341" w:rsidRPr="001B188B">
              <w:t xml:space="preserve"> Brith Weight</w:t>
            </w:r>
          </w:p>
        </w:tc>
        <w:tc>
          <w:tcPr>
            <w:tcW w:w="1971" w:type="dxa"/>
            <w:hideMark/>
          </w:tcPr>
          <w:p w14:paraId="6074DC49" w14:textId="77777777" w:rsidR="00FE6E20" w:rsidRPr="001B188B" w:rsidRDefault="00FE6E20" w:rsidP="006C25CF">
            <w:pPr>
              <w:spacing w:before="0" w:after="0" w:line="276" w:lineRule="auto"/>
              <w:jc w:val="both"/>
            </w:pPr>
            <w:r w:rsidRPr="001B188B">
              <w:t xml:space="preserve">1.52 </w:t>
            </w:r>
          </w:p>
          <w:p w14:paraId="7E33B827" w14:textId="77777777" w:rsidR="00FE6E20" w:rsidRPr="001B188B" w:rsidRDefault="00FE6E20" w:rsidP="006C25CF">
            <w:pPr>
              <w:spacing w:before="0" w:after="0" w:line="276" w:lineRule="auto"/>
              <w:jc w:val="both"/>
            </w:pPr>
            <w:r w:rsidRPr="001B188B">
              <w:t>(0.84–2.77)</w:t>
            </w:r>
          </w:p>
        </w:tc>
        <w:tc>
          <w:tcPr>
            <w:tcW w:w="1971" w:type="dxa"/>
            <w:hideMark/>
          </w:tcPr>
          <w:p w14:paraId="212CB5FE" w14:textId="77777777" w:rsidR="00FE6E20" w:rsidRPr="001B188B" w:rsidRDefault="00FE6E20" w:rsidP="006C25CF">
            <w:pPr>
              <w:spacing w:before="0" w:after="0" w:line="276" w:lineRule="auto"/>
              <w:jc w:val="both"/>
            </w:pPr>
            <w:r w:rsidRPr="001B188B">
              <w:t xml:space="preserve">1.55 </w:t>
            </w:r>
          </w:p>
          <w:p w14:paraId="4B4E94A2" w14:textId="77777777" w:rsidR="00FE6E20" w:rsidRPr="001B188B" w:rsidRDefault="00FE6E20" w:rsidP="006C25CF">
            <w:pPr>
              <w:spacing w:before="0" w:after="0" w:line="276" w:lineRule="auto"/>
              <w:jc w:val="both"/>
            </w:pPr>
            <w:r w:rsidRPr="001B188B">
              <w:t>(0.85–2.82)</w:t>
            </w:r>
          </w:p>
        </w:tc>
        <w:tc>
          <w:tcPr>
            <w:tcW w:w="1971" w:type="dxa"/>
            <w:hideMark/>
          </w:tcPr>
          <w:p w14:paraId="20A8F002" w14:textId="77777777" w:rsidR="00FE6E20" w:rsidRPr="001B188B" w:rsidRDefault="00FE6E20" w:rsidP="006C25CF">
            <w:pPr>
              <w:spacing w:before="0" w:after="0" w:line="276" w:lineRule="auto"/>
              <w:jc w:val="both"/>
            </w:pPr>
            <w:r w:rsidRPr="001B188B">
              <w:t xml:space="preserve">1.56 </w:t>
            </w:r>
          </w:p>
          <w:p w14:paraId="0C0C3873" w14:textId="77777777" w:rsidR="00FE6E20" w:rsidRPr="001B188B" w:rsidRDefault="00FE6E20" w:rsidP="006C25CF">
            <w:pPr>
              <w:spacing w:before="0" w:after="0" w:line="276" w:lineRule="auto"/>
              <w:jc w:val="both"/>
            </w:pPr>
            <w:r w:rsidRPr="001B188B">
              <w:t>(0.85–2.86)</w:t>
            </w:r>
          </w:p>
        </w:tc>
        <w:tc>
          <w:tcPr>
            <w:tcW w:w="1972" w:type="dxa"/>
            <w:hideMark/>
          </w:tcPr>
          <w:p w14:paraId="4BDE3E56" w14:textId="77777777" w:rsidR="00FE6E20" w:rsidRPr="001B188B" w:rsidRDefault="00FE6E20" w:rsidP="006C25CF">
            <w:pPr>
              <w:spacing w:before="0" w:after="0" w:line="276" w:lineRule="auto"/>
              <w:jc w:val="both"/>
            </w:pPr>
            <w:r w:rsidRPr="001B188B">
              <w:t xml:space="preserve">1.54 </w:t>
            </w:r>
          </w:p>
          <w:p w14:paraId="280A49AD" w14:textId="77777777" w:rsidR="00FE6E20" w:rsidRPr="001B188B" w:rsidRDefault="00FE6E20" w:rsidP="006C25CF">
            <w:pPr>
              <w:spacing w:before="0" w:after="0" w:line="276" w:lineRule="auto"/>
              <w:jc w:val="both"/>
            </w:pPr>
            <w:r w:rsidRPr="001B188B">
              <w:t>(0.85–2.81)</w:t>
            </w:r>
          </w:p>
        </w:tc>
      </w:tr>
      <w:tr w:rsidR="00FE6E20" w:rsidRPr="001B188B" w14:paraId="59F6029C" w14:textId="77777777" w:rsidTr="00BD55E1">
        <w:trPr>
          <w:trHeight w:val="20"/>
        </w:trPr>
        <w:tc>
          <w:tcPr>
            <w:tcW w:w="2689" w:type="dxa"/>
            <w:hideMark/>
          </w:tcPr>
          <w:p w14:paraId="37491FBE" w14:textId="6B4DAE74" w:rsidR="00FE6E20" w:rsidRPr="001B188B" w:rsidRDefault="00FE6E20" w:rsidP="006C25CF">
            <w:pPr>
              <w:spacing w:before="0" w:after="0" w:line="276" w:lineRule="auto"/>
              <w:jc w:val="both"/>
            </w:pPr>
            <w:r w:rsidRPr="001B188B">
              <w:t>Low</w:t>
            </w:r>
            <w:r w:rsidR="00773341" w:rsidRPr="001B188B">
              <w:t xml:space="preserve"> Brith Weight</w:t>
            </w:r>
            <w:r w:rsidRPr="001B188B">
              <w:t xml:space="preserve"> </w:t>
            </w:r>
          </w:p>
        </w:tc>
        <w:tc>
          <w:tcPr>
            <w:tcW w:w="1971" w:type="dxa"/>
            <w:hideMark/>
          </w:tcPr>
          <w:p w14:paraId="0B5384DB" w14:textId="77777777" w:rsidR="00FE6E20" w:rsidRPr="001B188B" w:rsidRDefault="00FE6E20" w:rsidP="006C25CF">
            <w:pPr>
              <w:spacing w:before="0" w:after="0" w:line="276" w:lineRule="auto"/>
              <w:jc w:val="both"/>
            </w:pPr>
            <w:r w:rsidRPr="001B188B">
              <w:t xml:space="preserve">0.85 </w:t>
            </w:r>
          </w:p>
          <w:p w14:paraId="1E1C8E51" w14:textId="77777777" w:rsidR="00FE6E20" w:rsidRPr="001B188B" w:rsidRDefault="00FE6E20" w:rsidP="006C25CF">
            <w:pPr>
              <w:spacing w:before="0" w:after="0" w:line="276" w:lineRule="auto"/>
              <w:jc w:val="both"/>
            </w:pPr>
            <w:r w:rsidRPr="001B188B">
              <w:t>(0.52–1.37)</w:t>
            </w:r>
          </w:p>
        </w:tc>
        <w:tc>
          <w:tcPr>
            <w:tcW w:w="1971" w:type="dxa"/>
            <w:hideMark/>
          </w:tcPr>
          <w:p w14:paraId="488C7B36" w14:textId="77777777" w:rsidR="00FE6E20" w:rsidRPr="001B188B" w:rsidRDefault="00FE6E20" w:rsidP="006C25CF">
            <w:pPr>
              <w:spacing w:before="0" w:after="0" w:line="276" w:lineRule="auto"/>
              <w:jc w:val="both"/>
            </w:pPr>
            <w:r w:rsidRPr="001B188B">
              <w:t xml:space="preserve">0.86 </w:t>
            </w:r>
          </w:p>
          <w:p w14:paraId="505FB2E3" w14:textId="77777777" w:rsidR="00FE6E20" w:rsidRPr="001B188B" w:rsidRDefault="00FE6E20" w:rsidP="006C25CF">
            <w:pPr>
              <w:spacing w:before="0" w:after="0" w:line="276" w:lineRule="auto"/>
              <w:jc w:val="both"/>
            </w:pPr>
            <w:r w:rsidRPr="001B188B">
              <w:t>(0.53–1.39)</w:t>
            </w:r>
          </w:p>
        </w:tc>
        <w:tc>
          <w:tcPr>
            <w:tcW w:w="1971" w:type="dxa"/>
            <w:hideMark/>
          </w:tcPr>
          <w:p w14:paraId="025E9A5E" w14:textId="77777777" w:rsidR="00FE6E20" w:rsidRPr="001B188B" w:rsidRDefault="00FE6E20" w:rsidP="006C25CF">
            <w:pPr>
              <w:spacing w:before="0" w:after="0" w:line="276" w:lineRule="auto"/>
              <w:jc w:val="both"/>
            </w:pPr>
            <w:r w:rsidRPr="001B188B">
              <w:t xml:space="preserve">0.87 </w:t>
            </w:r>
          </w:p>
          <w:p w14:paraId="0254AAD8" w14:textId="77777777" w:rsidR="00FE6E20" w:rsidRPr="001B188B" w:rsidRDefault="00FE6E20" w:rsidP="006C25CF">
            <w:pPr>
              <w:spacing w:before="0" w:after="0" w:line="276" w:lineRule="auto"/>
              <w:jc w:val="both"/>
            </w:pPr>
            <w:r w:rsidRPr="001B188B">
              <w:t>(0.53–1.41)</w:t>
            </w:r>
          </w:p>
        </w:tc>
        <w:tc>
          <w:tcPr>
            <w:tcW w:w="1972" w:type="dxa"/>
            <w:hideMark/>
          </w:tcPr>
          <w:p w14:paraId="052AD7C6" w14:textId="77777777" w:rsidR="00FE6E20" w:rsidRPr="001B188B" w:rsidRDefault="00FE6E20" w:rsidP="006C25CF">
            <w:pPr>
              <w:spacing w:before="0" w:after="0" w:line="276" w:lineRule="auto"/>
              <w:jc w:val="both"/>
            </w:pPr>
            <w:r w:rsidRPr="001B188B">
              <w:t xml:space="preserve">0.86 </w:t>
            </w:r>
          </w:p>
          <w:p w14:paraId="57A46CFD" w14:textId="77777777" w:rsidR="00FE6E20" w:rsidRPr="001B188B" w:rsidRDefault="00FE6E20" w:rsidP="006C25CF">
            <w:pPr>
              <w:spacing w:before="0" w:after="0" w:line="276" w:lineRule="auto"/>
              <w:jc w:val="both"/>
            </w:pPr>
            <w:r w:rsidRPr="001B188B">
              <w:t>(0.53–1.40)</w:t>
            </w:r>
          </w:p>
        </w:tc>
      </w:tr>
      <w:tr w:rsidR="00FE6E20" w:rsidRPr="001B188B" w14:paraId="192AC462" w14:textId="77777777" w:rsidTr="00FC757F">
        <w:trPr>
          <w:trHeight w:val="20"/>
        </w:trPr>
        <w:tc>
          <w:tcPr>
            <w:tcW w:w="0" w:type="auto"/>
            <w:gridSpan w:val="5"/>
            <w:noWrap/>
            <w:hideMark/>
          </w:tcPr>
          <w:p w14:paraId="4DCEFF73" w14:textId="45E04B1E" w:rsidR="00FE6E20" w:rsidRPr="001B188B" w:rsidRDefault="00FE6E20" w:rsidP="006C25CF">
            <w:pPr>
              <w:spacing w:before="0" w:after="0" w:line="276" w:lineRule="auto"/>
              <w:jc w:val="both"/>
              <w:rPr>
                <w:b/>
                <w:bCs/>
                <w:i/>
                <w:iCs/>
              </w:rPr>
            </w:pPr>
            <w:r w:rsidRPr="001B188B">
              <w:rPr>
                <w:b/>
                <w:bCs/>
                <w:i/>
                <w:iCs/>
              </w:rPr>
              <w:t xml:space="preserve">Gestational Age (Ref: </w:t>
            </w:r>
            <w:r w:rsidR="00ED5DD0" w:rsidRPr="001B188B">
              <w:rPr>
                <w:b/>
                <w:bCs/>
                <w:i/>
                <w:iCs/>
              </w:rPr>
              <w:t>Full Term)</w:t>
            </w:r>
          </w:p>
        </w:tc>
      </w:tr>
      <w:tr w:rsidR="00FE6E20" w:rsidRPr="001B188B" w14:paraId="56B4939B" w14:textId="77777777" w:rsidTr="00BD55E1">
        <w:trPr>
          <w:trHeight w:val="20"/>
        </w:trPr>
        <w:tc>
          <w:tcPr>
            <w:tcW w:w="2689" w:type="dxa"/>
            <w:hideMark/>
          </w:tcPr>
          <w:p w14:paraId="484C26AA" w14:textId="77777777" w:rsidR="00FE6E20" w:rsidRPr="001B188B" w:rsidRDefault="00FE6E20" w:rsidP="006C25CF">
            <w:pPr>
              <w:spacing w:before="0" w:after="0" w:line="276" w:lineRule="auto"/>
              <w:jc w:val="both"/>
            </w:pPr>
            <w:r w:rsidRPr="001B188B">
              <w:t>Extreme Pr</w:t>
            </w:r>
            <w:r w:rsidR="00ED5DD0" w:rsidRPr="001B188B">
              <w:t xml:space="preserve">eterm </w:t>
            </w:r>
          </w:p>
          <w:p w14:paraId="18BCA2C5" w14:textId="30A7E599" w:rsidR="00427180" w:rsidRPr="001B188B" w:rsidRDefault="00427180" w:rsidP="006C25CF">
            <w:pPr>
              <w:spacing w:before="0" w:after="0" w:line="276" w:lineRule="auto"/>
              <w:jc w:val="both"/>
            </w:pPr>
          </w:p>
        </w:tc>
        <w:tc>
          <w:tcPr>
            <w:tcW w:w="1971" w:type="dxa"/>
            <w:hideMark/>
          </w:tcPr>
          <w:p w14:paraId="17BD17C4" w14:textId="77777777" w:rsidR="00FE6E20" w:rsidRPr="001B188B" w:rsidRDefault="00FE6E20" w:rsidP="006C25CF">
            <w:pPr>
              <w:spacing w:before="0" w:after="0" w:line="276" w:lineRule="auto"/>
              <w:jc w:val="both"/>
            </w:pPr>
            <w:r w:rsidRPr="001B188B">
              <w:t xml:space="preserve">3.35*** </w:t>
            </w:r>
          </w:p>
          <w:p w14:paraId="4C457685" w14:textId="77777777" w:rsidR="00FE6E20" w:rsidRPr="001B188B" w:rsidRDefault="00FE6E20" w:rsidP="006C25CF">
            <w:pPr>
              <w:spacing w:before="0" w:after="0" w:line="276" w:lineRule="auto"/>
              <w:jc w:val="both"/>
            </w:pPr>
            <w:r w:rsidRPr="001B188B">
              <w:t>(1.62–6.89)</w:t>
            </w:r>
          </w:p>
        </w:tc>
        <w:tc>
          <w:tcPr>
            <w:tcW w:w="1971" w:type="dxa"/>
            <w:hideMark/>
          </w:tcPr>
          <w:p w14:paraId="1FE0AEA0" w14:textId="77777777" w:rsidR="00FE6E20" w:rsidRPr="001B188B" w:rsidRDefault="00FE6E20" w:rsidP="006C25CF">
            <w:pPr>
              <w:spacing w:before="0" w:after="0" w:line="276" w:lineRule="auto"/>
              <w:jc w:val="both"/>
            </w:pPr>
            <w:r w:rsidRPr="001B188B">
              <w:t xml:space="preserve">3.29*** </w:t>
            </w:r>
          </w:p>
          <w:p w14:paraId="0997EF98" w14:textId="77777777" w:rsidR="00FE6E20" w:rsidRPr="001B188B" w:rsidRDefault="00FE6E20" w:rsidP="006C25CF">
            <w:pPr>
              <w:spacing w:before="0" w:after="0" w:line="276" w:lineRule="auto"/>
              <w:jc w:val="both"/>
            </w:pPr>
            <w:r w:rsidRPr="001B188B">
              <w:t>(1.60–6.74)</w:t>
            </w:r>
          </w:p>
        </w:tc>
        <w:tc>
          <w:tcPr>
            <w:tcW w:w="1971" w:type="dxa"/>
            <w:hideMark/>
          </w:tcPr>
          <w:p w14:paraId="24CF47ED" w14:textId="77777777" w:rsidR="00FE6E20" w:rsidRPr="001B188B" w:rsidRDefault="00FE6E20" w:rsidP="006C25CF">
            <w:pPr>
              <w:spacing w:before="0" w:after="0" w:line="276" w:lineRule="auto"/>
              <w:jc w:val="both"/>
            </w:pPr>
            <w:r w:rsidRPr="001B188B">
              <w:t>3.43***</w:t>
            </w:r>
          </w:p>
          <w:p w14:paraId="3F07214B" w14:textId="77777777" w:rsidR="00FE6E20" w:rsidRPr="001B188B" w:rsidRDefault="00FE6E20" w:rsidP="006C25CF">
            <w:pPr>
              <w:spacing w:before="0" w:after="0" w:line="276" w:lineRule="auto"/>
              <w:jc w:val="both"/>
            </w:pPr>
            <w:r w:rsidRPr="001B188B">
              <w:t xml:space="preserve"> (1.68–7.03)</w:t>
            </w:r>
          </w:p>
        </w:tc>
        <w:tc>
          <w:tcPr>
            <w:tcW w:w="1972" w:type="dxa"/>
            <w:noWrap/>
            <w:hideMark/>
          </w:tcPr>
          <w:p w14:paraId="0F951E0E" w14:textId="77777777" w:rsidR="00FE6E20" w:rsidRPr="001B188B" w:rsidRDefault="00FE6E20" w:rsidP="006C25CF">
            <w:pPr>
              <w:spacing w:before="0" w:after="0" w:line="276" w:lineRule="auto"/>
              <w:jc w:val="both"/>
            </w:pPr>
            <w:r w:rsidRPr="001B188B">
              <w:t xml:space="preserve">3.35*** </w:t>
            </w:r>
          </w:p>
          <w:p w14:paraId="66AEB076" w14:textId="77777777" w:rsidR="00FE6E20" w:rsidRPr="001B188B" w:rsidRDefault="00FE6E20" w:rsidP="006C25CF">
            <w:pPr>
              <w:spacing w:before="0" w:after="0" w:line="276" w:lineRule="auto"/>
              <w:jc w:val="both"/>
            </w:pPr>
            <w:r w:rsidRPr="001B188B">
              <w:t>(1.64–6.87)</w:t>
            </w:r>
          </w:p>
        </w:tc>
      </w:tr>
      <w:tr w:rsidR="00FE6E20" w:rsidRPr="001B188B" w14:paraId="42B66D48" w14:textId="77777777" w:rsidTr="00BD55E1">
        <w:trPr>
          <w:trHeight w:val="20"/>
        </w:trPr>
        <w:tc>
          <w:tcPr>
            <w:tcW w:w="2689" w:type="dxa"/>
            <w:hideMark/>
          </w:tcPr>
          <w:p w14:paraId="688F7AFF" w14:textId="6C7FCB55" w:rsidR="00FE6E20" w:rsidRPr="001B188B" w:rsidRDefault="009F143A" w:rsidP="006C25CF">
            <w:pPr>
              <w:spacing w:before="0" w:after="0" w:line="276" w:lineRule="auto"/>
              <w:jc w:val="both"/>
            </w:pPr>
            <w:r w:rsidRPr="001B188B">
              <w:t>Pre</w:t>
            </w:r>
            <w:r w:rsidR="00ED5DD0" w:rsidRPr="001B188B">
              <w:t xml:space="preserve">term </w:t>
            </w:r>
          </w:p>
        </w:tc>
        <w:tc>
          <w:tcPr>
            <w:tcW w:w="1971" w:type="dxa"/>
            <w:hideMark/>
          </w:tcPr>
          <w:p w14:paraId="636E72BC" w14:textId="77777777" w:rsidR="00FE6E20" w:rsidRPr="001B188B" w:rsidRDefault="00FE6E20" w:rsidP="006C25CF">
            <w:pPr>
              <w:spacing w:before="0" w:after="0" w:line="276" w:lineRule="auto"/>
              <w:jc w:val="both"/>
            </w:pPr>
            <w:r w:rsidRPr="001B188B">
              <w:t xml:space="preserve">1.48 </w:t>
            </w:r>
          </w:p>
          <w:p w14:paraId="1F3477EE" w14:textId="77777777" w:rsidR="00FE6E20" w:rsidRPr="001B188B" w:rsidRDefault="00FE6E20" w:rsidP="006C25CF">
            <w:pPr>
              <w:spacing w:before="0" w:after="0" w:line="276" w:lineRule="auto"/>
              <w:jc w:val="both"/>
            </w:pPr>
            <w:r w:rsidRPr="001B188B">
              <w:t>(0.93–2.36)</w:t>
            </w:r>
          </w:p>
        </w:tc>
        <w:tc>
          <w:tcPr>
            <w:tcW w:w="1971" w:type="dxa"/>
            <w:hideMark/>
          </w:tcPr>
          <w:p w14:paraId="3AE9B2F0" w14:textId="77777777" w:rsidR="00FE6E20" w:rsidRPr="001B188B" w:rsidRDefault="00FE6E20" w:rsidP="006C25CF">
            <w:pPr>
              <w:spacing w:before="0" w:after="0" w:line="276" w:lineRule="auto"/>
              <w:jc w:val="both"/>
            </w:pPr>
            <w:r w:rsidRPr="001B188B">
              <w:t xml:space="preserve">1.48 </w:t>
            </w:r>
          </w:p>
          <w:p w14:paraId="328273FC" w14:textId="77777777" w:rsidR="00FE6E20" w:rsidRPr="001B188B" w:rsidRDefault="00FE6E20" w:rsidP="006C25CF">
            <w:pPr>
              <w:spacing w:before="0" w:after="0" w:line="276" w:lineRule="auto"/>
              <w:jc w:val="both"/>
            </w:pPr>
            <w:r w:rsidRPr="001B188B">
              <w:t>(0.92–2.36)</w:t>
            </w:r>
          </w:p>
        </w:tc>
        <w:tc>
          <w:tcPr>
            <w:tcW w:w="1971" w:type="dxa"/>
            <w:hideMark/>
          </w:tcPr>
          <w:p w14:paraId="51A8595F" w14:textId="77777777" w:rsidR="00FE6E20" w:rsidRPr="001B188B" w:rsidRDefault="00FE6E20" w:rsidP="006C25CF">
            <w:pPr>
              <w:spacing w:before="0" w:after="0" w:line="276" w:lineRule="auto"/>
              <w:jc w:val="both"/>
            </w:pPr>
            <w:r w:rsidRPr="001B188B">
              <w:t xml:space="preserve">1.50 </w:t>
            </w:r>
          </w:p>
          <w:p w14:paraId="42796EA6" w14:textId="77777777" w:rsidR="00FE6E20" w:rsidRPr="001B188B" w:rsidRDefault="00FE6E20" w:rsidP="006C25CF">
            <w:pPr>
              <w:spacing w:before="0" w:after="0" w:line="276" w:lineRule="auto"/>
              <w:jc w:val="both"/>
            </w:pPr>
            <w:r w:rsidRPr="001B188B">
              <w:t>(0.93–2.40)</w:t>
            </w:r>
          </w:p>
        </w:tc>
        <w:tc>
          <w:tcPr>
            <w:tcW w:w="1972" w:type="dxa"/>
            <w:hideMark/>
          </w:tcPr>
          <w:p w14:paraId="4796A7AD" w14:textId="77777777" w:rsidR="00FE6E20" w:rsidRPr="001B188B" w:rsidRDefault="00FE6E20" w:rsidP="006C25CF">
            <w:pPr>
              <w:spacing w:before="0" w:after="0" w:line="276" w:lineRule="auto"/>
              <w:jc w:val="both"/>
            </w:pPr>
            <w:r w:rsidRPr="001B188B">
              <w:t xml:space="preserve">1.48 </w:t>
            </w:r>
          </w:p>
          <w:p w14:paraId="79AB7BB9" w14:textId="77777777" w:rsidR="00FE6E20" w:rsidRPr="001B188B" w:rsidRDefault="00FE6E20" w:rsidP="006C25CF">
            <w:pPr>
              <w:spacing w:before="0" w:after="0" w:line="276" w:lineRule="auto"/>
              <w:jc w:val="both"/>
            </w:pPr>
            <w:r w:rsidRPr="001B188B">
              <w:t>(0.93–2.37)</w:t>
            </w:r>
          </w:p>
        </w:tc>
      </w:tr>
      <w:tr w:rsidR="00FE6E20" w:rsidRPr="001B188B" w14:paraId="5559EF35" w14:textId="77777777" w:rsidTr="00FC757F">
        <w:trPr>
          <w:trHeight w:val="20"/>
        </w:trPr>
        <w:tc>
          <w:tcPr>
            <w:tcW w:w="0" w:type="auto"/>
            <w:gridSpan w:val="5"/>
            <w:noWrap/>
            <w:hideMark/>
          </w:tcPr>
          <w:p w14:paraId="6B8B2D68" w14:textId="5EFD84D8" w:rsidR="00FE6E20" w:rsidRPr="001B188B" w:rsidRDefault="00DF34B4" w:rsidP="006C25CF">
            <w:pPr>
              <w:spacing w:before="0" w:after="0" w:line="276" w:lineRule="auto"/>
              <w:jc w:val="both"/>
              <w:rPr>
                <w:b/>
                <w:bCs/>
                <w:i/>
                <w:iCs/>
              </w:rPr>
            </w:pPr>
            <w:r w:rsidRPr="001B188B">
              <w:rPr>
                <w:b/>
                <w:bCs/>
                <w:i/>
                <w:iCs/>
              </w:rPr>
              <w:t xml:space="preserve">Breast feeding within one hour </w:t>
            </w:r>
            <w:r w:rsidR="00FE6E20" w:rsidRPr="001B188B">
              <w:rPr>
                <w:b/>
                <w:bCs/>
                <w:i/>
                <w:iCs/>
              </w:rPr>
              <w:t>(Ref: Yes)</w:t>
            </w:r>
          </w:p>
        </w:tc>
      </w:tr>
      <w:tr w:rsidR="00FE6E20" w:rsidRPr="001B188B" w14:paraId="2A3D07D3" w14:textId="77777777" w:rsidTr="00BD55E1">
        <w:trPr>
          <w:trHeight w:val="20"/>
        </w:trPr>
        <w:tc>
          <w:tcPr>
            <w:tcW w:w="2689" w:type="dxa"/>
            <w:hideMark/>
          </w:tcPr>
          <w:p w14:paraId="763AAAFA" w14:textId="77777777" w:rsidR="00FE6E20" w:rsidRPr="001B188B" w:rsidRDefault="00FE6E20" w:rsidP="006C25CF">
            <w:pPr>
              <w:spacing w:before="0" w:after="0" w:line="276" w:lineRule="auto"/>
              <w:jc w:val="both"/>
            </w:pPr>
            <w:r w:rsidRPr="001B188B">
              <w:t>No</w:t>
            </w:r>
          </w:p>
        </w:tc>
        <w:tc>
          <w:tcPr>
            <w:tcW w:w="1971" w:type="dxa"/>
            <w:hideMark/>
          </w:tcPr>
          <w:p w14:paraId="43BE3A26" w14:textId="77777777" w:rsidR="00FE6E20" w:rsidRPr="001B188B" w:rsidRDefault="00FE6E20" w:rsidP="006C25CF">
            <w:pPr>
              <w:spacing w:before="0" w:after="0" w:line="276" w:lineRule="auto"/>
              <w:jc w:val="both"/>
            </w:pPr>
            <w:r w:rsidRPr="001B188B">
              <w:t xml:space="preserve">1.33 </w:t>
            </w:r>
          </w:p>
          <w:p w14:paraId="73C98B0F" w14:textId="77777777" w:rsidR="00FE6E20" w:rsidRPr="001B188B" w:rsidRDefault="00FE6E20" w:rsidP="006C25CF">
            <w:pPr>
              <w:spacing w:before="0" w:after="0" w:line="276" w:lineRule="auto"/>
              <w:jc w:val="both"/>
            </w:pPr>
            <w:r w:rsidRPr="001B188B">
              <w:t>(0.71–2.48)</w:t>
            </w:r>
          </w:p>
        </w:tc>
        <w:tc>
          <w:tcPr>
            <w:tcW w:w="1971" w:type="dxa"/>
            <w:hideMark/>
          </w:tcPr>
          <w:p w14:paraId="15E8B4B0" w14:textId="77777777" w:rsidR="00FE6E20" w:rsidRPr="001B188B" w:rsidRDefault="00FE6E20" w:rsidP="006C25CF">
            <w:pPr>
              <w:spacing w:before="0" w:after="0" w:line="276" w:lineRule="auto"/>
              <w:jc w:val="both"/>
            </w:pPr>
            <w:r w:rsidRPr="001B188B">
              <w:t xml:space="preserve">1.36 </w:t>
            </w:r>
          </w:p>
          <w:p w14:paraId="1B688FB1" w14:textId="77777777" w:rsidR="00FE6E20" w:rsidRPr="001B188B" w:rsidRDefault="00FE6E20" w:rsidP="006C25CF">
            <w:pPr>
              <w:spacing w:before="0" w:after="0" w:line="276" w:lineRule="auto"/>
              <w:jc w:val="both"/>
            </w:pPr>
            <w:r w:rsidRPr="001B188B">
              <w:t>(0.73–2.53)</w:t>
            </w:r>
          </w:p>
        </w:tc>
        <w:tc>
          <w:tcPr>
            <w:tcW w:w="1971" w:type="dxa"/>
            <w:hideMark/>
          </w:tcPr>
          <w:p w14:paraId="155D4548" w14:textId="77777777" w:rsidR="00FE6E20" w:rsidRPr="001B188B" w:rsidRDefault="00FE6E20" w:rsidP="006C25CF">
            <w:pPr>
              <w:spacing w:before="0" w:after="0" w:line="276" w:lineRule="auto"/>
              <w:jc w:val="both"/>
            </w:pPr>
            <w:r w:rsidRPr="001B188B">
              <w:t xml:space="preserve">1.37 </w:t>
            </w:r>
          </w:p>
          <w:p w14:paraId="363795AD" w14:textId="77777777" w:rsidR="00FE6E20" w:rsidRPr="001B188B" w:rsidRDefault="00FE6E20" w:rsidP="006C25CF">
            <w:pPr>
              <w:spacing w:before="0" w:after="0" w:line="276" w:lineRule="auto"/>
              <w:jc w:val="both"/>
            </w:pPr>
            <w:r w:rsidRPr="001B188B">
              <w:t>(0.73–2.55)</w:t>
            </w:r>
          </w:p>
        </w:tc>
        <w:tc>
          <w:tcPr>
            <w:tcW w:w="1972" w:type="dxa"/>
            <w:hideMark/>
          </w:tcPr>
          <w:p w14:paraId="0D75E25F" w14:textId="77777777" w:rsidR="00FE6E20" w:rsidRPr="001B188B" w:rsidRDefault="00FE6E20" w:rsidP="006C25CF">
            <w:pPr>
              <w:spacing w:before="0" w:after="0" w:line="276" w:lineRule="auto"/>
              <w:jc w:val="both"/>
            </w:pPr>
            <w:r w:rsidRPr="001B188B">
              <w:t xml:space="preserve">1.36 </w:t>
            </w:r>
          </w:p>
          <w:p w14:paraId="7E7A05CA" w14:textId="77777777" w:rsidR="00FE6E20" w:rsidRPr="001B188B" w:rsidRDefault="00FE6E20" w:rsidP="006C25CF">
            <w:pPr>
              <w:spacing w:before="0" w:after="0" w:line="276" w:lineRule="auto"/>
              <w:jc w:val="both"/>
            </w:pPr>
            <w:r w:rsidRPr="001B188B">
              <w:t>(0.73–2.53)</w:t>
            </w:r>
          </w:p>
        </w:tc>
      </w:tr>
      <w:tr w:rsidR="00FE6E20" w:rsidRPr="001B188B" w14:paraId="053849EF" w14:textId="77777777" w:rsidTr="00FC757F">
        <w:trPr>
          <w:trHeight w:val="20"/>
        </w:trPr>
        <w:tc>
          <w:tcPr>
            <w:tcW w:w="0" w:type="auto"/>
            <w:gridSpan w:val="5"/>
            <w:noWrap/>
            <w:hideMark/>
          </w:tcPr>
          <w:p w14:paraId="026203CC" w14:textId="77777777" w:rsidR="00FE6E20" w:rsidRPr="001B188B" w:rsidRDefault="00FE6E20" w:rsidP="006C25CF">
            <w:pPr>
              <w:spacing w:before="0" w:after="0" w:line="276" w:lineRule="auto"/>
              <w:jc w:val="both"/>
            </w:pPr>
            <w:r w:rsidRPr="001B188B">
              <w:rPr>
                <w:b/>
                <w:bCs/>
                <w:i/>
                <w:iCs/>
              </w:rPr>
              <w:t>Gravida of Mother (Ref: Primigravida)</w:t>
            </w:r>
          </w:p>
        </w:tc>
      </w:tr>
      <w:tr w:rsidR="00FE6E20" w:rsidRPr="001B188B" w14:paraId="3AF84132" w14:textId="77777777" w:rsidTr="00BD55E1">
        <w:trPr>
          <w:trHeight w:val="20"/>
        </w:trPr>
        <w:tc>
          <w:tcPr>
            <w:tcW w:w="2689" w:type="dxa"/>
            <w:hideMark/>
          </w:tcPr>
          <w:p w14:paraId="5B78F85E" w14:textId="77777777" w:rsidR="00FE6E20" w:rsidRPr="001B188B" w:rsidRDefault="00FE6E20" w:rsidP="006C25CF">
            <w:pPr>
              <w:spacing w:before="0" w:after="0" w:line="276" w:lineRule="auto"/>
              <w:jc w:val="both"/>
            </w:pPr>
            <w:r w:rsidRPr="001B188B">
              <w:t>Multigravida</w:t>
            </w:r>
          </w:p>
        </w:tc>
        <w:tc>
          <w:tcPr>
            <w:tcW w:w="1971" w:type="dxa"/>
            <w:hideMark/>
          </w:tcPr>
          <w:p w14:paraId="4ADD14DE" w14:textId="77777777" w:rsidR="00FE6E20" w:rsidRPr="001B188B" w:rsidRDefault="00FE6E20" w:rsidP="006C25CF">
            <w:pPr>
              <w:spacing w:before="0" w:after="0" w:line="276" w:lineRule="auto"/>
              <w:jc w:val="both"/>
            </w:pPr>
            <w:r w:rsidRPr="001B188B">
              <w:t xml:space="preserve">1.43* </w:t>
            </w:r>
          </w:p>
          <w:p w14:paraId="1E765454" w14:textId="77777777" w:rsidR="00FE6E20" w:rsidRPr="001B188B" w:rsidRDefault="00FE6E20" w:rsidP="006C25CF">
            <w:pPr>
              <w:spacing w:before="0" w:after="0" w:line="276" w:lineRule="auto"/>
              <w:jc w:val="both"/>
            </w:pPr>
            <w:r w:rsidRPr="001B188B">
              <w:t>(1.01–2.03)</w:t>
            </w:r>
          </w:p>
        </w:tc>
        <w:tc>
          <w:tcPr>
            <w:tcW w:w="1971" w:type="dxa"/>
            <w:hideMark/>
          </w:tcPr>
          <w:p w14:paraId="3C8DDF86" w14:textId="77777777" w:rsidR="00FE6E20" w:rsidRPr="001B188B" w:rsidRDefault="00FE6E20" w:rsidP="006C25CF">
            <w:pPr>
              <w:spacing w:before="0" w:after="0" w:line="276" w:lineRule="auto"/>
              <w:jc w:val="both"/>
            </w:pPr>
            <w:r w:rsidRPr="001B188B">
              <w:t xml:space="preserve">1.45* </w:t>
            </w:r>
          </w:p>
          <w:p w14:paraId="29C4FCAF" w14:textId="77777777" w:rsidR="00FE6E20" w:rsidRPr="001B188B" w:rsidRDefault="00FE6E20" w:rsidP="006C25CF">
            <w:pPr>
              <w:spacing w:before="0" w:after="0" w:line="276" w:lineRule="auto"/>
              <w:jc w:val="both"/>
            </w:pPr>
            <w:r w:rsidRPr="001B188B">
              <w:t>(1.02–2.05)</w:t>
            </w:r>
          </w:p>
        </w:tc>
        <w:tc>
          <w:tcPr>
            <w:tcW w:w="1971" w:type="dxa"/>
            <w:hideMark/>
          </w:tcPr>
          <w:p w14:paraId="051E99B9" w14:textId="77777777" w:rsidR="00FE6E20" w:rsidRPr="001B188B" w:rsidRDefault="00FE6E20" w:rsidP="006C25CF">
            <w:pPr>
              <w:spacing w:before="0" w:after="0" w:line="276" w:lineRule="auto"/>
              <w:jc w:val="both"/>
            </w:pPr>
            <w:r w:rsidRPr="001B188B">
              <w:t xml:space="preserve">1.47* </w:t>
            </w:r>
          </w:p>
          <w:p w14:paraId="01FC0103" w14:textId="77777777" w:rsidR="00FE6E20" w:rsidRPr="001B188B" w:rsidRDefault="00FE6E20" w:rsidP="006C25CF">
            <w:pPr>
              <w:spacing w:before="0" w:after="0" w:line="276" w:lineRule="auto"/>
              <w:jc w:val="both"/>
            </w:pPr>
            <w:r w:rsidRPr="001B188B">
              <w:t>(1.04–2.09)</w:t>
            </w:r>
          </w:p>
        </w:tc>
        <w:tc>
          <w:tcPr>
            <w:tcW w:w="1972" w:type="dxa"/>
            <w:noWrap/>
            <w:hideMark/>
          </w:tcPr>
          <w:p w14:paraId="3BBF8969" w14:textId="77777777" w:rsidR="00FE6E20" w:rsidRPr="001B188B" w:rsidRDefault="00FE6E20" w:rsidP="006C25CF">
            <w:pPr>
              <w:spacing w:before="0" w:after="0" w:line="276" w:lineRule="auto"/>
              <w:jc w:val="both"/>
            </w:pPr>
            <w:r w:rsidRPr="001B188B">
              <w:t xml:space="preserve">1.45* </w:t>
            </w:r>
          </w:p>
          <w:p w14:paraId="3E075943" w14:textId="77777777" w:rsidR="00FE6E20" w:rsidRPr="001B188B" w:rsidRDefault="00FE6E20" w:rsidP="006C25CF">
            <w:pPr>
              <w:spacing w:before="0" w:after="0" w:line="276" w:lineRule="auto"/>
              <w:jc w:val="both"/>
            </w:pPr>
            <w:r w:rsidRPr="001B188B">
              <w:t>(1.02–2.06)</w:t>
            </w:r>
          </w:p>
        </w:tc>
      </w:tr>
      <w:tr w:rsidR="00FE6E20" w:rsidRPr="001B188B" w14:paraId="0BB0AA4C" w14:textId="77777777" w:rsidTr="00FC757F">
        <w:trPr>
          <w:trHeight w:val="20"/>
        </w:trPr>
        <w:tc>
          <w:tcPr>
            <w:tcW w:w="0" w:type="auto"/>
            <w:gridSpan w:val="5"/>
            <w:noWrap/>
            <w:hideMark/>
          </w:tcPr>
          <w:p w14:paraId="60E9FD8B" w14:textId="77777777" w:rsidR="00FE6E20" w:rsidRPr="001B188B" w:rsidRDefault="00FE6E20" w:rsidP="006C25CF">
            <w:pPr>
              <w:spacing w:before="0" w:after="0" w:line="276" w:lineRule="auto"/>
              <w:jc w:val="both"/>
            </w:pPr>
            <w:r w:rsidRPr="001B188B">
              <w:rPr>
                <w:b/>
                <w:bCs/>
                <w:i/>
                <w:iCs/>
              </w:rPr>
              <w:t>Maternal Age (Ref: 25–30 Years)</w:t>
            </w:r>
          </w:p>
        </w:tc>
      </w:tr>
      <w:tr w:rsidR="00FE6E20" w:rsidRPr="001B188B" w14:paraId="559E95B0" w14:textId="77777777" w:rsidTr="00BD55E1">
        <w:trPr>
          <w:trHeight w:val="20"/>
        </w:trPr>
        <w:tc>
          <w:tcPr>
            <w:tcW w:w="2689" w:type="dxa"/>
            <w:hideMark/>
          </w:tcPr>
          <w:p w14:paraId="1381CF33" w14:textId="77777777" w:rsidR="00FE6E20" w:rsidRPr="001B188B" w:rsidRDefault="00FE6E20" w:rsidP="006C25CF">
            <w:pPr>
              <w:spacing w:before="0" w:after="0" w:line="276" w:lineRule="auto"/>
              <w:jc w:val="both"/>
            </w:pPr>
            <w:r w:rsidRPr="001B188B">
              <w:t>17–24 Years</w:t>
            </w:r>
          </w:p>
        </w:tc>
        <w:tc>
          <w:tcPr>
            <w:tcW w:w="1971" w:type="dxa"/>
            <w:hideMark/>
          </w:tcPr>
          <w:p w14:paraId="75F683BB" w14:textId="77777777" w:rsidR="00FE6E20" w:rsidRPr="001B188B" w:rsidRDefault="00FE6E20" w:rsidP="006C25CF">
            <w:pPr>
              <w:spacing w:before="0" w:after="0" w:line="276" w:lineRule="auto"/>
              <w:jc w:val="both"/>
            </w:pPr>
            <w:r w:rsidRPr="001B188B">
              <w:t xml:space="preserve">0.98 </w:t>
            </w:r>
          </w:p>
          <w:p w14:paraId="0D28A395" w14:textId="77777777" w:rsidR="00FE6E20" w:rsidRPr="001B188B" w:rsidRDefault="00FE6E20" w:rsidP="006C25CF">
            <w:pPr>
              <w:spacing w:before="0" w:after="0" w:line="276" w:lineRule="auto"/>
              <w:jc w:val="both"/>
            </w:pPr>
            <w:r w:rsidRPr="001B188B">
              <w:t>(0.66–1.46)</w:t>
            </w:r>
          </w:p>
        </w:tc>
        <w:tc>
          <w:tcPr>
            <w:tcW w:w="1971" w:type="dxa"/>
            <w:hideMark/>
          </w:tcPr>
          <w:p w14:paraId="6B184E56" w14:textId="77777777" w:rsidR="00FE6E20" w:rsidRPr="001B188B" w:rsidRDefault="00FE6E20" w:rsidP="006C25CF">
            <w:pPr>
              <w:spacing w:before="0" w:after="0" w:line="276" w:lineRule="auto"/>
              <w:jc w:val="both"/>
            </w:pPr>
            <w:r w:rsidRPr="001B188B">
              <w:t xml:space="preserve">0.97 </w:t>
            </w:r>
          </w:p>
          <w:p w14:paraId="1E8236D3" w14:textId="77777777" w:rsidR="00FE6E20" w:rsidRPr="001B188B" w:rsidRDefault="00FE6E20" w:rsidP="006C25CF">
            <w:pPr>
              <w:spacing w:before="0" w:after="0" w:line="276" w:lineRule="auto"/>
              <w:jc w:val="both"/>
            </w:pPr>
            <w:r w:rsidRPr="001B188B">
              <w:t>(0.65–1.45)</w:t>
            </w:r>
          </w:p>
        </w:tc>
        <w:tc>
          <w:tcPr>
            <w:tcW w:w="1971" w:type="dxa"/>
            <w:hideMark/>
          </w:tcPr>
          <w:p w14:paraId="047E009E" w14:textId="77777777" w:rsidR="00FE6E20" w:rsidRPr="001B188B" w:rsidRDefault="00FE6E20" w:rsidP="006C25CF">
            <w:pPr>
              <w:spacing w:before="0" w:after="0" w:line="276" w:lineRule="auto"/>
              <w:jc w:val="both"/>
            </w:pPr>
            <w:r w:rsidRPr="001B188B">
              <w:t>0.98</w:t>
            </w:r>
          </w:p>
          <w:p w14:paraId="70EA5735" w14:textId="77777777" w:rsidR="00FE6E20" w:rsidRPr="001B188B" w:rsidRDefault="00FE6E20" w:rsidP="006C25CF">
            <w:pPr>
              <w:spacing w:before="0" w:after="0" w:line="276" w:lineRule="auto"/>
              <w:jc w:val="both"/>
            </w:pPr>
            <w:r w:rsidRPr="001B188B">
              <w:t>(0.66–1.47)</w:t>
            </w:r>
          </w:p>
        </w:tc>
        <w:tc>
          <w:tcPr>
            <w:tcW w:w="1972" w:type="dxa"/>
            <w:hideMark/>
          </w:tcPr>
          <w:p w14:paraId="692073BA" w14:textId="77777777" w:rsidR="00FE6E20" w:rsidRPr="001B188B" w:rsidRDefault="00FE6E20" w:rsidP="006C25CF">
            <w:pPr>
              <w:spacing w:before="0" w:after="0" w:line="276" w:lineRule="auto"/>
              <w:jc w:val="both"/>
            </w:pPr>
            <w:r w:rsidRPr="001B188B">
              <w:t xml:space="preserve">0.98 </w:t>
            </w:r>
          </w:p>
          <w:p w14:paraId="1D04A0EE" w14:textId="77777777" w:rsidR="00FE6E20" w:rsidRPr="001B188B" w:rsidRDefault="00FE6E20" w:rsidP="006C25CF">
            <w:pPr>
              <w:spacing w:before="0" w:after="0" w:line="276" w:lineRule="auto"/>
              <w:jc w:val="both"/>
            </w:pPr>
            <w:r w:rsidRPr="001B188B">
              <w:t>(0.66–1.46)</w:t>
            </w:r>
          </w:p>
        </w:tc>
      </w:tr>
      <w:tr w:rsidR="00FE6E20" w:rsidRPr="001B188B" w14:paraId="4D44F938" w14:textId="77777777" w:rsidTr="00BD55E1">
        <w:trPr>
          <w:trHeight w:val="20"/>
        </w:trPr>
        <w:tc>
          <w:tcPr>
            <w:tcW w:w="2689" w:type="dxa"/>
            <w:hideMark/>
          </w:tcPr>
          <w:p w14:paraId="3FE168DD" w14:textId="77777777" w:rsidR="00FE6E20" w:rsidRPr="001B188B" w:rsidRDefault="00FE6E20" w:rsidP="006C25CF">
            <w:pPr>
              <w:spacing w:before="0" w:after="0" w:line="276" w:lineRule="auto"/>
              <w:jc w:val="both"/>
            </w:pPr>
            <w:r w:rsidRPr="001B188B">
              <w:t>&gt; 30 Years</w:t>
            </w:r>
          </w:p>
        </w:tc>
        <w:tc>
          <w:tcPr>
            <w:tcW w:w="1971" w:type="dxa"/>
            <w:hideMark/>
          </w:tcPr>
          <w:p w14:paraId="4580BDA7" w14:textId="77777777" w:rsidR="00FE6E20" w:rsidRPr="001B188B" w:rsidRDefault="00FE6E20" w:rsidP="006C25CF">
            <w:pPr>
              <w:spacing w:before="0" w:after="0" w:line="276" w:lineRule="auto"/>
              <w:jc w:val="both"/>
            </w:pPr>
            <w:r w:rsidRPr="001B188B">
              <w:t xml:space="preserve">0.70 </w:t>
            </w:r>
          </w:p>
          <w:p w14:paraId="76F88190" w14:textId="77777777" w:rsidR="00FE6E20" w:rsidRPr="001B188B" w:rsidRDefault="00FE6E20" w:rsidP="006C25CF">
            <w:pPr>
              <w:spacing w:before="0" w:after="0" w:line="276" w:lineRule="auto"/>
              <w:jc w:val="both"/>
            </w:pPr>
            <w:r w:rsidRPr="001B188B">
              <w:t>(0.43–1.14)</w:t>
            </w:r>
          </w:p>
        </w:tc>
        <w:tc>
          <w:tcPr>
            <w:tcW w:w="1971" w:type="dxa"/>
            <w:hideMark/>
          </w:tcPr>
          <w:p w14:paraId="368F5F9C" w14:textId="77777777" w:rsidR="00FE6E20" w:rsidRPr="001B188B" w:rsidRDefault="00FE6E20" w:rsidP="006C25CF">
            <w:pPr>
              <w:spacing w:before="0" w:after="0" w:line="276" w:lineRule="auto"/>
              <w:jc w:val="both"/>
            </w:pPr>
            <w:r w:rsidRPr="001B188B">
              <w:t xml:space="preserve">0.69 </w:t>
            </w:r>
          </w:p>
          <w:p w14:paraId="3553A589" w14:textId="77777777" w:rsidR="00FE6E20" w:rsidRPr="001B188B" w:rsidRDefault="00FE6E20" w:rsidP="006C25CF">
            <w:pPr>
              <w:spacing w:before="0" w:after="0" w:line="276" w:lineRule="auto"/>
              <w:jc w:val="both"/>
            </w:pPr>
            <w:r w:rsidRPr="001B188B">
              <w:t>(0.42–1.11)</w:t>
            </w:r>
          </w:p>
        </w:tc>
        <w:tc>
          <w:tcPr>
            <w:tcW w:w="1971" w:type="dxa"/>
            <w:hideMark/>
          </w:tcPr>
          <w:p w14:paraId="650245A5" w14:textId="77777777" w:rsidR="00FE6E20" w:rsidRPr="001B188B" w:rsidRDefault="00FE6E20" w:rsidP="006C25CF">
            <w:pPr>
              <w:spacing w:before="0" w:after="0" w:line="276" w:lineRule="auto"/>
              <w:jc w:val="both"/>
            </w:pPr>
            <w:r w:rsidRPr="001B188B">
              <w:t xml:space="preserve">0.68 </w:t>
            </w:r>
          </w:p>
          <w:p w14:paraId="2336B2B8" w14:textId="77777777" w:rsidR="00FE6E20" w:rsidRPr="001B188B" w:rsidRDefault="00FE6E20" w:rsidP="006C25CF">
            <w:pPr>
              <w:spacing w:before="0" w:after="0" w:line="276" w:lineRule="auto"/>
              <w:jc w:val="both"/>
            </w:pPr>
            <w:r w:rsidRPr="001B188B">
              <w:t>(0.42–1.10)</w:t>
            </w:r>
          </w:p>
        </w:tc>
        <w:tc>
          <w:tcPr>
            <w:tcW w:w="1972" w:type="dxa"/>
            <w:hideMark/>
          </w:tcPr>
          <w:p w14:paraId="04730647" w14:textId="77777777" w:rsidR="00FE6E20" w:rsidRPr="001B188B" w:rsidRDefault="00FE6E20" w:rsidP="006C25CF">
            <w:pPr>
              <w:spacing w:before="0" w:after="0" w:line="276" w:lineRule="auto"/>
              <w:jc w:val="both"/>
            </w:pPr>
            <w:r w:rsidRPr="001B188B">
              <w:t xml:space="preserve">0.69 </w:t>
            </w:r>
          </w:p>
          <w:p w14:paraId="4BC48591" w14:textId="77777777" w:rsidR="00FE6E20" w:rsidRPr="001B188B" w:rsidRDefault="00FE6E20" w:rsidP="006C25CF">
            <w:pPr>
              <w:spacing w:before="0" w:after="0" w:line="276" w:lineRule="auto"/>
              <w:jc w:val="both"/>
            </w:pPr>
            <w:r w:rsidRPr="001B188B">
              <w:t>(0.42–1.11)</w:t>
            </w:r>
          </w:p>
        </w:tc>
      </w:tr>
      <w:tr w:rsidR="00FE6E20" w:rsidRPr="001B188B" w14:paraId="7A31FEC1" w14:textId="77777777" w:rsidTr="00FC757F">
        <w:trPr>
          <w:trHeight w:val="20"/>
        </w:trPr>
        <w:tc>
          <w:tcPr>
            <w:tcW w:w="0" w:type="auto"/>
            <w:gridSpan w:val="5"/>
            <w:noWrap/>
            <w:hideMark/>
          </w:tcPr>
          <w:p w14:paraId="6A19C89C" w14:textId="77777777" w:rsidR="00FE6E20" w:rsidRPr="001B188B" w:rsidRDefault="00FE6E20" w:rsidP="006C25CF">
            <w:pPr>
              <w:spacing w:before="0" w:after="0" w:line="276" w:lineRule="auto"/>
              <w:jc w:val="both"/>
            </w:pPr>
            <w:r w:rsidRPr="001B188B">
              <w:rPr>
                <w:b/>
                <w:bCs/>
                <w:i/>
                <w:iCs/>
              </w:rPr>
              <w:t>Pregnancy-Induced Hypertension (Ref: No)</w:t>
            </w:r>
          </w:p>
        </w:tc>
      </w:tr>
      <w:tr w:rsidR="00FE6E20" w:rsidRPr="001B188B" w14:paraId="11523FB5" w14:textId="77777777" w:rsidTr="00BD55E1">
        <w:trPr>
          <w:trHeight w:val="20"/>
        </w:trPr>
        <w:tc>
          <w:tcPr>
            <w:tcW w:w="2689" w:type="dxa"/>
            <w:hideMark/>
          </w:tcPr>
          <w:p w14:paraId="6B073C81" w14:textId="77777777" w:rsidR="00FE6E20" w:rsidRPr="001B188B" w:rsidRDefault="00FE6E20" w:rsidP="006C25CF">
            <w:pPr>
              <w:spacing w:before="0" w:after="0" w:line="276" w:lineRule="auto"/>
              <w:jc w:val="both"/>
            </w:pPr>
            <w:r w:rsidRPr="001B188B">
              <w:t>Yes</w:t>
            </w:r>
          </w:p>
        </w:tc>
        <w:tc>
          <w:tcPr>
            <w:tcW w:w="1971" w:type="dxa"/>
            <w:hideMark/>
          </w:tcPr>
          <w:p w14:paraId="0FA90D96" w14:textId="77777777" w:rsidR="00FE6E20" w:rsidRPr="001B188B" w:rsidRDefault="00FE6E20" w:rsidP="006C25CF">
            <w:pPr>
              <w:spacing w:before="0" w:after="0" w:line="276" w:lineRule="auto"/>
              <w:jc w:val="both"/>
            </w:pPr>
            <w:r w:rsidRPr="001B188B">
              <w:t xml:space="preserve">1.46 </w:t>
            </w:r>
          </w:p>
          <w:p w14:paraId="637AFC8C" w14:textId="77777777" w:rsidR="00FE6E20" w:rsidRPr="001B188B" w:rsidRDefault="00FE6E20" w:rsidP="006C25CF">
            <w:pPr>
              <w:spacing w:before="0" w:after="0" w:line="276" w:lineRule="auto"/>
              <w:jc w:val="both"/>
            </w:pPr>
            <w:r w:rsidRPr="001B188B">
              <w:t>(0.89–2.41)</w:t>
            </w:r>
          </w:p>
        </w:tc>
        <w:tc>
          <w:tcPr>
            <w:tcW w:w="1971" w:type="dxa"/>
            <w:hideMark/>
          </w:tcPr>
          <w:p w14:paraId="00376486" w14:textId="77777777" w:rsidR="00FE6E20" w:rsidRPr="001B188B" w:rsidRDefault="00FE6E20" w:rsidP="006C25CF">
            <w:pPr>
              <w:spacing w:before="0" w:after="0" w:line="276" w:lineRule="auto"/>
              <w:jc w:val="both"/>
            </w:pPr>
            <w:r w:rsidRPr="001B188B">
              <w:t xml:space="preserve">1.55 </w:t>
            </w:r>
          </w:p>
          <w:p w14:paraId="68181E1A" w14:textId="77777777" w:rsidR="00FE6E20" w:rsidRPr="001B188B" w:rsidRDefault="00FE6E20" w:rsidP="006C25CF">
            <w:pPr>
              <w:spacing w:before="0" w:after="0" w:line="276" w:lineRule="auto"/>
              <w:jc w:val="both"/>
            </w:pPr>
            <w:r w:rsidRPr="001B188B">
              <w:t>(0.94–2.55)</w:t>
            </w:r>
          </w:p>
        </w:tc>
        <w:tc>
          <w:tcPr>
            <w:tcW w:w="1971" w:type="dxa"/>
            <w:hideMark/>
          </w:tcPr>
          <w:p w14:paraId="0047B8D9" w14:textId="77777777" w:rsidR="00FE6E20" w:rsidRPr="001B188B" w:rsidRDefault="00FE6E20" w:rsidP="006C25CF">
            <w:pPr>
              <w:spacing w:before="0" w:after="0" w:line="276" w:lineRule="auto"/>
              <w:jc w:val="both"/>
            </w:pPr>
            <w:r w:rsidRPr="001B188B">
              <w:t xml:space="preserve">1.67* </w:t>
            </w:r>
          </w:p>
          <w:p w14:paraId="5A8AFFD2" w14:textId="77777777" w:rsidR="00FE6E20" w:rsidRPr="001B188B" w:rsidRDefault="00FE6E20" w:rsidP="006C25CF">
            <w:pPr>
              <w:spacing w:before="0" w:after="0" w:line="276" w:lineRule="auto"/>
              <w:jc w:val="both"/>
            </w:pPr>
            <w:r w:rsidRPr="001B188B">
              <w:t>(1.01–2.76)</w:t>
            </w:r>
          </w:p>
        </w:tc>
        <w:tc>
          <w:tcPr>
            <w:tcW w:w="1972" w:type="dxa"/>
            <w:hideMark/>
          </w:tcPr>
          <w:p w14:paraId="218514D4" w14:textId="77777777" w:rsidR="00FE6E20" w:rsidRPr="001B188B" w:rsidRDefault="00FE6E20" w:rsidP="006C25CF">
            <w:pPr>
              <w:spacing w:before="0" w:after="0" w:line="276" w:lineRule="auto"/>
              <w:jc w:val="both"/>
            </w:pPr>
            <w:r w:rsidRPr="001B188B">
              <w:t xml:space="preserve">1.60 </w:t>
            </w:r>
          </w:p>
          <w:p w14:paraId="097CBC58" w14:textId="77777777" w:rsidR="00FE6E20" w:rsidRPr="001B188B" w:rsidRDefault="00FE6E20" w:rsidP="006C25CF">
            <w:pPr>
              <w:spacing w:before="0" w:after="0" w:line="276" w:lineRule="auto"/>
              <w:jc w:val="both"/>
            </w:pPr>
            <w:r w:rsidRPr="001B188B">
              <w:t>(0.97–2.64)</w:t>
            </w:r>
          </w:p>
        </w:tc>
      </w:tr>
      <w:tr w:rsidR="00FE6E20" w:rsidRPr="001B188B" w14:paraId="3620B9A8" w14:textId="77777777" w:rsidTr="00FC757F">
        <w:trPr>
          <w:trHeight w:val="20"/>
        </w:trPr>
        <w:tc>
          <w:tcPr>
            <w:tcW w:w="0" w:type="auto"/>
            <w:gridSpan w:val="5"/>
            <w:noWrap/>
            <w:hideMark/>
          </w:tcPr>
          <w:p w14:paraId="1B62BE06" w14:textId="77777777" w:rsidR="00FE6E20" w:rsidRPr="001B188B" w:rsidRDefault="00FE6E20" w:rsidP="006C25CF">
            <w:pPr>
              <w:spacing w:before="0" w:after="0" w:line="276" w:lineRule="auto"/>
              <w:jc w:val="both"/>
            </w:pPr>
            <w:r w:rsidRPr="001B188B">
              <w:rPr>
                <w:b/>
                <w:bCs/>
                <w:i/>
                <w:iCs/>
              </w:rPr>
              <w:lastRenderedPageBreak/>
              <w:t>Amniotic Fluid Colour (Ref: Clear)</w:t>
            </w:r>
          </w:p>
        </w:tc>
      </w:tr>
      <w:tr w:rsidR="00FE6E20" w:rsidRPr="001B188B" w14:paraId="148BBB3F" w14:textId="77777777" w:rsidTr="00BD55E1">
        <w:trPr>
          <w:trHeight w:val="20"/>
        </w:trPr>
        <w:tc>
          <w:tcPr>
            <w:tcW w:w="2689" w:type="dxa"/>
            <w:hideMark/>
          </w:tcPr>
          <w:p w14:paraId="207F34D4" w14:textId="50F72208" w:rsidR="00FE6E20" w:rsidRPr="001B188B" w:rsidRDefault="00FE6E20" w:rsidP="006C25CF">
            <w:pPr>
              <w:spacing w:before="0" w:after="0" w:line="276" w:lineRule="auto"/>
              <w:jc w:val="both"/>
            </w:pPr>
            <w:r w:rsidRPr="001B188B">
              <w:t>Stained</w:t>
            </w:r>
          </w:p>
        </w:tc>
        <w:tc>
          <w:tcPr>
            <w:tcW w:w="1971" w:type="dxa"/>
            <w:hideMark/>
          </w:tcPr>
          <w:p w14:paraId="4B1A77D7" w14:textId="77777777" w:rsidR="00FE6E20" w:rsidRPr="001B188B" w:rsidRDefault="00FE6E20" w:rsidP="006C25CF">
            <w:pPr>
              <w:spacing w:before="0" w:after="0" w:line="276" w:lineRule="auto"/>
              <w:jc w:val="both"/>
            </w:pPr>
            <w:r w:rsidRPr="001B188B">
              <w:t xml:space="preserve">1.28 </w:t>
            </w:r>
          </w:p>
          <w:p w14:paraId="5174503E" w14:textId="77777777" w:rsidR="00FE6E20" w:rsidRPr="001B188B" w:rsidRDefault="00FE6E20" w:rsidP="006C25CF">
            <w:pPr>
              <w:spacing w:before="0" w:after="0" w:line="276" w:lineRule="auto"/>
              <w:jc w:val="both"/>
            </w:pPr>
            <w:r w:rsidRPr="001B188B">
              <w:t>(0.87–1.88)</w:t>
            </w:r>
          </w:p>
        </w:tc>
        <w:tc>
          <w:tcPr>
            <w:tcW w:w="1971" w:type="dxa"/>
            <w:hideMark/>
          </w:tcPr>
          <w:p w14:paraId="76372BE5" w14:textId="77777777" w:rsidR="00FE6E20" w:rsidRPr="001B188B" w:rsidRDefault="00FE6E20" w:rsidP="006C25CF">
            <w:pPr>
              <w:spacing w:before="0" w:after="0" w:line="276" w:lineRule="auto"/>
              <w:jc w:val="both"/>
            </w:pPr>
            <w:r w:rsidRPr="001B188B">
              <w:t xml:space="preserve">1.28 </w:t>
            </w:r>
          </w:p>
          <w:p w14:paraId="3D9BD412" w14:textId="77777777" w:rsidR="00FE6E20" w:rsidRPr="001B188B" w:rsidRDefault="00FE6E20" w:rsidP="006C25CF">
            <w:pPr>
              <w:spacing w:before="0" w:after="0" w:line="276" w:lineRule="auto"/>
              <w:jc w:val="both"/>
            </w:pPr>
            <w:r w:rsidRPr="001B188B">
              <w:t>(0.87–1.89)</w:t>
            </w:r>
          </w:p>
        </w:tc>
        <w:tc>
          <w:tcPr>
            <w:tcW w:w="1971" w:type="dxa"/>
            <w:hideMark/>
          </w:tcPr>
          <w:p w14:paraId="1E239553" w14:textId="77777777" w:rsidR="00FE6E20" w:rsidRPr="001B188B" w:rsidRDefault="00FE6E20" w:rsidP="006C25CF">
            <w:pPr>
              <w:spacing w:before="0" w:after="0" w:line="276" w:lineRule="auto"/>
              <w:jc w:val="both"/>
            </w:pPr>
            <w:r w:rsidRPr="001B188B">
              <w:t xml:space="preserve">1.30 </w:t>
            </w:r>
          </w:p>
          <w:p w14:paraId="56246260" w14:textId="77777777" w:rsidR="00FE6E20" w:rsidRPr="001B188B" w:rsidRDefault="00FE6E20" w:rsidP="006C25CF">
            <w:pPr>
              <w:spacing w:before="0" w:after="0" w:line="276" w:lineRule="auto"/>
              <w:jc w:val="both"/>
            </w:pPr>
            <w:r w:rsidRPr="001B188B">
              <w:t>(0.88–1.91)</w:t>
            </w:r>
          </w:p>
        </w:tc>
        <w:tc>
          <w:tcPr>
            <w:tcW w:w="1972" w:type="dxa"/>
            <w:hideMark/>
          </w:tcPr>
          <w:p w14:paraId="4CDED2D1" w14:textId="77777777" w:rsidR="00FE6E20" w:rsidRPr="001B188B" w:rsidRDefault="00FE6E20" w:rsidP="006C25CF">
            <w:pPr>
              <w:spacing w:before="0" w:after="0" w:line="276" w:lineRule="auto"/>
              <w:jc w:val="both"/>
            </w:pPr>
            <w:r w:rsidRPr="001B188B">
              <w:t xml:space="preserve">1.29 </w:t>
            </w:r>
          </w:p>
          <w:p w14:paraId="1B4A82E1" w14:textId="77777777" w:rsidR="00FE6E20" w:rsidRPr="001B188B" w:rsidRDefault="00FE6E20" w:rsidP="006C25CF">
            <w:pPr>
              <w:spacing w:before="0" w:after="0" w:line="276" w:lineRule="auto"/>
              <w:jc w:val="both"/>
            </w:pPr>
            <w:r w:rsidRPr="001B188B">
              <w:t>(0.88–1.90)</w:t>
            </w:r>
          </w:p>
        </w:tc>
      </w:tr>
      <w:tr w:rsidR="00FE6E20" w:rsidRPr="001B188B" w14:paraId="0C597BEA" w14:textId="77777777" w:rsidTr="00FC757F">
        <w:trPr>
          <w:trHeight w:val="20"/>
        </w:trPr>
        <w:tc>
          <w:tcPr>
            <w:tcW w:w="0" w:type="auto"/>
            <w:gridSpan w:val="5"/>
            <w:noWrap/>
            <w:hideMark/>
          </w:tcPr>
          <w:p w14:paraId="4F9B1AA1" w14:textId="77777777" w:rsidR="00FE6E20" w:rsidRPr="001B188B" w:rsidRDefault="00FE6E20" w:rsidP="006C25CF">
            <w:pPr>
              <w:spacing w:before="0" w:after="0" w:line="276" w:lineRule="auto"/>
              <w:jc w:val="both"/>
            </w:pPr>
            <w:r w:rsidRPr="001B188B">
              <w:rPr>
                <w:b/>
                <w:bCs/>
                <w:i/>
                <w:iCs/>
              </w:rPr>
              <w:t>Labour Onset (Ref: Spontaneous)</w:t>
            </w:r>
          </w:p>
        </w:tc>
      </w:tr>
      <w:tr w:rsidR="00FE6E20" w:rsidRPr="001B188B" w14:paraId="06BCC692" w14:textId="77777777" w:rsidTr="00BD55E1">
        <w:trPr>
          <w:trHeight w:val="20"/>
        </w:trPr>
        <w:tc>
          <w:tcPr>
            <w:tcW w:w="2689" w:type="dxa"/>
            <w:hideMark/>
          </w:tcPr>
          <w:p w14:paraId="5FF38949" w14:textId="77777777" w:rsidR="00FE6E20" w:rsidRPr="001B188B" w:rsidRDefault="00FE6E20" w:rsidP="006C25CF">
            <w:pPr>
              <w:spacing w:before="0" w:after="0" w:line="276" w:lineRule="auto"/>
              <w:jc w:val="both"/>
            </w:pPr>
            <w:r w:rsidRPr="001B188B">
              <w:t>Induced</w:t>
            </w:r>
          </w:p>
        </w:tc>
        <w:tc>
          <w:tcPr>
            <w:tcW w:w="1971" w:type="dxa"/>
            <w:hideMark/>
          </w:tcPr>
          <w:p w14:paraId="1CE6A816" w14:textId="77777777" w:rsidR="00FE6E20" w:rsidRPr="001B188B" w:rsidRDefault="00FE6E20" w:rsidP="006C25CF">
            <w:pPr>
              <w:spacing w:before="0" w:after="0" w:line="276" w:lineRule="auto"/>
              <w:jc w:val="both"/>
            </w:pPr>
            <w:r w:rsidRPr="001B188B">
              <w:t>1.95**</w:t>
            </w:r>
          </w:p>
          <w:p w14:paraId="57CB236A" w14:textId="77777777" w:rsidR="00FE6E20" w:rsidRPr="001B188B" w:rsidRDefault="00FE6E20" w:rsidP="006C25CF">
            <w:pPr>
              <w:spacing w:before="0" w:after="0" w:line="276" w:lineRule="auto"/>
              <w:jc w:val="both"/>
            </w:pPr>
            <w:r w:rsidRPr="001B188B">
              <w:t>(1.27–2.98)</w:t>
            </w:r>
          </w:p>
        </w:tc>
        <w:tc>
          <w:tcPr>
            <w:tcW w:w="1971" w:type="dxa"/>
            <w:hideMark/>
          </w:tcPr>
          <w:p w14:paraId="271A8807" w14:textId="77777777" w:rsidR="00FE6E20" w:rsidRPr="001B188B" w:rsidRDefault="00FE6E20" w:rsidP="006C25CF">
            <w:pPr>
              <w:spacing w:before="0" w:after="0" w:line="276" w:lineRule="auto"/>
              <w:jc w:val="both"/>
            </w:pPr>
            <w:r w:rsidRPr="001B188B">
              <w:t xml:space="preserve">1.96** </w:t>
            </w:r>
          </w:p>
          <w:p w14:paraId="3FE14B4F" w14:textId="77777777" w:rsidR="00FE6E20" w:rsidRPr="001B188B" w:rsidRDefault="00FE6E20" w:rsidP="006C25CF">
            <w:pPr>
              <w:spacing w:before="0" w:after="0" w:line="276" w:lineRule="auto"/>
              <w:jc w:val="both"/>
            </w:pPr>
            <w:r w:rsidRPr="001B188B">
              <w:t>(1.28–2.99)</w:t>
            </w:r>
          </w:p>
        </w:tc>
        <w:tc>
          <w:tcPr>
            <w:tcW w:w="1971" w:type="dxa"/>
            <w:hideMark/>
          </w:tcPr>
          <w:p w14:paraId="4112FC93" w14:textId="77777777" w:rsidR="00FE6E20" w:rsidRPr="001B188B" w:rsidRDefault="00FE6E20" w:rsidP="006C25CF">
            <w:pPr>
              <w:spacing w:before="0" w:after="0" w:line="276" w:lineRule="auto"/>
              <w:jc w:val="both"/>
            </w:pPr>
            <w:r w:rsidRPr="001B188B">
              <w:t xml:space="preserve">2.06*** </w:t>
            </w:r>
          </w:p>
          <w:p w14:paraId="10707C4E" w14:textId="77777777" w:rsidR="00FE6E20" w:rsidRPr="001B188B" w:rsidRDefault="00FE6E20" w:rsidP="006C25CF">
            <w:pPr>
              <w:spacing w:before="0" w:after="0" w:line="276" w:lineRule="auto"/>
              <w:jc w:val="both"/>
            </w:pPr>
            <w:r w:rsidRPr="001B188B">
              <w:t>(1.34–3.16)</w:t>
            </w:r>
          </w:p>
        </w:tc>
        <w:tc>
          <w:tcPr>
            <w:tcW w:w="1972" w:type="dxa"/>
            <w:noWrap/>
            <w:hideMark/>
          </w:tcPr>
          <w:p w14:paraId="465D7B33" w14:textId="77777777" w:rsidR="00FE6E20" w:rsidRPr="001B188B" w:rsidRDefault="00FE6E20" w:rsidP="006C25CF">
            <w:pPr>
              <w:spacing w:before="0" w:after="0" w:line="276" w:lineRule="auto"/>
              <w:jc w:val="both"/>
            </w:pPr>
            <w:r w:rsidRPr="001B188B">
              <w:t xml:space="preserve">2.01*** </w:t>
            </w:r>
          </w:p>
          <w:p w14:paraId="0B4C3C95" w14:textId="77777777" w:rsidR="00FE6E20" w:rsidRPr="001B188B" w:rsidRDefault="00FE6E20" w:rsidP="006C25CF">
            <w:pPr>
              <w:spacing w:before="0" w:after="0" w:line="276" w:lineRule="auto"/>
              <w:jc w:val="both"/>
            </w:pPr>
            <w:r w:rsidRPr="001B188B">
              <w:t>(1.31–3.07)</w:t>
            </w:r>
          </w:p>
        </w:tc>
      </w:tr>
      <w:tr w:rsidR="00FE6E20" w:rsidRPr="001B188B" w14:paraId="7C192798" w14:textId="77777777" w:rsidTr="00FC757F">
        <w:trPr>
          <w:trHeight w:val="20"/>
        </w:trPr>
        <w:tc>
          <w:tcPr>
            <w:tcW w:w="0" w:type="auto"/>
            <w:gridSpan w:val="5"/>
            <w:noWrap/>
            <w:hideMark/>
          </w:tcPr>
          <w:p w14:paraId="131A897C" w14:textId="230C7A17" w:rsidR="00FE6E20" w:rsidRPr="001B188B" w:rsidRDefault="00FE6E20" w:rsidP="006C25CF">
            <w:pPr>
              <w:spacing w:before="0" w:after="0" w:line="276" w:lineRule="auto"/>
              <w:jc w:val="both"/>
              <w:rPr>
                <w:b/>
                <w:bCs/>
                <w:i/>
                <w:iCs/>
              </w:rPr>
            </w:pPr>
            <w:r w:rsidRPr="001B188B">
              <w:rPr>
                <w:b/>
                <w:bCs/>
                <w:i/>
                <w:iCs/>
              </w:rPr>
              <w:t>Mode of Delivery (Ref: Normal Vaginal Delivery)</w:t>
            </w:r>
          </w:p>
        </w:tc>
      </w:tr>
      <w:tr w:rsidR="00FE6E20" w:rsidRPr="001B188B" w14:paraId="21E67F75" w14:textId="77777777" w:rsidTr="00BD55E1">
        <w:trPr>
          <w:trHeight w:val="20"/>
        </w:trPr>
        <w:tc>
          <w:tcPr>
            <w:tcW w:w="2689" w:type="dxa"/>
            <w:hideMark/>
          </w:tcPr>
          <w:p w14:paraId="6C10F258" w14:textId="4E38C62C" w:rsidR="00FE6E20" w:rsidRPr="001B188B" w:rsidRDefault="00B77666" w:rsidP="006C25CF">
            <w:pPr>
              <w:spacing w:before="0" w:after="0" w:line="276" w:lineRule="auto"/>
              <w:jc w:val="both"/>
            </w:pPr>
            <w:r w:rsidRPr="001B188B">
              <w:t>Lower Segment Caesarean Section</w:t>
            </w:r>
          </w:p>
        </w:tc>
        <w:tc>
          <w:tcPr>
            <w:tcW w:w="1971" w:type="dxa"/>
            <w:hideMark/>
          </w:tcPr>
          <w:p w14:paraId="612E0B2F" w14:textId="77777777" w:rsidR="00FE6E20" w:rsidRPr="001B188B" w:rsidRDefault="00FE6E20" w:rsidP="006C25CF">
            <w:pPr>
              <w:spacing w:before="0" w:after="0" w:line="276" w:lineRule="auto"/>
              <w:jc w:val="both"/>
            </w:pPr>
            <w:r w:rsidRPr="001B188B">
              <w:t xml:space="preserve">0.88 </w:t>
            </w:r>
          </w:p>
          <w:p w14:paraId="3E6FF599" w14:textId="77777777" w:rsidR="00FE6E20" w:rsidRPr="001B188B" w:rsidRDefault="00FE6E20" w:rsidP="006C25CF">
            <w:pPr>
              <w:spacing w:before="0" w:after="0" w:line="276" w:lineRule="auto"/>
              <w:jc w:val="both"/>
            </w:pPr>
            <w:r w:rsidRPr="001B188B">
              <w:t>(0.62–1.24)</w:t>
            </w:r>
          </w:p>
        </w:tc>
        <w:tc>
          <w:tcPr>
            <w:tcW w:w="1971" w:type="dxa"/>
            <w:hideMark/>
          </w:tcPr>
          <w:p w14:paraId="682DBB28" w14:textId="77777777" w:rsidR="00FE6E20" w:rsidRPr="001B188B" w:rsidRDefault="00FE6E20" w:rsidP="006C25CF">
            <w:pPr>
              <w:spacing w:before="0" w:after="0" w:line="276" w:lineRule="auto"/>
              <w:jc w:val="both"/>
            </w:pPr>
            <w:r w:rsidRPr="001B188B">
              <w:t xml:space="preserve">0.90 </w:t>
            </w:r>
          </w:p>
          <w:p w14:paraId="3D71DFCC" w14:textId="77777777" w:rsidR="00FE6E20" w:rsidRPr="001B188B" w:rsidRDefault="00FE6E20" w:rsidP="006C25CF">
            <w:pPr>
              <w:spacing w:before="0" w:after="0" w:line="276" w:lineRule="auto"/>
              <w:jc w:val="both"/>
            </w:pPr>
            <w:r w:rsidRPr="001B188B">
              <w:t>(0.64–1.27)</w:t>
            </w:r>
          </w:p>
        </w:tc>
        <w:tc>
          <w:tcPr>
            <w:tcW w:w="1971" w:type="dxa"/>
            <w:hideMark/>
          </w:tcPr>
          <w:p w14:paraId="54A36F06" w14:textId="77777777" w:rsidR="00FE6E20" w:rsidRPr="001B188B" w:rsidRDefault="00FE6E20" w:rsidP="006C25CF">
            <w:pPr>
              <w:spacing w:before="0" w:after="0" w:line="276" w:lineRule="auto"/>
              <w:jc w:val="both"/>
            </w:pPr>
            <w:r w:rsidRPr="001B188B">
              <w:t xml:space="preserve">0.91 </w:t>
            </w:r>
          </w:p>
          <w:p w14:paraId="1CE711D3" w14:textId="77777777" w:rsidR="00FE6E20" w:rsidRPr="001B188B" w:rsidRDefault="00FE6E20" w:rsidP="006C25CF">
            <w:pPr>
              <w:spacing w:before="0" w:after="0" w:line="276" w:lineRule="auto"/>
              <w:jc w:val="both"/>
            </w:pPr>
            <w:r w:rsidRPr="001B188B">
              <w:t>(0.64–1.29)</w:t>
            </w:r>
          </w:p>
        </w:tc>
        <w:tc>
          <w:tcPr>
            <w:tcW w:w="1972" w:type="dxa"/>
            <w:hideMark/>
          </w:tcPr>
          <w:p w14:paraId="67A37A8E" w14:textId="77777777" w:rsidR="00FE6E20" w:rsidRPr="001B188B" w:rsidRDefault="00FE6E20" w:rsidP="006C25CF">
            <w:pPr>
              <w:spacing w:before="0" w:after="0" w:line="276" w:lineRule="auto"/>
              <w:jc w:val="both"/>
            </w:pPr>
            <w:r w:rsidRPr="001B188B">
              <w:t xml:space="preserve">0.90 </w:t>
            </w:r>
          </w:p>
          <w:p w14:paraId="05A18E8E" w14:textId="77777777" w:rsidR="00FE6E20" w:rsidRPr="001B188B" w:rsidRDefault="00FE6E20" w:rsidP="006C25CF">
            <w:pPr>
              <w:spacing w:before="0" w:after="0" w:line="276" w:lineRule="auto"/>
              <w:jc w:val="both"/>
            </w:pPr>
            <w:r w:rsidRPr="001B188B">
              <w:t>(0.64–1.28)</w:t>
            </w:r>
          </w:p>
        </w:tc>
      </w:tr>
      <w:tr w:rsidR="00FE6E20" w:rsidRPr="001B188B" w14:paraId="7D420E21" w14:textId="77777777" w:rsidTr="00FC757F">
        <w:trPr>
          <w:trHeight w:val="20"/>
        </w:trPr>
        <w:tc>
          <w:tcPr>
            <w:tcW w:w="0" w:type="auto"/>
            <w:gridSpan w:val="5"/>
            <w:noWrap/>
            <w:hideMark/>
          </w:tcPr>
          <w:p w14:paraId="22B462E1" w14:textId="77777777" w:rsidR="00FE6E20" w:rsidRPr="001B188B" w:rsidRDefault="00FE6E20" w:rsidP="006C25CF">
            <w:pPr>
              <w:spacing w:before="0" w:after="0" w:line="276" w:lineRule="auto"/>
              <w:jc w:val="both"/>
            </w:pPr>
            <w:r w:rsidRPr="001B188B">
              <w:rPr>
                <w:b/>
                <w:bCs/>
                <w:i/>
                <w:iCs/>
              </w:rPr>
              <w:t>Course of Labour (Ref: Uneventful)</w:t>
            </w:r>
          </w:p>
        </w:tc>
      </w:tr>
      <w:tr w:rsidR="00FE6E20" w:rsidRPr="001B188B" w14:paraId="25DA3921" w14:textId="77777777" w:rsidTr="00BD55E1">
        <w:trPr>
          <w:trHeight w:val="20"/>
        </w:trPr>
        <w:tc>
          <w:tcPr>
            <w:tcW w:w="2689" w:type="dxa"/>
            <w:hideMark/>
          </w:tcPr>
          <w:p w14:paraId="6A24F143" w14:textId="77777777" w:rsidR="00FE6E20" w:rsidRPr="001B188B" w:rsidRDefault="00FE6E20" w:rsidP="006C25CF">
            <w:pPr>
              <w:spacing w:before="0" w:after="0" w:line="276" w:lineRule="auto"/>
              <w:jc w:val="both"/>
            </w:pPr>
            <w:r w:rsidRPr="001B188B">
              <w:t>Obstructed Labour</w:t>
            </w:r>
          </w:p>
        </w:tc>
        <w:tc>
          <w:tcPr>
            <w:tcW w:w="1971" w:type="dxa"/>
            <w:hideMark/>
          </w:tcPr>
          <w:p w14:paraId="26487920" w14:textId="77777777" w:rsidR="00FE6E20" w:rsidRPr="001B188B" w:rsidRDefault="00FE6E20" w:rsidP="006C25CF">
            <w:pPr>
              <w:spacing w:before="0" w:after="0" w:line="276" w:lineRule="auto"/>
              <w:jc w:val="both"/>
            </w:pPr>
            <w:r w:rsidRPr="001B188B">
              <w:t xml:space="preserve">1.60 </w:t>
            </w:r>
          </w:p>
          <w:p w14:paraId="455B75AD" w14:textId="77777777" w:rsidR="00FE6E20" w:rsidRPr="001B188B" w:rsidRDefault="00FE6E20" w:rsidP="006C25CF">
            <w:pPr>
              <w:spacing w:before="0" w:after="0" w:line="276" w:lineRule="auto"/>
              <w:jc w:val="both"/>
            </w:pPr>
            <w:r w:rsidRPr="001B188B">
              <w:t>(0.79–3.24)</w:t>
            </w:r>
          </w:p>
        </w:tc>
        <w:tc>
          <w:tcPr>
            <w:tcW w:w="1971" w:type="dxa"/>
            <w:hideMark/>
          </w:tcPr>
          <w:p w14:paraId="60BE3866" w14:textId="77777777" w:rsidR="00FE6E20" w:rsidRPr="001B188B" w:rsidRDefault="00FE6E20" w:rsidP="006C25CF">
            <w:pPr>
              <w:spacing w:before="0" w:after="0" w:line="276" w:lineRule="auto"/>
              <w:jc w:val="both"/>
            </w:pPr>
            <w:r w:rsidRPr="001B188B">
              <w:t xml:space="preserve">1.61 </w:t>
            </w:r>
          </w:p>
          <w:p w14:paraId="7C8696FD" w14:textId="77777777" w:rsidR="00FE6E20" w:rsidRPr="001B188B" w:rsidRDefault="00FE6E20" w:rsidP="006C25CF">
            <w:pPr>
              <w:spacing w:before="0" w:after="0" w:line="276" w:lineRule="auto"/>
              <w:jc w:val="both"/>
            </w:pPr>
            <w:r w:rsidRPr="001B188B">
              <w:t>(0.79–3.26)</w:t>
            </w:r>
          </w:p>
        </w:tc>
        <w:tc>
          <w:tcPr>
            <w:tcW w:w="1971" w:type="dxa"/>
            <w:hideMark/>
          </w:tcPr>
          <w:p w14:paraId="525B645E" w14:textId="77777777" w:rsidR="00FE6E20" w:rsidRPr="001B188B" w:rsidRDefault="00FE6E20" w:rsidP="006C25CF">
            <w:pPr>
              <w:spacing w:before="0" w:after="0" w:line="276" w:lineRule="auto"/>
              <w:jc w:val="both"/>
            </w:pPr>
            <w:r w:rsidRPr="001B188B">
              <w:t xml:space="preserve">1.68 </w:t>
            </w:r>
          </w:p>
          <w:p w14:paraId="172638C0" w14:textId="77777777" w:rsidR="00FE6E20" w:rsidRPr="001B188B" w:rsidRDefault="00FE6E20" w:rsidP="006C25CF">
            <w:pPr>
              <w:spacing w:before="0" w:after="0" w:line="276" w:lineRule="auto"/>
              <w:jc w:val="both"/>
            </w:pPr>
            <w:r w:rsidRPr="001B188B">
              <w:t>(0.82–3.42)</w:t>
            </w:r>
          </w:p>
        </w:tc>
        <w:tc>
          <w:tcPr>
            <w:tcW w:w="1972" w:type="dxa"/>
            <w:hideMark/>
          </w:tcPr>
          <w:p w14:paraId="305BE5FB" w14:textId="77777777" w:rsidR="00FE6E20" w:rsidRPr="001B188B" w:rsidRDefault="00FE6E20" w:rsidP="006C25CF">
            <w:pPr>
              <w:spacing w:before="0" w:after="0" w:line="276" w:lineRule="auto"/>
              <w:jc w:val="both"/>
            </w:pPr>
            <w:r w:rsidRPr="001B188B">
              <w:t xml:space="preserve">1.63 </w:t>
            </w:r>
          </w:p>
          <w:p w14:paraId="5092ABEB" w14:textId="77777777" w:rsidR="00FE6E20" w:rsidRPr="001B188B" w:rsidRDefault="00FE6E20" w:rsidP="006C25CF">
            <w:pPr>
              <w:spacing w:before="0" w:after="0" w:line="276" w:lineRule="auto"/>
              <w:jc w:val="both"/>
            </w:pPr>
            <w:r w:rsidRPr="001B188B">
              <w:t>(0.80–3.31)</w:t>
            </w:r>
          </w:p>
        </w:tc>
      </w:tr>
      <w:tr w:rsidR="00FE6E20" w:rsidRPr="001B188B" w14:paraId="6CEA52D0" w14:textId="77777777" w:rsidTr="00BD55E1">
        <w:trPr>
          <w:trHeight w:val="20"/>
        </w:trPr>
        <w:tc>
          <w:tcPr>
            <w:tcW w:w="2689" w:type="dxa"/>
            <w:hideMark/>
          </w:tcPr>
          <w:p w14:paraId="3FCE69E6" w14:textId="77777777" w:rsidR="00FE6E20" w:rsidRPr="001B188B" w:rsidRDefault="00FE6E20" w:rsidP="006C25CF">
            <w:pPr>
              <w:spacing w:before="0" w:after="0" w:line="276" w:lineRule="auto"/>
              <w:jc w:val="both"/>
            </w:pPr>
            <w:r w:rsidRPr="001B188B">
              <w:t>Prolonged Labour</w:t>
            </w:r>
          </w:p>
        </w:tc>
        <w:tc>
          <w:tcPr>
            <w:tcW w:w="1971" w:type="dxa"/>
            <w:hideMark/>
          </w:tcPr>
          <w:p w14:paraId="6CC17E42" w14:textId="77777777" w:rsidR="00FE6E20" w:rsidRPr="001B188B" w:rsidRDefault="00FE6E20" w:rsidP="006C25CF">
            <w:pPr>
              <w:spacing w:before="0" w:after="0" w:line="276" w:lineRule="auto"/>
              <w:jc w:val="both"/>
            </w:pPr>
            <w:r w:rsidRPr="001B188B">
              <w:t xml:space="preserve">0.77 </w:t>
            </w:r>
          </w:p>
          <w:p w14:paraId="5615A4C8" w14:textId="77777777" w:rsidR="00FE6E20" w:rsidRPr="001B188B" w:rsidRDefault="00FE6E20" w:rsidP="006C25CF">
            <w:pPr>
              <w:spacing w:before="0" w:after="0" w:line="276" w:lineRule="auto"/>
              <w:jc w:val="both"/>
            </w:pPr>
            <w:r w:rsidRPr="001B188B">
              <w:t>(0.43–1.40)</w:t>
            </w:r>
          </w:p>
        </w:tc>
        <w:tc>
          <w:tcPr>
            <w:tcW w:w="1971" w:type="dxa"/>
            <w:hideMark/>
          </w:tcPr>
          <w:p w14:paraId="175F81C6" w14:textId="77777777" w:rsidR="00FE6E20" w:rsidRPr="001B188B" w:rsidRDefault="00FE6E20" w:rsidP="006C25CF">
            <w:pPr>
              <w:spacing w:before="0" w:after="0" w:line="276" w:lineRule="auto"/>
              <w:jc w:val="both"/>
            </w:pPr>
            <w:r w:rsidRPr="001B188B">
              <w:t xml:space="preserve">0.82 </w:t>
            </w:r>
          </w:p>
          <w:p w14:paraId="460238BC" w14:textId="77777777" w:rsidR="00FE6E20" w:rsidRPr="001B188B" w:rsidRDefault="00FE6E20" w:rsidP="006C25CF">
            <w:pPr>
              <w:spacing w:before="0" w:after="0" w:line="276" w:lineRule="auto"/>
              <w:jc w:val="both"/>
            </w:pPr>
            <w:r w:rsidRPr="001B188B">
              <w:t>(0.46–1.47)</w:t>
            </w:r>
          </w:p>
        </w:tc>
        <w:tc>
          <w:tcPr>
            <w:tcW w:w="1971" w:type="dxa"/>
            <w:hideMark/>
          </w:tcPr>
          <w:p w14:paraId="5E4759CA" w14:textId="77777777" w:rsidR="00FE6E20" w:rsidRPr="001B188B" w:rsidRDefault="00FE6E20" w:rsidP="006C25CF">
            <w:pPr>
              <w:spacing w:before="0" w:after="0" w:line="276" w:lineRule="auto"/>
              <w:jc w:val="both"/>
            </w:pPr>
            <w:r w:rsidRPr="001B188B">
              <w:t xml:space="preserve">0.82 </w:t>
            </w:r>
          </w:p>
          <w:p w14:paraId="724C7DE3" w14:textId="77777777" w:rsidR="00FE6E20" w:rsidRPr="001B188B" w:rsidRDefault="00FE6E20" w:rsidP="006C25CF">
            <w:pPr>
              <w:spacing w:before="0" w:after="0" w:line="276" w:lineRule="auto"/>
              <w:jc w:val="both"/>
            </w:pPr>
            <w:r w:rsidRPr="001B188B">
              <w:t>(0.45–1.47)</w:t>
            </w:r>
          </w:p>
        </w:tc>
        <w:tc>
          <w:tcPr>
            <w:tcW w:w="1972" w:type="dxa"/>
            <w:hideMark/>
          </w:tcPr>
          <w:p w14:paraId="7B864FB1" w14:textId="77777777" w:rsidR="00FE6E20" w:rsidRPr="001B188B" w:rsidRDefault="00FE6E20" w:rsidP="006C25CF">
            <w:pPr>
              <w:spacing w:before="0" w:after="0" w:line="276" w:lineRule="auto"/>
              <w:jc w:val="both"/>
            </w:pPr>
            <w:r w:rsidRPr="001B188B">
              <w:t xml:space="preserve">0.81 </w:t>
            </w:r>
          </w:p>
          <w:p w14:paraId="6AAC3E99" w14:textId="77777777" w:rsidR="00FE6E20" w:rsidRPr="001B188B" w:rsidRDefault="00FE6E20" w:rsidP="006C25CF">
            <w:pPr>
              <w:spacing w:before="0" w:after="0" w:line="276" w:lineRule="auto"/>
              <w:jc w:val="both"/>
            </w:pPr>
            <w:r w:rsidRPr="001B188B">
              <w:t>(0.45–1.46)</w:t>
            </w:r>
          </w:p>
        </w:tc>
      </w:tr>
      <w:tr w:rsidR="00FE6E20" w:rsidRPr="001B188B" w14:paraId="3855DAF3" w14:textId="77777777" w:rsidTr="00FC757F">
        <w:trPr>
          <w:trHeight w:val="20"/>
        </w:trPr>
        <w:tc>
          <w:tcPr>
            <w:tcW w:w="0" w:type="auto"/>
            <w:gridSpan w:val="5"/>
            <w:noWrap/>
            <w:hideMark/>
          </w:tcPr>
          <w:p w14:paraId="7477F098" w14:textId="77777777" w:rsidR="00FE6E20" w:rsidRPr="001B188B" w:rsidRDefault="00FE6E20" w:rsidP="006C25CF">
            <w:pPr>
              <w:spacing w:before="0" w:after="0" w:line="276" w:lineRule="auto"/>
              <w:jc w:val="both"/>
            </w:pPr>
            <w:r w:rsidRPr="001B188B">
              <w:rPr>
                <w:b/>
                <w:bCs/>
                <w:i/>
                <w:iCs/>
              </w:rPr>
              <w:t>Model Fit Statistics</w:t>
            </w:r>
          </w:p>
        </w:tc>
      </w:tr>
      <w:tr w:rsidR="00FE6E20" w:rsidRPr="001B188B" w14:paraId="35F4FA02" w14:textId="77777777" w:rsidTr="00BD55E1">
        <w:trPr>
          <w:trHeight w:val="20"/>
        </w:trPr>
        <w:tc>
          <w:tcPr>
            <w:tcW w:w="2689" w:type="dxa"/>
            <w:hideMark/>
          </w:tcPr>
          <w:p w14:paraId="50BD6D20" w14:textId="77777777" w:rsidR="00FE6E20" w:rsidRPr="001B188B" w:rsidRDefault="00FE6E20" w:rsidP="006C25CF">
            <w:pPr>
              <w:spacing w:before="0" w:after="0" w:line="276" w:lineRule="auto"/>
              <w:jc w:val="both"/>
            </w:pPr>
            <w:r w:rsidRPr="001B188B">
              <w:t>Log-likelihood</w:t>
            </w:r>
          </w:p>
        </w:tc>
        <w:tc>
          <w:tcPr>
            <w:tcW w:w="1971" w:type="dxa"/>
            <w:hideMark/>
          </w:tcPr>
          <w:p w14:paraId="0E103E18" w14:textId="77777777" w:rsidR="00FE6E20" w:rsidRPr="001B188B" w:rsidRDefault="00FE6E20" w:rsidP="006C25CF">
            <w:pPr>
              <w:spacing w:before="0" w:after="0" w:line="276" w:lineRule="auto"/>
              <w:jc w:val="both"/>
            </w:pPr>
            <w:r w:rsidRPr="001B188B">
              <w:t>-828.14</w:t>
            </w:r>
          </w:p>
        </w:tc>
        <w:tc>
          <w:tcPr>
            <w:tcW w:w="1971" w:type="dxa"/>
            <w:hideMark/>
          </w:tcPr>
          <w:p w14:paraId="202ACD8D" w14:textId="77777777" w:rsidR="00FE6E20" w:rsidRPr="001B188B" w:rsidRDefault="00FE6E20" w:rsidP="006C25CF">
            <w:pPr>
              <w:spacing w:before="0" w:after="0" w:line="276" w:lineRule="auto"/>
              <w:jc w:val="both"/>
            </w:pPr>
            <w:r w:rsidRPr="001B188B">
              <w:t>-394.83</w:t>
            </w:r>
          </w:p>
        </w:tc>
        <w:tc>
          <w:tcPr>
            <w:tcW w:w="1971" w:type="dxa"/>
            <w:hideMark/>
          </w:tcPr>
          <w:p w14:paraId="251C61DB" w14:textId="77777777" w:rsidR="00FE6E20" w:rsidRPr="001B188B" w:rsidRDefault="00FE6E20" w:rsidP="006C25CF">
            <w:pPr>
              <w:spacing w:before="0" w:after="0" w:line="276" w:lineRule="auto"/>
              <w:jc w:val="both"/>
            </w:pPr>
            <w:r w:rsidRPr="001B188B">
              <w:t>-391.88</w:t>
            </w:r>
          </w:p>
        </w:tc>
        <w:tc>
          <w:tcPr>
            <w:tcW w:w="1972" w:type="dxa"/>
            <w:hideMark/>
          </w:tcPr>
          <w:p w14:paraId="4CE2DAE9" w14:textId="77777777" w:rsidR="00FE6E20" w:rsidRPr="001B188B" w:rsidRDefault="00FE6E20" w:rsidP="006C25CF">
            <w:pPr>
              <w:spacing w:before="0" w:after="0" w:line="276" w:lineRule="auto"/>
              <w:jc w:val="both"/>
            </w:pPr>
            <w:r w:rsidRPr="001B188B">
              <w:t>-394.29</w:t>
            </w:r>
          </w:p>
        </w:tc>
      </w:tr>
      <w:tr w:rsidR="00FE6E20" w:rsidRPr="001B188B" w14:paraId="703F219D" w14:textId="77777777" w:rsidTr="00BD55E1">
        <w:trPr>
          <w:trHeight w:val="20"/>
        </w:trPr>
        <w:tc>
          <w:tcPr>
            <w:tcW w:w="2689" w:type="dxa"/>
            <w:hideMark/>
          </w:tcPr>
          <w:p w14:paraId="1227DEA5" w14:textId="77777777" w:rsidR="00FE6E20" w:rsidRPr="001B188B" w:rsidRDefault="00FE6E20" w:rsidP="006C25CF">
            <w:pPr>
              <w:spacing w:before="0" w:after="0" w:line="276" w:lineRule="auto"/>
              <w:jc w:val="both"/>
            </w:pPr>
            <w:r w:rsidRPr="001B188B">
              <w:t>LR Chi-Square (d.f.=20)</w:t>
            </w:r>
          </w:p>
        </w:tc>
        <w:tc>
          <w:tcPr>
            <w:tcW w:w="1971" w:type="dxa"/>
            <w:hideMark/>
          </w:tcPr>
          <w:p w14:paraId="1E951119" w14:textId="77777777" w:rsidR="00FE6E20" w:rsidRPr="001B188B" w:rsidRDefault="00FE6E20" w:rsidP="006C25CF">
            <w:pPr>
              <w:spacing w:before="0" w:after="0" w:line="276" w:lineRule="auto"/>
              <w:jc w:val="both"/>
            </w:pPr>
            <w:r w:rsidRPr="001B188B">
              <w:t>159.71***</w:t>
            </w:r>
          </w:p>
        </w:tc>
        <w:tc>
          <w:tcPr>
            <w:tcW w:w="1971" w:type="dxa"/>
            <w:hideMark/>
          </w:tcPr>
          <w:p w14:paraId="57BDA58D" w14:textId="77777777" w:rsidR="00FE6E20" w:rsidRPr="001B188B" w:rsidRDefault="00FE6E20" w:rsidP="006C25CF">
            <w:pPr>
              <w:spacing w:before="0" w:after="0" w:line="276" w:lineRule="auto"/>
              <w:jc w:val="both"/>
            </w:pPr>
            <w:r w:rsidRPr="001B188B">
              <w:t>159.22***</w:t>
            </w:r>
          </w:p>
        </w:tc>
        <w:tc>
          <w:tcPr>
            <w:tcW w:w="1971" w:type="dxa"/>
            <w:hideMark/>
          </w:tcPr>
          <w:p w14:paraId="2184F847" w14:textId="77777777" w:rsidR="00FE6E20" w:rsidRPr="001B188B" w:rsidRDefault="00FE6E20" w:rsidP="006C25CF">
            <w:pPr>
              <w:spacing w:before="0" w:after="0" w:line="276" w:lineRule="auto"/>
              <w:jc w:val="both"/>
            </w:pPr>
            <w:r w:rsidRPr="001B188B">
              <w:t>159.31***</w:t>
            </w:r>
          </w:p>
        </w:tc>
        <w:tc>
          <w:tcPr>
            <w:tcW w:w="1972" w:type="dxa"/>
            <w:hideMark/>
          </w:tcPr>
          <w:p w14:paraId="05357E68" w14:textId="77777777" w:rsidR="00FE6E20" w:rsidRPr="001B188B" w:rsidRDefault="00FE6E20" w:rsidP="006C25CF">
            <w:pPr>
              <w:spacing w:before="0" w:after="0" w:line="276" w:lineRule="auto"/>
              <w:jc w:val="both"/>
            </w:pPr>
            <w:r w:rsidRPr="001B188B">
              <w:t>158.40***</w:t>
            </w:r>
          </w:p>
        </w:tc>
      </w:tr>
      <w:tr w:rsidR="00C57B9E" w:rsidRPr="001B188B" w14:paraId="08440CDA" w14:textId="77777777" w:rsidTr="00BD55E1">
        <w:trPr>
          <w:trHeight w:val="20"/>
        </w:trPr>
        <w:tc>
          <w:tcPr>
            <w:tcW w:w="2689" w:type="dxa"/>
          </w:tcPr>
          <w:p w14:paraId="239DC97B" w14:textId="18F6316D" w:rsidR="00C57B9E" w:rsidRPr="001B188B" w:rsidRDefault="00C57B9E" w:rsidP="006C25CF">
            <w:pPr>
              <w:spacing w:before="0" w:after="0" w:line="276" w:lineRule="auto"/>
              <w:jc w:val="both"/>
            </w:pPr>
            <w:r w:rsidRPr="001B188B">
              <w:t xml:space="preserve">Shape Parameters </w:t>
            </w:r>
          </w:p>
        </w:tc>
        <w:tc>
          <w:tcPr>
            <w:tcW w:w="1971" w:type="dxa"/>
          </w:tcPr>
          <w:p w14:paraId="774742E1" w14:textId="5CE2FCF0" w:rsidR="00C57B9E" w:rsidRPr="001B188B" w:rsidRDefault="00C57B9E" w:rsidP="006C25CF">
            <w:pPr>
              <w:spacing w:before="0" w:after="0" w:line="276" w:lineRule="auto"/>
              <w:jc w:val="both"/>
            </w:pPr>
            <w:r w:rsidRPr="001B188B">
              <w:t>-</w:t>
            </w:r>
          </w:p>
        </w:tc>
        <w:tc>
          <w:tcPr>
            <w:tcW w:w="1971" w:type="dxa"/>
          </w:tcPr>
          <w:p w14:paraId="03DDB1B8" w14:textId="1D34920A" w:rsidR="00C57B9E" w:rsidRPr="001B188B" w:rsidRDefault="00584A88" w:rsidP="006C25CF">
            <w:pPr>
              <w:spacing w:before="0" w:after="0" w:line="276" w:lineRule="auto"/>
              <w:jc w:val="both"/>
            </w:pPr>
            <w:r w:rsidRPr="001B188B">
              <w:t>1.00</w:t>
            </w:r>
          </w:p>
        </w:tc>
        <w:tc>
          <w:tcPr>
            <w:tcW w:w="1971" w:type="dxa"/>
          </w:tcPr>
          <w:p w14:paraId="2E03AF3C" w14:textId="77777777" w:rsidR="0016699D" w:rsidRPr="001B188B" w:rsidRDefault="0016699D" w:rsidP="006C25CF">
            <w:pPr>
              <w:spacing w:before="0" w:after="0" w:line="276" w:lineRule="auto"/>
              <w:jc w:val="both"/>
            </w:pPr>
            <w:r w:rsidRPr="001B188B">
              <w:t>1.179</w:t>
            </w:r>
          </w:p>
          <w:p w14:paraId="6AF79C9C" w14:textId="33ECE656" w:rsidR="00C57B9E" w:rsidRPr="001B188B" w:rsidRDefault="0016699D" w:rsidP="006C25CF">
            <w:pPr>
              <w:spacing w:before="0" w:after="0" w:line="276" w:lineRule="auto"/>
              <w:jc w:val="both"/>
            </w:pPr>
            <w:r w:rsidRPr="001B188B">
              <w:t>(1.037-1.340)</w:t>
            </w:r>
            <w:r w:rsidR="00E92832">
              <w:t xml:space="preserve"> </w:t>
            </w:r>
            <w:r w:rsidR="00B9007C" w:rsidRPr="001B188B">
              <w:t>***</w:t>
            </w:r>
          </w:p>
        </w:tc>
        <w:tc>
          <w:tcPr>
            <w:tcW w:w="1972" w:type="dxa"/>
          </w:tcPr>
          <w:p w14:paraId="51EE0BA5" w14:textId="77777777" w:rsidR="0016699D" w:rsidRPr="001B188B" w:rsidRDefault="0016699D" w:rsidP="006C25CF">
            <w:pPr>
              <w:spacing w:before="0" w:after="0" w:line="276" w:lineRule="auto"/>
              <w:jc w:val="both"/>
            </w:pPr>
            <w:r w:rsidRPr="001B188B">
              <w:t>0.014</w:t>
            </w:r>
          </w:p>
          <w:p w14:paraId="383FF26D" w14:textId="74CC0523" w:rsidR="0016699D" w:rsidRPr="001B188B" w:rsidRDefault="0016699D" w:rsidP="006C25CF">
            <w:pPr>
              <w:spacing w:before="0" w:after="0" w:line="276" w:lineRule="auto"/>
              <w:jc w:val="both"/>
            </w:pPr>
            <w:r w:rsidRPr="001B188B">
              <w:t>(-0.012-0.041_</w:t>
            </w:r>
          </w:p>
        </w:tc>
      </w:tr>
    </w:tbl>
    <w:p w14:paraId="3422C1B6" w14:textId="346E2774" w:rsidR="00307B6E" w:rsidRPr="001B188B" w:rsidRDefault="00307B6E" w:rsidP="006C25CF">
      <w:pPr>
        <w:pStyle w:val="NoSpacing"/>
        <w:spacing w:before="0" w:after="240"/>
        <w:rPr>
          <w:rFonts w:cs="Times New Roman"/>
          <w:i/>
          <w:iCs/>
          <w:szCs w:val="24"/>
        </w:rPr>
      </w:pPr>
      <w:r w:rsidRPr="001B188B">
        <w:rPr>
          <w:rFonts w:cs="Times New Roman"/>
          <w:i/>
          <w:iCs/>
          <w:szCs w:val="24"/>
        </w:rPr>
        <w:t>Significant predictors (p &lt; 0.05) are indicated by asterisks (*p &lt; 0.05; **p &lt; 0.01; ***p &lt; 0.001).</w:t>
      </w:r>
    </w:p>
    <w:p w14:paraId="54D2F0A8" w14:textId="77777777" w:rsidR="006C25CF" w:rsidRDefault="006C25CF" w:rsidP="00B7105A">
      <w:pPr>
        <w:jc w:val="both"/>
        <w:rPr>
          <w:b/>
          <w:bCs/>
        </w:rPr>
      </w:pPr>
    </w:p>
    <w:p w14:paraId="1AD24E74" w14:textId="33797038" w:rsidR="00BD299F" w:rsidRPr="001B188B" w:rsidRDefault="00D8726B" w:rsidP="00B7105A">
      <w:pPr>
        <w:jc w:val="both"/>
      </w:pPr>
      <w:r w:rsidRPr="001B188B">
        <w:rPr>
          <w:b/>
          <w:bCs/>
        </w:rPr>
        <w:t>DISCUSSION</w:t>
      </w:r>
    </w:p>
    <w:p w14:paraId="106790ED" w14:textId="7A5FB886" w:rsidR="00250F5A" w:rsidRPr="001B188B" w:rsidRDefault="00250F5A" w:rsidP="00B7105A">
      <w:pPr>
        <w:jc w:val="both"/>
      </w:pPr>
      <w:r w:rsidRPr="001B188B">
        <w:t xml:space="preserve">This cross-sectional study compared four survival models for predicting neonatal mortality in a tertiary NICU/SNCU setting. Among the three parametric models tested, the Weibull proportional hazards model provided the best fit to the data, as shown by its lowest Akaike and Bayesian Information Criteria values. The likelihood ratio test confirmed that the exponential model’s assumption of a constant hazard was not appropriate for these data, meaning that the risk of death does not remain stable throughout the admission period </w:t>
      </w:r>
      <w:r w:rsidR="008E527E" w:rsidRPr="000F08D4">
        <w:rPr>
          <w:vertAlign w:val="superscript"/>
        </w:rPr>
        <w:fldChar w:fldCharType="begin"/>
      </w:r>
      <w:r w:rsidR="008E527E" w:rsidRPr="000F08D4">
        <w:rPr>
          <w:vertAlign w:val="superscript"/>
        </w:rPr>
        <w:instrText xml:space="preserve"> REF _Ref223726066 \r \h </w:instrText>
      </w:r>
      <w:r w:rsidR="000F08D4">
        <w:rPr>
          <w:vertAlign w:val="superscript"/>
        </w:rPr>
        <w:instrText xml:space="preserve"> \* MERGEFORMAT </w:instrText>
      </w:r>
      <w:r w:rsidR="008E527E" w:rsidRPr="000F08D4">
        <w:rPr>
          <w:vertAlign w:val="superscript"/>
        </w:rPr>
      </w:r>
      <w:r w:rsidR="008E527E" w:rsidRPr="000F08D4">
        <w:rPr>
          <w:vertAlign w:val="superscript"/>
        </w:rPr>
        <w:fldChar w:fldCharType="separate"/>
      </w:r>
      <w:r w:rsidR="008E527E" w:rsidRPr="000F08D4">
        <w:rPr>
          <w:vertAlign w:val="superscript"/>
        </w:rPr>
        <w:t>12</w:t>
      </w:r>
      <w:r w:rsidR="008E527E" w:rsidRPr="000F08D4">
        <w:rPr>
          <w:vertAlign w:val="superscript"/>
        </w:rPr>
        <w:fldChar w:fldCharType="end"/>
      </w:r>
      <w:r w:rsidR="008E527E" w:rsidRPr="000F08D4">
        <w:rPr>
          <w:vertAlign w:val="superscript"/>
        </w:rPr>
        <w:t>,</w:t>
      </w:r>
      <w:r w:rsidR="008E527E" w:rsidRPr="000F08D4">
        <w:rPr>
          <w:vertAlign w:val="superscript"/>
        </w:rPr>
        <w:fldChar w:fldCharType="begin"/>
      </w:r>
      <w:r w:rsidR="008E527E" w:rsidRPr="000F08D4">
        <w:rPr>
          <w:vertAlign w:val="superscript"/>
        </w:rPr>
        <w:instrText xml:space="preserve"> REF _Ref223726070 \r \h </w:instrText>
      </w:r>
      <w:r w:rsidR="000F08D4">
        <w:rPr>
          <w:vertAlign w:val="superscript"/>
        </w:rPr>
        <w:instrText xml:space="preserve"> \* MERGEFORMAT </w:instrText>
      </w:r>
      <w:r w:rsidR="008E527E" w:rsidRPr="000F08D4">
        <w:rPr>
          <w:vertAlign w:val="superscript"/>
        </w:rPr>
      </w:r>
      <w:r w:rsidR="008E527E" w:rsidRPr="000F08D4">
        <w:rPr>
          <w:vertAlign w:val="superscript"/>
        </w:rPr>
        <w:fldChar w:fldCharType="separate"/>
      </w:r>
      <w:r w:rsidR="008E527E" w:rsidRPr="000F08D4">
        <w:rPr>
          <w:vertAlign w:val="superscript"/>
        </w:rPr>
        <w:t>13</w:t>
      </w:r>
      <w:r w:rsidR="008E527E" w:rsidRPr="000F08D4">
        <w:rPr>
          <w:vertAlign w:val="superscript"/>
        </w:rPr>
        <w:fldChar w:fldCharType="end"/>
      </w:r>
      <w:r w:rsidRPr="001B188B">
        <w:t xml:space="preserve">. The Weibull shape parameter was estimated above unity with statistical precision, indicating that the baseline hazard increases steadily over time. This finding is clinically meaningful in the NICU context, as it suggests that neonates who survive the initial stabilisation phase continue to face a gradually rising risk of death, largely due to secondary complications such as sepsis and progressive respiratory failure </w:t>
      </w:r>
      <w:r w:rsidR="008E527E" w:rsidRPr="000F08D4">
        <w:rPr>
          <w:vertAlign w:val="superscript"/>
        </w:rPr>
        <w:fldChar w:fldCharType="begin"/>
      </w:r>
      <w:r w:rsidR="008E527E" w:rsidRPr="000F08D4">
        <w:rPr>
          <w:vertAlign w:val="superscript"/>
        </w:rPr>
        <w:instrText xml:space="preserve"> REF _Ref223726697 \r \h </w:instrText>
      </w:r>
      <w:r w:rsidR="000F08D4">
        <w:rPr>
          <w:vertAlign w:val="superscript"/>
        </w:rPr>
        <w:instrText xml:space="preserve"> \* MERGEFORMAT </w:instrText>
      </w:r>
      <w:r w:rsidR="008E527E" w:rsidRPr="000F08D4">
        <w:rPr>
          <w:vertAlign w:val="superscript"/>
        </w:rPr>
      </w:r>
      <w:r w:rsidR="008E527E" w:rsidRPr="000F08D4">
        <w:rPr>
          <w:vertAlign w:val="superscript"/>
        </w:rPr>
        <w:fldChar w:fldCharType="separate"/>
      </w:r>
      <w:r w:rsidR="008E527E" w:rsidRPr="000F08D4">
        <w:rPr>
          <w:vertAlign w:val="superscript"/>
        </w:rPr>
        <w:t>18</w:t>
      </w:r>
      <w:r w:rsidR="008E527E" w:rsidRPr="000F08D4">
        <w:rPr>
          <w:vertAlign w:val="superscript"/>
        </w:rPr>
        <w:fldChar w:fldCharType="end"/>
      </w:r>
      <w:r w:rsidR="00396D4A" w:rsidRPr="000F08D4">
        <w:rPr>
          <w:vertAlign w:val="superscript"/>
        </w:rPr>
        <w:t>,</w:t>
      </w:r>
      <w:r w:rsidR="008E527E" w:rsidRPr="000F08D4">
        <w:rPr>
          <w:vertAlign w:val="superscript"/>
        </w:rPr>
        <w:fldChar w:fldCharType="begin"/>
      </w:r>
      <w:r w:rsidR="008E527E" w:rsidRPr="000F08D4">
        <w:rPr>
          <w:vertAlign w:val="superscript"/>
        </w:rPr>
        <w:instrText xml:space="preserve"> REF _Ref223726699 \r \h </w:instrText>
      </w:r>
      <w:r w:rsidR="000F08D4">
        <w:rPr>
          <w:vertAlign w:val="superscript"/>
        </w:rPr>
        <w:instrText xml:space="preserve"> \* MERGEFORMAT </w:instrText>
      </w:r>
      <w:r w:rsidR="008E527E" w:rsidRPr="000F08D4">
        <w:rPr>
          <w:vertAlign w:val="superscript"/>
        </w:rPr>
      </w:r>
      <w:r w:rsidR="008E527E" w:rsidRPr="000F08D4">
        <w:rPr>
          <w:vertAlign w:val="superscript"/>
        </w:rPr>
        <w:fldChar w:fldCharType="separate"/>
      </w:r>
      <w:r w:rsidR="008E527E" w:rsidRPr="000F08D4">
        <w:rPr>
          <w:vertAlign w:val="superscript"/>
        </w:rPr>
        <w:t>19</w:t>
      </w:r>
      <w:r w:rsidR="008E527E" w:rsidRPr="000F08D4">
        <w:rPr>
          <w:vertAlign w:val="superscript"/>
        </w:rPr>
        <w:fldChar w:fldCharType="end"/>
      </w:r>
      <w:r w:rsidRPr="001B188B">
        <w:t xml:space="preserve">. The non-significant Gompertz shape parameter indicated that a rapidly accelerating hazard pattern was not supported by the data, which explains why the Gompertz model performed comparatively poorly </w:t>
      </w:r>
      <w:r w:rsidR="00396D4A" w:rsidRPr="000F08D4">
        <w:rPr>
          <w:vertAlign w:val="superscript"/>
        </w:rPr>
        <w:fldChar w:fldCharType="begin"/>
      </w:r>
      <w:r w:rsidR="00396D4A" w:rsidRPr="000F08D4">
        <w:rPr>
          <w:vertAlign w:val="superscript"/>
        </w:rPr>
        <w:instrText xml:space="preserve"> REF _Ref223726132 \r \h </w:instrText>
      </w:r>
      <w:r w:rsidR="000F08D4">
        <w:rPr>
          <w:vertAlign w:val="superscript"/>
        </w:rPr>
        <w:instrText xml:space="preserve"> \* MERGEFORMAT </w:instrText>
      </w:r>
      <w:r w:rsidR="00396D4A" w:rsidRPr="000F08D4">
        <w:rPr>
          <w:vertAlign w:val="superscript"/>
        </w:rPr>
      </w:r>
      <w:r w:rsidR="00396D4A" w:rsidRPr="000F08D4">
        <w:rPr>
          <w:vertAlign w:val="superscript"/>
        </w:rPr>
        <w:fldChar w:fldCharType="separate"/>
      </w:r>
      <w:r w:rsidR="00396D4A" w:rsidRPr="000F08D4">
        <w:rPr>
          <w:vertAlign w:val="superscript"/>
        </w:rPr>
        <w:t>14</w:t>
      </w:r>
      <w:r w:rsidR="00396D4A" w:rsidRPr="000F08D4">
        <w:rPr>
          <w:vertAlign w:val="superscript"/>
        </w:rPr>
        <w:fldChar w:fldCharType="end"/>
      </w:r>
      <w:r w:rsidRPr="000F08D4">
        <w:rPr>
          <w:vertAlign w:val="superscript"/>
        </w:rPr>
        <w:t>.</w:t>
      </w:r>
    </w:p>
    <w:p w14:paraId="702F865F" w14:textId="585F18F7" w:rsidR="00250F5A" w:rsidRPr="001B188B" w:rsidRDefault="00250F5A" w:rsidP="00B7105A">
      <w:pPr>
        <w:jc w:val="both"/>
      </w:pPr>
      <w:r w:rsidRPr="001B188B">
        <w:t xml:space="preserve">Extreme prematurity was the single strongest independent predictor of neonatal mortality across all four models, showing the highest hazard ratio in the entire cohort. This is consistent with the well-established vulnerabilities seen at the lowest gestational ages, including surfactant deficiency, immature immune function, poor temperature regulation, and increased risk of intraventricular haemorrhage, all of which independently and collectively raise the risk of death </w:t>
      </w:r>
      <w:r w:rsidR="00396D4A" w:rsidRPr="000F08D4">
        <w:rPr>
          <w:vertAlign w:val="superscript"/>
        </w:rPr>
        <w:fldChar w:fldCharType="begin"/>
      </w:r>
      <w:r w:rsidR="00396D4A" w:rsidRPr="000F08D4">
        <w:rPr>
          <w:vertAlign w:val="superscript"/>
        </w:rPr>
        <w:instrText xml:space="preserve"> REF _Ref223726724 \r \h </w:instrText>
      </w:r>
      <w:r w:rsidR="000F08D4">
        <w:rPr>
          <w:vertAlign w:val="superscript"/>
        </w:rPr>
        <w:instrText xml:space="preserve"> \* MERGEFORMAT </w:instrText>
      </w:r>
      <w:r w:rsidR="00396D4A" w:rsidRPr="000F08D4">
        <w:rPr>
          <w:vertAlign w:val="superscript"/>
        </w:rPr>
      </w:r>
      <w:r w:rsidR="00396D4A" w:rsidRPr="000F08D4">
        <w:rPr>
          <w:vertAlign w:val="superscript"/>
        </w:rPr>
        <w:fldChar w:fldCharType="separate"/>
      </w:r>
      <w:r w:rsidR="00396D4A" w:rsidRPr="000F08D4">
        <w:rPr>
          <w:vertAlign w:val="superscript"/>
        </w:rPr>
        <w:t>20</w:t>
      </w:r>
      <w:r w:rsidR="00396D4A" w:rsidRPr="000F08D4">
        <w:rPr>
          <w:vertAlign w:val="superscript"/>
        </w:rPr>
        <w:fldChar w:fldCharType="end"/>
      </w:r>
      <w:r w:rsidR="000F08D4" w:rsidRPr="000F08D4">
        <w:rPr>
          <w:vertAlign w:val="superscript"/>
        </w:rPr>
        <w:t>,</w:t>
      </w:r>
      <w:r w:rsidR="00396D4A" w:rsidRPr="000F08D4">
        <w:rPr>
          <w:vertAlign w:val="superscript"/>
        </w:rPr>
        <w:fldChar w:fldCharType="begin"/>
      </w:r>
      <w:r w:rsidR="00396D4A" w:rsidRPr="000F08D4">
        <w:rPr>
          <w:vertAlign w:val="superscript"/>
        </w:rPr>
        <w:instrText xml:space="preserve"> REF _Ref223726728 \r \h </w:instrText>
      </w:r>
      <w:r w:rsidR="000F08D4">
        <w:rPr>
          <w:vertAlign w:val="superscript"/>
        </w:rPr>
        <w:instrText xml:space="preserve"> \* MERGEFORMAT </w:instrText>
      </w:r>
      <w:r w:rsidR="00396D4A" w:rsidRPr="000F08D4">
        <w:rPr>
          <w:vertAlign w:val="superscript"/>
        </w:rPr>
      </w:r>
      <w:r w:rsidR="00396D4A" w:rsidRPr="000F08D4">
        <w:rPr>
          <w:vertAlign w:val="superscript"/>
        </w:rPr>
        <w:fldChar w:fldCharType="separate"/>
      </w:r>
      <w:r w:rsidR="00396D4A" w:rsidRPr="000F08D4">
        <w:rPr>
          <w:vertAlign w:val="superscript"/>
        </w:rPr>
        <w:t>29</w:t>
      </w:r>
      <w:r w:rsidR="00396D4A" w:rsidRPr="000F08D4">
        <w:rPr>
          <w:vertAlign w:val="superscript"/>
        </w:rPr>
        <w:fldChar w:fldCharType="end"/>
      </w:r>
      <w:r w:rsidRPr="001B188B">
        <w:t>. Importantly, moderate prematurity (28–36 weeks) did not reach statistical significance in any model after adjustment, suggesting that the excess hazard is concentrated specifically at the extreme end of prematurity rather than spread across the full preterm range. This has direct implications for resource allocation: intensive monitoring and clinical interventions should be prioritised for neonates born below 28 weeks gestational age, where the survival disadvantage is both greatest and consistently confirmed across all four models.</w:t>
      </w:r>
    </w:p>
    <w:p w14:paraId="6A42E624" w14:textId="5C3740AE" w:rsidR="00250F5A" w:rsidRPr="001B188B" w:rsidRDefault="00250F5A" w:rsidP="00B7105A">
      <w:pPr>
        <w:jc w:val="both"/>
      </w:pPr>
      <w:r w:rsidRPr="001B188B">
        <w:t xml:space="preserve">Congenital malformations were the second strongest independent predictor of mortality, with consistent hazard estimates across all four models. This reflects the nature of the study institution, a tertiary referral NICU that </w:t>
      </w:r>
      <w:r w:rsidRPr="001B188B">
        <w:lastRenderedPageBreak/>
        <w:t xml:space="preserve">receives complex structural anomalies such as cyanotic congenital heart disease, renal agenesis, and neural tube defects, in a setting without on-site paediatric cardiac surgery </w:t>
      </w:r>
      <w:r w:rsidR="000F08D4">
        <w:fldChar w:fldCharType="begin"/>
      </w:r>
      <w:r w:rsidR="000F08D4">
        <w:instrText xml:space="preserve"> REF _Ref223728018 \r \h  \* MERGEFORMAT </w:instrText>
      </w:r>
      <w:r w:rsidR="000F08D4">
        <w:fldChar w:fldCharType="separate"/>
      </w:r>
      <w:r w:rsidR="000F08D4">
        <w:t>2</w:t>
      </w:r>
      <w:r w:rsidR="000F08D4" w:rsidRPr="000F08D4">
        <w:rPr>
          <w:vertAlign w:val="superscript"/>
        </w:rPr>
        <w:t>1</w:t>
      </w:r>
      <w:r w:rsidR="000F08D4">
        <w:fldChar w:fldCharType="end"/>
      </w:r>
      <w:r w:rsidRPr="001B188B">
        <w:t>. A borderline violation of the proportional hazards assumption was noted for this variable, characterised by a positive trend in the scaled Schoenfeld residuals over time. This pattern is biologically plausible: structural anomalies incompatible with prolonged survival lead to progressive multi-organ failure that worsens over the course of admission, resulting in a hazard ratio that increases with time rather than remaining constant. This distinguishes congenital malformations from acute conditions, where the excess hazard is predominantly concentrated in the early admission period.</w:t>
      </w:r>
    </w:p>
    <w:p w14:paraId="2383E831" w14:textId="6CC3708A" w:rsidR="00250F5A" w:rsidRPr="001B188B" w:rsidRDefault="00250F5A" w:rsidP="00B7105A">
      <w:pPr>
        <w:jc w:val="both"/>
      </w:pPr>
      <w:r w:rsidRPr="001B188B">
        <w:t xml:space="preserve">Perinatal asphyxia and neonatal sepsis were each independently and significantly associated with increased mortality hazard across all model specifications, with consistent estimates that reflect the robustness of these associations regardless of the distributional assumptions used. For perinatal asphyxia, the Schoenfeld residual pattern showed a negative correlation with analysis time, indicating that the excess hazard from this condition is concentrated within the first 48–72 hours of admission. This is consistent with the acute pathophysiology of hypoxic-ischaemic encephalopathy, in which neuronal injury and its systemic consequences are greatest immediately following the </w:t>
      </w:r>
      <w:proofErr w:type="spellStart"/>
      <w:r w:rsidRPr="001B188B">
        <w:t>asphyxial</w:t>
      </w:r>
      <w:proofErr w:type="spellEnd"/>
      <w:r w:rsidRPr="001B188B">
        <w:t xml:space="preserve"> event </w:t>
      </w:r>
      <w:r w:rsidR="000F08D4" w:rsidRPr="000F08D4">
        <w:rPr>
          <w:vertAlign w:val="superscript"/>
        </w:rPr>
        <w:fldChar w:fldCharType="begin"/>
      </w:r>
      <w:r w:rsidR="000F08D4" w:rsidRPr="000F08D4">
        <w:rPr>
          <w:vertAlign w:val="superscript"/>
        </w:rPr>
        <w:instrText xml:space="preserve"> REF _Ref223728036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22</w:t>
      </w:r>
      <w:r w:rsidR="000F08D4" w:rsidRPr="000F08D4">
        <w:rPr>
          <w:vertAlign w:val="superscript"/>
        </w:rPr>
        <w:fldChar w:fldCharType="end"/>
      </w:r>
      <w:r w:rsidRPr="000F08D4">
        <w:rPr>
          <w:vertAlign w:val="superscript"/>
        </w:rPr>
        <w:t>.</w:t>
      </w:r>
      <w:r w:rsidRPr="001B188B">
        <w:t xml:space="preserve"> This time-varying pattern, evidenced by a borderline individual Schoenfeld test, does not undermine the overall proportional hazards framework, which was supported by the significant global test. The hazard magnitude observed for neonatal sepsis is consistent with pooled estimates from published meta-analyses conducted in South Asian tertiary NICUs </w:t>
      </w:r>
      <w:r w:rsidR="000F08D4" w:rsidRPr="000F08D4">
        <w:rPr>
          <w:vertAlign w:val="superscript"/>
        </w:rPr>
        <w:fldChar w:fldCharType="begin"/>
      </w:r>
      <w:r w:rsidR="000F08D4" w:rsidRPr="000F08D4">
        <w:rPr>
          <w:vertAlign w:val="superscript"/>
        </w:rPr>
        <w:instrText xml:space="preserve"> REF _Ref223728049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23</w:t>
      </w:r>
      <w:r w:rsidR="000F08D4" w:rsidRPr="000F08D4">
        <w:rPr>
          <w:vertAlign w:val="superscript"/>
        </w:rPr>
        <w:fldChar w:fldCharType="end"/>
      </w:r>
      <w:r w:rsidRPr="000F08D4">
        <w:rPr>
          <w:vertAlign w:val="superscript"/>
        </w:rPr>
        <w:t>,</w:t>
      </w:r>
      <w:r w:rsidRPr="001B188B">
        <w:t xml:space="preserve"> supporting the external validity of the present findings. Respiratory distress syndrome showed a marginally non-significant hazard estimate in the Weibull model, which may reflect the availability of surfactant therapy at this institution, potentially reducing the survival disadvantage compared with settings where this treatment is unavailable </w:t>
      </w:r>
      <w:r w:rsidR="000F08D4" w:rsidRPr="000F08D4">
        <w:rPr>
          <w:vertAlign w:val="superscript"/>
        </w:rPr>
        <w:fldChar w:fldCharType="begin"/>
      </w:r>
      <w:r w:rsidR="000F08D4" w:rsidRPr="000F08D4">
        <w:rPr>
          <w:vertAlign w:val="superscript"/>
        </w:rPr>
        <w:instrText xml:space="preserve"> REF _Ref223725851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4</w:t>
      </w:r>
      <w:r w:rsidR="000F08D4" w:rsidRPr="000F08D4">
        <w:rPr>
          <w:vertAlign w:val="superscript"/>
        </w:rPr>
        <w:fldChar w:fldCharType="end"/>
      </w:r>
      <w:r w:rsidRPr="000F08D4">
        <w:rPr>
          <w:vertAlign w:val="superscript"/>
        </w:rPr>
        <w:t>.</w:t>
      </w:r>
    </w:p>
    <w:p w14:paraId="166F75F9" w14:textId="4451EA74" w:rsidR="00250F5A" w:rsidRPr="001B188B" w:rsidRDefault="00250F5A" w:rsidP="00B7105A">
      <w:pPr>
        <w:jc w:val="both"/>
      </w:pPr>
      <w:r w:rsidRPr="001B188B">
        <w:t xml:space="preserve">Induced labour was a consistently significant predictor of mortality across all four models, even after adjusting for gestational age, birth weight, and primary clinical diagnosis. This residual association suggests an independent contribution through foetal compromise caused by uterotonic hyperstimulation, compounding the high-risk obstetric contexts in which induction is most commonly indicated </w:t>
      </w:r>
      <w:r w:rsidR="000F08D4" w:rsidRPr="000F08D4">
        <w:rPr>
          <w:vertAlign w:val="superscript"/>
        </w:rPr>
        <w:fldChar w:fldCharType="begin"/>
      </w:r>
      <w:r w:rsidR="000F08D4" w:rsidRPr="000F08D4">
        <w:rPr>
          <w:vertAlign w:val="superscript"/>
        </w:rPr>
        <w:instrText xml:space="preserve"> REF _Ref223728086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24</w:t>
      </w:r>
      <w:r w:rsidR="000F08D4" w:rsidRPr="000F08D4">
        <w:rPr>
          <w:vertAlign w:val="superscript"/>
        </w:rPr>
        <w:fldChar w:fldCharType="end"/>
      </w:r>
      <w:r w:rsidRPr="000F08D4">
        <w:rPr>
          <w:vertAlign w:val="superscript"/>
        </w:rPr>
        <w:t>.</w:t>
      </w:r>
      <w:r w:rsidRPr="001B188B">
        <w:t xml:space="preserve"> Multigravida was similarly associated with a modest increase in mortality hazard, consistent with evidence linking maternal nutritional depletion and short interpregnancy intervals to poorer neonatal outcomes in high-parity South Asian populations </w:t>
      </w:r>
      <w:r w:rsidR="000F08D4" w:rsidRPr="000F08D4">
        <w:rPr>
          <w:vertAlign w:val="superscript"/>
        </w:rPr>
        <w:fldChar w:fldCharType="begin"/>
      </w:r>
      <w:r w:rsidR="000F08D4" w:rsidRPr="000F08D4">
        <w:rPr>
          <w:vertAlign w:val="superscript"/>
        </w:rPr>
        <w:instrText xml:space="preserve"> REF _Ref223728097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25</w:t>
      </w:r>
      <w:r w:rsidR="000F08D4" w:rsidRPr="000F08D4">
        <w:rPr>
          <w:vertAlign w:val="superscript"/>
        </w:rPr>
        <w:fldChar w:fldCharType="end"/>
      </w:r>
      <w:r w:rsidRPr="000F08D4">
        <w:rPr>
          <w:vertAlign w:val="superscript"/>
        </w:rPr>
        <w:t>.</w:t>
      </w:r>
      <w:r w:rsidRPr="001B188B">
        <w:t xml:space="preserve"> Infant sex, mode of delivery, maternal age, timing of breastfeeding initiation, amniotic fluid colour, and type of labour complication did not achieve statistical significance in any model, indicating that these variables do not independently predict NICU mortality after full covariate adjustment.</w:t>
      </w:r>
    </w:p>
    <w:p w14:paraId="4D0D8096" w14:textId="7E58FFC9" w:rsidR="00250F5A" w:rsidRPr="001B188B" w:rsidRDefault="00250F5A" w:rsidP="00B7105A">
      <w:pPr>
        <w:jc w:val="both"/>
      </w:pPr>
      <w:r w:rsidRPr="001B188B">
        <w:t xml:space="preserve">The discriminative performance of the covariate set was good, with Harrell’s C-statistic falling within the conventionally accepted range for strong clinical prediction </w:t>
      </w:r>
      <w:r w:rsidR="000F08D4" w:rsidRPr="000F08D4">
        <w:rPr>
          <w:vertAlign w:val="superscript"/>
        </w:rPr>
        <w:fldChar w:fldCharType="begin"/>
      </w:r>
      <w:r w:rsidR="000F08D4" w:rsidRPr="000F08D4">
        <w:rPr>
          <w:vertAlign w:val="superscript"/>
        </w:rPr>
        <w:instrText xml:space="preserve"> REF _Ref223726614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16</w:t>
      </w:r>
      <w:r w:rsidR="000F08D4" w:rsidRPr="000F08D4">
        <w:rPr>
          <w:vertAlign w:val="superscript"/>
        </w:rPr>
        <w:fldChar w:fldCharType="end"/>
      </w:r>
      <w:r w:rsidRPr="001B188B">
        <w:t xml:space="preserve">. This performance is broadly comparable to established neonatal severity-of-illness scoring tools such as CRIB-II </w:t>
      </w:r>
      <w:r w:rsidR="000F08D4" w:rsidRPr="000F08D4">
        <w:rPr>
          <w:vertAlign w:val="superscript"/>
        </w:rPr>
        <w:fldChar w:fldCharType="begin"/>
      </w:r>
      <w:r w:rsidR="000F08D4" w:rsidRPr="000F08D4">
        <w:rPr>
          <w:vertAlign w:val="superscript"/>
        </w:rPr>
        <w:instrText xml:space="preserve"> REF _Ref223726170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26</w:t>
      </w:r>
      <w:r w:rsidR="000F08D4" w:rsidRPr="000F08D4">
        <w:rPr>
          <w:vertAlign w:val="superscript"/>
        </w:rPr>
        <w:fldChar w:fldCharType="end"/>
      </w:r>
      <w:r w:rsidRPr="000F08D4">
        <w:rPr>
          <w:vertAlign w:val="superscript"/>
        </w:rPr>
        <w:t>,</w:t>
      </w:r>
      <w:r w:rsidRPr="001B188B">
        <w:t xml:space="preserve"> suggesting that the parsimonious set of covariates identified in this study captures a clinically meaningful proportion of the variation in mortality risk. However, prospective external validation in an independent cohort is required before the model can be responsibly applied for bedside risk stratification.</w:t>
      </w:r>
    </w:p>
    <w:p w14:paraId="1A0ADE00" w14:textId="2DD30465" w:rsidR="00250F5A" w:rsidRPr="001B188B" w:rsidRDefault="00250F5A" w:rsidP="00B7105A">
      <w:pPr>
        <w:jc w:val="both"/>
      </w:pPr>
      <w:r w:rsidRPr="001B188B">
        <w:t xml:space="preserve">Several previously published survival analyses of neonatal mortality in Indian tertiary NICU settings have identified broadly similar risk factors extreme prematurity, asphyxia, and sepsis but have predominantly used logistic regression or Cox modelling without formally comparing parametric alternatives </w:t>
      </w:r>
      <w:r w:rsidR="000F08D4" w:rsidRPr="000F08D4">
        <w:rPr>
          <w:vertAlign w:val="superscript"/>
        </w:rPr>
        <w:fldChar w:fldCharType="begin"/>
      </w:r>
      <w:r w:rsidR="000F08D4" w:rsidRPr="000F08D4">
        <w:rPr>
          <w:vertAlign w:val="superscript"/>
        </w:rPr>
        <w:instrText xml:space="preserve"> REF _Ref223725931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8</w:t>
      </w:r>
      <w:r w:rsidR="000F08D4" w:rsidRPr="000F08D4">
        <w:rPr>
          <w:vertAlign w:val="superscript"/>
        </w:rPr>
        <w:fldChar w:fldCharType="end"/>
      </w:r>
      <w:r w:rsidR="000F08D4" w:rsidRPr="000F08D4">
        <w:rPr>
          <w:vertAlign w:val="superscript"/>
        </w:rPr>
        <w:t>,</w:t>
      </w:r>
      <w:r w:rsidR="000F08D4" w:rsidRPr="000F08D4">
        <w:rPr>
          <w:vertAlign w:val="superscript"/>
        </w:rPr>
        <w:fldChar w:fldCharType="begin"/>
      </w:r>
      <w:r w:rsidR="000F08D4" w:rsidRPr="000F08D4">
        <w:rPr>
          <w:vertAlign w:val="superscript"/>
        </w:rPr>
        <w:instrText xml:space="preserve"> REF _Ref223725934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9</w:t>
      </w:r>
      <w:r w:rsidR="000F08D4" w:rsidRPr="000F08D4">
        <w:rPr>
          <w:vertAlign w:val="superscript"/>
        </w:rPr>
        <w:fldChar w:fldCharType="end"/>
      </w:r>
      <w:r w:rsidRPr="000F08D4">
        <w:rPr>
          <w:vertAlign w:val="superscript"/>
        </w:rPr>
        <w:t xml:space="preserve">. </w:t>
      </w:r>
      <w:r w:rsidRPr="001B188B">
        <w:t xml:space="preserve">The present study advances this literature by applying likelihood ratio tests and information criteria to select among four survival model specifications, demonstrating that the Weibull model is preferable to both exponential and Gompertz alternatives, and by quantifying the model’s discriminative performance. Studies from sub-Saharan African and Ethiopian NICU settings using parametric survival models have similarly identified the Weibull or log-logistic distribution as the best-fitting framework for neonatal mortality data, supporting the cross-contextual applicability of this modelling approach </w:t>
      </w:r>
      <w:r w:rsidR="000F08D4" w:rsidRPr="000F08D4">
        <w:rPr>
          <w:vertAlign w:val="superscript"/>
        </w:rPr>
        <w:fldChar w:fldCharType="begin"/>
      </w:r>
      <w:r w:rsidR="000F08D4" w:rsidRPr="000F08D4">
        <w:rPr>
          <w:vertAlign w:val="superscript"/>
        </w:rPr>
        <w:instrText xml:space="preserve"> REF _Ref223726697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18</w:t>
      </w:r>
      <w:r w:rsidR="000F08D4" w:rsidRPr="000F08D4">
        <w:rPr>
          <w:vertAlign w:val="superscript"/>
        </w:rPr>
        <w:fldChar w:fldCharType="end"/>
      </w:r>
      <w:r w:rsidRPr="000F08D4">
        <w:rPr>
          <w:vertAlign w:val="superscript"/>
        </w:rPr>
        <w:t>,</w:t>
      </w:r>
      <w:r w:rsidR="000F08D4" w:rsidRPr="000F08D4">
        <w:rPr>
          <w:vertAlign w:val="superscript"/>
        </w:rPr>
        <w:fldChar w:fldCharType="begin"/>
      </w:r>
      <w:r w:rsidR="000F08D4" w:rsidRPr="000F08D4">
        <w:rPr>
          <w:vertAlign w:val="superscript"/>
        </w:rPr>
        <w:instrText xml:space="preserve"> REF _Ref223726699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19</w:t>
      </w:r>
      <w:r w:rsidR="000F08D4" w:rsidRPr="000F08D4">
        <w:rPr>
          <w:vertAlign w:val="superscript"/>
        </w:rPr>
        <w:fldChar w:fldCharType="end"/>
      </w:r>
      <w:r w:rsidRPr="000F08D4">
        <w:rPr>
          <w:vertAlign w:val="superscript"/>
        </w:rPr>
        <w:t>,</w:t>
      </w:r>
      <w:r w:rsidR="000F08D4" w:rsidRPr="000F08D4">
        <w:rPr>
          <w:vertAlign w:val="superscript"/>
        </w:rPr>
        <w:fldChar w:fldCharType="begin"/>
      </w:r>
      <w:r w:rsidR="000F08D4" w:rsidRPr="000F08D4">
        <w:rPr>
          <w:vertAlign w:val="superscript"/>
        </w:rPr>
        <w:instrText xml:space="preserve"> REF _Ref223728190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27</w:t>
      </w:r>
      <w:r w:rsidR="000F08D4" w:rsidRPr="000F08D4">
        <w:rPr>
          <w:vertAlign w:val="superscript"/>
        </w:rPr>
        <w:fldChar w:fldCharType="end"/>
      </w:r>
      <w:r w:rsidRPr="001B188B">
        <w:t>.</w:t>
      </w:r>
    </w:p>
    <w:p w14:paraId="2DF361DE" w14:textId="0AD79E11" w:rsidR="00250F5A" w:rsidRDefault="00250F5A" w:rsidP="00B7105A">
      <w:pPr>
        <w:jc w:val="both"/>
      </w:pPr>
      <w:r w:rsidRPr="001B188B">
        <w:t xml:space="preserve">In conclusion, the Weibull proportional hazards model best </w:t>
      </w:r>
      <w:r w:rsidR="00B13099" w:rsidRPr="001B188B">
        <w:t>describe the</w:t>
      </w:r>
      <w:r w:rsidRPr="001B188B">
        <w:t xml:space="preserve"> neonatal NICU/SNCU mortality in this tertiary setting, with extreme prematurity, congenital malformations, perinatal asphyxia, neonatal sepsis, and induced labour consistently identified as dominant mortality predictors across all four model specifications. The model demonstrated good discriminative performance, broadly comparable to established </w:t>
      </w:r>
      <w:r w:rsidRPr="001B188B">
        <w:lastRenderedPageBreak/>
        <w:t xml:space="preserve">neonatal severity scoring instruments </w:t>
      </w:r>
      <w:r w:rsidR="000F08D4">
        <w:fldChar w:fldCharType="begin"/>
      </w:r>
      <w:r w:rsidR="000F08D4">
        <w:instrText xml:space="preserve"> REF _Ref223726170 \r \h </w:instrText>
      </w:r>
      <w:r w:rsidR="000F08D4">
        <w:fldChar w:fldCharType="separate"/>
      </w:r>
      <w:r w:rsidR="000F08D4">
        <w:t>26</w:t>
      </w:r>
      <w:r w:rsidR="000F08D4">
        <w:fldChar w:fldCharType="end"/>
      </w:r>
      <w:r w:rsidRPr="001B188B">
        <w:t>. Prospective external validation in independent cohorts and extension to multi-centre datasets represent priority directions for future research.</w:t>
      </w:r>
    </w:p>
    <w:p w14:paraId="006EE92C" w14:textId="77777777" w:rsidR="006C25CF" w:rsidRPr="001B188B" w:rsidRDefault="006C25CF" w:rsidP="00B7105A">
      <w:pPr>
        <w:jc w:val="both"/>
      </w:pPr>
    </w:p>
    <w:p w14:paraId="464886D8" w14:textId="003A14E3" w:rsidR="00FE6E20" w:rsidRPr="001B188B" w:rsidRDefault="006C24E0" w:rsidP="00B7105A">
      <w:pPr>
        <w:jc w:val="both"/>
      </w:pPr>
      <w:r w:rsidRPr="001B188B">
        <w:rPr>
          <w:b/>
          <w:bCs/>
        </w:rPr>
        <w:t>REFERENCES</w:t>
      </w:r>
    </w:p>
    <w:p w14:paraId="6769D7EB" w14:textId="05BDB054" w:rsidR="00FE6E20" w:rsidRPr="001B188B" w:rsidRDefault="00C7301C"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bookmarkStart w:id="9" w:name="_Ref223725756"/>
      <w:r w:rsidRPr="001B188B">
        <w:rPr>
          <w:rFonts w:ascii="Times New Roman" w:eastAsia="Times New Roman" w:hAnsi="Times New Roman" w:cs="Times New Roman"/>
          <w:kern w:val="0"/>
          <w:sz w:val="24"/>
          <w:szCs w:val="24"/>
          <w:lang w:eastAsia="en-IN" w:bidi="hi-IN"/>
          <w14:ligatures w14:val="none"/>
        </w:rPr>
        <w:t xml:space="preserve">Liu, L., Oza, S., Hogan, D., Chu, Y., Perin, J., Zhu, J., Lawn, J. E., Cousens, S., Mathers, C., &amp; Black, R. E. (2016). Global, regional, and national causes of under-5 mortality in 2000–15: an updated systematic analysis with implications for the Sustainable Development Goals. The Lancet, 388(10063), 3027–3035. </w:t>
      </w:r>
      <w:hyperlink r:id="rId9" w:history="1">
        <w:r w:rsidRPr="001B188B">
          <w:rPr>
            <w:rStyle w:val="Hyperlink"/>
            <w:rFonts w:ascii="Times New Roman" w:eastAsia="Times New Roman" w:hAnsi="Times New Roman" w:cs="Times New Roman"/>
            <w:kern w:val="0"/>
            <w:sz w:val="24"/>
            <w:szCs w:val="24"/>
            <w:lang w:eastAsia="en-IN" w:bidi="hi-IN"/>
            <w14:ligatures w14:val="none"/>
          </w:rPr>
          <w:t>https://doi.org/10.1016/s0140-6736(16)31593-8</w:t>
        </w:r>
      </w:hyperlink>
      <w:bookmarkEnd w:id="9"/>
      <w:r w:rsidRPr="001B188B">
        <w:rPr>
          <w:rFonts w:ascii="Times New Roman" w:eastAsia="Times New Roman" w:hAnsi="Times New Roman" w:cs="Times New Roman"/>
          <w:kern w:val="0"/>
          <w:sz w:val="24"/>
          <w:szCs w:val="24"/>
          <w:lang w:eastAsia="en-IN" w:bidi="hi-IN"/>
          <w14:ligatures w14:val="none"/>
        </w:rPr>
        <w:t xml:space="preserve"> </w:t>
      </w:r>
    </w:p>
    <w:p w14:paraId="2AED9524" w14:textId="77777777" w:rsidR="003D0DBA" w:rsidRPr="001B188B" w:rsidRDefault="003D0DBA"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lang w:val="en-US"/>
        </w:rPr>
      </w:pPr>
      <w:bookmarkStart w:id="10" w:name="_Ref223725794"/>
      <w:r w:rsidRPr="001B188B">
        <w:rPr>
          <w:rFonts w:ascii="Times New Roman" w:hAnsi="Times New Roman" w:cs="Times New Roman"/>
          <w:sz w:val="24"/>
          <w:szCs w:val="24"/>
        </w:rPr>
        <w:t>Levels &amp; Trends in Child Mortality. Report 2022, Estimates developed by the United Nations Inter-agency Group for Child Mortality Estimation. 2023. Accessed February 2024. </w:t>
      </w:r>
      <w:hyperlink r:id="rId10" w:history="1">
        <w:r w:rsidRPr="001B188B">
          <w:rPr>
            <w:rStyle w:val="Hyperlink"/>
            <w:rFonts w:ascii="Times New Roman" w:hAnsi="Times New Roman" w:cs="Times New Roman"/>
            <w:sz w:val="24"/>
            <w:szCs w:val="24"/>
          </w:rPr>
          <w:t>https://childmortality.org/wp-content/uploads/2023/01/UN-IGME-Child-Mortality-Report-2022.pdf</w:t>
        </w:r>
      </w:hyperlink>
      <w:bookmarkEnd w:id="10"/>
    </w:p>
    <w:p w14:paraId="622448E4" w14:textId="77777777" w:rsidR="00FE6E20" w:rsidRPr="001B188B" w:rsidRDefault="00FE6E20"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bookmarkStart w:id="11" w:name="_Ref223725809"/>
      <w:r w:rsidRPr="001B188B">
        <w:rPr>
          <w:rFonts w:ascii="Times New Roman" w:hAnsi="Times New Roman" w:cs="Times New Roman"/>
          <w:sz w:val="24"/>
          <w:szCs w:val="24"/>
        </w:rPr>
        <w:t>International Institute for Population Sciences (IIPS) and ICF. National Family Health Survey (NFHS-5), 2019–21: India. Mumbai: IIPS; 2021.</w:t>
      </w:r>
      <w:bookmarkEnd w:id="11"/>
    </w:p>
    <w:p w14:paraId="495CB0AF" w14:textId="485A9A3D" w:rsidR="00DE6387" w:rsidRPr="001B188B" w:rsidRDefault="00DE6387"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bookmarkStart w:id="12" w:name="_Ref223725851"/>
      <w:r w:rsidRPr="001B188B">
        <w:rPr>
          <w:rFonts w:ascii="Times New Roman" w:hAnsi="Times New Roman" w:cs="Times New Roman"/>
          <w:sz w:val="24"/>
          <w:szCs w:val="24"/>
        </w:rPr>
        <w:t xml:space="preserve">Sankar, M. J., </w:t>
      </w:r>
      <w:proofErr w:type="spellStart"/>
      <w:r w:rsidRPr="001B188B">
        <w:rPr>
          <w:rFonts w:ascii="Times New Roman" w:hAnsi="Times New Roman" w:cs="Times New Roman"/>
          <w:sz w:val="24"/>
          <w:szCs w:val="24"/>
        </w:rPr>
        <w:t>Neogi</w:t>
      </w:r>
      <w:proofErr w:type="spellEnd"/>
      <w:r w:rsidRPr="001B188B">
        <w:rPr>
          <w:rFonts w:ascii="Times New Roman" w:hAnsi="Times New Roman" w:cs="Times New Roman"/>
          <w:sz w:val="24"/>
          <w:szCs w:val="24"/>
        </w:rPr>
        <w:t xml:space="preserve">, S. B., Sharma, J., Chauhan, M., Srivastava, R., Prabhakar, P. K., Khera, A., Kumar, R., </w:t>
      </w:r>
      <w:proofErr w:type="spellStart"/>
      <w:r w:rsidRPr="001B188B">
        <w:rPr>
          <w:rFonts w:ascii="Times New Roman" w:hAnsi="Times New Roman" w:cs="Times New Roman"/>
          <w:sz w:val="24"/>
          <w:szCs w:val="24"/>
        </w:rPr>
        <w:t>Zodpey</w:t>
      </w:r>
      <w:proofErr w:type="spellEnd"/>
      <w:r w:rsidRPr="001B188B">
        <w:rPr>
          <w:rFonts w:ascii="Times New Roman" w:hAnsi="Times New Roman" w:cs="Times New Roman"/>
          <w:sz w:val="24"/>
          <w:szCs w:val="24"/>
        </w:rPr>
        <w:t xml:space="preserve">, S., &amp; Paul, V. K. (2016). State of newborn health in India. Journal of Perinatology, 36(S3), S3–S8. </w:t>
      </w:r>
      <w:hyperlink r:id="rId11" w:history="1">
        <w:r w:rsidRPr="001B188B">
          <w:rPr>
            <w:rStyle w:val="Hyperlink"/>
            <w:rFonts w:ascii="Times New Roman" w:hAnsi="Times New Roman" w:cs="Times New Roman"/>
            <w:sz w:val="24"/>
            <w:szCs w:val="24"/>
          </w:rPr>
          <w:t>https://doi.org/10.1038/jp.2016.183</w:t>
        </w:r>
      </w:hyperlink>
      <w:bookmarkEnd w:id="12"/>
    </w:p>
    <w:p w14:paraId="7346203B" w14:textId="0882C7A3" w:rsidR="00A93A85" w:rsidRPr="001B188B" w:rsidRDefault="00A93A85"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bookmarkStart w:id="13" w:name="_Ref223725854"/>
      <w:proofErr w:type="spellStart"/>
      <w:r w:rsidRPr="001B188B">
        <w:rPr>
          <w:rFonts w:ascii="Times New Roman" w:hAnsi="Times New Roman" w:cs="Times New Roman"/>
          <w:sz w:val="24"/>
          <w:szCs w:val="24"/>
        </w:rPr>
        <w:t>Ukkali</w:t>
      </w:r>
      <w:proofErr w:type="spellEnd"/>
      <w:r w:rsidRPr="001B188B">
        <w:rPr>
          <w:rFonts w:ascii="Times New Roman" w:hAnsi="Times New Roman" w:cs="Times New Roman"/>
          <w:sz w:val="24"/>
          <w:szCs w:val="24"/>
        </w:rPr>
        <w:t xml:space="preserve">, S. B., Kulkarni, N., </w:t>
      </w:r>
      <w:proofErr w:type="spellStart"/>
      <w:r w:rsidRPr="001B188B">
        <w:rPr>
          <w:rFonts w:ascii="Times New Roman" w:hAnsi="Times New Roman" w:cs="Times New Roman"/>
          <w:sz w:val="24"/>
          <w:szCs w:val="24"/>
        </w:rPr>
        <w:t>Badsheshi</w:t>
      </w:r>
      <w:proofErr w:type="spellEnd"/>
      <w:r w:rsidRPr="001B188B">
        <w:rPr>
          <w:rFonts w:ascii="Times New Roman" w:hAnsi="Times New Roman" w:cs="Times New Roman"/>
          <w:sz w:val="24"/>
          <w:szCs w:val="24"/>
        </w:rPr>
        <w:t xml:space="preserve">, P., </w:t>
      </w:r>
      <w:proofErr w:type="spellStart"/>
      <w:r w:rsidRPr="001B188B">
        <w:rPr>
          <w:rFonts w:ascii="Times New Roman" w:hAnsi="Times New Roman" w:cs="Times New Roman"/>
          <w:sz w:val="24"/>
          <w:szCs w:val="24"/>
        </w:rPr>
        <w:t>Naganoor</w:t>
      </w:r>
      <w:proofErr w:type="spellEnd"/>
      <w:r w:rsidRPr="001B188B">
        <w:rPr>
          <w:rFonts w:ascii="Times New Roman" w:hAnsi="Times New Roman" w:cs="Times New Roman"/>
          <w:sz w:val="24"/>
          <w:szCs w:val="24"/>
        </w:rPr>
        <w:t xml:space="preserve">, R., &amp; </w:t>
      </w:r>
      <w:proofErr w:type="spellStart"/>
      <w:r w:rsidRPr="001B188B">
        <w:rPr>
          <w:rFonts w:ascii="Times New Roman" w:hAnsi="Times New Roman" w:cs="Times New Roman"/>
          <w:sz w:val="24"/>
          <w:szCs w:val="24"/>
        </w:rPr>
        <w:t>Thobbi</w:t>
      </w:r>
      <w:proofErr w:type="spellEnd"/>
      <w:r w:rsidRPr="001B188B">
        <w:rPr>
          <w:rFonts w:ascii="Times New Roman" w:hAnsi="Times New Roman" w:cs="Times New Roman"/>
          <w:sz w:val="24"/>
          <w:szCs w:val="24"/>
        </w:rPr>
        <w:t xml:space="preserve">, A. (2023). Risk factors and trends in neonatal mortality in NICU in a tertiary care hospital in India. Indian Journal of Child Health, 10(1), 10–13. </w:t>
      </w:r>
      <w:hyperlink r:id="rId12" w:history="1">
        <w:r w:rsidRPr="001B188B">
          <w:rPr>
            <w:rStyle w:val="Hyperlink"/>
            <w:rFonts w:ascii="Times New Roman" w:hAnsi="Times New Roman" w:cs="Times New Roman"/>
            <w:sz w:val="24"/>
            <w:szCs w:val="24"/>
          </w:rPr>
          <w:t>https://doi.org/10.32677/ijch.v10i1.3830</w:t>
        </w:r>
      </w:hyperlink>
      <w:bookmarkEnd w:id="13"/>
      <w:r w:rsidRPr="001B188B">
        <w:rPr>
          <w:rFonts w:ascii="Times New Roman" w:hAnsi="Times New Roman" w:cs="Times New Roman"/>
          <w:sz w:val="24"/>
          <w:szCs w:val="24"/>
        </w:rPr>
        <w:t xml:space="preserve"> </w:t>
      </w:r>
    </w:p>
    <w:p w14:paraId="2B88021B" w14:textId="1EE5DC6E" w:rsidR="00FE6E20" w:rsidRPr="001B188B" w:rsidRDefault="00FE6E20"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bookmarkStart w:id="14" w:name="_Ref223725892"/>
      <w:r w:rsidRPr="001B188B">
        <w:rPr>
          <w:rFonts w:ascii="Times New Roman" w:hAnsi="Times New Roman" w:cs="Times New Roman"/>
          <w:sz w:val="24"/>
          <w:szCs w:val="24"/>
        </w:rPr>
        <w:t xml:space="preserve">Murthy K, Porta NFM, Steinhorn RH. Neonatal outcomes in resource-limited settings. </w:t>
      </w:r>
      <w:proofErr w:type="spellStart"/>
      <w:r w:rsidRPr="001B188B">
        <w:rPr>
          <w:rFonts w:ascii="Times New Roman" w:hAnsi="Times New Roman" w:cs="Times New Roman"/>
          <w:sz w:val="24"/>
          <w:szCs w:val="24"/>
        </w:rPr>
        <w:t>Pediatrics</w:t>
      </w:r>
      <w:proofErr w:type="spellEnd"/>
      <w:r w:rsidRPr="001B188B">
        <w:rPr>
          <w:rFonts w:ascii="Times New Roman" w:hAnsi="Times New Roman" w:cs="Times New Roman"/>
          <w:sz w:val="24"/>
          <w:szCs w:val="24"/>
        </w:rPr>
        <w:t>. 2011;128(6):e1677–e1679.</w:t>
      </w:r>
      <w:bookmarkEnd w:id="14"/>
      <w:r w:rsidR="00A93A85" w:rsidRPr="001B188B">
        <w:rPr>
          <w:rFonts w:ascii="Times New Roman" w:hAnsi="Times New Roman" w:cs="Times New Roman"/>
          <w:sz w:val="24"/>
          <w:szCs w:val="24"/>
        </w:rPr>
        <w:t xml:space="preserve"> </w:t>
      </w:r>
    </w:p>
    <w:p w14:paraId="0059D69A" w14:textId="006F478E" w:rsidR="004D5624" w:rsidRPr="001B188B" w:rsidRDefault="004D5624"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bookmarkStart w:id="15" w:name="_Ref223725895"/>
      <w:r w:rsidRPr="001B188B">
        <w:rPr>
          <w:rFonts w:ascii="Times New Roman" w:hAnsi="Times New Roman" w:cs="Times New Roman"/>
          <w:sz w:val="24"/>
          <w:szCs w:val="24"/>
        </w:rPr>
        <w:t xml:space="preserve">Lawn, J. E., Cousens, S., &amp; Zupan, J. (2005). 4 million neonatal deaths: When? Where? Why? The Lancet, 365(9462), 891–900. </w:t>
      </w:r>
      <w:hyperlink r:id="rId13" w:history="1">
        <w:r w:rsidRPr="001B188B">
          <w:rPr>
            <w:rStyle w:val="Hyperlink"/>
            <w:rFonts w:ascii="Times New Roman" w:hAnsi="Times New Roman" w:cs="Times New Roman"/>
            <w:sz w:val="24"/>
            <w:szCs w:val="24"/>
          </w:rPr>
          <w:t>https://doi.org/10.1016/s0140-6736(05)71048-5</w:t>
        </w:r>
      </w:hyperlink>
      <w:bookmarkEnd w:id="15"/>
    </w:p>
    <w:p w14:paraId="0670C1A8" w14:textId="5D28C6A7" w:rsidR="00FE6E20" w:rsidRPr="001B188B" w:rsidRDefault="00FE6E20"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bookmarkStart w:id="16" w:name="_Ref223725931"/>
      <w:r w:rsidRPr="001B188B">
        <w:rPr>
          <w:rFonts w:ascii="Times New Roman" w:hAnsi="Times New Roman" w:cs="Times New Roman"/>
          <w:sz w:val="24"/>
          <w:szCs w:val="24"/>
        </w:rPr>
        <w:t>Thakur N, Das RR, Roy MP. Predictors of neonatal mortality in a NICU of a tertiary care hospital in India. Indian J Child Health. 2018;5(7):482–485.</w:t>
      </w:r>
      <w:bookmarkEnd w:id="16"/>
    </w:p>
    <w:p w14:paraId="2EC1EAED" w14:textId="77777777" w:rsidR="00FE6E20" w:rsidRPr="001B188B" w:rsidRDefault="00FE6E20"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bookmarkStart w:id="17" w:name="_Ref223725934"/>
      <w:r w:rsidRPr="001B188B">
        <w:rPr>
          <w:rFonts w:ascii="Times New Roman" w:hAnsi="Times New Roman" w:cs="Times New Roman"/>
          <w:sz w:val="24"/>
          <w:szCs w:val="24"/>
        </w:rPr>
        <w:t xml:space="preserve">Sharpe JN, Salameh P, Haddad A. Survival analysis methods in neonatal research: a systematic review. </w:t>
      </w:r>
      <w:proofErr w:type="spellStart"/>
      <w:r w:rsidRPr="001B188B">
        <w:rPr>
          <w:rFonts w:ascii="Times New Roman" w:hAnsi="Times New Roman" w:cs="Times New Roman"/>
          <w:sz w:val="24"/>
          <w:szCs w:val="24"/>
        </w:rPr>
        <w:t>Paediatr</w:t>
      </w:r>
      <w:proofErr w:type="spellEnd"/>
      <w:r w:rsidRPr="001B188B">
        <w:rPr>
          <w:rFonts w:ascii="Times New Roman" w:hAnsi="Times New Roman" w:cs="Times New Roman"/>
          <w:sz w:val="24"/>
          <w:szCs w:val="24"/>
        </w:rPr>
        <w:t xml:space="preserve"> </w:t>
      </w:r>
      <w:proofErr w:type="spellStart"/>
      <w:r w:rsidRPr="001B188B">
        <w:rPr>
          <w:rFonts w:ascii="Times New Roman" w:hAnsi="Times New Roman" w:cs="Times New Roman"/>
          <w:sz w:val="24"/>
          <w:szCs w:val="24"/>
        </w:rPr>
        <w:t>Perinat</w:t>
      </w:r>
      <w:proofErr w:type="spellEnd"/>
      <w:r w:rsidRPr="001B188B">
        <w:rPr>
          <w:rFonts w:ascii="Times New Roman" w:hAnsi="Times New Roman" w:cs="Times New Roman"/>
          <w:sz w:val="24"/>
          <w:szCs w:val="24"/>
        </w:rPr>
        <w:t xml:space="preserve"> </w:t>
      </w:r>
      <w:proofErr w:type="spellStart"/>
      <w:r w:rsidRPr="001B188B">
        <w:rPr>
          <w:rFonts w:ascii="Times New Roman" w:hAnsi="Times New Roman" w:cs="Times New Roman"/>
          <w:sz w:val="24"/>
          <w:szCs w:val="24"/>
        </w:rPr>
        <w:t>Epidemiol</w:t>
      </w:r>
      <w:proofErr w:type="spellEnd"/>
      <w:r w:rsidRPr="001B188B">
        <w:rPr>
          <w:rFonts w:ascii="Times New Roman" w:hAnsi="Times New Roman" w:cs="Times New Roman"/>
          <w:sz w:val="24"/>
          <w:szCs w:val="24"/>
        </w:rPr>
        <w:t>. 2017;31(6):529–538.</w:t>
      </w:r>
      <w:bookmarkEnd w:id="17"/>
    </w:p>
    <w:p w14:paraId="4F013CAF" w14:textId="0A885354" w:rsidR="007B7D42"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18" w:name="_Ref223725962"/>
      <w:r w:rsidR="007B7D42" w:rsidRPr="001B188B">
        <w:rPr>
          <w:rFonts w:ascii="Times New Roman" w:hAnsi="Times New Roman" w:cs="Times New Roman"/>
          <w:sz w:val="24"/>
          <w:szCs w:val="24"/>
        </w:rPr>
        <w:t xml:space="preserve">Collett, D. (2015). Modelling survival data in medical research. </w:t>
      </w:r>
      <w:hyperlink r:id="rId14" w:history="1">
        <w:r w:rsidR="007B7D42" w:rsidRPr="001B188B">
          <w:rPr>
            <w:rStyle w:val="Hyperlink"/>
            <w:rFonts w:ascii="Times New Roman" w:hAnsi="Times New Roman" w:cs="Times New Roman"/>
            <w:sz w:val="24"/>
            <w:szCs w:val="24"/>
          </w:rPr>
          <w:t>https://doi.org/10.1201/b18041</w:t>
        </w:r>
      </w:hyperlink>
      <w:bookmarkEnd w:id="18"/>
    </w:p>
    <w:p w14:paraId="1B502C98" w14:textId="2AF184D9" w:rsidR="00590FFE"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19" w:name="_Ref223725984"/>
      <w:r w:rsidR="00590FFE" w:rsidRPr="001B188B">
        <w:rPr>
          <w:rFonts w:ascii="Times New Roman" w:hAnsi="Times New Roman" w:cs="Times New Roman"/>
          <w:sz w:val="24"/>
          <w:szCs w:val="24"/>
        </w:rPr>
        <w:t xml:space="preserve">Cox, D. R. (1972). Regression models and Life-Tables. Journal of the Royal Statistical Society Series B (Statistical Methodology), 34(2), 187–202. </w:t>
      </w:r>
      <w:hyperlink r:id="rId15" w:history="1">
        <w:r w:rsidR="00590FFE" w:rsidRPr="001B188B">
          <w:rPr>
            <w:rStyle w:val="Hyperlink"/>
            <w:rFonts w:ascii="Times New Roman" w:hAnsi="Times New Roman" w:cs="Times New Roman"/>
            <w:sz w:val="24"/>
            <w:szCs w:val="24"/>
          </w:rPr>
          <w:t>https://doi.org/10.1111/j.2517-6161.1972.tb00899.x</w:t>
        </w:r>
      </w:hyperlink>
      <w:bookmarkEnd w:id="19"/>
    </w:p>
    <w:p w14:paraId="64B23C21" w14:textId="0E824FAD" w:rsidR="003051B5"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0" w:name="_Ref223726066"/>
      <w:r w:rsidR="003051B5" w:rsidRPr="001B188B">
        <w:rPr>
          <w:rFonts w:ascii="Times New Roman" w:hAnsi="Times New Roman" w:cs="Times New Roman"/>
          <w:sz w:val="24"/>
          <w:szCs w:val="24"/>
        </w:rPr>
        <w:t>Kalbfleisch, J. D., &amp; Prentice, R. L. (2002). </w:t>
      </w:r>
      <w:r w:rsidR="003051B5" w:rsidRPr="001B188B">
        <w:rPr>
          <w:rFonts w:ascii="Times New Roman" w:hAnsi="Times New Roman" w:cs="Times New Roman"/>
          <w:i/>
          <w:iCs/>
          <w:sz w:val="24"/>
          <w:szCs w:val="24"/>
        </w:rPr>
        <w:t>The statistical analysis of failure time data</w:t>
      </w:r>
      <w:r w:rsidR="003051B5" w:rsidRPr="001B188B">
        <w:rPr>
          <w:rFonts w:ascii="Times New Roman" w:hAnsi="Times New Roman" w:cs="Times New Roman"/>
          <w:sz w:val="24"/>
          <w:szCs w:val="24"/>
        </w:rPr>
        <w:t> (2nd ed.). John Wiley &amp; Sons.</w:t>
      </w:r>
      <w:bookmarkEnd w:id="20"/>
    </w:p>
    <w:p w14:paraId="7D1FDA5C" w14:textId="38376754" w:rsidR="000250EC"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1" w:name="_Ref223726070"/>
      <w:r w:rsidR="00200353" w:rsidRPr="001B188B">
        <w:rPr>
          <w:rFonts w:ascii="Times New Roman" w:hAnsi="Times New Roman" w:cs="Times New Roman"/>
          <w:sz w:val="24"/>
          <w:szCs w:val="24"/>
        </w:rPr>
        <w:t xml:space="preserve">Cox, C., Chu, H., Schneider, M. F., &amp; Muñoz, A. (2007). Parametric survival analysis and taxonomy of hazard functions for the generalized gamma distribution. Statistics in Medicine, 26(23), 4352–4374. </w:t>
      </w:r>
      <w:hyperlink r:id="rId16" w:history="1">
        <w:r w:rsidR="00200353" w:rsidRPr="001B188B">
          <w:rPr>
            <w:rStyle w:val="Hyperlink"/>
            <w:rFonts w:ascii="Times New Roman" w:hAnsi="Times New Roman" w:cs="Times New Roman"/>
            <w:sz w:val="24"/>
            <w:szCs w:val="24"/>
          </w:rPr>
          <w:t>https://doi.org/10.1002/sim.2836</w:t>
        </w:r>
      </w:hyperlink>
      <w:bookmarkEnd w:id="21"/>
    </w:p>
    <w:p w14:paraId="0D0A8EE9" w14:textId="224D4CCF" w:rsidR="00E612CE"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2" w:name="_Ref223726132"/>
      <w:r w:rsidR="000250EC" w:rsidRPr="001B188B">
        <w:rPr>
          <w:rFonts w:ascii="Times New Roman" w:hAnsi="Times New Roman" w:cs="Times New Roman"/>
          <w:sz w:val="24"/>
          <w:szCs w:val="24"/>
        </w:rPr>
        <w:t xml:space="preserve">Gompertz, B. (1825). On the Nature of the Function Expressive of the Law of Human Mortality, and on a New Mode of Determining the Value of Life Contingencies. In Philosophical Transactions of the Royal Society of London (Vol. 115, pp. 513–583). Royal Society. </w:t>
      </w:r>
      <w:hyperlink r:id="rId17" w:history="1">
        <w:r w:rsidR="000250EC" w:rsidRPr="001B188B">
          <w:rPr>
            <w:rStyle w:val="Hyperlink"/>
            <w:rFonts w:ascii="Times New Roman" w:hAnsi="Times New Roman" w:cs="Times New Roman"/>
            <w:sz w:val="24"/>
            <w:szCs w:val="24"/>
          </w:rPr>
          <w:t>https://www.jstor.org/stable/107756</w:t>
        </w:r>
      </w:hyperlink>
      <w:bookmarkEnd w:id="22"/>
      <w:r w:rsidR="000250EC" w:rsidRPr="001B188B">
        <w:rPr>
          <w:rFonts w:ascii="Times New Roman" w:hAnsi="Times New Roman" w:cs="Times New Roman"/>
          <w:sz w:val="24"/>
          <w:szCs w:val="24"/>
        </w:rPr>
        <w:t xml:space="preserve"> </w:t>
      </w:r>
    </w:p>
    <w:p w14:paraId="497F8578" w14:textId="752E1057" w:rsidR="00E612CE"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bookmarkStart w:id="23" w:name="_Ref223726134"/>
      <w:proofErr w:type="spellStart"/>
      <w:r w:rsidR="00E612CE" w:rsidRPr="001B188B">
        <w:rPr>
          <w:rFonts w:ascii="Times New Roman" w:hAnsi="Times New Roman" w:cs="Times New Roman"/>
          <w:sz w:val="24"/>
          <w:szCs w:val="24"/>
        </w:rPr>
        <w:t>Makeham</w:t>
      </w:r>
      <w:proofErr w:type="spellEnd"/>
      <w:r w:rsidR="00E612CE" w:rsidRPr="001B188B">
        <w:rPr>
          <w:rFonts w:ascii="Times New Roman" w:hAnsi="Times New Roman" w:cs="Times New Roman"/>
          <w:sz w:val="24"/>
          <w:szCs w:val="24"/>
        </w:rPr>
        <w:t>, W. M. &amp; Church of England Assurance Institution. (1860). On the Law of Mortality and the Construction of Annuity Tables. In THE ASSURANCE MAGAZINE, AND JOURNAL OF THE INSTITUTE OF ACTUARIES (pp. 302–304).</w:t>
      </w:r>
      <w:bookmarkEnd w:id="23"/>
    </w:p>
    <w:p w14:paraId="65F8C102" w14:textId="0335C3B5" w:rsidR="00D500AF"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4" w:name="_Ref223726614"/>
      <w:r w:rsidR="00D500AF" w:rsidRPr="001B188B">
        <w:rPr>
          <w:rFonts w:ascii="Times New Roman" w:hAnsi="Times New Roman" w:cs="Times New Roman"/>
          <w:sz w:val="24"/>
          <w:szCs w:val="24"/>
        </w:rPr>
        <w:t xml:space="preserve">Harrell, F. E., Jr, Lee, K. L., &amp; Mark, D. B. (1996). Multivariable prognostic models: issues in developing models, evaluating assumptions and adequacy, and measuring and reducing errors. Statistics in medicine, 15(4), 361–387. </w:t>
      </w:r>
      <w:hyperlink r:id="rId18" w:history="1">
        <w:r w:rsidR="00D500AF" w:rsidRPr="001B188B">
          <w:rPr>
            <w:rStyle w:val="Hyperlink"/>
            <w:rFonts w:ascii="Times New Roman" w:hAnsi="Times New Roman" w:cs="Times New Roman"/>
            <w:sz w:val="24"/>
            <w:szCs w:val="24"/>
          </w:rPr>
          <w:t>https://doi.org/10.1002/(SICI)1097-0258(19960229)15:4&lt;361::AID-SIM168&gt;3.0.CO;2-4</w:t>
        </w:r>
      </w:hyperlink>
      <w:bookmarkEnd w:id="24"/>
    </w:p>
    <w:p w14:paraId="21DC763E" w14:textId="40A1B206" w:rsidR="008A6FFA"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A6FFA" w:rsidRPr="001B188B">
        <w:rPr>
          <w:rFonts w:ascii="Times New Roman" w:hAnsi="Times New Roman" w:cs="Times New Roman"/>
          <w:sz w:val="24"/>
          <w:szCs w:val="24"/>
        </w:rPr>
        <w:t xml:space="preserve">Burnham, K. P., &amp; Anderson, D. R. (2004). </w:t>
      </w:r>
      <w:proofErr w:type="spellStart"/>
      <w:r w:rsidR="008A6FFA" w:rsidRPr="001B188B">
        <w:rPr>
          <w:rFonts w:ascii="Times New Roman" w:hAnsi="Times New Roman" w:cs="Times New Roman"/>
          <w:sz w:val="24"/>
          <w:szCs w:val="24"/>
        </w:rPr>
        <w:t>Multimodel</w:t>
      </w:r>
      <w:proofErr w:type="spellEnd"/>
      <w:r w:rsidR="008A6FFA" w:rsidRPr="001B188B">
        <w:rPr>
          <w:rFonts w:ascii="Times New Roman" w:hAnsi="Times New Roman" w:cs="Times New Roman"/>
          <w:sz w:val="24"/>
          <w:szCs w:val="24"/>
        </w:rPr>
        <w:t xml:space="preserve"> inference. Sociological Methods &amp; Research, 33(2), 261–304. </w:t>
      </w:r>
      <w:hyperlink r:id="rId19" w:history="1">
        <w:r w:rsidR="008A6FFA" w:rsidRPr="001B188B">
          <w:rPr>
            <w:rStyle w:val="Hyperlink"/>
            <w:rFonts w:ascii="Times New Roman" w:hAnsi="Times New Roman" w:cs="Times New Roman"/>
            <w:sz w:val="24"/>
            <w:szCs w:val="24"/>
          </w:rPr>
          <w:t>https://doi.org/10.1177/0049124104268644</w:t>
        </w:r>
      </w:hyperlink>
    </w:p>
    <w:p w14:paraId="4939980A" w14:textId="16375DA9" w:rsidR="004531F9"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5" w:name="_Ref223726697"/>
      <w:r w:rsidR="004531F9" w:rsidRPr="001B188B">
        <w:rPr>
          <w:rFonts w:ascii="Times New Roman" w:hAnsi="Times New Roman" w:cs="Times New Roman"/>
          <w:sz w:val="24"/>
          <w:szCs w:val="24"/>
        </w:rPr>
        <w:t xml:space="preserve">Adebayo, S. B., &amp; </w:t>
      </w:r>
      <w:proofErr w:type="spellStart"/>
      <w:r w:rsidR="004531F9" w:rsidRPr="001B188B">
        <w:rPr>
          <w:rFonts w:ascii="Times New Roman" w:hAnsi="Times New Roman" w:cs="Times New Roman"/>
          <w:sz w:val="24"/>
          <w:szCs w:val="24"/>
        </w:rPr>
        <w:t>Fahrmeir</w:t>
      </w:r>
      <w:proofErr w:type="spellEnd"/>
      <w:r w:rsidR="004531F9" w:rsidRPr="001B188B">
        <w:rPr>
          <w:rFonts w:ascii="Times New Roman" w:hAnsi="Times New Roman" w:cs="Times New Roman"/>
          <w:sz w:val="24"/>
          <w:szCs w:val="24"/>
        </w:rPr>
        <w:t xml:space="preserve">, L. (2005). Analysing child mortality in Nigeria with </w:t>
      </w:r>
      <w:proofErr w:type="spellStart"/>
      <w:r w:rsidR="004531F9" w:rsidRPr="001B188B">
        <w:rPr>
          <w:rFonts w:ascii="Times New Roman" w:hAnsi="Times New Roman" w:cs="Times New Roman"/>
          <w:sz w:val="24"/>
          <w:szCs w:val="24"/>
        </w:rPr>
        <w:t>geoadditive</w:t>
      </w:r>
      <w:proofErr w:type="spellEnd"/>
      <w:r w:rsidR="004531F9" w:rsidRPr="001B188B">
        <w:rPr>
          <w:rFonts w:ascii="Times New Roman" w:hAnsi="Times New Roman" w:cs="Times New Roman"/>
          <w:sz w:val="24"/>
          <w:szCs w:val="24"/>
        </w:rPr>
        <w:t xml:space="preserve"> discrete‐time survival models. Statistics in Medicine, 24(5), 709–728. </w:t>
      </w:r>
      <w:hyperlink r:id="rId20" w:history="1">
        <w:r w:rsidR="004531F9" w:rsidRPr="001B188B">
          <w:rPr>
            <w:rStyle w:val="Hyperlink"/>
            <w:rFonts w:ascii="Times New Roman" w:hAnsi="Times New Roman" w:cs="Times New Roman"/>
            <w:sz w:val="24"/>
            <w:szCs w:val="24"/>
          </w:rPr>
          <w:t>https://doi.org/10.1002/sim.1842</w:t>
        </w:r>
      </w:hyperlink>
      <w:bookmarkEnd w:id="25"/>
    </w:p>
    <w:p w14:paraId="274871A3" w14:textId="6510DFD4" w:rsidR="00FE6E20"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6" w:name="_Ref223726699"/>
      <w:r w:rsidR="00FE6E20" w:rsidRPr="001B188B">
        <w:rPr>
          <w:rFonts w:ascii="Times New Roman" w:hAnsi="Times New Roman" w:cs="Times New Roman"/>
          <w:sz w:val="24"/>
          <w:szCs w:val="24"/>
        </w:rPr>
        <w:t xml:space="preserve">Kebede E, </w:t>
      </w:r>
      <w:proofErr w:type="spellStart"/>
      <w:r w:rsidR="00FE6E20" w:rsidRPr="001B188B">
        <w:rPr>
          <w:rFonts w:ascii="Times New Roman" w:hAnsi="Times New Roman" w:cs="Times New Roman"/>
          <w:sz w:val="24"/>
          <w:szCs w:val="24"/>
        </w:rPr>
        <w:t>Tesfaye</w:t>
      </w:r>
      <w:proofErr w:type="spellEnd"/>
      <w:r w:rsidR="00FE6E20" w:rsidRPr="001B188B">
        <w:rPr>
          <w:rFonts w:ascii="Times New Roman" w:hAnsi="Times New Roman" w:cs="Times New Roman"/>
          <w:sz w:val="24"/>
          <w:szCs w:val="24"/>
        </w:rPr>
        <w:t xml:space="preserve"> G, </w:t>
      </w:r>
      <w:proofErr w:type="spellStart"/>
      <w:r w:rsidR="00FE6E20" w:rsidRPr="001B188B">
        <w:rPr>
          <w:rFonts w:ascii="Times New Roman" w:hAnsi="Times New Roman" w:cs="Times New Roman"/>
          <w:sz w:val="24"/>
          <w:szCs w:val="24"/>
        </w:rPr>
        <w:t>Negesse</w:t>
      </w:r>
      <w:proofErr w:type="spellEnd"/>
      <w:r w:rsidR="00FE6E20" w:rsidRPr="001B188B">
        <w:rPr>
          <w:rFonts w:ascii="Times New Roman" w:hAnsi="Times New Roman" w:cs="Times New Roman"/>
          <w:sz w:val="24"/>
          <w:szCs w:val="24"/>
        </w:rPr>
        <w:t xml:space="preserve"> T. Parametric survival models for the determinants of neonatal mortality in Ethiopia: evidence from EDHS 2016. BMC </w:t>
      </w:r>
      <w:proofErr w:type="spellStart"/>
      <w:r w:rsidR="00FE6E20" w:rsidRPr="001B188B">
        <w:rPr>
          <w:rFonts w:ascii="Times New Roman" w:hAnsi="Times New Roman" w:cs="Times New Roman"/>
          <w:sz w:val="24"/>
          <w:szCs w:val="24"/>
        </w:rPr>
        <w:t>Pediatrics</w:t>
      </w:r>
      <w:proofErr w:type="spellEnd"/>
      <w:r w:rsidR="00FE6E20" w:rsidRPr="001B188B">
        <w:rPr>
          <w:rFonts w:ascii="Times New Roman" w:hAnsi="Times New Roman" w:cs="Times New Roman"/>
          <w:sz w:val="24"/>
          <w:szCs w:val="24"/>
        </w:rPr>
        <w:t>. 2021;21(1):278.</w:t>
      </w:r>
      <w:bookmarkEnd w:id="26"/>
    </w:p>
    <w:p w14:paraId="345579D8" w14:textId="5367B423" w:rsidR="00084AFF"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7" w:name="_Ref223726724"/>
      <w:r w:rsidR="00084AFF" w:rsidRPr="001B188B">
        <w:rPr>
          <w:rFonts w:ascii="Times New Roman" w:hAnsi="Times New Roman" w:cs="Times New Roman"/>
          <w:sz w:val="24"/>
          <w:szCs w:val="24"/>
        </w:rPr>
        <w:t xml:space="preserve">Sweet, D. G., Carnielli, V. P., Greisen, G., Hallman, M., </w:t>
      </w:r>
      <w:proofErr w:type="spellStart"/>
      <w:r w:rsidR="00084AFF" w:rsidRPr="001B188B">
        <w:rPr>
          <w:rFonts w:ascii="Times New Roman" w:hAnsi="Times New Roman" w:cs="Times New Roman"/>
          <w:sz w:val="24"/>
          <w:szCs w:val="24"/>
        </w:rPr>
        <w:t>Klebermass-Schrehof</w:t>
      </w:r>
      <w:proofErr w:type="spellEnd"/>
      <w:r w:rsidR="00084AFF" w:rsidRPr="001B188B">
        <w:rPr>
          <w:rFonts w:ascii="Times New Roman" w:hAnsi="Times New Roman" w:cs="Times New Roman"/>
          <w:sz w:val="24"/>
          <w:szCs w:val="24"/>
        </w:rPr>
        <w:t xml:space="preserve">, K., </w:t>
      </w:r>
      <w:proofErr w:type="spellStart"/>
      <w:r w:rsidR="00084AFF" w:rsidRPr="001B188B">
        <w:rPr>
          <w:rFonts w:ascii="Times New Roman" w:hAnsi="Times New Roman" w:cs="Times New Roman"/>
          <w:sz w:val="24"/>
          <w:szCs w:val="24"/>
        </w:rPr>
        <w:t>Ozek</w:t>
      </w:r>
      <w:proofErr w:type="spellEnd"/>
      <w:r w:rsidR="00084AFF" w:rsidRPr="001B188B">
        <w:rPr>
          <w:rFonts w:ascii="Times New Roman" w:hAnsi="Times New Roman" w:cs="Times New Roman"/>
          <w:sz w:val="24"/>
          <w:szCs w:val="24"/>
        </w:rPr>
        <w:t xml:space="preserve">, E., Pas, A. T., </w:t>
      </w:r>
      <w:proofErr w:type="spellStart"/>
      <w:r w:rsidR="00084AFF" w:rsidRPr="001B188B">
        <w:rPr>
          <w:rFonts w:ascii="Times New Roman" w:hAnsi="Times New Roman" w:cs="Times New Roman"/>
          <w:sz w:val="24"/>
          <w:szCs w:val="24"/>
        </w:rPr>
        <w:t>Plavka</w:t>
      </w:r>
      <w:proofErr w:type="spellEnd"/>
      <w:r w:rsidR="00084AFF" w:rsidRPr="001B188B">
        <w:rPr>
          <w:rFonts w:ascii="Times New Roman" w:hAnsi="Times New Roman" w:cs="Times New Roman"/>
          <w:sz w:val="24"/>
          <w:szCs w:val="24"/>
        </w:rPr>
        <w:t xml:space="preserve">, R., Roehr, C. C., Saugstad, O. D., Simeoni, U., Speer, C. P., Vento, M., Visser, G. H., &amp; Halliday, H. L. (2023). European Consensus Guidelines on the Management of Respiratory Distress Syndrome: 2022 update. Neonatology, 120(1), 3–23. </w:t>
      </w:r>
      <w:hyperlink r:id="rId21" w:history="1">
        <w:r w:rsidR="00084AFF" w:rsidRPr="001B188B">
          <w:rPr>
            <w:rStyle w:val="Hyperlink"/>
            <w:rFonts w:ascii="Times New Roman" w:hAnsi="Times New Roman" w:cs="Times New Roman"/>
            <w:sz w:val="24"/>
            <w:szCs w:val="24"/>
          </w:rPr>
          <w:t>https://doi.org/10.1159/000528914</w:t>
        </w:r>
      </w:hyperlink>
      <w:bookmarkEnd w:id="27"/>
    </w:p>
    <w:p w14:paraId="3AB856F2" w14:textId="4C7680AD" w:rsidR="003A6BC8"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8" w:name="_Ref223728018"/>
      <w:r w:rsidR="003A6BC8" w:rsidRPr="001B188B">
        <w:rPr>
          <w:rFonts w:ascii="Times New Roman" w:hAnsi="Times New Roman" w:cs="Times New Roman"/>
          <w:sz w:val="24"/>
          <w:szCs w:val="24"/>
        </w:rPr>
        <w:t xml:space="preserve">Hartman, R. J., Rasmussen, S. A., Botto, L. D., Riehle-Colarusso, T., Martin, C. L., Cragan, J. D., Shin, M., &amp; Correa, A. (2011). The contribution of chromosomal abnormalities to congenital heart defects: A Population-Based study. </w:t>
      </w:r>
      <w:proofErr w:type="spellStart"/>
      <w:r w:rsidR="003A6BC8" w:rsidRPr="001B188B">
        <w:rPr>
          <w:rFonts w:ascii="Times New Roman" w:hAnsi="Times New Roman" w:cs="Times New Roman"/>
          <w:sz w:val="24"/>
          <w:szCs w:val="24"/>
        </w:rPr>
        <w:t>Pediatric</w:t>
      </w:r>
      <w:proofErr w:type="spellEnd"/>
      <w:r w:rsidR="003A6BC8" w:rsidRPr="001B188B">
        <w:rPr>
          <w:rFonts w:ascii="Times New Roman" w:hAnsi="Times New Roman" w:cs="Times New Roman"/>
          <w:sz w:val="24"/>
          <w:szCs w:val="24"/>
        </w:rPr>
        <w:t xml:space="preserve"> Cardiology, 32(8), 1147–1157. </w:t>
      </w:r>
      <w:hyperlink r:id="rId22" w:history="1">
        <w:r w:rsidR="003A6BC8" w:rsidRPr="001B188B">
          <w:rPr>
            <w:rStyle w:val="Hyperlink"/>
            <w:rFonts w:ascii="Times New Roman" w:hAnsi="Times New Roman" w:cs="Times New Roman"/>
            <w:sz w:val="24"/>
            <w:szCs w:val="24"/>
          </w:rPr>
          <w:t>https://doi.org/10.1007/s00246-011-0034-5</w:t>
        </w:r>
      </w:hyperlink>
      <w:bookmarkEnd w:id="28"/>
    </w:p>
    <w:p w14:paraId="1AFA6A19" w14:textId="79333E24" w:rsidR="00B222CF"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9" w:name="_Ref223728036"/>
      <w:r w:rsidR="00B222CF" w:rsidRPr="001B188B">
        <w:rPr>
          <w:rFonts w:ascii="Times New Roman" w:hAnsi="Times New Roman" w:cs="Times New Roman"/>
          <w:sz w:val="24"/>
          <w:szCs w:val="24"/>
        </w:rPr>
        <w:t xml:space="preserve">Shankaran, S., </w:t>
      </w:r>
      <w:proofErr w:type="spellStart"/>
      <w:r w:rsidR="00B222CF" w:rsidRPr="001B188B">
        <w:rPr>
          <w:rFonts w:ascii="Times New Roman" w:hAnsi="Times New Roman" w:cs="Times New Roman"/>
          <w:sz w:val="24"/>
          <w:szCs w:val="24"/>
        </w:rPr>
        <w:t>Laptook</w:t>
      </w:r>
      <w:proofErr w:type="spellEnd"/>
      <w:r w:rsidR="00B222CF" w:rsidRPr="001B188B">
        <w:rPr>
          <w:rFonts w:ascii="Times New Roman" w:hAnsi="Times New Roman" w:cs="Times New Roman"/>
          <w:sz w:val="24"/>
          <w:szCs w:val="24"/>
        </w:rPr>
        <w:t xml:space="preserve">, A. R., Ehrenkranz, R. A., Tyson, J. E., McDonald, S. A., Donovan, E. F., Fanaroff, A. A., Poole, W. K., Wright, L. L., Higgins, R. D., Finer, N. N., Carlo, W. A., </w:t>
      </w:r>
      <w:proofErr w:type="spellStart"/>
      <w:r w:rsidR="00B222CF" w:rsidRPr="001B188B">
        <w:rPr>
          <w:rFonts w:ascii="Times New Roman" w:hAnsi="Times New Roman" w:cs="Times New Roman"/>
          <w:sz w:val="24"/>
          <w:szCs w:val="24"/>
        </w:rPr>
        <w:t>Duara</w:t>
      </w:r>
      <w:proofErr w:type="spellEnd"/>
      <w:r w:rsidR="00B222CF" w:rsidRPr="001B188B">
        <w:rPr>
          <w:rFonts w:ascii="Times New Roman" w:hAnsi="Times New Roman" w:cs="Times New Roman"/>
          <w:sz w:val="24"/>
          <w:szCs w:val="24"/>
        </w:rPr>
        <w:t xml:space="preserve">, S., Oh, W., Cotten, C. M., Stevenson, D. K., Stoll, B. J., Lemons, J. A., Guillet, R., &amp; Jobe, A. H. (2005). Whole-Body Hypothermia for Neonates with Hypoxic–Ischemic Encephalopathy. New England Journal of Medicine, 353(15), 1574–1584. </w:t>
      </w:r>
      <w:hyperlink r:id="rId23" w:history="1">
        <w:r w:rsidR="00B222CF" w:rsidRPr="001B188B">
          <w:rPr>
            <w:rStyle w:val="Hyperlink"/>
            <w:rFonts w:ascii="Times New Roman" w:hAnsi="Times New Roman" w:cs="Times New Roman"/>
            <w:sz w:val="24"/>
            <w:szCs w:val="24"/>
          </w:rPr>
          <w:t>https://doi.org/10.1056/nejmcps050929</w:t>
        </w:r>
      </w:hyperlink>
      <w:bookmarkEnd w:id="29"/>
    </w:p>
    <w:p w14:paraId="1E44065B" w14:textId="3DE3EE5A" w:rsidR="00346A67"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30" w:name="_Ref223728049"/>
      <w:r w:rsidR="00346A67" w:rsidRPr="001B188B">
        <w:rPr>
          <w:rFonts w:ascii="Times New Roman" w:hAnsi="Times New Roman" w:cs="Times New Roman"/>
          <w:sz w:val="24"/>
          <w:szCs w:val="24"/>
        </w:rPr>
        <w:t xml:space="preserve">Fleischmann-Struzek, C., Goldfarb, D. M., Schlattmann, P., Schlapbach, L. J., Reinhart, K., &amp; Kissoon, N. (2018). The global burden of paediatric and neonatal sepsis: a systematic review. The Lancet Respiratory Medicine, 6(3), 223–230. </w:t>
      </w:r>
      <w:hyperlink r:id="rId24" w:history="1">
        <w:r w:rsidR="00346A67" w:rsidRPr="001B188B">
          <w:rPr>
            <w:rStyle w:val="Hyperlink"/>
            <w:rFonts w:ascii="Times New Roman" w:hAnsi="Times New Roman" w:cs="Times New Roman"/>
            <w:sz w:val="24"/>
            <w:szCs w:val="24"/>
          </w:rPr>
          <w:t>https://doi.org/10.1016/s2213-2600(18)30063-8</w:t>
        </w:r>
      </w:hyperlink>
      <w:bookmarkEnd w:id="30"/>
    </w:p>
    <w:p w14:paraId="29C185AA" w14:textId="6C3BD586" w:rsidR="00506B1F"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31" w:name="_Ref223728086"/>
      <w:r w:rsidR="00506B1F" w:rsidRPr="001B188B">
        <w:rPr>
          <w:rFonts w:ascii="Times New Roman" w:hAnsi="Times New Roman" w:cs="Times New Roman"/>
          <w:sz w:val="24"/>
          <w:szCs w:val="24"/>
        </w:rPr>
        <w:t xml:space="preserve">Caughey, A. B., Sundaram, V., Kaimal, A. J., Cheng, Y. W., Gienger, A., Little, S. E., Lee, J. F., Wong, L., Shaffer, B. L., Tran, S. H., Padula, A., McDonald, K. M., Long, E. F., Owens, D. K., &amp; Bravata, D. M. (2009). Maternal and neonatal outcomes of elective induction of </w:t>
      </w:r>
      <w:proofErr w:type="spellStart"/>
      <w:r w:rsidR="00506B1F" w:rsidRPr="001B188B">
        <w:rPr>
          <w:rFonts w:ascii="Times New Roman" w:hAnsi="Times New Roman" w:cs="Times New Roman"/>
          <w:sz w:val="24"/>
          <w:szCs w:val="24"/>
        </w:rPr>
        <w:t>labor</w:t>
      </w:r>
      <w:proofErr w:type="spellEnd"/>
      <w:r w:rsidR="00506B1F" w:rsidRPr="001B188B">
        <w:rPr>
          <w:rFonts w:ascii="Times New Roman" w:hAnsi="Times New Roman" w:cs="Times New Roman"/>
          <w:sz w:val="24"/>
          <w:szCs w:val="24"/>
        </w:rPr>
        <w:t>. </w:t>
      </w:r>
      <w:r w:rsidR="00506B1F" w:rsidRPr="001B188B">
        <w:rPr>
          <w:rFonts w:ascii="Times New Roman" w:hAnsi="Times New Roman" w:cs="Times New Roman"/>
          <w:i/>
          <w:iCs/>
          <w:sz w:val="24"/>
          <w:szCs w:val="24"/>
        </w:rPr>
        <w:t>Evidence report/technology assessment</w:t>
      </w:r>
      <w:r w:rsidR="00506B1F" w:rsidRPr="001B188B">
        <w:rPr>
          <w:rFonts w:ascii="Times New Roman" w:hAnsi="Times New Roman" w:cs="Times New Roman"/>
          <w:sz w:val="24"/>
          <w:szCs w:val="24"/>
        </w:rPr>
        <w:t>, (176), 1–257.</w:t>
      </w:r>
      <w:bookmarkEnd w:id="31"/>
      <w:r w:rsidR="00506B1F" w:rsidRPr="001B188B">
        <w:rPr>
          <w:rFonts w:ascii="Times New Roman" w:hAnsi="Times New Roman" w:cs="Times New Roman"/>
          <w:sz w:val="24"/>
          <w:szCs w:val="24"/>
        </w:rPr>
        <w:t xml:space="preserve"> </w:t>
      </w:r>
    </w:p>
    <w:p w14:paraId="25416D35" w14:textId="4E7B65EC" w:rsidR="00A1585E"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32" w:name="_Ref223728097"/>
      <w:r w:rsidR="00A1585E" w:rsidRPr="001B188B">
        <w:rPr>
          <w:rFonts w:ascii="Times New Roman" w:hAnsi="Times New Roman" w:cs="Times New Roman"/>
          <w:sz w:val="24"/>
          <w:szCs w:val="24"/>
        </w:rPr>
        <w:t xml:space="preserve">Kozuki, N., Lee, A. C., Silveira, M. F., Sania, A., Vogel, J. P., Adair, L., Barros, F., Caulfield, L. E., Christian, P., Fawzi, W., Humphrey, J., </w:t>
      </w:r>
      <w:proofErr w:type="spellStart"/>
      <w:r w:rsidR="00A1585E" w:rsidRPr="001B188B">
        <w:rPr>
          <w:rFonts w:ascii="Times New Roman" w:hAnsi="Times New Roman" w:cs="Times New Roman"/>
          <w:sz w:val="24"/>
          <w:szCs w:val="24"/>
        </w:rPr>
        <w:t>Huybregts</w:t>
      </w:r>
      <w:proofErr w:type="spellEnd"/>
      <w:r w:rsidR="00A1585E" w:rsidRPr="001B188B">
        <w:rPr>
          <w:rFonts w:ascii="Times New Roman" w:hAnsi="Times New Roman" w:cs="Times New Roman"/>
          <w:sz w:val="24"/>
          <w:szCs w:val="24"/>
        </w:rPr>
        <w:t xml:space="preserve">, L., </w:t>
      </w:r>
      <w:proofErr w:type="spellStart"/>
      <w:r w:rsidR="00A1585E" w:rsidRPr="001B188B">
        <w:rPr>
          <w:rFonts w:ascii="Times New Roman" w:hAnsi="Times New Roman" w:cs="Times New Roman"/>
          <w:sz w:val="24"/>
          <w:szCs w:val="24"/>
        </w:rPr>
        <w:t>Mongkolchati</w:t>
      </w:r>
      <w:proofErr w:type="spellEnd"/>
      <w:r w:rsidR="00A1585E" w:rsidRPr="001B188B">
        <w:rPr>
          <w:rFonts w:ascii="Times New Roman" w:hAnsi="Times New Roman" w:cs="Times New Roman"/>
          <w:sz w:val="24"/>
          <w:szCs w:val="24"/>
        </w:rPr>
        <w:t xml:space="preserve">, A., Ntozini, R., </w:t>
      </w:r>
      <w:proofErr w:type="spellStart"/>
      <w:r w:rsidR="00A1585E" w:rsidRPr="001B188B">
        <w:rPr>
          <w:rFonts w:ascii="Times New Roman" w:hAnsi="Times New Roman" w:cs="Times New Roman"/>
          <w:sz w:val="24"/>
          <w:szCs w:val="24"/>
        </w:rPr>
        <w:t>Osrin</w:t>
      </w:r>
      <w:proofErr w:type="spellEnd"/>
      <w:r w:rsidR="00A1585E" w:rsidRPr="001B188B">
        <w:rPr>
          <w:rFonts w:ascii="Times New Roman" w:hAnsi="Times New Roman" w:cs="Times New Roman"/>
          <w:sz w:val="24"/>
          <w:szCs w:val="24"/>
        </w:rPr>
        <w:t xml:space="preserve">, D., </w:t>
      </w:r>
      <w:proofErr w:type="spellStart"/>
      <w:r w:rsidR="00A1585E" w:rsidRPr="001B188B">
        <w:rPr>
          <w:rFonts w:ascii="Times New Roman" w:hAnsi="Times New Roman" w:cs="Times New Roman"/>
          <w:sz w:val="24"/>
          <w:szCs w:val="24"/>
        </w:rPr>
        <w:t>Roberfroid</w:t>
      </w:r>
      <w:proofErr w:type="spellEnd"/>
      <w:r w:rsidR="00A1585E" w:rsidRPr="001B188B">
        <w:rPr>
          <w:rFonts w:ascii="Times New Roman" w:hAnsi="Times New Roman" w:cs="Times New Roman"/>
          <w:sz w:val="24"/>
          <w:szCs w:val="24"/>
        </w:rPr>
        <w:t xml:space="preserve">, D., </w:t>
      </w:r>
      <w:proofErr w:type="spellStart"/>
      <w:r w:rsidR="00A1585E" w:rsidRPr="001B188B">
        <w:rPr>
          <w:rFonts w:ascii="Times New Roman" w:hAnsi="Times New Roman" w:cs="Times New Roman"/>
          <w:sz w:val="24"/>
          <w:szCs w:val="24"/>
        </w:rPr>
        <w:t>Tielsch</w:t>
      </w:r>
      <w:proofErr w:type="spellEnd"/>
      <w:r w:rsidR="00A1585E" w:rsidRPr="001B188B">
        <w:rPr>
          <w:rFonts w:ascii="Times New Roman" w:hAnsi="Times New Roman" w:cs="Times New Roman"/>
          <w:sz w:val="24"/>
          <w:szCs w:val="24"/>
        </w:rPr>
        <w:t xml:space="preserve">, J., Vaidya, A., Black, R. E., . . . Group, C. H. E. R. G. S. B. W. (2013). The associations of parity and maternal age with small-for-gestational-age, preterm, and neonatal and infant mortality: a meta-analysis. BMC Public Health, 13(S3), S2. </w:t>
      </w:r>
      <w:hyperlink r:id="rId25" w:history="1">
        <w:r w:rsidR="00A1585E" w:rsidRPr="001B188B">
          <w:rPr>
            <w:rStyle w:val="Hyperlink"/>
            <w:rFonts w:ascii="Times New Roman" w:hAnsi="Times New Roman" w:cs="Times New Roman"/>
            <w:sz w:val="24"/>
            <w:szCs w:val="24"/>
          </w:rPr>
          <w:t>https://doi.org/10.1186/1471-2458-13-s3-s2</w:t>
        </w:r>
      </w:hyperlink>
      <w:bookmarkEnd w:id="32"/>
    </w:p>
    <w:p w14:paraId="08B97BE6" w14:textId="6F01EC78" w:rsidR="006661CB"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33" w:name="_Ref223726170"/>
      <w:r w:rsidR="006661CB" w:rsidRPr="001B188B">
        <w:rPr>
          <w:rFonts w:ascii="Times New Roman" w:hAnsi="Times New Roman" w:cs="Times New Roman"/>
          <w:sz w:val="24"/>
          <w:szCs w:val="24"/>
        </w:rPr>
        <w:t xml:space="preserve">Dorling, J. S., Field, D. J., &amp; </w:t>
      </w:r>
      <w:proofErr w:type="spellStart"/>
      <w:r w:rsidR="006661CB" w:rsidRPr="001B188B">
        <w:rPr>
          <w:rFonts w:ascii="Times New Roman" w:hAnsi="Times New Roman" w:cs="Times New Roman"/>
          <w:sz w:val="24"/>
          <w:szCs w:val="24"/>
        </w:rPr>
        <w:t>Manktelow</w:t>
      </w:r>
      <w:proofErr w:type="spellEnd"/>
      <w:r w:rsidR="006661CB" w:rsidRPr="001B188B">
        <w:rPr>
          <w:rFonts w:ascii="Times New Roman" w:hAnsi="Times New Roman" w:cs="Times New Roman"/>
          <w:sz w:val="24"/>
          <w:szCs w:val="24"/>
        </w:rPr>
        <w:t xml:space="preserve">, B. (2004). Neonatal disease severity scoring systems. Archives of Disease in Childhood </w:t>
      </w:r>
      <w:proofErr w:type="spellStart"/>
      <w:r w:rsidR="006661CB" w:rsidRPr="001B188B">
        <w:rPr>
          <w:rFonts w:ascii="Times New Roman" w:hAnsi="Times New Roman" w:cs="Times New Roman"/>
          <w:sz w:val="24"/>
          <w:szCs w:val="24"/>
        </w:rPr>
        <w:t>Fetal</w:t>
      </w:r>
      <w:proofErr w:type="spellEnd"/>
      <w:r w:rsidR="006661CB" w:rsidRPr="001B188B">
        <w:rPr>
          <w:rFonts w:ascii="Times New Roman" w:hAnsi="Times New Roman" w:cs="Times New Roman"/>
          <w:sz w:val="24"/>
          <w:szCs w:val="24"/>
        </w:rPr>
        <w:t xml:space="preserve"> &amp; Neonatal, 90(1), F11–F16. </w:t>
      </w:r>
      <w:hyperlink r:id="rId26" w:history="1">
        <w:r w:rsidR="006661CB" w:rsidRPr="001B188B">
          <w:rPr>
            <w:rStyle w:val="Hyperlink"/>
            <w:rFonts w:ascii="Times New Roman" w:hAnsi="Times New Roman" w:cs="Times New Roman"/>
            <w:sz w:val="24"/>
            <w:szCs w:val="24"/>
          </w:rPr>
          <w:t>https://doi.org/10.1136/adc.2003.048488</w:t>
        </w:r>
      </w:hyperlink>
      <w:bookmarkEnd w:id="33"/>
    </w:p>
    <w:p w14:paraId="5EF9AABE" w14:textId="37D99A5A" w:rsidR="00FE6E20"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34" w:name="_Ref223728190"/>
      <w:proofErr w:type="spellStart"/>
      <w:r w:rsidR="00FE6E20" w:rsidRPr="001B188B">
        <w:rPr>
          <w:rFonts w:ascii="Times New Roman" w:hAnsi="Times New Roman" w:cs="Times New Roman"/>
          <w:sz w:val="24"/>
          <w:szCs w:val="24"/>
        </w:rPr>
        <w:t>Kayode</w:t>
      </w:r>
      <w:proofErr w:type="spellEnd"/>
      <w:r w:rsidR="00FE6E20" w:rsidRPr="001B188B">
        <w:rPr>
          <w:rFonts w:ascii="Times New Roman" w:hAnsi="Times New Roman" w:cs="Times New Roman"/>
          <w:sz w:val="24"/>
          <w:szCs w:val="24"/>
        </w:rPr>
        <w:t xml:space="preserve"> GA, </w:t>
      </w:r>
      <w:proofErr w:type="spellStart"/>
      <w:r w:rsidR="00FE6E20" w:rsidRPr="001B188B">
        <w:rPr>
          <w:rFonts w:ascii="Times New Roman" w:hAnsi="Times New Roman" w:cs="Times New Roman"/>
          <w:sz w:val="24"/>
          <w:szCs w:val="24"/>
        </w:rPr>
        <w:t>Grobbee</w:t>
      </w:r>
      <w:proofErr w:type="spellEnd"/>
      <w:r w:rsidR="00FE6E20" w:rsidRPr="001B188B">
        <w:rPr>
          <w:rFonts w:ascii="Times New Roman" w:hAnsi="Times New Roman" w:cs="Times New Roman"/>
          <w:sz w:val="24"/>
          <w:szCs w:val="24"/>
        </w:rPr>
        <w:t xml:space="preserve"> DE, </w:t>
      </w:r>
      <w:proofErr w:type="spellStart"/>
      <w:r w:rsidR="00FE6E20" w:rsidRPr="001B188B">
        <w:rPr>
          <w:rFonts w:ascii="Times New Roman" w:hAnsi="Times New Roman" w:cs="Times New Roman"/>
          <w:sz w:val="24"/>
          <w:szCs w:val="24"/>
        </w:rPr>
        <w:t>Amoakoh</w:t>
      </w:r>
      <w:proofErr w:type="spellEnd"/>
      <w:r w:rsidR="00FE6E20" w:rsidRPr="001B188B">
        <w:rPr>
          <w:rFonts w:ascii="Times New Roman" w:hAnsi="Times New Roman" w:cs="Times New Roman"/>
          <w:sz w:val="24"/>
          <w:szCs w:val="24"/>
        </w:rPr>
        <w:t xml:space="preserve">-Coleman M, et al. Parametric versus semi-parametric models for child mortality analysis. BMC Med Res </w:t>
      </w:r>
      <w:proofErr w:type="spellStart"/>
      <w:r w:rsidR="00FE6E20" w:rsidRPr="001B188B">
        <w:rPr>
          <w:rFonts w:ascii="Times New Roman" w:hAnsi="Times New Roman" w:cs="Times New Roman"/>
          <w:sz w:val="24"/>
          <w:szCs w:val="24"/>
        </w:rPr>
        <w:t>Methodol</w:t>
      </w:r>
      <w:proofErr w:type="spellEnd"/>
      <w:r w:rsidR="00FE6E20" w:rsidRPr="001B188B">
        <w:rPr>
          <w:rFonts w:ascii="Times New Roman" w:hAnsi="Times New Roman" w:cs="Times New Roman"/>
          <w:sz w:val="24"/>
          <w:szCs w:val="24"/>
        </w:rPr>
        <w:t>. 2018;18(1):123.</w:t>
      </w:r>
      <w:bookmarkEnd w:id="34"/>
    </w:p>
    <w:p w14:paraId="46732E25" w14:textId="36700032" w:rsidR="001B6222" w:rsidRPr="001B188B" w:rsidRDefault="001B622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bookmarkStart w:id="35" w:name="_Ref223726418"/>
      <w:proofErr w:type="spellStart"/>
      <w:r w:rsidRPr="001B188B">
        <w:rPr>
          <w:rFonts w:ascii="Times New Roman" w:hAnsi="Times New Roman" w:cs="Times New Roman"/>
          <w:sz w:val="24"/>
          <w:szCs w:val="24"/>
        </w:rPr>
        <w:lastRenderedPageBreak/>
        <w:t>Grambsch</w:t>
      </w:r>
      <w:proofErr w:type="spellEnd"/>
      <w:r w:rsidRPr="001B188B">
        <w:rPr>
          <w:rFonts w:ascii="Times New Roman" w:hAnsi="Times New Roman" w:cs="Times New Roman"/>
          <w:sz w:val="24"/>
          <w:szCs w:val="24"/>
        </w:rPr>
        <w:t xml:space="preserve">, P. M., &amp; </w:t>
      </w:r>
      <w:proofErr w:type="spellStart"/>
      <w:r w:rsidRPr="001B188B">
        <w:rPr>
          <w:rFonts w:ascii="Times New Roman" w:hAnsi="Times New Roman" w:cs="Times New Roman"/>
          <w:sz w:val="24"/>
          <w:szCs w:val="24"/>
        </w:rPr>
        <w:t>Therneau</w:t>
      </w:r>
      <w:proofErr w:type="spellEnd"/>
      <w:r w:rsidRPr="001B188B">
        <w:rPr>
          <w:rFonts w:ascii="Times New Roman" w:hAnsi="Times New Roman" w:cs="Times New Roman"/>
          <w:sz w:val="24"/>
          <w:szCs w:val="24"/>
        </w:rPr>
        <w:t xml:space="preserve">, T. M. (1994). Proportional hazards tests and diagnostics based on weighted residuals. </w:t>
      </w:r>
      <w:proofErr w:type="spellStart"/>
      <w:r w:rsidRPr="001B188B">
        <w:rPr>
          <w:rFonts w:ascii="Times New Roman" w:hAnsi="Times New Roman" w:cs="Times New Roman"/>
          <w:sz w:val="24"/>
          <w:szCs w:val="24"/>
        </w:rPr>
        <w:t>Biometrika</w:t>
      </w:r>
      <w:proofErr w:type="spellEnd"/>
      <w:r w:rsidRPr="001B188B">
        <w:rPr>
          <w:rFonts w:ascii="Times New Roman" w:hAnsi="Times New Roman" w:cs="Times New Roman"/>
          <w:sz w:val="24"/>
          <w:szCs w:val="24"/>
        </w:rPr>
        <w:t xml:space="preserve">, 81(3), 515–526. </w:t>
      </w:r>
      <w:hyperlink r:id="rId27" w:history="1">
        <w:r w:rsidRPr="001B188B">
          <w:rPr>
            <w:rStyle w:val="Hyperlink"/>
            <w:rFonts w:ascii="Times New Roman" w:hAnsi="Times New Roman" w:cs="Times New Roman"/>
            <w:sz w:val="24"/>
            <w:szCs w:val="24"/>
          </w:rPr>
          <w:t>https://doi.org/10.1093/biomet/81.3.515</w:t>
        </w:r>
      </w:hyperlink>
      <w:bookmarkEnd w:id="35"/>
    </w:p>
    <w:p w14:paraId="180512EB" w14:textId="320331C2" w:rsidR="00815370"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36" w:name="_Ref223726728"/>
      <w:r w:rsidR="00815370" w:rsidRPr="001B188B">
        <w:rPr>
          <w:rFonts w:ascii="Times New Roman" w:hAnsi="Times New Roman" w:cs="Times New Roman"/>
          <w:sz w:val="24"/>
          <w:szCs w:val="24"/>
        </w:rPr>
        <w:t xml:space="preserve">Stoll, B. J., Hansen, N. I., Bell, E. F., Shankaran, S., </w:t>
      </w:r>
      <w:proofErr w:type="spellStart"/>
      <w:r w:rsidR="00815370" w:rsidRPr="001B188B">
        <w:rPr>
          <w:rFonts w:ascii="Times New Roman" w:hAnsi="Times New Roman" w:cs="Times New Roman"/>
          <w:sz w:val="24"/>
          <w:szCs w:val="24"/>
        </w:rPr>
        <w:t>Laptook</w:t>
      </w:r>
      <w:proofErr w:type="spellEnd"/>
      <w:r w:rsidR="00815370" w:rsidRPr="001B188B">
        <w:rPr>
          <w:rFonts w:ascii="Times New Roman" w:hAnsi="Times New Roman" w:cs="Times New Roman"/>
          <w:sz w:val="24"/>
          <w:szCs w:val="24"/>
        </w:rPr>
        <w:t xml:space="preserve">, A. R., Walsh, M. C., Hale, E. C., Newman, N. S., Schibler, K., Carlo, W. A., Kennedy, K. A., Poindexter, B. B., Finer, N. N., Ehrenkranz, R. A., </w:t>
      </w:r>
      <w:proofErr w:type="spellStart"/>
      <w:r w:rsidR="00815370" w:rsidRPr="001B188B">
        <w:rPr>
          <w:rFonts w:ascii="Times New Roman" w:hAnsi="Times New Roman" w:cs="Times New Roman"/>
          <w:sz w:val="24"/>
          <w:szCs w:val="24"/>
        </w:rPr>
        <w:t>Duara</w:t>
      </w:r>
      <w:proofErr w:type="spellEnd"/>
      <w:r w:rsidR="00815370" w:rsidRPr="001B188B">
        <w:rPr>
          <w:rFonts w:ascii="Times New Roman" w:hAnsi="Times New Roman" w:cs="Times New Roman"/>
          <w:sz w:val="24"/>
          <w:szCs w:val="24"/>
        </w:rPr>
        <w:t xml:space="preserve">, S., Sánchez, P. J., O’Shea, T. M., Goldberg, R. N., Van Meurs, K. P., . . . Higgins, R. D. (2010). Neonatal outcomes of extremely preterm infants from the NICHD Neonatal Research Network. PEDIATRICS, 126(3), 443–456. </w:t>
      </w:r>
      <w:hyperlink r:id="rId28" w:history="1">
        <w:r w:rsidR="00815370" w:rsidRPr="001B188B">
          <w:rPr>
            <w:rStyle w:val="Hyperlink"/>
            <w:rFonts w:ascii="Times New Roman" w:hAnsi="Times New Roman" w:cs="Times New Roman"/>
            <w:sz w:val="24"/>
            <w:szCs w:val="24"/>
          </w:rPr>
          <w:t>https://doi.org/10.1542/peds.2009-2959</w:t>
        </w:r>
      </w:hyperlink>
      <w:bookmarkEnd w:id="36"/>
    </w:p>
    <w:p w14:paraId="44F9B3EA" w14:textId="3F98A8C2" w:rsidR="00947529"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 </w:t>
      </w:r>
      <w:bookmarkStart w:id="37" w:name="_Ref223726446"/>
      <w:r w:rsidR="00947529" w:rsidRPr="001B188B">
        <w:rPr>
          <w:rFonts w:ascii="Times New Roman" w:hAnsi="Times New Roman" w:cs="Times New Roman"/>
          <w:sz w:val="24"/>
          <w:szCs w:val="24"/>
        </w:rPr>
        <w:t xml:space="preserve">Crowther MJ, Lambert PC. A general framework for parametric survival analysis. </w:t>
      </w:r>
      <w:r w:rsidR="00947529" w:rsidRPr="001B188B">
        <w:rPr>
          <w:rFonts w:ascii="Times New Roman" w:hAnsi="Times New Roman" w:cs="Times New Roman"/>
          <w:i/>
          <w:sz w:val="24"/>
          <w:szCs w:val="24"/>
        </w:rPr>
        <w:t>Stat Med</w:t>
      </w:r>
      <w:r w:rsidR="00947529" w:rsidRPr="001B188B">
        <w:rPr>
          <w:rFonts w:ascii="Times New Roman" w:eastAsia="Georgia" w:hAnsi="Times New Roman" w:cs="Times New Roman"/>
          <w:sz w:val="24"/>
          <w:szCs w:val="24"/>
        </w:rPr>
        <w:t>. 2014;33(22):3871-3888. doi:10.1002/sim.6206</w:t>
      </w:r>
      <w:bookmarkEnd w:id="37"/>
      <w:r w:rsidR="00947529" w:rsidRPr="001B188B">
        <w:rPr>
          <w:rFonts w:ascii="Times New Roman" w:eastAsia="Georgia" w:hAnsi="Times New Roman" w:cs="Times New Roman"/>
          <w:sz w:val="24"/>
          <w:szCs w:val="24"/>
        </w:rPr>
        <w:t xml:space="preserve">  </w:t>
      </w:r>
    </w:p>
    <w:p w14:paraId="0F543789" w14:textId="5E8EE6AD" w:rsidR="00166BC1"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38" w:name="_Ref223726450"/>
      <w:r w:rsidR="00243A05" w:rsidRPr="001B188B">
        <w:rPr>
          <w:rFonts w:ascii="Times New Roman" w:hAnsi="Times New Roman" w:cs="Times New Roman"/>
          <w:sz w:val="24"/>
          <w:szCs w:val="24"/>
        </w:rPr>
        <w:t xml:space="preserve">Kay R. Proportional hazard regression models and the analysis of censored survival data. </w:t>
      </w:r>
      <w:r w:rsidR="00243A05" w:rsidRPr="001B188B">
        <w:rPr>
          <w:rFonts w:ascii="Times New Roman" w:hAnsi="Times New Roman" w:cs="Times New Roman"/>
          <w:i/>
          <w:sz w:val="24"/>
          <w:szCs w:val="24"/>
        </w:rPr>
        <w:t>J R Stat Soc Ser C</w:t>
      </w:r>
      <w:r w:rsidR="00243A05" w:rsidRPr="001B188B">
        <w:rPr>
          <w:rFonts w:ascii="Times New Roman" w:eastAsia="Georgia" w:hAnsi="Times New Roman" w:cs="Times New Roman"/>
          <w:sz w:val="24"/>
          <w:szCs w:val="24"/>
        </w:rPr>
        <w:t>. 1977;26(3):227-237.</w:t>
      </w:r>
      <w:bookmarkEnd w:id="38"/>
    </w:p>
    <w:p w14:paraId="705E2E4C" w14:textId="2B3470A3" w:rsidR="00166BC1"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lang w:val="en-US"/>
        </w:rPr>
        <w:t xml:space="preserve"> </w:t>
      </w:r>
      <w:bookmarkStart w:id="39" w:name="_Ref223726178"/>
      <w:proofErr w:type="spellStart"/>
      <w:r w:rsidR="00166BC1" w:rsidRPr="001B188B">
        <w:rPr>
          <w:rFonts w:ascii="Times New Roman" w:hAnsi="Times New Roman" w:cs="Times New Roman"/>
          <w:sz w:val="24"/>
          <w:szCs w:val="24"/>
          <w:lang w:val="en-US"/>
        </w:rPr>
        <w:t>StataCorp</w:t>
      </w:r>
      <w:proofErr w:type="spellEnd"/>
      <w:r w:rsidR="00166BC1" w:rsidRPr="001B188B">
        <w:rPr>
          <w:rFonts w:ascii="Times New Roman" w:hAnsi="Times New Roman" w:cs="Times New Roman"/>
          <w:sz w:val="24"/>
          <w:szCs w:val="24"/>
          <w:lang w:val="en-US"/>
        </w:rPr>
        <w:t xml:space="preserve"> (2013). Stata Statistical Software: Release 13.1. College Station, TX: </w:t>
      </w:r>
      <w:proofErr w:type="spellStart"/>
      <w:r w:rsidR="00166BC1" w:rsidRPr="001B188B">
        <w:rPr>
          <w:rFonts w:ascii="Times New Roman" w:hAnsi="Times New Roman" w:cs="Times New Roman"/>
          <w:sz w:val="24"/>
          <w:szCs w:val="24"/>
          <w:lang w:val="en-US"/>
        </w:rPr>
        <w:t>StataCorp</w:t>
      </w:r>
      <w:proofErr w:type="spellEnd"/>
      <w:r w:rsidR="00166BC1" w:rsidRPr="001B188B">
        <w:rPr>
          <w:rFonts w:ascii="Times New Roman" w:hAnsi="Times New Roman" w:cs="Times New Roman"/>
          <w:sz w:val="24"/>
          <w:szCs w:val="24"/>
          <w:lang w:val="en-US"/>
        </w:rPr>
        <w:t xml:space="preserve"> LLC.</w:t>
      </w:r>
      <w:bookmarkEnd w:id="39"/>
    </w:p>
    <w:p w14:paraId="13A64B96" w14:textId="77777777" w:rsidR="001460AB" w:rsidRPr="001B188B" w:rsidRDefault="001460AB" w:rsidP="00B7105A">
      <w:pPr>
        <w:jc w:val="both"/>
      </w:pPr>
    </w:p>
    <w:sectPr w:rsidR="001460AB" w:rsidRPr="001B188B" w:rsidSect="001B188B">
      <w:pgSz w:w="11906" w:h="16838" w:code="9"/>
      <w:pgMar w:top="1094" w:right="607" w:bottom="953" w:left="6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AC6D1" w14:textId="77777777" w:rsidR="00D07F41" w:rsidRDefault="00D07F41" w:rsidP="003A579B">
      <w:r>
        <w:separator/>
      </w:r>
    </w:p>
  </w:endnote>
  <w:endnote w:type="continuationSeparator" w:id="0">
    <w:p w14:paraId="2211E7AC" w14:textId="77777777" w:rsidR="00D07F41" w:rsidRDefault="00D07F41" w:rsidP="003A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C4E98" w14:textId="77777777" w:rsidR="00D07F41" w:rsidRDefault="00D07F41" w:rsidP="003A579B">
      <w:r>
        <w:separator/>
      </w:r>
    </w:p>
  </w:footnote>
  <w:footnote w:type="continuationSeparator" w:id="0">
    <w:p w14:paraId="00C974FE" w14:textId="77777777" w:rsidR="00D07F41" w:rsidRDefault="00D07F41" w:rsidP="003A5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8144B"/>
    <w:multiLevelType w:val="hybridMultilevel"/>
    <w:tmpl w:val="6A56E8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0D319A5"/>
    <w:multiLevelType w:val="hybridMultilevel"/>
    <w:tmpl w:val="AD3074A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AF"/>
    <w:rsid w:val="0000356D"/>
    <w:rsid w:val="00012BA4"/>
    <w:rsid w:val="00012FCE"/>
    <w:rsid w:val="000250EC"/>
    <w:rsid w:val="00025622"/>
    <w:rsid w:val="00031AA2"/>
    <w:rsid w:val="000526D2"/>
    <w:rsid w:val="0005392B"/>
    <w:rsid w:val="0005426A"/>
    <w:rsid w:val="00054E2D"/>
    <w:rsid w:val="00066F0D"/>
    <w:rsid w:val="00071E8F"/>
    <w:rsid w:val="00072723"/>
    <w:rsid w:val="0008454E"/>
    <w:rsid w:val="00084AFF"/>
    <w:rsid w:val="00085CDF"/>
    <w:rsid w:val="000B27A3"/>
    <w:rsid w:val="000B362D"/>
    <w:rsid w:val="000E16A7"/>
    <w:rsid w:val="000E3D90"/>
    <w:rsid w:val="000F08D4"/>
    <w:rsid w:val="000F37AA"/>
    <w:rsid w:val="00103A2B"/>
    <w:rsid w:val="001068C4"/>
    <w:rsid w:val="00117DE1"/>
    <w:rsid w:val="00125BFF"/>
    <w:rsid w:val="0012672B"/>
    <w:rsid w:val="0013275D"/>
    <w:rsid w:val="00133342"/>
    <w:rsid w:val="00135A9A"/>
    <w:rsid w:val="001460AB"/>
    <w:rsid w:val="001516B9"/>
    <w:rsid w:val="0016699D"/>
    <w:rsid w:val="00166BC1"/>
    <w:rsid w:val="001B188B"/>
    <w:rsid w:val="001B6222"/>
    <w:rsid w:val="001C5B56"/>
    <w:rsid w:val="001D15C1"/>
    <w:rsid w:val="001D49F3"/>
    <w:rsid w:val="001F5EE9"/>
    <w:rsid w:val="00200353"/>
    <w:rsid w:val="00224ED2"/>
    <w:rsid w:val="00225C93"/>
    <w:rsid w:val="002400C3"/>
    <w:rsid w:val="00241F39"/>
    <w:rsid w:val="00243A05"/>
    <w:rsid w:val="00250F5A"/>
    <w:rsid w:val="0025191B"/>
    <w:rsid w:val="00251EAF"/>
    <w:rsid w:val="0025640A"/>
    <w:rsid w:val="00267E2C"/>
    <w:rsid w:val="0028562B"/>
    <w:rsid w:val="00286070"/>
    <w:rsid w:val="00292671"/>
    <w:rsid w:val="002947AF"/>
    <w:rsid w:val="002B4F0D"/>
    <w:rsid w:val="002B58C1"/>
    <w:rsid w:val="002B62BC"/>
    <w:rsid w:val="002E4EA1"/>
    <w:rsid w:val="002F2D71"/>
    <w:rsid w:val="002F78E7"/>
    <w:rsid w:val="00303B64"/>
    <w:rsid w:val="003051B5"/>
    <w:rsid w:val="00307B6E"/>
    <w:rsid w:val="00320336"/>
    <w:rsid w:val="003261B3"/>
    <w:rsid w:val="00326898"/>
    <w:rsid w:val="00337D7D"/>
    <w:rsid w:val="00346A67"/>
    <w:rsid w:val="003573CC"/>
    <w:rsid w:val="003903BB"/>
    <w:rsid w:val="00391038"/>
    <w:rsid w:val="00396D4A"/>
    <w:rsid w:val="003A5293"/>
    <w:rsid w:val="003A579B"/>
    <w:rsid w:val="003A6BC8"/>
    <w:rsid w:val="003B1D0A"/>
    <w:rsid w:val="003D0DBA"/>
    <w:rsid w:val="003D7D1C"/>
    <w:rsid w:val="003E1CC0"/>
    <w:rsid w:val="00405DB8"/>
    <w:rsid w:val="00410E7A"/>
    <w:rsid w:val="004172FC"/>
    <w:rsid w:val="00427180"/>
    <w:rsid w:val="00436090"/>
    <w:rsid w:val="0044201E"/>
    <w:rsid w:val="004531F9"/>
    <w:rsid w:val="0045443C"/>
    <w:rsid w:val="00456780"/>
    <w:rsid w:val="00486E02"/>
    <w:rsid w:val="004A1EDA"/>
    <w:rsid w:val="004B35A8"/>
    <w:rsid w:val="004B5B9B"/>
    <w:rsid w:val="004C525F"/>
    <w:rsid w:val="004C66FD"/>
    <w:rsid w:val="004D5624"/>
    <w:rsid w:val="004E223A"/>
    <w:rsid w:val="004E4425"/>
    <w:rsid w:val="00506B1F"/>
    <w:rsid w:val="0051386C"/>
    <w:rsid w:val="0051607B"/>
    <w:rsid w:val="005178E9"/>
    <w:rsid w:val="00533292"/>
    <w:rsid w:val="00551163"/>
    <w:rsid w:val="005669E8"/>
    <w:rsid w:val="00584A88"/>
    <w:rsid w:val="00590FFE"/>
    <w:rsid w:val="005A2082"/>
    <w:rsid w:val="005A4FBD"/>
    <w:rsid w:val="005B3695"/>
    <w:rsid w:val="005C2361"/>
    <w:rsid w:val="005E3675"/>
    <w:rsid w:val="005F4ABB"/>
    <w:rsid w:val="00601397"/>
    <w:rsid w:val="0060284A"/>
    <w:rsid w:val="006034A1"/>
    <w:rsid w:val="006113A0"/>
    <w:rsid w:val="00612391"/>
    <w:rsid w:val="00616AF9"/>
    <w:rsid w:val="006238CD"/>
    <w:rsid w:val="00640CFF"/>
    <w:rsid w:val="00645B7B"/>
    <w:rsid w:val="0064623D"/>
    <w:rsid w:val="006661CB"/>
    <w:rsid w:val="006729C3"/>
    <w:rsid w:val="006A3811"/>
    <w:rsid w:val="006C24E0"/>
    <w:rsid w:val="006C25CF"/>
    <w:rsid w:val="006C546D"/>
    <w:rsid w:val="006C57DA"/>
    <w:rsid w:val="006D5C5C"/>
    <w:rsid w:val="007220AA"/>
    <w:rsid w:val="00742A39"/>
    <w:rsid w:val="00753214"/>
    <w:rsid w:val="00754C34"/>
    <w:rsid w:val="00756A0A"/>
    <w:rsid w:val="00773341"/>
    <w:rsid w:val="00777DC1"/>
    <w:rsid w:val="007A2C87"/>
    <w:rsid w:val="007B0F9B"/>
    <w:rsid w:val="007B29CA"/>
    <w:rsid w:val="007B36B0"/>
    <w:rsid w:val="007B3FF7"/>
    <w:rsid w:val="007B7055"/>
    <w:rsid w:val="007B7D42"/>
    <w:rsid w:val="007C2ADC"/>
    <w:rsid w:val="007E19A8"/>
    <w:rsid w:val="007E4DD7"/>
    <w:rsid w:val="007E5D6F"/>
    <w:rsid w:val="007F07B2"/>
    <w:rsid w:val="007F1071"/>
    <w:rsid w:val="007F1E25"/>
    <w:rsid w:val="0080739F"/>
    <w:rsid w:val="0081327A"/>
    <w:rsid w:val="00813CE6"/>
    <w:rsid w:val="00815370"/>
    <w:rsid w:val="0082186E"/>
    <w:rsid w:val="0083393E"/>
    <w:rsid w:val="0084244F"/>
    <w:rsid w:val="008916D4"/>
    <w:rsid w:val="008A6FFA"/>
    <w:rsid w:val="008D5454"/>
    <w:rsid w:val="008E527E"/>
    <w:rsid w:val="008E68F7"/>
    <w:rsid w:val="008F5E24"/>
    <w:rsid w:val="0092562F"/>
    <w:rsid w:val="00931456"/>
    <w:rsid w:val="00932971"/>
    <w:rsid w:val="00932A08"/>
    <w:rsid w:val="00947529"/>
    <w:rsid w:val="00966973"/>
    <w:rsid w:val="00970459"/>
    <w:rsid w:val="00970C1F"/>
    <w:rsid w:val="00983368"/>
    <w:rsid w:val="009908FD"/>
    <w:rsid w:val="00991B0A"/>
    <w:rsid w:val="009926D1"/>
    <w:rsid w:val="00992B04"/>
    <w:rsid w:val="009C4D13"/>
    <w:rsid w:val="009D41FC"/>
    <w:rsid w:val="009E75B4"/>
    <w:rsid w:val="009F143A"/>
    <w:rsid w:val="009F5BF3"/>
    <w:rsid w:val="009F7638"/>
    <w:rsid w:val="00A021B6"/>
    <w:rsid w:val="00A04B8C"/>
    <w:rsid w:val="00A07B2A"/>
    <w:rsid w:val="00A13DDC"/>
    <w:rsid w:val="00A1585E"/>
    <w:rsid w:val="00A32F6F"/>
    <w:rsid w:val="00A71644"/>
    <w:rsid w:val="00A93A85"/>
    <w:rsid w:val="00AA5AAE"/>
    <w:rsid w:val="00AA5EE7"/>
    <w:rsid w:val="00AA6958"/>
    <w:rsid w:val="00AB5F20"/>
    <w:rsid w:val="00AC1288"/>
    <w:rsid w:val="00AC7AF9"/>
    <w:rsid w:val="00AD5C62"/>
    <w:rsid w:val="00AE00B1"/>
    <w:rsid w:val="00AE59D7"/>
    <w:rsid w:val="00AF28BD"/>
    <w:rsid w:val="00B045CF"/>
    <w:rsid w:val="00B0691F"/>
    <w:rsid w:val="00B13099"/>
    <w:rsid w:val="00B13D7D"/>
    <w:rsid w:val="00B13E11"/>
    <w:rsid w:val="00B2222A"/>
    <w:rsid w:val="00B222CF"/>
    <w:rsid w:val="00B54946"/>
    <w:rsid w:val="00B56123"/>
    <w:rsid w:val="00B64AF9"/>
    <w:rsid w:val="00B7105A"/>
    <w:rsid w:val="00B77666"/>
    <w:rsid w:val="00B80A85"/>
    <w:rsid w:val="00B9007C"/>
    <w:rsid w:val="00B91C36"/>
    <w:rsid w:val="00BA0E57"/>
    <w:rsid w:val="00BC2B26"/>
    <w:rsid w:val="00BD299F"/>
    <w:rsid w:val="00BD307A"/>
    <w:rsid w:val="00BD3C0A"/>
    <w:rsid w:val="00BD55E1"/>
    <w:rsid w:val="00C11D30"/>
    <w:rsid w:val="00C13A08"/>
    <w:rsid w:val="00C172B1"/>
    <w:rsid w:val="00C17562"/>
    <w:rsid w:val="00C24701"/>
    <w:rsid w:val="00C26CBD"/>
    <w:rsid w:val="00C277F3"/>
    <w:rsid w:val="00C32365"/>
    <w:rsid w:val="00C376FF"/>
    <w:rsid w:val="00C43CC0"/>
    <w:rsid w:val="00C56338"/>
    <w:rsid w:val="00C56704"/>
    <w:rsid w:val="00C57B9E"/>
    <w:rsid w:val="00C613D7"/>
    <w:rsid w:val="00C7301C"/>
    <w:rsid w:val="00C7489B"/>
    <w:rsid w:val="00CB00F1"/>
    <w:rsid w:val="00CB757D"/>
    <w:rsid w:val="00CC1B32"/>
    <w:rsid w:val="00CD1F12"/>
    <w:rsid w:val="00CD4892"/>
    <w:rsid w:val="00CD58DE"/>
    <w:rsid w:val="00CE4C82"/>
    <w:rsid w:val="00CF515A"/>
    <w:rsid w:val="00CF58F0"/>
    <w:rsid w:val="00CF60F7"/>
    <w:rsid w:val="00D05BC6"/>
    <w:rsid w:val="00D07F41"/>
    <w:rsid w:val="00D17A2C"/>
    <w:rsid w:val="00D20417"/>
    <w:rsid w:val="00D21C42"/>
    <w:rsid w:val="00D31773"/>
    <w:rsid w:val="00D44A1F"/>
    <w:rsid w:val="00D500AF"/>
    <w:rsid w:val="00D50ADB"/>
    <w:rsid w:val="00D6179E"/>
    <w:rsid w:val="00D6634C"/>
    <w:rsid w:val="00D83DE0"/>
    <w:rsid w:val="00D8726B"/>
    <w:rsid w:val="00DA1592"/>
    <w:rsid w:val="00DC53C6"/>
    <w:rsid w:val="00DC62D3"/>
    <w:rsid w:val="00DD67C4"/>
    <w:rsid w:val="00DE6387"/>
    <w:rsid w:val="00DF34B4"/>
    <w:rsid w:val="00DF416A"/>
    <w:rsid w:val="00DF6969"/>
    <w:rsid w:val="00E05BD9"/>
    <w:rsid w:val="00E1416A"/>
    <w:rsid w:val="00E14925"/>
    <w:rsid w:val="00E21F01"/>
    <w:rsid w:val="00E30777"/>
    <w:rsid w:val="00E53938"/>
    <w:rsid w:val="00E612CE"/>
    <w:rsid w:val="00E705CC"/>
    <w:rsid w:val="00E71D37"/>
    <w:rsid w:val="00E7294A"/>
    <w:rsid w:val="00E876D3"/>
    <w:rsid w:val="00E92832"/>
    <w:rsid w:val="00E97142"/>
    <w:rsid w:val="00EB1B99"/>
    <w:rsid w:val="00EB6609"/>
    <w:rsid w:val="00ED0AA8"/>
    <w:rsid w:val="00ED2093"/>
    <w:rsid w:val="00ED2C66"/>
    <w:rsid w:val="00ED5DD0"/>
    <w:rsid w:val="00EE0272"/>
    <w:rsid w:val="00EE67EF"/>
    <w:rsid w:val="00EF134B"/>
    <w:rsid w:val="00EF14AB"/>
    <w:rsid w:val="00EF28DC"/>
    <w:rsid w:val="00F02546"/>
    <w:rsid w:val="00F05D93"/>
    <w:rsid w:val="00F24903"/>
    <w:rsid w:val="00F26764"/>
    <w:rsid w:val="00F3405D"/>
    <w:rsid w:val="00F364CE"/>
    <w:rsid w:val="00F41DD8"/>
    <w:rsid w:val="00F46680"/>
    <w:rsid w:val="00F62178"/>
    <w:rsid w:val="00F71876"/>
    <w:rsid w:val="00F767F6"/>
    <w:rsid w:val="00FA0D3C"/>
    <w:rsid w:val="00FB06BD"/>
    <w:rsid w:val="00FB6FF2"/>
    <w:rsid w:val="00FC109F"/>
    <w:rsid w:val="00FC539B"/>
    <w:rsid w:val="00FE4158"/>
    <w:rsid w:val="00FE6E20"/>
    <w:rsid w:val="00FF03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AF"/>
    <w:rPr>
      <w:rFonts w:ascii="Times New Roman" w:eastAsia="Times New Roman" w:hAnsi="Times New Roman" w:cs="Times New Roman"/>
      <w:kern w:val="0"/>
      <w:sz w:val="24"/>
      <w:szCs w:val="24"/>
      <w:lang w:eastAsia="en-IN" w:bidi="hi-IN"/>
      <w14:ligatures w14:val="none"/>
    </w:rPr>
  </w:style>
  <w:style w:type="paragraph" w:styleId="Heading1">
    <w:name w:val="heading 1"/>
    <w:basedOn w:val="Normal"/>
    <w:next w:val="Normal"/>
    <w:link w:val="Heading1Char"/>
    <w:uiPriority w:val="9"/>
    <w:qFormat/>
    <w:rsid w:val="00251EA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unhideWhenUsed/>
    <w:qFormat/>
    <w:rsid w:val="00251EA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251EA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251EA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251EA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251E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251E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251E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251EA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EA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251EA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51EA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51EA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51EA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51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EAF"/>
    <w:rPr>
      <w:rFonts w:eastAsiaTheme="majorEastAsia" w:cstheme="majorBidi"/>
      <w:color w:val="272727" w:themeColor="text1" w:themeTint="D8"/>
    </w:rPr>
  </w:style>
  <w:style w:type="paragraph" w:styleId="Title">
    <w:name w:val="Title"/>
    <w:basedOn w:val="Normal"/>
    <w:next w:val="Normal"/>
    <w:link w:val="TitleChar"/>
    <w:uiPriority w:val="10"/>
    <w:qFormat/>
    <w:rsid w:val="00251EAF"/>
    <w:pPr>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251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E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251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E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QuoteChar">
    <w:name w:val="Quote Char"/>
    <w:basedOn w:val="DefaultParagraphFont"/>
    <w:link w:val="Quote"/>
    <w:uiPriority w:val="29"/>
    <w:rsid w:val="00251EAF"/>
    <w:rPr>
      <w:i/>
      <w:iCs/>
      <w:color w:val="404040" w:themeColor="text1" w:themeTint="BF"/>
    </w:rPr>
  </w:style>
  <w:style w:type="paragraph" w:styleId="ListParagraph">
    <w:name w:val="List Paragraph"/>
    <w:basedOn w:val="Normal"/>
    <w:uiPriority w:val="34"/>
    <w:qFormat/>
    <w:rsid w:val="00251EAF"/>
    <w:pPr>
      <w:spacing w:after="160" w:line="259" w:lineRule="auto"/>
      <w:ind w:left="720"/>
      <w:contextualSpacing/>
    </w:pPr>
    <w:rPr>
      <w:rFonts w:asciiTheme="minorHAnsi" w:eastAsiaTheme="minorHAnsi" w:hAnsiTheme="minorHAnsi" w:cstheme="minorBidi"/>
      <w:kern w:val="2"/>
      <w:sz w:val="22"/>
      <w:szCs w:val="22"/>
      <w:lang w:eastAsia="en-US" w:bidi="ar-SA"/>
      <w14:ligatures w14:val="standardContextual"/>
    </w:rPr>
  </w:style>
  <w:style w:type="character" w:styleId="IntenseEmphasis">
    <w:name w:val="Intense Emphasis"/>
    <w:basedOn w:val="DefaultParagraphFont"/>
    <w:uiPriority w:val="21"/>
    <w:qFormat/>
    <w:rsid w:val="00251EAF"/>
    <w:rPr>
      <w:i/>
      <w:iCs/>
      <w:color w:val="2E74B5" w:themeColor="accent1" w:themeShade="BF"/>
    </w:rPr>
  </w:style>
  <w:style w:type="paragraph" w:styleId="IntenseQuote">
    <w:name w:val="Intense Quote"/>
    <w:basedOn w:val="Normal"/>
    <w:next w:val="Normal"/>
    <w:link w:val="IntenseQuoteChar"/>
    <w:uiPriority w:val="30"/>
    <w:qFormat/>
    <w:rsid w:val="00251EA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bidi="ar-SA"/>
      <w14:ligatures w14:val="standardContextual"/>
    </w:rPr>
  </w:style>
  <w:style w:type="character" w:customStyle="1" w:styleId="IntenseQuoteChar">
    <w:name w:val="Intense Quote Char"/>
    <w:basedOn w:val="DefaultParagraphFont"/>
    <w:link w:val="IntenseQuote"/>
    <w:uiPriority w:val="30"/>
    <w:rsid w:val="00251EAF"/>
    <w:rPr>
      <w:i/>
      <w:iCs/>
      <w:color w:val="2E74B5" w:themeColor="accent1" w:themeShade="BF"/>
    </w:rPr>
  </w:style>
  <w:style w:type="character" w:styleId="IntenseReference">
    <w:name w:val="Intense Reference"/>
    <w:basedOn w:val="DefaultParagraphFont"/>
    <w:uiPriority w:val="32"/>
    <w:qFormat/>
    <w:rsid w:val="00251EAF"/>
    <w:rPr>
      <w:b/>
      <w:bCs/>
      <w:smallCaps/>
      <w:color w:val="2E74B5" w:themeColor="accent1" w:themeShade="BF"/>
      <w:spacing w:val="5"/>
    </w:rPr>
  </w:style>
  <w:style w:type="paragraph" w:styleId="Header">
    <w:name w:val="header"/>
    <w:basedOn w:val="Normal"/>
    <w:link w:val="HeaderChar"/>
    <w:uiPriority w:val="99"/>
    <w:unhideWhenUsed/>
    <w:rsid w:val="003A579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3A579B"/>
    <w:rPr>
      <w:rFonts w:ascii="Times New Roman" w:eastAsia="Times New Roman" w:hAnsi="Times New Roman" w:cs="Mangal"/>
      <w:kern w:val="0"/>
      <w:sz w:val="24"/>
      <w:szCs w:val="21"/>
      <w:lang w:eastAsia="en-IN" w:bidi="hi-IN"/>
      <w14:ligatures w14:val="none"/>
    </w:rPr>
  </w:style>
  <w:style w:type="paragraph" w:styleId="Footer">
    <w:name w:val="footer"/>
    <w:basedOn w:val="Normal"/>
    <w:link w:val="FooterChar"/>
    <w:uiPriority w:val="99"/>
    <w:unhideWhenUsed/>
    <w:rsid w:val="003A579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3A579B"/>
    <w:rPr>
      <w:rFonts w:ascii="Times New Roman" w:eastAsia="Times New Roman" w:hAnsi="Times New Roman" w:cs="Mangal"/>
      <w:kern w:val="0"/>
      <w:sz w:val="24"/>
      <w:szCs w:val="21"/>
      <w:lang w:eastAsia="en-IN" w:bidi="hi-IN"/>
      <w14:ligatures w14:val="none"/>
    </w:rPr>
  </w:style>
  <w:style w:type="paragraph" w:styleId="NoSpacing">
    <w:name w:val="No Spacing"/>
    <w:uiPriority w:val="1"/>
    <w:qFormat/>
    <w:rsid w:val="001460AB"/>
    <w:pPr>
      <w:spacing w:after="0"/>
    </w:pPr>
    <w:rPr>
      <w:rFonts w:ascii="Times New Roman" w:eastAsia="Times New Roman" w:hAnsi="Times New Roman" w:cs="Mangal"/>
      <w:kern w:val="0"/>
      <w:sz w:val="24"/>
      <w:szCs w:val="21"/>
      <w:lang w:eastAsia="en-IN" w:bidi="hi-IN"/>
      <w14:ligatures w14:val="none"/>
    </w:rPr>
  </w:style>
  <w:style w:type="paragraph" w:styleId="NormalWeb">
    <w:name w:val="Normal (Web)"/>
    <w:basedOn w:val="Normal"/>
    <w:uiPriority w:val="99"/>
    <w:semiHidden/>
    <w:unhideWhenUsed/>
    <w:rsid w:val="00C277F3"/>
    <w:pPr>
      <w:spacing w:before="100" w:beforeAutospacing="1" w:after="100" w:afterAutospacing="1"/>
    </w:pPr>
  </w:style>
  <w:style w:type="character" w:customStyle="1" w:styleId="url">
    <w:name w:val="url"/>
    <w:basedOn w:val="DefaultParagraphFont"/>
    <w:rsid w:val="00C277F3"/>
  </w:style>
  <w:style w:type="character" w:styleId="Hyperlink">
    <w:name w:val="Hyperlink"/>
    <w:basedOn w:val="DefaultParagraphFont"/>
    <w:uiPriority w:val="99"/>
    <w:unhideWhenUsed/>
    <w:rsid w:val="00C277F3"/>
    <w:rPr>
      <w:color w:val="0563C1" w:themeColor="hyperlink"/>
      <w:u w:val="single"/>
    </w:rPr>
  </w:style>
  <w:style w:type="character" w:customStyle="1" w:styleId="UnresolvedMention">
    <w:name w:val="Unresolved Mention"/>
    <w:basedOn w:val="DefaultParagraphFont"/>
    <w:uiPriority w:val="99"/>
    <w:semiHidden/>
    <w:unhideWhenUsed/>
    <w:rsid w:val="00C277F3"/>
    <w:rPr>
      <w:color w:val="605E5C"/>
      <w:shd w:val="clear" w:color="auto" w:fill="E1DFDD"/>
    </w:rPr>
  </w:style>
  <w:style w:type="table" w:styleId="TableGrid">
    <w:name w:val="Table Grid"/>
    <w:basedOn w:val="TableNormal"/>
    <w:uiPriority w:val="39"/>
    <w:rsid w:val="00C26CB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AF"/>
    <w:rPr>
      <w:rFonts w:ascii="Times New Roman" w:eastAsia="Times New Roman" w:hAnsi="Times New Roman" w:cs="Times New Roman"/>
      <w:kern w:val="0"/>
      <w:sz w:val="24"/>
      <w:szCs w:val="24"/>
      <w:lang w:eastAsia="en-IN" w:bidi="hi-IN"/>
      <w14:ligatures w14:val="none"/>
    </w:rPr>
  </w:style>
  <w:style w:type="paragraph" w:styleId="Heading1">
    <w:name w:val="heading 1"/>
    <w:basedOn w:val="Normal"/>
    <w:next w:val="Normal"/>
    <w:link w:val="Heading1Char"/>
    <w:uiPriority w:val="9"/>
    <w:qFormat/>
    <w:rsid w:val="00251EA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unhideWhenUsed/>
    <w:qFormat/>
    <w:rsid w:val="00251EA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251EA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251EA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251EA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251E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251E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251E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251EA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EA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251EA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51EA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51EA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51EA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51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EAF"/>
    <w:rPr>
      <w:rFonts w:eastAsiaTheme="majorEastAsia" w:cstheme="majorBidi"/>
      <w:color w:val="272727" w:themeColor="text1" w:themeTint="D8"/>
    </w:rPr>
  </w:style>
  <w:style w:type="paragraph" w:styleId="Title">
    <w:name w:val="Title"/>
    <w:basedOn w:val="Normal"/>
    <w:next w:val="Normal"/>
    <w:link w:val="TitleChar"/>
    <w:uiPriority w:val="10"/>
    <w:qFormat/>
    <w:rsid w:val="00251EAF"/>
    <w:pPr>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251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E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251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E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QuoteChar">
    <w:name w:val="Quote Char"/>
    <w:basedOn w:val="DefaultParagraphFont"/>
    <w:link w:val="Quote"/>
    <w:uiPriority w:val="29"/>
    <w:rsid w:val="00251EAF"/>
    <w:rPr>
      <w:i/>
      <w:iCs/>
      <w:color w:val="404040" w:themeColor="text1" w:themeTint="BF"/>
    </w:rPr>
  </w:style>
  <w:style w:type="paragraph" w:styleId="ListParagraph">
    <w:name w:val="List Paragraph"/>
    <w:basedOn w:val="Normal"/>
    <w:uiPriority w:val="34"/>
    <w:qFormat/>
    <w:rsid w:val="00251EAF"/>
    <w:pPr>
      <w:spacing w:after="160" w:line="259" w:lineRule="auto"/>
      <w:ind w:left="720"/>
      <w:contextualSpacing/>
    </w:pPr>
    <w:rPr>
      <w:rFonts w:asciiTheme="minorHAnsi" w:eastAsiaTheme="minorHAnsi" w:hAnsiTheme="minorHAnsi" w:cstheme="minorBidi"/>
      <w:kern w:val="2"/>
      <w:sz w:val="22"/>
      <w:szCs w:val="22"/>
      <w:lang w:eastAsia="en-US" w:bidi="ar-SA"/>
      <w14:ligatures w14:val="standardContextual"/>
    </w:rPr>
  </w:style>
  <w:style w:type="character" w:styleId="IntenseEmphasis">
    <w:name w:val="Intense Emphasis"/>
    <w:basedOn w:val="DefaultParagraphFont"/>
    <w:uiPriority w:val="21"/>
    <w:qFormat/>
    <w:rsid w:val="00251EAF"/>
    <w:rPr>
      <w:i/>
      <w:iCs/>
      <w:color w:val="2E74B5" w:themeColor="accent1" w:themeShade="BF"/>
    </w:rPr>
  </w:style>
  <w:style w:type="paragraph" w:styleId="IntenseQuote">
    <w:name w:val="Intense Quote"/>
    <w:basedOn w:val="Normal"/>
    <w:next w:val="Normal"/>
    <w:link w:val="IntenseQuoteChar"/>
    <w:uiPriority w:val="30"/>
    <w:qFormat/>
    <w:rsid w:val="00251EA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bidi="ar-SA"/>
      <w14:ligatures w14:val="standardContextual"/>
    </w:rPr>
  </w:style>
  <w:style w:type="character" w:customStyle="1" w:styleId="IntenseQuoteChar">
    <w:name w:val="Intense Quote Char"/>
    <w:basedOn w:val="DefaultParagraphFont"/>
    <w:link w:val="IntenseQuote"/>
    <w:uiPriority w:val="30"/>
    <w:rsid w:val="00251EAF"/>
    <w:rPr>
      <w:i/>
      <w:iCs/>
      <w:color w:val="2E74B5" w:themeColor="accent1" w:themeShade="BF"/>
    </w:rPr>
  </w:style>
  <w:style w:type="character" w:styleId="IntenseReference">
    <w:name w:val="Intense Reference"/>
    <w:basedOn w:val="DefaultParagraphFont"/>
    <w:uiPriority w:val="32"/>
    <w:qFormat/>
    <w:rsid w:val="00251EAF"/>
    <w:rPr>
      <w:b/>
      <w:bCs/>
      <w:smallCaps/>
      <w:color w:val="2E74B5" w:themeColor="accent1" w:themeShade="BF"/>
      <w:spacing w:val="5"/>
    </w:rPr>
  </w:style>
  <w:style w:type="paragraph" w:styleId="Header">
    <w:name w:val="header"/>
    <w:basedOn w:val="Normal"/>
    <w:link w:val="HeaderChar"/>
    <w:uiPriority w:val="99"/>
    <w:unhideWhenUsed/>
    <w:rsid w:val="003A579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3A579B"/>
    <w:rPr>
      <w:rFonts w:ascii="Times New Roman" w:eastAsia="Times New Roman" w:hAnsi="Times New Roman" w:cs="Mangal"/>
      <w:kern w:val="0"/>
      <w:sz w:val="24"/>
      <w:szCs w:val="21"/>
      <w:lang w:eastAsia="en-IN" w:bidi="hi-IN"/>
      <w14:ligatures w14:val="none"/>
    </w:rPr>
  </w:style>
  <w:style w:type="paragraph" w:styleId="Footer">
    <w:name w:val="footer"/>
    <w:basedOn w:val="Normal"/>
    <w:link w:val="FooterChar"/>
    <w:uiPriority w:val="99"/>
    <w:unhideWhenUsed/>
    <w:rsid w:val="003A579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3A579B"/>
    <w:rPr>
      <w:rFonts w:ascii="Times New Roman" w:eastAsia="Times New Roman" w:hAnsi="Times New Roman" w:cs="Mangal"/>
      <w:kern w:val="0"/>
      <w:sz w:val="24"/>
      <w:szCs w:val="21"/>
      <w:lang w:eastAsia="en-IN" w:bidi="hi-IN"/>
      <w14:ligatures w14:val="none"/>
    </w:rPr>
  </w:style>
  <w:style w:type="paragraph" w:styleId="NoSpacing">
    <w:name w:val="No Spacing"/>
    <w:uiPriority w:val="1"/>
    <w:qFormat/>
    <w:rsid w:val="001460AB"/>
    <w:pPr>
      <w:spacing w:after="0"/>
    </w:pPr>
    <w:rPr>
      <w:rFonts w:ascii="Times New Roman" w:eastAsia="Times New Roman" w:hAnsi="Times New Roman" w:cs="Mangal"/>
      <w:kern w:val="0"/>
      <w:sz w:val="24"/>
      <w:szCs w:val="21"/>
      <w:lang w:eastAsia="en-IN" w:bidi="hi-IN"/>
      <w14:ligatures w14:val="none"/>
    </w:rPr>
  </w:style>
  <w:style w:type="paragraph" w:styleId="NormalWeb">
    <w:name w:val="Normal (Web)"/>
    <w:basedOn w:val="Normal"/>
    <w:uiPriority w:val="99"/>
    <w:semiHidden/>
    <w:unhideWhenUsed/>
    <w:rsid w:val="00C277F3"/>
    <w:pPr>
      <w:spacing w:before="100" w:beforeAutospacing="1" w:after="100" w:afterAutospacing="1"/>
    </w:pPr>
  </w:style>
  <w:style w:type="character" w:customStyle="1" w:styleId="url">
    <w:name w:val="url"/>
    <w:basedOn w:val="DefaultParagraphFont"/>
    <w:rsid w:val="00C277F3"/>
  </w:style>
  <w:style w:type="character" w:styleId="Hyperlink">
    <w:name w:val="Hyperlink"/>
    <w:basedOn w:val="DefaultParagraphFont"/>
    <w:uiPriority w:val="99"/>
    <w:unhideWhenUsed/>
    <w:rsid w:val="00C277F3"/>
    <w:rPr>
      <w:color w:val="0563C1" w:themeColor="hyperlink"/>
      <w:u w:val="single"/>
    </w:rPr>
  </w:style>
  <w:style w:type="character" w:customStyle="1" w:styleId="UnresolvedMention">
    <w:name w:val="Unresolved Mention"/>
    <w:basedOn w:val="DefaultParagraphFont"/>
    <w:uiPriority w:val="99"/>
    <w:semiHidden/>
    <w:unhideWhenUsed/>
    <w:rsid w:val="00C277F3"/>
    <w:rPr>
      <w:color w:val="605E5C"/>
      <w:shd w:val="clear" w:color="auto" w:fill="E1DFDD"/>
    </w:rPr>
  </w:style>
  <w:style w:type="table" w:styleId="TableGrid">
    <w:name w:val="Table Grid"/>
    <w:basedOn w:val="TableNormal"/>
    <w:uiPriority w:val="39"/>
    <w:rsid w:val="00C26CB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76679">
      <w:marLeft w:val="0"/>
      <w:marRight w:val="0"/>
      <w:marTop w:val="0"/>
      <w:marBottom w:val="0"/>
      <w:divBdr>
        <w:top w:val="none" w:sz="0" w:space="0" w:color="auto"/>
        <w:left w:val="none" w:sz="0" w:space="0" w:color="auto"/>
        <w:bottom w:val="none" w:sz="0" w:space="0" w:color="auto"/>
        <w:right w:val="none" w:sz="0" w:space="0" w:color="auto"/>
      </w:divBdr>
      <w:divsChild>
        <w:div w:id="1712924595">
          <w:marLeft w:val="0"/>
          <w:marRight w:val="0"/>
          <w:marTop w:val="0"/>
          <w:marBottom w:val="0"/>
          <w:divBdr>
            <w:top w:val="none" w:sz="0" w:space="0" w:color="auto"/>
            <w:left w:val="none" w:sz="0" w:space="0" w:color="auto"/>
            <w:bottom w:val="none" w:sz="0" w:space="0" w:color="auto"/>
            <w:right w:val="none" w:sz="0" w:space="0" w:color="auto"/>
          </w:divBdr>
        </w:div>
      </w:divsChild>
    </w:div>
    <w:div w:id="305866367">
      <w:bodyDiv w:val="1"/>
      <w:marLeft w:val="0"/>
      <w:marRight w:val="0"/>
      <w:marTop w:val="0"/>
      <w:marBottom w:val="0"/>
      <w:divBdr>
        <w:top w:val="none" w:sz="0" w:space="0" w:color="auto"/>
        <w:left w:val="none" w:sz="0" w:space="0" w:color="auto"/>
        <w:bottom w:val="none" w:sz="0" w:space="0" w:color="auto"/>
        <w:right w:val="none" w:sz="0" w:space="0" w:color="auto"/>
      </w:divBdr>
      <w:divsChild>
        <w:div w:id="109395736">
          <w:marLeft w:val="0"/>
          <w:marRight w:val="0"/>
          <w:marTop w:val="0"/>
          <w:marBottom w:val="0"/>
          <w:divBdr>
            <w:top w:val="none" w:sz="0" w:space="0" w:color="auto"/>
            <w:left w:val="none" w:sz="0" w:space="0" w:color="auto"/>
            <w:bottom w:val="none" w:sz="0" w:space="0" w:color="auto"/>
            <w:right w:val="none" w:sz="0" w:space="0" w:color="auto"/>
          </w:divBdr>
          <w:divsChild>
            <w:div w:id="191841975">
              <w:marLeft w:val="0"/>
              <w:marRight w:val="0"/>
              <w:marTop w:val="0"/>
              <w:marBottom w:val="0"/>
              <w:divBdr>
                <w:top w:val="none" w:sz="0" w:space="0" w:color="auto"/>
                <w:left w:val="none" w:sz="0" w:space="0" w:color="auto"/>
                <w:bottom w:val="none" w:sz="0" w:space="0" w:color="auto"/>
                <w:right w:val="none" w:sz="0" w:space="0" w:color="auto"/>
              </w:divBdr>
            </w:div>
          </w:divsChild>
        </w:div>
        <w:div w:id="1709065451">
          <w:marLeft w:val="0"/>
          <w:marRight w:val="0"/>
          <w:marTop w:val="0"/>
          <w:marBottom w:val="0"/>
          <w:divBdr>
            <w:top w:val="none" w:sz="0" w:space="0" w:color="auto"/>
            <w:left w:val="none" w:sz="0" w:space="0" w:color="auto"/>
            <w:bottom w:val="none" w:sz="0" w:space="0" w:color="auto"/>
            <w:right w:val="none" w:sz="0" w:space="0" w:color="auto"/>
          </w:divBdr>
          <w:divsChild>
            <w:div w:id="606546042">
              <w:marLeft w:val="0"/>
              <w:marRight w:val="0"/>
              <w:marTop w:val="0"/>
              <w:marBottom w:val="0"/>
              <w:divBdr>
                <w:top w:val="none" w:sz="0" w:space="0" w:color="auto"/>
                <w:left w:val="none" w:sz="0" w:space="0" w:color="auto"/>
                <w:bottom w:val="none" w:sz="0" w:space="0" w:color="auto"/>
                <w:right w:val="none" w:sz="0" w:space="0" w:color="auto"/>
              </w:divBdr>
            </w:div>
          </w:divsChild>
        </w:div>
        <w:div w:id="1122698160">
          <w:marLeft w:val="0"/>
          <w:marRight w:val="0"/>
          <w:marTop w:val="0"/>
          <w:marBottom w:val="0"/>
          <w:divBdr>
            <w:top w:val="none" w:sz="0" w:space="0" w:color="auto"/>
            <w:left w:val="none" w:sz="0" w:space="0" w:color="auto"/>
            <w:bottom w:val="none" w:sz="0" w:space="0" w:color="auto"/>
            <w:right w:val="none" w:sz="0" w:space="0" w:color="auto"/>
          </w:divBdr>
          <w:divsChild>
            <w:div w:id="696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23324">
      <w:marLeft w:val="0"/>
      <w:marRight w:val="0"/>
      <w:marTop w:val="0"/>
      <w:marBottom w:val="0"/>
      <w:divBdr>
        <w:top w:val="none" w:sz="0" w:space="0" w:color="auto"/>
        <w:left w:val="none" w:sz="0" w:space="0" w:color="auto"/>
        <w:bottom w:val="none" w:sz="0" w:space="0" w:color="auto"/>
        <w:right w:val="none" w:sz="0" w:space="0" w:color="auto"/>
      </w:divBdr>
      <w:divsChild>
        <w:div w:id="1591962569">
          <w:marLeft w:val="0"/>
          <w:marRight w:val="0"/>
          <w:marTop w:val="0"/>
          <w:marBottom w:val="0"/>
          <w:divBdr>
            <w:top w:val="none" w:sz="0" w:space="0" w:color="auto"/>
            <w:left w:val="none" w:sz="0" w:space="0" w:color="auto"/>
            <w:bottom w:val="none" w:sz="0" w:space="0" w:color="auto"/>
            <w:right w:val="none" w:sz="0" w:space="0" w:color="auto"/>
          </w:divBdr>
        </w:div>
      </w:divsChild>
    </w:div>
    <w:div w:id="492453290">
      <w:marLeft w:val="0"/>
      <w:marRight w:val="0"/>
      <w:marTop w:val="0"/>
      <w:marBottom w:val="0"/>
      <w:divBdr>
        <w:top w:val="none" w:sz="0" w:space="0" w:color="auto"/>
        <w:left w:val="none" w:sz="0" w:space="0" w:color="auto"/>
        <w:bottom w:val="none" w:sz="0" w:space="0" w:color="auto"/>
        <w:right w:val="none" w:sz="0" w:space="0" w:color="auto"/>
      </w:divBdr>
      <w:divsChild>
        <w:div w:id="1941256287">
          <w:marLeft w:val="0"/>
          <w:marRight w:val="0"/>
          <w:marTop w:val="0"/>
          <w:marBottom w:val="0"/>
          <w:divBdr>
            <w:top w:val="none" w:sz="0" w:space="0" w:color="auto"/>
            <w:left w:val="none" w:sz="0" w:space="0" w:color="auto"/>
            <w:bottom w:val="none" w:sz="0" w:space="0" w:color="auto"/>
            <w:right w:val="none" w:sz="0" w:space="0" w:color="auto"/>
          </w:divBdr>
        </w:div>
      </w:divsChild>
    </w:div>
    <w:div w:id="637999176">
      <w:marLeft w:val="0"/>
      <w:marRight w:val="0"/>
      <w:marTop w:val="0"/>
      <w:marBottom w:val="0"/>
      <w:divBdr>
        <w:top w:val="none" w:sz="0" w:space="0" w:color="auto"/>
        <w:left w:val="none" w:sz="0" w:space="0" w:color="auto"/>
        <w:bottom w:val="none" w:sz="0" w:space="0" w:color="auto"/>
        <w:right w:val="none" w:sz="0" w:space="0" w:color="auto"/>
      </w:divBdr>
      <w:divsChild>
        <w:div w:id="2047022206">
          <w:marLeft w:val="0"/>
          <w:marRight w:val="0"/>
          <w:marTop w:val="0"/>
          <w:marBottom w:val="0"/>
          <w:divBdr>
            <w:top w:val="none" w:sz="0" w:space="0" w:color="auto"/>
            <w:left w:val="none" w:sz="0" w:space="0" w:color="auto"/>
            <w:bottom w:val="none" w:sz="0" w:space="0" w:color="auto"/>
            <w:right w:val="none" w:sz="0" w:space="0" w:color="auto"/>
          </w:divBdr>
        </w:div>
      </w:divsChild>
    </w:div>
    <w:div w:id="861238044">
      <w:marLeft w:val="0"/>
      <w:marRight w:val="0"/>
      <w:marTop w:val="0"/>
      <w:marBottom w:val="0"/>
      <w:divBdr>
        <w:top w:val="none" w:sz="0" w:space="0" w:color="auto"/>
        <w:left w:val="none" w:sz="0" w:space="0" w:color="auto"/>
        <w:bottom w:val="none" w:sz="0" w:space="0" w:color="auto"/>
        <w:right w:val="none" w:sz="0" w:space="0" w:color="auto"/>
      </w:divBdr>
      <w:divsChild>
        <w:div w:id="580796545">
          <w:marLeft w:val="0"/>
          <w:marRight w:val="0"/>
          <w:marTop w:val="0"/>
          <w:marBottom w:val="0"/>
          <w:divBdr>
            <w:top w:val="none" w:sz="0" w:space="0" w:color="auto"/>
            <w:left w:val="none" w:sz="0" w:space="0" w:color="auto"/>
            <w:bottom w:val="none" w:sz="0" w:space="0" w:color="auto"/>
            <w:right w:val="none" w:sz="0" w:space="0" w:color="auto"/>
          </w:divBdr>
        </w:div>
      </w:divsChild>
    </w:div>
    <w:div w:id="977418925">
      <w:marLeft w:val="0"/>
      <w:marRight w:val="0"/>
      <w:marTop w:val="0"/>
      <w:marBottom w:val="0"/>
      <w:divBdr>
        <w:top w:val="none" w:sz="0" w:space="0" w:color="auto"/>
        <w:left w:val="none" w:sz="0" w:space="0" w:color="auto"/>
        <w:bottom w:val="none" w:sz="0" w:space="0" w:color="auto"/>
        <w:right w:val="none" w:sz="0" w:space="0" w:color="auto"/>
      </w:divBdr>
      <w:divsChild>
        <w:div w:id="80298384">
          <w:marLeft w:val="0"/>
          <w:marRight w:val="0"/>
          <w:marTop w:val="0"/>
          <w:marBottom w:val="0"/>
          <w:divBdr>
            <w:top w:val="none" w:sz="0" w:space="0" w:color="auto"/>
            <w:left w:val="none" w:sz="0" w:space="0" w:color="auto"/>
            <w:bottom w:val="none" w:sz="0" w:space="0" w:color="auto"/>
            <w:right w:val="none" w:sz="0" w:space="0" w:color="auto"/>
          </w:divBdr>
        </w:div>
      </w:divsChild>
    </w:div>
    <w:div w:id="1029257570">
      <w:marLeft w:val="0"/>
      <w:marRight w:val="0"/>
      <w:marTop w:val="0"/>
      <w:marBottom w:val="0"/>
      <w:divBdr>
        <w:top w:val="none" w:sz="0" w:space="0" w:color="auto"/>
        <w:left w:val="none" w:sz="0" w:space="0" w:color="auto"/>
        <w:bottom w:val="none" w:sz="0" w:space="0" w:color="auto"/>
        <w:right w:val="none" w:sz="0" w:space="0" w:color="auto"/>
      </w:divBdr>
      <w:divsChild>
        <w:div w:id="1719552330">
          <w:marLeft w:val="0"/>
          <w:marRight w:val="0"/>
          <w:marTop w:val="0"/>
          <w:marBottom w:val="0"/>
          <w:divBdr>
            <w:top w:val="none" w:sz="0" w:space="0" w:color="auto"/>
            <w:left w:val="none" w:sz="0" w:space="0" w:color="auto"/>
            <w:bottom w:val="none" w:sz="0" w:space="0" w:color="auto"/>
            <w:right w:val="none" w:sz="0" w:space="0" w:color="auto"/>
          </w:divBdr>
        </w:div>
      </w:divsChild>
    </w:div>
    <w:div w:id="1108503508">
      <w:marLeft w:val="0"/>
      <w:marRight w:val="0"/>
      <w:marTop w:val="0"/>
      <w:marBottom w:val="0"/>
      <w:divBdr>
        <w:top w:val="none" w:sz="0" w:space="0" w:color="auto"/>
        <w:left w:val="none" w:sz="0" w:space="0" w:color="auto"/>
        <w:bottom w:val="none" w:sz="0" w:space="0" w:color="auto"/>
        <w:right w:val="none" w:sz="0" w:space="0" w:color="auto"/>
      </w:divBdr>
      <w:divsChild>
        <w:div w:id="2131237945">
          <w:marLeft w:val="0"/>
          <w:marRight w:val="0"/>
          <w:marTop w:val="0"/>
          <w:marBottom w:val="0"/>
          <w:divBdr>
            <w:top w:val="none" w:sz="0" w:space="0" w:color="auto"/>
            <w:left w:val="none" w:sz="0" w:space="0" w:color="auto"/>
            <w:bottom w:val="none" w:sz="0" w:space="0" w:color="auto"/>
            <w:right w:val="none" w:sz="0" w:space="0" w:color="auto"/>
          </w:divBdr>
        </w:div>
      </w:divsChild>
    </w:div>
    <w:div w:id="1411195754">
      <w:marLeft w:val="0"/>
      <w:marRight w:val="0"/>
      <w:marTop w:val="0"/>
      <w:marBottom w:val="0"/>
      <w:divBdr>
        <w:top w:val="none" w:sz="0" w:space="0" w:color="auto"/>
        <w:left w:val="none" w:sz="0" w:space="0" w:color="auto"/>
        <w:bottom w:val="none" w:sz="0" w:space="0" w:color="auto"/>
        <w:right w:val="none" w:sz="0" w:space="0" w:color="auto"/>
      </w:divBdr>
      <w:divsChild>
        <w:div w:id="91126274">
          <w:marLeft w:val="0"/>
          <w:marRight w:val="0"/>
          <w:marTop w:val="0"/>
          <w:marBottom w:val="0"/>
          <w:divBdr>
            <w:top w:val="none" w:sz="0" w:space="0" w:color="auto"/>
            <w:left w:val="none" w:sz="0" w:space="0" w:color="auto"/>
            <w:bottom w:val="none" w:sz="0" w:space="0" w:color="auto"/>
            <w:right w:val="none" w:sz="0" w:space="0" w:color="auto"/>
          </w:divBdr>
        </w:div>
      </w:divsChild>
    </w:div>
    <w:div w:id="1426461453">
      <w:marLeft w:val="0"/>
      <w:marRight w:val="0"/>
      <w:marTop w:val="0"/>
      <w:marBottom w:val="0"/>
      <w:divBdr>
        <w:top w:val="none" w:sz="0" w:space="0" w:color="auto"/>
        <w:left w:val="none" w:sz="0" w:space="0" w:color="auto"/>
        <w:bottom w:val="none" w:sz="0" w:space="0" w:color="auto"/>
        <w:right w:val="none" w:sz="0" w:space="0" w:color="auto"/>
      </w:divBdr>
      <w:divsChild>
        <w:div w:id="2051420719">
          <w:marLeft w:val="0"/>
          <w:marRight w:val="0"/>
          <w:marTop w:val="0"/>
          <w:marBottom w:val="0"/>
          <w:divBdr>
            <w:top w:val="none" w:sz="0" w:space="0" w:color="auto"/>
            <w:left w:val="none" w:sz="0" w:space="0" w:color="auto"/>
            <w:bottom w:val="none" w:sz="0" w:space="0" w:color="auto"/>
            <w:right w:val="none" w:sz="0" w:space="0" w:color="auto"/>
          </w:divBdr>
        </w:div>
      </w:divsChild>
    </w:div>
    <w:div w:id="1454251503">
      <w:marLeft w:val="0"/>
      <w:marRight w:val="0"/>
      <w:marTop w:val="0"/>
      <w:marBottom w:val="0"/>
      <w:divBdr>
        <w:top w:val="none" w:sz="0" w:space="0" w:color="auto"/>
        <w:left w:val="none" w:sz="0" w:space="0" w:color="auto"/>
        <w:bottom w:val="none" w:sz="0" w:space="0" w:color="auto"/>
        <w:right w:val="none" w:sz="0" w:space="0" w:color="auto"/>
      </w:divBdr>
      <w:divsChild>
        <w:div w:id="1658849149">
          <w:marLeft w:val="0"/>
          <w:marRight w:val="0"/>
          <w:marTop w:val="0"/>
          <w:marBottom w:val="0"/>
          <w:divBdr>
            <w:top w:val="none" w:sz="0" w:space="0" w:color="auto"/>
            <w:left w:val="none" w:sz="0" w:space="0" w:color="auto"/>
            <w:bottom w:val="none" w:sz="0" w:space="0" w:color="auto"/>
            <w:right w:val="none" w:sz="0" w:space="0" w:color="auto"/>
          </w:divBdr>
        </w:div>
      </w:divsChild>
    </w:div>
    <w:div w:id="1492939650">
      <w:marLeft w:val="0"/>
      <w:marRight w:val="0"/>
      <w:marTop w:val="0"/>
      <w:marBottom w:val="0"/>
      <w:divBdr>
        <w:top w:val="none" w:sz="0" w:space="0" w:color="auto"/>
        <w:left w:val="none" w:sz="0" w:space="0" w:color="auto"/>
        <w:bottom w:val="none" w:sz="0" w:space="0" w:color="auto"/>
        <w:right w:val="none" w:sz="0" w:space="0" w:color="auto"/>
      </w:divBdr>
      <w:divsChild>
        <w:div w:id="1899507300">
          <w:marLeft w:val="0"/>
          <w:marRight w:val="0"/>
          <w:marTop w:val="0"/>
          <w:marBottom w:val="0"/>
          <w:divBdr>
            <w:top w:val="none" w:sz="0" w:space="0" w:color="auto"/>
            <w:left w:val="none" w:sz="0" w:space="0" w:color="auto"/>
            <w:bottom w:val="none" w:sz="0" w:space="0" w:color="auto"/>
            <w:right w:val="none" w:sz="0" w:space="0" w:color="auto"/>
          </w:divBdr>
        </w:div>
      </w:divsChild>
    </w:div>
    <w:div w:id="1561139300">
      <w:marLeft w:val="0"/>
      <w:marRight w:val="0"/>
      <w:marTop w:val="0"/>
      <w:marBottom w:val="0"/>
      <w:divBdr>
        <w:top w:val="none" w:sz="0" w:space="0" w:color="auto"/>
        <w:left w:val="none" w:sz="0" w:space="0" w:color="auto"/>
        <w:bottom w:val="none" w:sz="0" w:space="0" w:color="auto"/>
        <w:right w:val="none" w:sz="0" w:space="0" w:color="auto"/>
      </w:divBdr>
      <w:divsChild>
        <w:div w:id="683434156">
          <w:marLeft w:val="0"/>
          <w:marRight w:val="0"/>
          <w:marTop w:val="0"/>
          <w:marBottom w:val="0"/>
          <w:divBdr>
            <w:top w:val="none" w:sz="0" w:space="0" w:color="auto"/>
            <w:left w:val="none" w:sz="0" w:space="0" w:color="auto"/>
            <w:bottom w:val="none" w:sz="0" w:space="0" w:color="auto"/>
            <w:right w:val="none" w:sz="0" w:space="0" w:color="auto"/>
          </w:divBdr>
        </w:div>
      </w:divsChild>
    </w:div>
    <w:div w:id="1648243378">
      <w:marLeft w:val="0"/>
      <w:marRight w:val="0"/>
      <w:marTop w:val="0"/>
      <w:marBottom w:val="0"/>
      <w:divBdr>
        <w:top w:val="none" w:sz="0" w:space="0" w:color="auto"/>
        <w:left w:val="none" w:sz="0" w:space="0" w:color="auto"/>
        <w:bottom w:val="none" w:sz="0" w:space="0" w:color="auto"/>
        <w:right w:val="none" w:sz="0" w:space="0" w:color="auto"/>
      </w:divBdr>
      <w:divsChild>
        <w:div w:id="634680744">
          <w:marLeft w:val="0"/>
          <w:marRight w:val="0"/>
          <w:marTop w:val="0"/>
          <w:marBottom w:val="0"/>
          <w:divBdr>
            <w:top w:val="none" w:sz="0" w:space="0" w:color="auto"/>
            <w:left w:val="none" w:sz="0" w:space="0" w:color="auto"/>
            <w:bottom w:val="none" w:sz="0" w:space="0" w:color="auto"/>
            <w:right w:val="none" w:sz="0" w:space="0" w:color="auto"/>
          </w:divBdr>
        </w:div>
      </w:divsChild>
    </w:div>
    <w:div w:id="1649825562">
      <w:marLeft w:val="0"/>
      <w:marRight w:val="0"/>
      <w:marTop w:val="0"/>
      <w:marBottom w:val="0"/>
      <w:divBdr>
        <w:top w:val="none" w:sz="0" w:space="0" w:color="auto"/>
        <w:left w:val="none" w:sz="0" w:space="0" w:color="auto"/>
        <w:bottom w:val="none" w:sz="0" w:space="0" w:color="auto"/>
        <w:right w:val="none" w:sz="0" w:space="0" w:color="auto"/>
      </w:divBdr>
      <w:divsChild>
        <w:div w:id="1134786928">
          <w:marLeft w:val="0"/>
          <w:marRight w:val="0"/>
          <w:marTop w:val="0"/>
          <w:marBottom w:val="0"/>
          <w:divBdr>
            <w:top w:val="none" w:sz="0" w:space="0" w:color="auto"/>
            <w:left w:val="none" w:sz="0" w:space="0" w:color="auto"/>
            <w:bottom w:val="none" w:sz="0" w:space="0" w:color="auto"/>
            <w:right w:val="none" w:sz="0" w:space="0" w:color="auto"/>
          </w:divBdr>
        </w:div>
      </w:divsChild>
    </w:div>
    <w:div w:id="1746147351">
      <w:marLeft w:val="0"/>
      <w:marRight w:val="0"/>
      <w:marTop w:val="0"/>
      <w:marBottom w:val="0"/>
      <w:divBdr>
        <w:top w:val="none" w:sz="0" w:space="0" w:color="auto"/>
        <w:left w:val="none" w:sz="0" w:space="0" w:color="auto"/>
        <w:bottom w:val="none" w:sz="0" w:space="0" w:color="auto"/>
        <w:right w:val="none" w:sz="0" w:space="0" w:color="auto"/>
      </w:divBdr>
      <w:divsChild>
        <w:div w:id="2022314094">
          <w:marLeft w:val="0"/>
          <w:marRight w:val="0"/>
          <w:marTop w:val="0"/>
          <w:marBottom w:val="0"/>
          <w:divBdr>
            <w:top w:val="none" w:sz="0" w:space="0" w:color="auto"/>
            <w:left w:val="none" w:sz="0" w:space="0" w:color="auto"/>
            <w:bottom w:val="none" w:sz="0" w:space="0" w:color="auto"/>
            <w:right w:val="none" w:sz="0" w:space="0" w:color="auto"/>
          </w:divBdr>
        </w:div>
      </w:divsChild>
    </w:div>
    <w:div w:id="1762335253">
      <w:marLeft w:val="0"/>
      <w:marRight w:val="0"/>
      <w:marTop w:val="0"/>
      <w:marBottom w:val="0"/>
      <w:divBdr>
        <w:top w:val="none" w:sz="0" w:space="0" w:color="auto"/>
        <w:left w:val="none" w:sz="0" w:space="0" w:color="auto"/>
        <w:bottom w:val="none" w:sz="0" w:space="0" w:color="auto"/>
        <w:right w:val="none" w:sz="0" w:space="0" w:color="auto"/>
      </w:divBdr>
      <w:divsChild>
        <w:div w:id="679741246">
          <w:marLeft w:val="0"/>
          <w:marRight w:val="0"/>
          <w:marTop w:val="0"/>
          <w:marBottom w:val="0"/>
          <w:divBdr>
            <w:top w:val="none" w:sz="0" w:space="0" w:color="auto"/>
            <w:left w:val="none" w:sz="0" w:space="0" w:color="auto"/>
            <w:bottom w:val="none" w:sz="0" w:space="0" w:color="auto"/>
            <w:right w:val="none" w:sz="0" w:space="0" w:color="auto"/>
          </w:divBdr>
        </w:div>
      </w:divsChild>
    </w:div>
    <w:div w:id="1766610753">
      <w:marLeft w:val="0"/>
      <w:marRight w:val="0"/>
      <w:marTop w:val="0"/>
      <w:marBottom w:val="0"/>
      <w:divBdr>
        <w:top w:val="none" w:sz="0" w:space="0" w:color="auto"/>
        <w:left w:val="none" w:sz="0" w:space="0" w:color="auto"/>
        <w:bottom w:val="none" w:sz="0" w:space="0" w:color="auto"/>
        <w:right w:val="none" w:sz="0" w:space="0" w:color="auto"/>
      </w:divBdr>
      <w:divsChild>
        <w:div w:id="547689796">
          <w:marLeft w:val="0"/>
          <w:marRight w:val="0"/>
          <w:marTop w:val="0"/>
          <w:marBottom w:val="0"/>
          <w:divBdr>
            <w:top w:val="none" w:sz="0" w:space="0" w:color="auto"/>
            <w:left w:val="none" w:sz="0" w:space="0" w:color="auto"/>
            <w:bottom w:val="none" w:sz="0" w:space="0" w:color="auto"/>
            <w:right w:val="none" w:sz="0" w:space="0" w:color="auto"/>
          </w:divBdr>
        </w:div>
      </w:divsChild>
    </w:div>
    <w:div w:id="1901088910">
      <w:marLeft w:val="0"/>
      <w:marRight w:val="0"/>
      <w:marTop w:val="0"/>
      <w:marBottom w:val="0"/>
      <w:divBdr>
        <w:top w:val="none" w:sz="0" w:space="0" w:color="auto"/>
        <w:left w:val="none" w:sz="0" w:space="0" w:color="auto"/>
        <w:bottom w:val="none" w:sz="0" w:space="0" w:color="auto"/>
        <w:right w:val="none" w:sz="0" w:space="0" w:color="auto"/>
      </w:divBdr>
      <w:divsChild>
        <w:div w:id="1810004636">
          <w:marLeft w:val="0"/>
          <w:marRight w:val="0"/>
          <w:marTop w:val="0"/>
          <w:marBottom w:val="0"/>
          <w:divBdr>
            <w:top w:val="none" w:sz="0" w:space="0" w:color="auto"/>
            <w:left w:val="none" w:sz="0" w:space="0" w:color="auto"/>
            <w:bottom w:val="none" w:sz="0" w:space="0" w:color="auto"/>
            <w:right w:val="none" w:sz="0" w:space="0" w:color="auto"/>
          </w:divBdr>
        </w:div>
      </w:divsChild>
    </w:div>
    <w:div w:id="2002468570">
      <w:marLeft w:val="0"/>
      <w:marRight w:val="0"/>
      <w:marTop w:val="0"/>
      <w:marBottom w:val="0"/>
      <w:divBdr>
        <w:top w:val="none" w:sz="0" w:space="0" w:color="auto"/>
        <w:left w:val="none" w:sz="0" w:space="0" w:color="auto"/>
        <w:bottom w:val="none" w:sz="0" w:space="0" w:color="auto"/>
        <w:right w:val="none" w:sz="0" w:space="0" w:color="auto"/>
      </w:divBdr>
      <w:divsChild>
        <w:div w:id="1997488249">
          <w:marLeft w:val="0"/>
          <w:marRight w:val="0"/>
          <w:marTop w:val="0"/>
          <w:marBottom w:val="0"/>
          <w:divBdr>
            <w:top w:val="none" w:sz="0" w:space="0" w:color="auto"/>
            <w:left w:val="none" w:sz="0" w:space="0" w:color="auto"/>
            <w:bottom w:val="none" w:sz="0" w:space="0" w:color="auto"/>
            <w:right w:val="none" w:sz="0" w:space="0" w:color="auto"/>
          </w:divBdr>
        </w:div>
      </w:divsChild>
    </w:div>
    <w:div w:id="2017688487">
      <w:marLeft w:val="0"/>
      <w:marRight w:val="0"/>
      <w:marTop w:val="0"/>
      <w:marBottom w:val="0"/>
      <w:divBdr>
        <w:top w:val="none" w:sz="0" w:space="0" w:color="auto"/>
        <w:left w:val="none" w:sz="0" w:space="0" w:color="auto"/>
        <w:bottom w:val="none" w:sz="0" w:space="0" w:color="auto"/>
        <w:right w:val="none" w:sz="0" w:space="0" w:color="auto"/>
      </w:divBdr>
      <w:divsChild>
        <w:div w:id="1594701327">
          <w:marLeft w:val="0"/>
          <w:marRight w:val="0"/>
          <w:marTop w:val="0"/>
          <w:marBottom w:val="0"/>
          <w:divBdr>
            <w:top w:val="none" w:sz="0" w:space="0" w:color="auto"/>
            <w:left w:val="none" w:sz="0" w:space="0" w:color="auto"/>
            <w:bottom w:val="none" w:sz="0" w:space="0" w:color="auto"/>
            <w:right w:val="none" w:sz="0" w:space="0" w:color="auto"/>
          </w:divBdr>
        </w:div>
      </w:divsChild>
    </w:div>
    <w:div w:id="2060670197">
      <w:marLeft w:val="0"/>
      <w:marRight w:val="0"/>
      <w:marTop w:val="0"/>
      <w:marBottom w:val="0"/>
      <w:divBdr>
        <w:top w:val="none" w:sz="0" w:space="0" w:color="auto"/>
        <w:left w:val="none" w:sz="0" w:space="0" w:color="auto"/>
        <w:bottom w:val="none" w:sz="0" w:space="0" w:color="auto"/>
        <w:right w:val="none" w:sz="0" w:space="0" w:color="auto"/>
      </w:divBdr>
      <w:divsChild>
        <w:div w:id="1331522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s0140-6736(05)71048-5" TargetMode="External"/><Relationship Id="rId18" Type="http://schemas.openxmlformats.org/officeDocument/2006/relationships/hyperlink" Target="https://doi.org/10.1002/(SICI)1097-0258(19960229)15:4%3c361::AID-SIM168%3e3.0.CO;2-4" TargetMode="External"/><Relationship Id="rId26" Type="http://schemas.openxmlformats.org/officeDocument/2006/relationships/hyperlink" Target="https://doi.org/10.1136/adc.2003.048488" TargetMode="External"/><Relationship Id="rId3" Type="http://schemas.openxmlformats.org/officeDocument/2006/relationships/styles" Target="styles.xml"/><Relationship Id="rId21" Type="http://schemas.openxmlformats.org/officeDocument/2006/relationships/hyperlink" Target="https://doi.org/10.1159/000528914" TargetMode="External"/><Relationship Id="rId7" Type="http://schemas.openxmlformats.org/officeDocument/2006/relationships/footnotes" Target="footnotes.xml"/><Relationship Id="rId12" Type="http://schemas.openxmlformats.org/officeDocument/2006/relationships/hyperlink" Target="https://doi.org/10.32677/ijch.v10i1.3830" TargetMode="External"/><Relationship Id="rId17" Type="http://schemas.openxmlformats.org/officeDocument/2006/relationships/hyperlink" Target="https://www.jstor.org/stable/107756" TargetMode="External"/><Relationship Id="rId25" Type="http://schemas.openxmlformats.org/officeDocument/2006/relationships/hyperlink" Target="https://doi.org/10.1186/1471-2458-13-s3-s2" TargetMode="External"/><Relationship Id="rId2" Type="http://schemas.openxmlformats.org/officeDocument/2006/relationships/numbering" Target="numbering.xml"/><Relationship Id="rId16" Type="http://schemas.openxmlformats.org/officeDocument/2006/relationships/hyperlink" Target="https://doi.org/10.1002/sim.2836" TargetMode="External"/><Relationship Id="rId20" Type="http://schemas.openxmlformats.org/officeDocument/2006/relationships/hyperlink" Target="https://doi.org/10.1002/sim.184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38/jp.2016.183" TargetMode="External"/><Relationship Id="rId24" Type="http://schemas.openxmlformats.org/officeDocument/2006/relationships/hyperlink" Target="https://doi.org/10.1016/s2213-2600(18)30063-8" TargetMode="External"/><Relationship Id="rId5" Type="http://schemas.openxmlformats.org/officeDocument/2006/relationships/settings" Target="settings.xml"/><Relationship Id="rId15" Type="http://schemas.openxmlformats.org/officeDocument/2006/relationships/hyperlink" Target="https://doi.org/10.1111/j.2517-6161.1972.tb00899.x" TargetMode="External"/><Relationship Id="rId23" Type="http://schemas.openxmlformats.org/officeDocument/2006/relationships/hyperlink" Target="https://doi.org/10.1056/nejmcps050929" TargetMode="External"/><Relationship Id="rId28" Type="http://schemas.openxmlformats.org/officeDocument/2006/relationships/hyperlink" Target="https://doi.org/10.1542/peds.2009-2959" TargetMode="External"/><Relationship Id="rId10" Type="http://schemas.openxmlformats.org/officeDocument/2006/relationships/hyperlink" Target="https://childmortality.org/wp-content/uploads/2023/01/UN-IGME-Child-Mortality-Report-2022.pdf" TargetMode="External"/><Relationship Id="rId19" Type="http://schemas.openxmlformats.org/officeDocument/2006/relationships/hyperlink" Target="https://doi.org/10.1177/0049124104268644" TargetMode="External"/><Relationship Id="rId4" Type="http://schemas.microsoft.com/office/2007/relationships/stylesWithEffects" Target="stylesWithEffects.xml"/><Relationship Id="rId9" Type="http://schemas.openxmlformats.org/officeDocument/2006/relationships/hyperlink" Target="https://doi.org/10.1016/s0140-6736(16)31593-8" TargetMode="External"/><Relationship Id="rId14" Type="http://schemas.openxmlformats.org/officeDocument/2006/relationships/hyperlink" Target="https://doi.org/10.1201/b18041" TargetMode="External"/><Relationship Id="rId22" Type="http://schemas.openxmlformats.org/officeDocument/2006/relationships/hyperlink" Target="https://doi.org/10.1007/s00246-011-0034-5" TargetMode="External"/><Relationship Id="rId27" Type="http://schemas.openxmlformats.org/officeDocument/2006/relationships/hyperlink" Target="https://doi.org/10.1093/biomet/81.3.51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DA376-5BE3-433A-8267-CB8C5466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6969</Words>
  <Characters>39729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shalini jaiswal</dc:creator>
  <cp:keywords/>
  <dc:description/>
  <cp:lastModifiedBy>qwert</cp:lastModifiedBy>
  <cp:revision>73</cp:revision>
  <cp:lastPrinted>2026-03-06T15:04:00Z</cp:lastPrinted>
  <dcterms:created xsi:type="dcterms:W3CDTF">2026-03-06T14:49:00Z</dcterms:created>
  <dcterms:modified xsi:type="dcterms:W3CDTF">2026-03-07T14:45:00Z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044cc21f-5f61-4503-a9b4-7936aaf8d4d4</vt:lpwstr>
  </property>
</Properties>
</file>