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C3" w:rsidRPr="00937D63" w:rsidRDefault="009874B7" w:rsidP="001A6EC3">
      <w:pPr>
        <w:pStyle w:val="Heading1"/>
        <w:spacing w:line="276" w:lineRule="auto"/>
        <w:ind w:left="-709" w:right="-613"/>
        <w:jc w:val="center"/>
        <w:rPr>
          <w:rFonts w:ascii="Times New Roman" w:eastAsiaTheme="minorHAnsi" w:hAnsi="Times New Roman" w:cs="Times New Roman"/>
          <w:bCs/>
          <w:color w:val="auto"/>
          <w:sz w:val="24"/>
          <w:szCs w:val="24"/>
        </w:rPr>
      </w:pPr>
      <w:bookmarkStart w:id="0" w:name="_Toc176647274"/>
      <w:r>
        <w:rPr>
          <w:rFonts w:ascii="Times New Roman" w:eastAsiaTheme="minorHAnsi" w:hAnsi="Times New Roman" w:cs="Times New Roman"/>
          <w:bCs/>
          <w:color w:val="auto"/>
          <w:sz w:val="24"/>
          <w:szCs w:val="24"/>
        </w:rPr>
        <w:t xml:space="preserve">        </w:t>
      </w:r>
      <w:r w:rsidR="001A6EC3" w:rsidRPr="00937D63">
        <w:rPr>
          <w:rFonts w:ascii="Times New Roman" w:eastAsiaTheme="minorHAnsi" w:hAnsi="Times New Roman" w:cs="Times New Roman"/>
          <w:bCs/>
          <w:color w:val="auto"/>
          <w:sz w:val="24"/>
          <w:szCs w:val="24"/>
        </w:rPr>
        <w:t xml:space="preserve">FACTORS INFLUENCING QUANTITY SURVEYORS' INVOLVEMENT IN THE DELIVERY OF </w:t>
      </w:r>
      <w:r>
        <w:rPr>
          <w:rFonts w:ascii="Times New Roman" w:eastAsiaTheme="minorHAnsi" w:hAnsi="Times New Roman" w:cs="Times New Roman"/>
          <w:bCs/>
          <w:color w:val="auto"/>
          <w:sz w:val="24"/>
          <w:szCs w:val="24"/>
        </w:rPr>
        <w:t xml:space="preserve">    </w:t>
      </w:r>
      <w:r w:rsidR="001A6EC3" w:rsidRPr="00937D63">
        <w:rPr>
          <w:rFonts w:ascii="Times New Roman" w:eastAsiaTheme="minorHAnsi" w:hAnsi="Times New Roman" w:cs="Times New Roman"/>
          <w:bCs/>
          <w:color w:val="auto"/>
          <w:sz w:val="24"/>
          <w:szCs w:val="24"/>
        </w:rPr>
        <w:t>SUSTAINABLE HOUSING PROJECTS IN NIGERIA.</w:t>
      </w:r>
    </w:p>
    <w:p w:rsidR="00BD256F" w:rsidRPr="006C44AF" w:rsidRDefault="00BD256F" w:rsidP="0059560C">
      <w:pPr>
        <w:pStyle w:val="Heading1"/>
        <w:spacing w:line="276" w:lineRule="auto"/>
        <w:ind w:right="-613"/>
        <w:rPr>
          <w:rFonts w:ascii="Times New Roman" w:hAnsi="Times New Roman" w:cs="Times New Roman"/>
          <w:b/>
          <w:bCs/>
          <w:color w:val="auto"/>
          <w:sz w:val="24"/>
          <w:szCs w:val="24"/>
        </w:rPr>
      </w:pPr>
      <w:bookmarkStart w:id="1" w:name="_GoBack"/>
      <w:bookmarkEnd w:id="1"/>
      <w:r w:rsidRPr="006C44AF">
        <w:rPr>
          <w:rFonts w:ascii="Times New Roman" w:hAnsi="Times New Roman" w:cs="Times New Roman"/>
          <w:b/>
          <w:bCs/>
          <w:color w:val="auto"/>
          <w:sz w:val="24"/>
          <w:szCs w:val="24"/>
        </w:rPr>
        <w:t>ABSTRACT</w:t>
      </w:r>
      <w:bookmarkEnd w:id="0"/>
    </w:p>
    <w:p w:rsidR="002D2965" w:rsidRDefault="00717452" w:rsidP="0059560C">
      <w:pPr>
        <w:pStyle w:val="NoSpacing"/>
        <w:spacing w:line="276" w:lineRule="auto"/>
        <w:jc w:val="both"/>
        <w:rPr>
          <w:rFonts w:ascii="Times New Roman" w:hAnsi="Times New Roman" w:cs="Times New Roman"/>
          <w:sz w:val="24"/>
          <w:szCs w:val="24"/>
        </w:rPr>
      </w:pPr>
      <w:r w:rsidRPr="00933D15">
        <w:rPr>
          <w:rFonts w:ascii="Times New Roman" w:hAnsi="Times New Roman" w:cs="Times New Roman"/>
          <w:sz w:val="24"/>
          <w:szCs w:val="24"/>
        </w:rPr>
        <w:t>As</w:t>
      </w:r>
      <w:r w:rsidR="001068D4" w:rsidRPr="00933D15">
        <w:rPr>
          <w:rFonts w:ascii="Times New Roman" w:hAnsi="Times New Roman" w:cs="Times New Roman"/>
          <w:sz w:val="24"/>
          <w:szCs w:val="24"/>
        </w:rPr>
        <w:t xml:space="preserve"> demand for sustainable development grows glo</w:t>
      </w:r>
      <w:r w:rsidRPr="00933D15">
        <w:rPr>
          <w:rFonts w:ascii="Times New Roman" w:hAnsi="Times New Roman" w:cs="Times New Roman"/>
          <w:sz w:val="24"/>
          <w:szCs w:val="24"/>
        </w:rPr>
        <w:t>bally,</w:t>
      </w:r>
      <w:r w:rsidR="00933D15">
        <w:rPr>
          <w:rFonts w:ascii="Times New Roman" w:hAnsi="Times New Roman" w:cs="Times New Roman"/>
          <w:sz w:val="24"/>
          <w:szCs w:val="24"/>
        </w:rPr>
        <w:t xml:space="preserve"> </w:t>
      </w:r>
      <w:r w:rsidR="001068D4" w:rsidRPr="00933D15">
        <w:rPr>
          <w:rFonts w:ascii="Times New Roman" w:hAnsi="Times New Roman" w:cs="Times New Roman"/>
          <w:sz w:val="24"/>
          <w:szCs w:val="24"/>
        </w:rPr>
        <w:t>role of Quantity Surveyors in integrating sustainability into construction p</w:t>
      </w:r>
      <w:r w:rsidRPr="00933D15">
        <w:rPr>
          <w:rFonts w:ascii="Times New Roman" w:hAnsi="Times New Roman" w:cs="Times New Roman"/>
          <w:sz w:val="24"/>
          <w:szCs w:val="24"/>
        </w:rPr>
        <w:t xml:space="preserve">rocesses has become </w:t>
      </w:r>
      <w:r w:rsidR="001068D4" w:rsidRPr="00933D15">
        <w:rPr>
          <w:rFonts w:ascii="Times New Roman" w:hAnsi="Times New Roman" w:cs="Times New Roman"/>
          <w:sz w:val="24"/>
          <w:szCs w:val="24"/>
        </w:rPr>
        <w:t>vital.</w:t>
      </w:r>
      <w:r w:rsidR="00933D15">
        <w:rPr>
          <w:rFonts w:ascii="Times New Roman" w:hAnsi="Times New Roman" w:cs="Times New Roman"/>
          <w:sz w:val="24"/>
          <w:szCs w:val="24"/>
        </w:rPr>
        <w:t xml:space="preserve"> </w:t>
      </w:r>
      <w:r w:rsidR="001068D4" w:rsidRPr="00933D15">
        <w:rPr>
          <w:rFonts w:ascii="Times New Roman" w:hAnsi="Times New Roman" w:cs="Times New Roman"/>
          <w:sz w:val="24"/>
          <w:szCs w:val="24"/>
        </w:rPr>
        <w:t xml:space="preserve">This study therefore investigates the </w:t>
      </w:r>
      <w:r w:rsidR="00933D15" w:rsidRPr="00933D15">
        <w:rPr>
          <w:rFonts w:ascii="Times New Roman" w:hAnsi="Times New Roman" w:cs="Times New Roman"/>
          <w:sz w:val="24"/>
          <w:szCs w:val="24"/>
        </w:rPr>
        <w:t>Factors Influencing Quantity Surveyors' Involvement in the Delivery of Sustainable Housing Projects in Nigeria.</w:t>
      </w:r>
      <w:r w:rsidR="002D2965">
        <w:rPr>
          <w:rFonts w:ascii="Times New Roman" w:hAnsi="Times New Roman" w:cs="Times New Roman"/>
          <w:sz w:val="24"/>
          <w:szCs w:val="24"/>
        </w:rPr>
        <w:t xml:space="preserve"> </w:t>
      </w:r>
      <w:r w:rsidR="008738F5" w:rsidRPr="00BF4681">
        <w:rPr>
          <w:rFonts w:ascii="Times New Roman" w:hAnsi="Times New Roman" w:cs="Times New Roman"/>
          <w:sz w:val="24"/>
          <w:szCs w:val="24"/>
        </w:rPr>
        <w:t xml:space="preserve">The </w:t>
      </w:r>
      <w:r>
        <w:rPr>
          <w:rFonts w:ascii="Times New Roman" w:hAnsi="Times New Roman" w:cs="Times New Roman"/>
          <w:sz w:val="24"/>
          <w:szCs w:val="24"/>
        </w:rPr>
        <w:t>study comprises a sample of 48 Quantity S</w:t>
      </w:r>
      <w:r w:rsidR="008738F5" w:rsidRPr="00BF4681">
        <w:rPr>
          <w:rFonts w:ascii="Times New Roman" w:hAnsi="Times New Roman" w:cs="Times New Roman"/>
          <w:sz w:val="24"/>
          <w:szCs w:val="24"/>
        </w:rPr>
        <w:t xml:space="preserve">urveyors who had participated in sustainable housing projects. They were selected using the </w:t>
      </w:r>
      <w:r>
        <w:rPr>
          <w:rFonts w:ascii="Times New Roman" w:hAnsi="Times New Roman" w:cs="Times New Roman"/>
          <w:sz w:val="24"/>
          <w:szCs w:val="24"/>
        </w:rPr>
        <w:t>Respondent Driven Sampling</w:t>
      </w:r>
      <w:r w:rsidR="008738F5" w:rsidRPr="00BF4681">
        <w:rPr>
          <w:rFonts w:ascii="Times New Roman" w:hAnsi="Times New Roman" w:cs="Times New Roman"/>
          <w:sz w:val="24"/>
          <w:szCs w:val="24"/>
        </w:rPr>
        <w:t xml:space="preserve"> technique. Data gotten from the questionnaires were analyzed using amongst others, mean score test, </w:t>
      </w:r>
      <w:r>
        <w:rPr>
          <w:rFonts w:ascii="Times New Roman" w:hAnsi="Times New Roman" w:cs="Times New Roman"/>
          <w:sz w:val="24"/>
          <w:szCs w:val="24"/>
        </w:rPr>
        <w:t>analysis of variance</w:t>
      </w:r>
      <w:r w:rsidR="008738F5" w:rsidRPr="00BF4681">
        <w:rPr>
          <w:rFonts w:ascii="Times New Roman" w:hAnsi="Times New Roman" w:cs="Times New Roman"/>
          <w:sz w:val="24"/>
          <w:szCs w:val="24"/>
        </w:rPr>
        <w:t xml:space="preserve"> and factor analysis. </w:t>
      </w:r>
    </w:p>
    <w:p w:rsidR="002D2965" w:rsidRDefault="002D2965" w:rsidP="0059560C">
      <w:pPr>
        <w:pStyle w:val="NoSpacing"/>
        <w:spacing w:line="276" w:lineRule="auto"/>
        <w:jc w:val="both"/>
        <w:rPr>
          <w:rFonts w:ascii="Times New Roman" w:hAnsi="Times New Roman" w:cs="Times New Roman"/>
          <w:sz w:val="24"/>
          <w:szCs w:val="24"/>
        </w:rPr>
      </w:pPr>
    </w:p>
    <w:p w:rsidR="00DA0195" w:rsidRPr="002D2965" w:rsidRDefault="00656B78" w:rsidP="0059560C">
      <w:pPr>
        <w:pStyle w:val="NoSpacing"/>
        <w:spacing w:line="276" w:lineRule="auto"/>
        <w:jc w:val="both"/>
        <w:rPr>
          <w:rFonts w:ascii="Times New Roman" w:hAnsi="Times New Roman" w:cs="Times New Roman"/>
          <w:b/>
          <w:bCs/>
          <w:sz w:val="24"/>
          <w:szCs w:val="24"/>
        </w:rPr>
      </w:pPr>
      <w:r w:rsidRPr="00591819">
        <w:rPr>
          <w:rFonts w:ascii="Times New Roman" w:hAnsi="Times New Roman" w:cs="Times New Roman"/>
          <w:sz w:val="24"/>
          <w:szCs w:val="24"/>
        </w:rPr>
        <w:t xml:space="preserve">The study reveals that </w:t>
      </w:r>
      <w:r>
        <w:rPr>
          <w:rFonts w:ascii="Times New Roman" w:hAnsi="Times New Roman" w:cs="Times New Roman"/>
          <w:sz w:val="24"/>
          <w:szCs w:val="24"/>
        </w:rPr>
        <w:t>Q</w:t>
      </w:r>
      <w:r w:rsidRPr="00591819">
        <w:rPr>
          <w:rFonts w:ascii="Times New Roman" w:hAnsi="Times New Roman" w:cs="Times New Roman"/>
          <w:sz w:val="24"/>
          <w:szCs w:val="24"/>
        </w:rPr>
        <w:t xml:space="preserve">uantity </w:t>
      </w:r>
      <w:r>
        <w:rPr>
          <w:rFonts w:ascii="Times New Roman" w:hAnsi="Times New Roman" w:cs="Times New Roman"/>
          <w:sz w:val="24"/>
          <w:szCs w:val="24"/>
        </w:rPr>
        <w:t>S</w:t>
      </w:r>
      <w:r w:rsidRPr="00591819">
        <w:rPr>
          <w:rFonts w:ascii="Times New Roman" w:hAnsi="Times New Roman" w:cs="Times New Roman"/>
          <w:sz w:val="24"/>
          <w:szCs w:val="24"/>
        </w:rPr>
        <w:t>urveyors' involvement in sustainable housing projects in Lagos is driven by a complex interplay of factors. Continuous professional development, technological advancements, and market demands emerge here as key drivers. Quantity surveyors are willing participants in this new era of technological advanceme</w:t>
      </w:r>
      <w:r w:rsidR="00717452">
        <w:rPr>
          <w:rFonts w:ascii="Times New Roman" w:hAnsi="Times New Roman" w:cs="Times New Roman"/>
          <w:sz w:val="24"/>
          <w:szCs w:val="24"/>
        </w:rPr>
        <w:t>nt</w:t>
      </w:r>
      <w:r w:rsidRPr="00591819">
        <w:rPr>
          <w:rFonts w:ascii="Times New Roman" w:hAnsi="Times New Roman" w:cs="Times New Roman"/>
          <w:sz w:val="24"/>
          <w:szCs w:val="24"/>
        </w:rPr>
        <w:t>, this finding cements the importance of ongoing learning and skill enhancement in adapting to the evolving demands of sustainable construction.</w:t>
      </w:r>
    </w:p>
    <w:p w:rsidR="008738F5" w:rsidRPr="00260133" w:rsidRDefault="008738F5" w:rsidP="0059560C">
      <w:pPr>
        <w:spacing w:after="0" w:line="240" w:lineRule="auto"/>
        <w:ind w:right="-613"/>
        <w:jc w:val="both"/>
        <w:rPr>
          <w:rFonts w:ascii="Times New Roman" w:hAnsi="Times New Roman" w:cs="Times New Roman"/>
          <w:b/>
          <w:sz w:val="24"/>
          <w:szCs w:val="24"/>
        </w:rPr>
      </w:pPr>
    </w:p>
    <w:p w:rsidR="009C7A9C" w:rsidRDefault="00717452" w:rsidP="0059560C">
      <w:pPr>
        <w:spacing w:after="0" w:line="276" w:lineRule="auto"/>
        <w:ind w:right="-58"/>
        <w:jc w:val="both"/>
        <w:rPr>
          <w:rFonts w:ascii="Times New Roman" w:hAnsi="Times New Roman" w:cs="Times New Roman"/>
          <w:sz w:val="24"/>
          <w:szCs w:val="24"/>
        </w:rPr>
      </w:pPr>
      <w:r>
        <w:rPr>
          <w:rFonts w:ascii="Times New Roman" w:hAnsi="Times New Roman" w:cs="Times New Roman"/>
          <w:sz w:val="24"/>
          <w:szCs w:val="24"/>
        </w:rPr>
        <w:t xml:space="preserve">The </w:t>
      </w:r>
      <w:r w:rsidR="00EC00A5" w:rsidRPr="00656B78">
        <w:rPr>
          <w:rFonts w:ascii="Times New Roman" w:hAnsi="Times New Roman" w:cs="Times New Roman"/>
          <w:sz w:val="24"/>
          <w:szCs w:val="24"/>
        </w:rPr>
        <w:t>originality</w:t>
      </w:r>
      <w:r w:rsidR="00656B78" w:rsidRPr="00656B78">
        <w:rPr>
          <w:rFonts w:ascii="Times New Roman" w:hAnsi="Times New Roman" w:cs="Times New Roman"/>
          <w:sz w:val="24"/>
          <w:szCs w:val="24"/>
        </w:rPr>
        <w:t xml:space="preserve"> lies in its</w:t>
      </w:r>
      <w:r w:rsidR="00EC00A5">
        <w:rPr>
          <w:rFonts w:ascii="Times New Roman" w:hAnsi="Times New Roman" w:cs="Times New Roman"/>
          <w:sz w:val="24"/>
          <w:szCs w:val="24"/>
        </w:rPr>
        <w:t xml:space="preserve"> exploration of the factors </w:t>
      </w:r>
      <w:r w:rsidR="00DC78D4">
        <w:rPr>
          <w:rFonts w:ascii="Times New Roman" w:hAnsi="Times New Roman" w:cs="Times New Roman"/>
          <w:sz w:val="24"/>
          <w:szCs w:val="24"/>
        </w:rPr>
        <w:t>influencing</w:t>
      </w:r>
      <w:r w:rsidR="00EC00A5">
        <w:rPr>
          <w:rFonts w:ascii="Times New Roman" w:hAnsi="Times New Roman" w:cs="Times New Roman"/>
          <w:sz w:val="24"/>
          <w:szCs w:val="24"/>
        </w:rPr>
        <w:t xml:space="preserve"> the involvement of Quantity Surveyors in the delivery of</w:t>
      </w:r>
      <w:r w:rsidR="00046169">
        <w:rPr>
          <w:rFonts w:ascii="Times New Roman" w:hAnsi="Times New Roman" w:cs="Times New Roman"/>
          <w:sz w:val="24"/>
          <w:szCs w:val="24"/>
        </w:rPr>
        <w:t xml:space="preserve"> sustainable</w:t>
      </w:r>
      <w:r w:rsidR="00EC00A5">
        <w:rPr>
          <w:rFonts w:ascii="Times New Roman" w:hAnsi="Times New Roman" w:cs="Times New Roman"/>
          <w:sz w:val="24"/>
          <w:szCs w:val="24"/>
        </w:rPr>
        <w:t xml:space="preserve"> housing p</w:t>
      </w:r>
      <w:r w:rsidR="00046169">
        <w:rPr>
          <w:rFonts w:ascii="Times New Roman" w:hAnsi="Times New Roman" w:cs="Times New Roman"/>
          <w:sz w:val="24"/>
          <w:szCs w:val="24"/>
        </w:rPr>
        <w:t>rojects,</w:t>
      </w:r>
      <w:r w:rsidR="00EC00A5">
        <w:rPr>
          <w:rFonts w:ascii="Times New Roman" w:hAnsi="Times New Roman" w:cs="Times New Roman"/>
          <w:sz w:val="24"/>
          <w:szCs w:val="24"/>
        </w:rPr>
        <w:t xml:space="preserve"> offering novel perspectives on how these </w:t>
      </w:r>
      <w:r w:rsidR="00046169">
        <w:rPr>
          <w:rFonts w:ascii="Times New Roman" w:hAnsi="Times New Roman" w:cs="Times New Roman"/>
          <w:sz w:val="24"/>
          <w:szCs w:val="24"/>
        </w:rPr>
        <w:t xml:space="preserve">factors can pave the way for transformative </w:t>
      </w:r>
      <w:r w:rsidR="009C7A9C">
        <w:rPr>
          <w:rFonts w:ascii="Times New Roman" w:hAnsi="Times New Roman" w:cs="Times New Roman"/>
          <w:sz w:val="24"/>
          <w:szCs w:val="24"/>
        </w:rPr>
        <w:t xml:space="preserve">improvements in construction sector. </w:t>
      </w:r>
      <w:r w:rsidR="009C7A9C" w:rsidRPr="009C7A9C">
        <w:rPr>
          <w:rFonts w:ascii="Times New Roman" w:hAnsi="Times New Roman" w:cs="Times New Roman"/>
          <w:sz w:val="24"/>
          <w:szCs w:val="24"/>
        </w:rPr>
        <w:t>The study provides empirical insights into factors that can aid Quantity Surveyors involvement in the delivery of sustainable housing projects in the construction industry and beyond.</w:t>
      </w:r>
      <w:r w:rsidR="009C7A9C">
        <w:rPr>
          <w:rFonts w:ascii="Times New Roman" w:hAnsi="Times New Roman" w:cs="Times New Roman"/>
          <w:sz w:val="24"/>
          <w:szCs w:val="24"/>
        </w:rPr>
        <w:t xml:space="preserve"> </w:t>
      </w:r>
    </w:p>
    <w:p w:rsidR="008738F5" w:rsidRDefault="008738F5" w:rsidP="0059560C">
      <w:pPr>
        <w:spacing w:after="0" w:line="240" w:lineRule="auto"/>
        <w:ind w:right="-613"/>
        <w:jc w:val="both"/>
        <w:rPr>
          <w:rFonts w:ascii="Times New Roman" w:hAnsi="Times New Roman" w:cs="Times New Roman"/>
          <w:sz w:val="24"/>
          <w:szCs w:val="24"/>
        </w:rPr>
      </w:pPr>
    </w:p>
    <w:p w:rsidR="009C7A9C" w:rsidRPr="003706FC" w:rsidRDefault="00260133" w:rsidP="0059560C">
      <w:pPr>
        <w:spacing w:after="0" w:line="240" w:lineRule="auto"/>
        <w:ind w:right="-58"/>
        <w:jc w:val="both"/>
        <w:rPr>
          <w:rFonts w:ascii="Times New Roman" w:hAnsi="Times New Roman" w:cs="Times New Roman"/>
          <w:sz w:val="24"/>
          <w:szCs w:val="24"/>
        </w:rPr>
      </w:pPr>
      <w:r w:rsidRPr="00260133">
        <w:rPr>
          <w:rFonts w:ascii="Times New Roman" w:hAnsi="Times New Roman" w:cs="Times New Roman"/>
          <w:b/>
          <w:sz w:val="24"/>
          <w:szCs w:val="24"/>
        </w:rPr>
        <w:t>Keywords:</w:t>
      </w:r>
      <w:r w:rsidR="005B3C8B">
        <w:rPr>
          <w:rFonts w:ascii="Times New Roman" w:hAnsi="Times New Roman" w:cs="Times New Roman"/>
          <w:b/>
          <w:sz w:val="24"/>
          <w:szCs w:val="24"/>
        </w:rPr>
        <w:t xml:space="preserve"> </w:t>
      </w:r>
      <w:r w:rsidR="003706FC" w:rsidRPr="003706FC">
        <w:rPr>
          <w:rFonts w:ascii="Times New Roman" w:hAnsi="Times New Roman" w:cs="Times New Roman"/>
          <w:sz w:val="24"/>
          <w:szCs w:val="24"/>
        </w:rPr>
        <w:t xml:space="preserve">Delivery, Construction, Economic, Environment, Factors, </w:t>
      </w:r>
      <w:r w:rsidR="003706FC">
        <w:rPr>
          <w:rFonts w:ascii="Times New Roman" w:hAnsi="Times New Roman" w:cs="Times New Roman"/>
          <w:sz w:val="24"/>
          <w:szCs w:val="24"/>
        </w:rPr>
        <w:t xml:space="preserve">Housing, </w:t>
      </w:r>
      <w:r w:rsidR="003706FC" w:rsidRPr="003706FC">
        <w:rPr>
          <w:rFonts w:ascii="Times New Roman" w:hAnsi="Times New Roman" w:cs="Times New Roman"/>
          <w:sz w:val="24"/>
          <w:szCs w:val="24"/>
        </w:rPr>
        <w:t xml:space="preserve">Involvement, Key Drivers, </w:t>
      </w:r>
      <w:r w:rsidR="003706FC">
        <w:rPr>
          <w:rFonts w:ascii="Times New Roman" w:hAnsi="Times New Roman" w:cs="Times New Roman"/>
          <w:sz w:val="24"/>
          <w:szCs w:val="24"/>
        </w:rPr>
        <w:t xml:space="preserve">Projects, </w:t>
      </w:r>
      <w:r w:rsidR="002618C3" w:rsidRPr="003706FC">
        <w:rPr>
          <w:rFonts w:ascii="Times New Roman" w:hAnsi="Times New Roman" w:cs="Times New Roman"/>
          <w:sz w:val="24"/>
          <w:szCs w:val="24"/>
        </w:rPr>
        <w:t>Quantity Surveyors</w:t>
      </w:r>
      <w:r w:rsidR="003706FC" w:rsidRPr="003706FC">
        <w:rPr>
          <w:rFonts w:ascii="Times New Roman" w:hAnsi="Times New Roman" w:cs="Times New Roman"/>
          <w:sz w:val="24"/>
          <w:szCs w:val="24"/>
        </w:rPr>
        <w:t xml:space="preserve">, </w:t>
      </w:r>
      <w:r w:rsidR="003706FC">
        <w:rPr>
          <w:rFonts w:ascii="Times New Roman" w:hAnsi="Times New Roman" w:cs="Times New Roman"/>
          <w:sz w:val="24"/>
          <w:szCs w:val="24"/>
        </w:rPr>
        <w:t>Social,</w:t>
      </w:r>
      <w:r w:rsidR="003706FC" w:rsidRPr="003706FC">
        <w:rPr>
          <w:rFonts w:ascii="Times New Roman" w:hAnsi="Times New Roman" w:cs="Times New Roman"/>
          <w:sz w:val="24"/>
          <w:szCs w:val="24"/>
        </w:rPr>
        <w:t xml:space="preserve"> </w:t>
      </w:r>
      <w:r w:rsidR="003706FC">
        <w:rPr>
          <w:rFonts w:ascii="Times New Roman" w:hAnsi="Times New Roman" w:cs="Times New Roman"/>
          <w:sz w:val="24"/>
          <w:szCs w:val="24"/>
        </w:rPr>
        <w:t>Sustainability</w:t>
      </w:r>
    </w:p>
    <w:p w:rsidR="00497907" w:rsidRPr="003706FC" w:rsidRDefault="00497907" w:rsidP="0059560C">
      <w:pPr>
        <w:ind w:right="-613"/>
        <w:rPr>
          <w:rFonts w:ascii="Times New Roman" w:hAnsi="Times New Roman" w:cs="Times New Roman"/>
          <w:sz w:val="24"/>
          <w:szCs w:val="24"/>
        </w:rPr>
      </w:pPr>
    </w:p>
    <w:p w:rsidR="002618C3" w:rsidRDefault="002618C3" w:rsidP="0059560C">
      <w:pPr>
        <w:ind w:right="-613"/>
        <w:rPr>
          <w:rFonts w:ascii="Times New Roman" w:hAnsi="Times New Roman" w:cs="Times New Roman"/>
          <w:sz w:val="24"/>
          <w:szCs w:val="24"/>
        </w:rPr>
      </w:pPr>
    </w:p>
    <w:p w:rsidR="00BD256F" w:rsidRDefault="00F81A4E" w:rsidP="0059560C">
      <w:pPr>
        <w:pStyle w:val="Heading1"/>
        <w:spacing w:line="276" w:lineRule="auto"/>
        <w:ind w:right="-613"/>
        <w:rPr>
          <w:rFonts w:ascii="Times New Roman" w:hAnsi="Times New Roman" w:cs="Times New Roman"/>
          <w:b/>
          <w:bCs/>
          <w:color w:val="auto"/>
          <w:sz w:val="24"/>
          <w:szCs w:val="24"/>
        </w:rPr>
      </w:pPr>
      <w:r>
        <w:rPr>
          <w:rFonts w:ascii="Times New Roman" w:hAnsi="Times New Roman" w:cs="Times New Roman"/>
          <w:b/>
          <w:bCs/>
          <w:color w:val="auto"/>
          <w:sz w:val="24"/>
          <w:szCs w:val="24"/>
        </w:rPr>
        <w:t>1</w:t>
      </w:r>
      <w:bookmarkStart w:id="2" w:name="_Toc175641546"/>
      <w:bookmarkStart w:id="3" w:name="_Toc175823335"/>
      <w:bookmarkStart w:id="4" w:name="_Toc175842898"/>
      <w:bookmarkStart w:id="5" w:name="_Toc176647276"/>
      <w:r>
        <w:rPr>
          <w:rFonts w:ascii="Times New Roman" w:hAnsi="Times New Roman" w:cs="Times New Roman"/>
          <w:b/>
          <w:bCs/>
          <w:color w:val="auto"/>
          <w:sz w:val="24"/>
          <w:szCs w:val="24"/>
        </w:rPr>
        <w:t xml:space="preserve">.0 </w:t>
      </w:r>
      <w:r w:rsidR="00BD256F" w:rsidRPr="004C7304">
        <w:rPr>
          <w:rFonts w:ascii="Times New Roman" w:hAnsi="Times New Roman" w:cs="Times New Roman"/>
          <w:b/>
          <w:bCs/>
          <w:i/>
          <w:color w:val="auto"/>
          <w:sz w:val="24"/>
          <w:szCs w:val="24"/>
        </w:rPr>
        <w:t>INTRODUCTIO</w:t>
      </w:r>
      <w:bookmarkEnd w:id="2"/>
      <w:bookmarkEnd w:id="3"/>
      <w:bookmarkEnd w:id="4"/>
      <w:bookmarkEnd w:id="5"/>
      <w:r w:rsidR="00BD256F" w:rsidRPr="004C7304">
        <w:rPr>
          <w:rFonts w:ascii="Times New Roman" w:hAnsi="Times New Roman" w:cs="Times New Roman"/>
          <w:b/>
          <w:bCs/>
          <w:i/>
          <w:color w:val="auto"/>
          <w:sz w:val="24"/>
          <w:szCs w:val="24"/>
        </w:rPr>
        <w:t>N</w:t>
      </w:r>
    </w:p>
    <w:p w:rsidR="00A173CE" w:rsidRPr="00E90B72" w:rsidRDefault="005E76F9" w:rsidP="0059560C">
      <w:pPr>
        <w:spacing w:after="0"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To sustain something means to keep it in the current state, and todays current state is a big no for the constant use and dump of conventional materials. Environmental issues in the construction industry are increasingly being considered, as clients and design teams become more conscious of the impacts (Ball, 2002).</w:t>
      </w:r>
      <w:r w:rsidR="00A173CE">
        <w:rPr>
          <w:rFonts w:ascii="Times New Roman" w:hAnsi="Times New Roman" w:cs="Times New Roman"/>
          <w:sz w:val="24"/>
          <w:szCs w:val="24"/>
        </w:rPr>
        <w:t xml:space="preserve"> </w:t>
      </w:r>
      <w:r w:rsidR="00A173CE" w:rsidRPr="00E90B72">
        <w:rPr>
          <w:rFonts w:ascii="Times New Roman" w:hAnsi="Times New Roman" w:cs="Times New Roman"/>
          <w:sz w:val="24"/>
          <w:szCs w:val="24"/>
        </w:rPr>
        <w:t>This focus on sustainability has consequently led to a global shift towards buildings that are sustainable (Berardi, 2011).</w:t>
      </w:r>
      <w:r w:rsidR="00A173CE">
        <w:rPr>
          <w:rFonts w:ascii="Times New Roman" w:hAnsi="Times New Roman" w:cs="Times New Roman"/>
          <w:sz w:val="24"/>
          <w:szCs w:val="24"/>
        </w:rPr>
        <w:t xml:space="preserve"> </w:t>
      </w:r>
      <w:r w:rsidR="00A173CE" w:rsidRPr="00E90B72">
        <w:rPr>
          <w:rFonts w:ascii="Times New Roman" w:hAnsi="Times New Roman" w:cs="Times New Roman"/>
          <w:sz w:val="24"/>
          <w:szCs w:val="24"/>
        </w:rPr>
        <w:t xml:space="preserve">In Nigeria, as in several developing countries, the concept of sustainability is unknowingly being practiced all over the country by using an alternative to conventional building materials. (Ahmed </w:t>
      </w:r>
      <w:r w:rsidR="00A173CE" w:rsidRPr="00C130FE">
        <w:rPr>
          <w:rFonts w:ascii="Times New Roman" w:eastAsia="Times New Roman" w:hAnsi="Times New Roman" w:cs="Times New Roman"/>
          <w:i/>
          <w:sz w:val="24"/>
          <w:szCs w:val="24"/>
        </w:rPr>
        <w:t>et al</w:t>
      </w:r>
      <w:r w:rsidR="00A173CE" w:rsidRPr="00E90B72">
        <w:rPr>
          <w:rFonts w:ascii="Times New Roman" w:eastAsia="Times New Roman" w:hAnsi="Times New Roman" w:cs="Times New Roman"/>
          <w:sz w:val="24"/>
          <w:szCs w:val="24"/>
        </w:rPr>
        <w:t xml:space="preserve">., </w:t>
      </w:r>
      <w:r w:rsidR="00A173CE" w:rsidRPr="00E90B72">
        <w:rPr>
          <w:rFonts w:ascii="Times New Roman" w:hAnsi="Times New Roman" w:cs="Times New Roman"/>
          <w:sz w:val="24"/>
          <w:szCs w:val="24"/>
        </w:rPr>
        <w:t>2022).</w:t>
      </w:r>
      <w:r w:rsidR="00A173CE">
        <w:rPr>
          <w:rFonts w:ascii="Times New Roman" w:hAnsi="Times New Roman" w:cs="Times New Roman"/>
          <w:sz w:val="24"/>
          <w:szCs w:val="24"/>
        </w:rPr>
        <w:t xml:space="preserve"> </w:t>
      </w:r>
      <w:r w:rsidR="00A173CE" w:rsidRPr="00E90B72">
        <w:rPr>
          <w:rFonts w:ascii="Times New Roman" w:hAnsi="Times New Roman" w:cs="Times New Roman"/>
          <w:sz w:val="24"/>
          <w:szCs w:val="24"/>
        </w:rPr>
        <w:t xml:space="preserve">Sustainable buildings can be defined as the development and implementation of policies, </w:t>
      </w:r>
      <w:proofErr w:type="spellStart"/>
      <w:r w:rsidR="00A173CE" w:rsidRPr="00E90B72">
        <w:rPr>
          <w:rFonts w:ascii="Times New Roman" w:hAnsi="Times New Roman" w:cs="Times New Roman"/>
          <w:sz w:val="24"/>
          <w:szCs w:val="24"/>
        </w:rPr>
        <w:t>programmes</w:t>
      </w:r>
      <w:proofErr w:type="spellEnd"/>
      <w:r w:rsidR="00A173CE" w:rsidRPr="00E90B72">
        <w:rPr>
          <w:rFonts w:ascii="Times New Roman" w:hAnsi="Times New Roman" w:cs="Times New Roman"/>
          <w:sz w:val="24"/>
          <w:szCs w:val="24"/>
        </w:rPr>
        <w:t xml:space="preserve"> or initiatives designed to deliver safe, viable and affordable houses/buildings for individuals within a society. </w:t>
      </w:r>
      <w:r w:rsidR="00C50F7C" w:rsidRPr="00C50F7C">
        <w:rPr>
          <w:rFonts w:ascii="Times New Roman" w:hAnsi="Times New Roman" w:cs="Times New Roman"/>
          <w:sz w:val="24"/>
          <w:szCs w:val="24"/>
        </w:rPr>
        <w:t>According to Leo-</w:t>
      </w:r>
      <w:proofErr w:type="spellStart"/>
      <w:r w:rsidR="00C50F7C" w:rsidRPr="00C50F7C">
        <w:rPr>
          <w:rFonts w:ascii="Times New Roman" w:hAnsi="Times New Roman" w:cs="Times New Roman"/>
          <w:sz w:val="24"/>
          <w:szCs w:val="24"/>
        </w:rPr>
        <w:t>Olagbaye</w:t>
      </w:r>
      <w:proofErr w:type="spellEnd"/>
      <w:r w:rsidR="00C50F7C" w:rsidRPr="00C50F7C">
        <w:rPr>
          <w:rFonts w:ascii="Times New Roman" w:hAnsi="Times New Roman" w:cs="Times New Roman"/>
          <w:sz w:val="24"/>
          <w:szCs w:val="24"/>
        </w:rPr>
        <w:t xml:space="preserve"> (2024) opined that Sustainable buildings are automated buildings with their controller and automation systems.</w:t>
      </w:r>
      <w:r w:rsidR="00C50F7C">
        <w:t xml:space="preserve"> </w:t>
      </w:r>
    </w:p>
    <w:p w:rsidR="00A173CE" w:rsidRPr="00E90B72" w:rsidRDefault="00A173CE" w:rsidP="0059560C">
      <w:pPr>
        <w:spacing w:line="240" w:lineRule="auto"/>
        <w:ind w:right="-613"/>
        <w:jc w:val="both"/>
        <w:rPr>
          <w:rFonts w:ascii="Times New Roman" w:eastAsia="Times New Roman" w:hAnsi="Times New Roman" w:cs="Times New Roman"/>
          <w:sz w:val="24"/>
          <w:szCs w:val="24"/>
        </w:rPr>
      </w:pPr>
      <w:r w:rsidRPr="00E90B72">
        <w:rPr>
          <w:rFonts w:ascii="Times New Roman" w:hAnsi="Times New Roman" w:cs="Times New Roman"/>
          <w:sz w:val="24"/>
          <w:szCs w:val="24"/>
        </w:rPr>
        <w:t xml:space="preserve">With a rapidly soaring population of 170 million inhabitants, Nigeria is urgently in need of sustainable solutions to the many socioeconomic challenges confronting her development. This phenomenal rise in population, spontaneous increase in the number and size of most Nigerian cities </w:t>
      </w:r>
      <w:r w:rsidRPr="00E90B72">
        <w:rPr>
          <w:rFonts w:ascii="Times New Roman" w:hAnsi="Times New Roman" w:cs="Times New Roman"/>
          <w:sz w:val="24"/>
          <w:szCs w:val="24"/>
        </w:rPr>
        <w:lastRenderedPageBreak/>
        <w:t>have in the past few decades led to acute shortage of decent and affordable dwelling units (</w:t>
      </w:r>
      <w:proofErr w:type="spellStart"/>
      <w:r w:rsidRPr="00E90B72">
        <w:rPr>
          <w:rFonts w:ascii="Times New Roman" w:hAnsi="Times New Roman" w:cs="Times New Roman"/>
          <w:sz w:val="24"/>
          <w:szCs w:val="24"/>
        </w:rPr>
        <w:t>Adesoji</w:t>
      </w:r>
      <w:proofErr w:type="spellEnd"/>
      <w:r w:rsidRPr="00E90B72">
        <w:rPr>
          <w:rFonts w:ascii="Times New Roman" w:hAnsi="Times New Roman" w:cs="Times New Roman"/>
          <w:sz w:val="24"/>
          <w:szCs w:val="24"/>
        </w:rPr>
        <w:t xml:space="preserve">, 2011). </w:t>
      </w:r>
    </w:p>
    <w:p w:rsidR="00101F40" w:rsidRPr="00497907" w:rsidRDefault="000B00AF"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Research undertaken by </w:t>
      </w:r>
      <w:proofErr w:type="spellStart"/>
      <w:r w:rsidR="008713FB">
        <w:rPr>
          <w:rFonts w:ascii="Times New Roman" w:hAnsi="Times New Roman" w:cs="Times New Roman"/>
          <w:sz w:val="24"/>
          <w:szCs w:val="24"/>
        </w:rPr>
        <w:t>Petrovic</w:t>
      </w:r>
      <w:proofErr w:type="spellEnd"/>
      <w:r w:rsidR="008713FB">
        <w:rPr>
          <w:rFonts w:ascii="Times New Roman" w:hAnsi="Times New Roman" w:cs="Times New Roman"/>
          <w:sz w:val="24"/>
          <w:szCs w:val="24"/>
        </w:rPr>
        <w:t>.</w:t>
      </w:r>
      <w:proofErr w:type="gramStart"/>
      <w:r w:rsidR="008713FB">
        <w:rPr>
          <w:rFonts w:ascii="Times New Roman" w:hAnsi="Times New Roman" w:cs="Times New Roman"/>
          <w:sz w:val="24"/>
          <w:szCs w:val="24"/>
        </w:rPr>
        <w:t>,</w:t>
      </w:r>
      <w:r w:rsidR="001B5F66" w:rsidRPr="001B5F66">
        <w:rPr>
          <w:rFonts w:ascii="Times New Roman" w:hAnsi="Times New Roman" w:cs="Times New Roman"/>
          <w:sz w:val="24"/>
          <w:szCs w:val="24"/>
        </w:rPr>
        <w:t>(</w:t>
      </w:r>
      <w:proofErr w:type="gramEnd"/>
      <w:r w:rsidR="001B5F66" w:rsidRPr="001B5F66">
        <w:rPr>
          <w:rFonts w:ascii="Times New Roman" w:hAnsi="Times New Roman" w:cs="Times New Roman"/>
          <w:sz w:val="24"/>
          <w:szCs w:val="24"/>
        </w:rPr>
        <w:t>2019</w:t>
      </w:r>
      <w:r w:rsidRPr="00E90B72">
        <w:rPr>
          <w:rFonts w:ascii="Times New Roman" w:hAnsi="Times New Roman" w:cs="Times New Roman"/>
          <w:sz w:val="24"/>
          <w:szCs w:val="24"/>
        </w:rPr>
        <w:t>) however showed that Quantity Surveyors place little importance on environmental sustainability issues in delivering their traditional services. This seems controversial, though, given that there has been a tendency in recent years to broaden the acceptance of sustainability, and certain terms and elements pertaining to sustainability are used by Quantity Surveyors, regardless of whether they are in training or not. Professional Quantity Surveyors have developed skills in keys areas relating to technology, information management, culture and economic aspects that can be expertly applied on projects at appropriate levels through training and practice (</w:t>
      </w:r>
      <w:r w:rsidR="00DD5150" w:rsidRPr="00DD5150">
        <w:rPr>
          <w:rFonts w:ascii="Times New Roman" w:hAnsi="Times New Roman" w:cs="Times New Roman"/>
          <w:sz w:val="24"/>
          <w:szCs w:val="24"/>
        </w:rPr>
        <w:t xml:space="preserve">Chau </w:t>
      </w:r>
      <w:r w:rsidR="00DD5150" w:rsidRPr="00101F40">
        <w:rPr>
          <w:rFonts w:ascii="Times New Roman" w:hAnsi="Times New Roman" w:cs="Times New Roman"/>
          <w:i/>
          <w:sz w:val="24"/>
          <w:szCs w:val="24"/>
        </w:rPr>
        <w:t>et al</w:t>
      </w:r>
      <w:r w:rsidR="00DD5150">
        <w:rPr>
          <w:rFonts w:ascii="Times New Roman" w:hAnsi="Times New Roman" w:cs="Times New Roman"/>
          <w:sz w:val="24"/>
          <w:szCs w:val="24"/>
        </w:rPr>
        <w:t>., 2015</w:t>
      </w:r>
      <w:r w:rsidRPr="00E90B72">
        <w:rPr>
          <w:rFonts w:ascii="Times New Roman" w:hAnsi="Times New Roman" w:cs="Times New Roman"/>
          <w:sz w:val="24"/>
          <w:szCs w:val="24"/>
        </w:rPr>
        <w:t>). Their success will depend on their ability to adapt to changes and continuous development of their skills and competencies to contribute to meeting client’s ob</w:t>
      </w:r>
      <w:r w:rsidR="00497907">
        <w:rPr>
          <w:rFonts w:ascii="Times New Roman" w:hAnsi="Times New Roman" w:cs="Times New Roman"/>
          <w:sz w:val="24"/>
          <w:szCs w:val="24"/>
        </w:rPr>
        <w:t xml:space="preserve">jectives (Chong </w:t>
      </w:r>
      <w:r w:rsidR="00497907" w:rsidRPr="00101F40">
        <w:rPr>
          <w:rFonts w:ascii="Times New Roman" w:hAnsi="Times New Roman" w:cs="Times New Roman"/>
          <w:i/>
          <w:sz w:val="24"/>
          <w:szCs w:val="24"/>
        </w:rPr>
        <w:t>et al</w:t>
      </w:r>
      <w:r w:rsidR="00497907">
        <w:rPr>
          <w:rFonts w:ascii="Times New Roman" w:hAnsi="Times New Roman" w:cs="Times New Roman"/>
          <w:sz w:val="24"/>
          <w:szCs w:val="24"/>
        </w:rPr>
        <w:t xml:space="preserve">., 2012). </w:t>
      </w:r>
    </w:p>
    <w:p w:rsidR="000B00AF" w:rsidRPr="004C7304" w:rsidRDefault="00F80FE7" w:rsidP="0059560C">
      <w:pPr>
        <w:spacing w:line="240" w:lineRule="auto"/>
        <w:ind w:right="-613"/>
        <w:rPr>
          <w:rFonts w:ascii="Times New Roman" w:hAnsi="Times New Roman" w:cs="Times New Roman"/>
          <w:b/>
          <w:i/>
          <w:sz w:val="24"/>
          <w:szCs w:val="24"/>
        </w:rPr>
      </w:pPr>
      <w:r w:rsidRPr="00185375">
        <w:rPr>
          <w:rFonts w:ascii="Times New Roman" w:hAnsi="Times New Roman" w:cs="Times New Roman"/>
          <w:b/>
          <w:sz w:val="24"/>
          <w:szCs w:val="24"/>
        </w:rPr>
        <w:t>2.0</w:t>
      </w:r>
      <w:r w:rsidRPr="00185375">
        <w:rPr>
          <w:rFonts w:ascii="Times New Roman" w:hAnsi="Times New Roman" w:cs="Times New Roman"/>
          <w:b/>
          <w:sz w:val="24"/>
          <w:szCs w:val="24"/>
        </w:rPr>
        <w:tab/>
      </w:r>
      <w:r w:rsidR="001C2A29" w:rsidRPr="004C7304">
        <w:rPr>
          <w:rFonts w:ascii="Times New Roman" w:hAnsi="Times New Roman" w:cs="Times New Roman"/>
          <w:b/>
          <w:i/>
          <w:sz w:val="24"/>
          <w:szCs w:val="24"/>
        </w:rPr>
        <w:t>LITERATURE REVIEW</w:t>
      </w:r>
    </w:p>
    <w:p w:rsidR="000B00AF" w:rsidRPr="004C7304" w:rsidRDefault="00F80FE7" w:rsidP="0059560C">
      <w:pPr>
        <w:pStyle w:val="Heading3"/>
        <w:spacing w:line="240" w:lineRule="auto"/>
        <w:ind w:right="-613"/>
        <w:jc w:val="both"/>
        <w:rPr>
          <w:rFonts w:ascii="Times New Roman" w:hAnsi="Times New Roman" w:cs="Times New Roman"/>
          <w:b/>
          <w:bCs/>
          <w:i/>
          <w:color w:val="auto"/>
        </w:rPr>
      </w:pPr>
      <w:r>
        <w:rPr>
          <w:rFonts w:ascii="Times New Roman" w:hAnsi="Times New Roman" w:cs="Times New Roman"/>
          <w:b/>
          <w:bCs/>
          <w:color w:val="auto"/>
        </w:rPr>
        <w:t>2.1</w:t>
      </w:r>
      <w:r>
        <w:rPr>
          <w:rFonts w:ascii="Times New Roman" w:hAnsi="Times New Roman" w:cs="Times New Roman"/>
          <w:b/>
          <w:bCs/>
          <w:color w:val="auto"/>
        </w:rPr>
        <w:tab/>
      </w:r>
      <w:r w:rsidR="000B00AF" w:rsidRPr="004C7304">
        <w:rPr>
          <w:rFonts w:ascii="Times New Roman" w:hAnsi="Times New Roman" w:cs="Times New Roman"/>
          <w:b/>
          <w:bCs/>
          <w:i/>
          <w:color w:val="auto"/>
        </w:rPr>
        <w:t>Sustainability</w:t>
      </w:r>
    </w:p>
    <w:p w:rsidR="000B00AF" w:rsidRPr="00E90B72" w:rsidRDefault="000B00AF"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Sustainability has emerged as a critical concept in addressing the complex challenges posed by environmental degradation, social inequality, and economic instability. </w:t>
      </w:r>
      <w:r w:rsidR="00E5196F" w:rsidRPr="00FC2699">
        <w:rPr>
          <w:rFonts w:ascii="Times New Roman" w:hAnsi="Times New Roman" w:cs="Times New Roman"/>
          <w:sz w:val="24"/>
          <w:szCs w:val="24"/>
        </w:rPr>
        <w:t xml:space="preserve">The construction sector has a crucial role in the realization of sustainable development. However, stakeholders involved in construction projects often lack a clear under- standing of their roles and responsibilities. </w:t>
      </w:r>
      <w:r w:rsidR="00FC2699">
        <w:rPr>
          <w:rFonts w:ascii="Times New Roman" w:hAnsi="Times New Roman" w:cs="Times New Roman"/>
          <w:sz w:val="24"/>
          <w:szCs w:val="24"/>
        </w:rPr>
        <w:t xml:space="preserve"> (Leo-</w:t>
      </w:r>
      <w:proofErr w:type="spellStart"/>
      <w:r w:rsidR="00FC2699">
        <w:rPr>
          <w:rFonts w:ascii="Times New Roman" w:hAnsi="Times New Roman" w:cs="Times New Roman"/>
          <w:sz w:val="24"/>
          <w:szCs w:val="24"/>
        </w:rPr>
        <w:t>Olagbaye</w:t>
      </w:r>
      <w:proofErr w:type="spellEnd"/>
      <w:r w:rsidR="00FC2699" w:rsidRPr="00DD5150">
        <w:rPr>
          <w:rFonts w:ascii="Times New Roman" w:hAnsi="Times New Roman" w:cs="Times New Roman"/>
          <w:sz w:val="24"/>
          <w:szCs w:val="24"/>
        </w:rPr>
        <w:t xml:space="preserve"> </w:t>
      </w:r>
      <w:r w:rsidR="00FC2699" w:rsidRPr="005042A9">
        <w:rPr>
          <w:rFonts w:ascii="Times New Roman" w:hAnsi="Times New Roman" w:cs="Times New Roman"/>
          <w:i/>
          <w:sz w:val="24"/>
          <w:szCs w:val="24"/>
        </w:rPr>
        <w:t>et al</w:t>
      </w:r>
      <w:r w:rsidR="00FC2699">
        <w:rPr>
          <w:rFonts w:ascii="Times New Roman" w:hAnsi="Times New Roman" w:cs="Times New Roman"/>
          <w:sz w:val="24"/>
          <w:szCs w:val="24"/>
        </w:rPr>
        <w:t xml:space="preserve">., 2015). </w:t>
      </w:r>
      <w:r w:rsidRPr="00E90B72">
        <w:rPr>
          <w:rFonts w:ascii="Times New Roman" w:hAnsi="Times New Roman" w:cs="Times New Roman"/>
          <w:sz w:val="24"/>
          <w:szCs w:val="24"/>
        </w:rPr>
        <w:t xml:space="preserve">One thing is certain and that the world as we know it know today is veering away from the use of conventionally materials to favor sustainable ones. </w:t>
      </w:r>
      <w:r w:rsidR="00DD7339" w:rsidRPr="00DD7339">
        <w:rPr>
          <w:rFonts w:ascii="Times New Roman" w:hAnsi="Times New Roman" w:cs="Times New Roman"/>
          <w:color w:val="373435"/>
          <w:sz w:val="24"/>
          <w:szCs w:val="24"/>
        </w:rPr>
        <w:t xml:space="preserve">Sustainable housing execution entails cooperation from the public, government and construction practitioners. Perception of sustainable housing by professionals and practitioners in the building industry </w:t>
      </w:r>
      <w:r w:rsidR="00DD7339" w:rsidRPr="00DD7339">
        <w:rPr>
          <w:rFonts w:ascii="Times New Roman" w:hAnsi="Times New Roman" w:cs="Times New Roman"/>
          <w:color w:val="373435"/>
          <w:spacing w:val="-2"/>
          <w:sz w:val="24"/>
          <w:szCs w:val="24"/>
        </w:rPr>
        <w:t>and</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the</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public</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varies</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within</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and</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without</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the</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two</w:t>
      </w:r>
      <w:r w:rsidR="00DD7339" w:rsidRPr="00DD7339">
        <w:rPr>
          <w:rFonts w:ascii="Times New Roman" w:hAnsi="Times New Roman" w:cs="Times New Roman"/>
          <w:color w:val="373435"/>
          <w:spacing w:val="-7"/>
          <w:sz w:val="24"/>
          <w:szCs w:val="24"/>
        </w:rPr>
        <w:t xml:space="preserve"> </w:t>
      </w:r>
      <w:r w:rsidR="00DD7339" w:rsidRPr="00DD7339">
        <w:rPr>
          <w:rFonts w:ascii="Times New Roman" w:hAnsi="Times New Roman" w:cs="Times New Roman"/>
          <w:color w:val="373435"/>
          <w:spacing w:val="-2"/>
          <w:sz w:val="24"/>
          <w:szCs w:val="24"/>
        </w:rPr>
        <w:t>groups.</w:t>
      </w:r>
      <w:r w:rsidR="00DD7339">
        <w:rPr>
          <w:color w:val="373435"/>
          <w:spacing w:val="-7"/>
        </w:rPr>
        <w:t xml:space="preserve"> </w:t>
      </w:r>
      <w:r w:rsidR="00DD7339" w:rsidRPr="00E90B72">
        <w:rPr>
          <w:rFonts w:ascii="Times New Roman" w:hAnsi="Times New Roman" w:cs="Times New Roman"/>
          <w:sz w:val="24"/>
          <w:szCs w:val="24"/>
        </w:rPr>
        <w:t>(</w:t>
      </w:r>
      <w:r w:rsidR="0071425B">
        <w:rPr>
          <w:rFonts w:ascii="Times New Roman" w:hAnsi="Times New Roman" w:cs="Times New Roman"/>
          <w:sz w:val="24"/>
          <w:szCs w:val="24"/>
        </w:rPr>
        <w:t>Leo-</w:t>
      </w:r>
      <w:proofErr w:type="spellStart"/>
      <w:r w:rsidR="0071425B">
        <w:rPr>
          <w:rFonts w:ascii="Times New Roman" w:hAnsi="Times New Roman" w:cs="Times New Roman"/>
          <w:sz w:val="24"/>
          <w:szCs w:val="24"/>
        </w:rPr>
        <w:t>Olagbaye</w:t>
      </w:r>
      <w:proofErr w:type="spellEnd"/>
      <w:r w:rsidR="0071425B">
        <w:rPr>
          <w:rFonts w:ascii="Times New Roman" w:hAnsi="Times New Roman" w:cs="Times New Roman"/>
          <w:sz w:val="24"/>
          <w:szCs w:val="24"/>
        </w:rPr>
        <w:t xml:space="preserve"> and </w:t>
      </w:r>
      <w:proofErr w:type="spellStart"/>
      <w:r w:rsidR="0071425B">
        <w:rPr>
          <w:rFonts w:ascii="Times New Roman" w:hAnsi="Times New Roman" w:cs="Times New Roman"/>
          <w:sz w:val="24"/>
          <w:szCs w:val="24"/>
        </w:rPr>
        <w:t>Odeyinka</w:t>
      </w:r>
      <w:proofErr w:type="spellEnd"/>
      <w:r w:rsidR="0071425B">
        <w:rPr>
          <w:rFonts w:ascii="Times New Roman" w:hAnsi="Times New Roman" w:cs="Times New Roman"/>
          <w:sz w:val="24"/>
          <w:szCs w:val="24"/>
        </w:rPr>
        <w:t>., 2022</w:t>
      </w:r>
      <w:r w:rsidR="00DD7339" w:rsidRPr="00E90B72">
        <w:rPr>
          <w:rFonts w:ascii="Times New Roman" w:hAnsi="Times New Roman" w:cs="Times New Roman"/>
          <w:sz w:val="24"/>
          <w:szCs w:val="24"/>
        </w:rPr>
        <w:t xml:space="preserve">). </w:t>
      </w:r>
      <w:r w:rsidRPr="00E90B72">
        <w:rPr>
          <w:rFonts w:ascii="Times New Roman" w:hAnsi="Times New Roman" w:cs="Times New Roman"/>
          <w:sz w:val="24"/>
          <w:szCs w:val="24"/>
        </w:rPr>
        <w:t>The key driving force behind this quest for sustainability has largely been emissions, which are forecasted to keep rising at par with industrial levels as energy demands by the buildings increase (</w:t>
      </w:r>
      <w:proofErr w:type="spellStart"/>
      <w:r w:rsidR="008041C8" w:rsidRPr="008041C8">
        <w:rPr>
          <w:rFonts w:ascii="Times New Roman" w:hAnsi="Times New Roman" w:cs="Times New Roman"/>
          <w:sz w:val="24"/>
          <w:szCs w:val="24"/>
        </w:rPr>
        <w:t>Petrovic</w:t>
      </w:r>
      <w:proofErr w:type="spellEnd"/>
      <w:r w:rsidR="008041C8">
        <w:rPr>
          <w:rFonts w:ascii="Times New Roman" w:hAnsi="Times New Roman" w:cs="Times New Roman"/>
          <w:sz w:val="24"/>
          <w:szCs w:val="24"/>
        </w:rPr>
        <w:t>, 2019</w:t>
      </w:r>
      <w:r w:rsidRPr="00E90B72">
        <w:rPr>
          <w:rFonts w:ascii="Times New Roman" w:hAnsi="Times New Roman" w:cs="Times New Roman"/>
          <w:sz w:val="24"/>
          <w:szCs w:val="24"/>
        </w:rPr>
        <w:t>). These emissions in turn causes a great deal for us in our ozone layer which in turn affects the climate. Which is why, in turn sustainability has seen a major positive upturn in application particularly when discussions are being made in relation to construction work. The ability of buildings to reduce these projected levels of emission to the minimal makes it credible for more attention to the building sector (IPCC, 2007). This leads to the need for sustainability rating methods to rank buildings in terms of their sustainability or greenness (</w:t>
      </w:r>
      <w:proofErr w:type="spellStart"/>
      <w:r w:rsidRPr="00E90B72">
        <w:rPr>
          <w:rFonts w:ascii="Times New Roman" w:hAnsi="Times New Roman" w:cs="Times New Roman"/>
          <w:sz w:val="24"/>
          <w:szCs w:val="24"/>
        </w:rPr>
        <w:t>Arif</w:t>
      </w:r>
      <w:proofErr w:type="spellEnd"/>
      <w:r w:rsidRPr="00E90B72">
        <w:rPr>
          <w:rFonts w:ascii="Times New Roman" w:hAnsi="Times New Roman" w:cs="Times New Roman"/>
          <w:sz w:val="24"/>
          <w:szCs w:val="24"/>
        </w:rPr>
        <w:t xml:space="preserve"> </w:t>
      </w:r>
      <w:r w:rsidRPr="00101F40">
        <w:rPr>
          <w:rFonts w:ascii="Times New Roman" w:hAnsi="Times New Roman" w:cs="Times New Roman"/>
          <w:i/>
          <w:sz w:val="24"/>
          <w:szCs w:val="24"/>
        </w:rPr>
        <w:t>et al</w:t>
      </w:r>
      <w:r w:rsidRPr="00E90B72">
        <w:rPr>
          <w:rFonts w:ascii="Times New Roman" w:hAnsi="Times New Roman" w:cs="Times New Roman"/>
          <w:sz w:val="24"/>
          <w:szCs w:val="24"/>
        </w:rPr>
        <w:t>., 2009).</w:t>
      </w:r>
    </w:p>
    <w:p w:rsidR="007D2F7D" w:rsidRPr="006A478C" w:rsidRDefault="00F80FE7" w:rsidP="0059560C">
      <w:pPr>
        <w:pStyle w:val="Heading3"/>
        <w:spacing w:line="240" w:lineRule="auto"/>
        <w:ind w:right="-613"/>
        <w:jc w:val="both"/>
        <w:rPr>
          <w:rFonts w:ascii="Times New Roman" w:hAnsi="Times New Roman" w:cs="Times New Roman"/>
          <w:b/>
          <w:bCs/>
          <w:i/>
          <w:color w:val="auto"/>
        </w:rPr>
      </w:pPr>
      <w:bookmarkStart w:id="6" w:name="_Toc176647296"/>
      <w:r w:rsidRPr="006A478C">
        <w:rPr>
          <w:rFonts w:ascii="Times New Roman" w:hAnsi="Times New Roman" w:cs="Times New Roman"/>
          <w:b/>
          <w:bCs/>
          <w:i/>
          <w:color w:val="auto"/>
        </w:rPr>
        <w:t>2.3</w:t>
      </w:r>
      <w:r w:rsidR="007D2F7D" w:rsidRPr="006A478C">
        <w:rPr>
          <w:rFonts w:ascii="Times New Roman" w:hAnsi="Times New Roman" w:cs="Times New Roman"/>
          <w:b/>
          <w:bCs/>
          <w:color w:val="auto"/>
        </w:rPr>
        <w:tab/>
      </w:r>
      <w:bookmarkStart w:id="7" w:name="_Hlk176860758"/>
      <w:r w:rsidR="007D2F7D" w:rsidRPr="006A478C">
        <w:rPr>
          <w:rFonts w:ascii="Times New Roman" w:hAnsi="Times New Roman" w:cs="Times New Roman"/>
          <w:b/>
          <w:bCs/>
          <w:i/>
          <w:color w:val="auto"/>
        </w:rPr>
        <w:t xml:space="preserve">Factors Influencing the Involvement of Quantity Surveyors in </w:t>
      </w:r>
      <w:r w:rsidR="0096433F" w:rsidRPr="006A478C">
        <w:rPr>
          <w:rFonts w:ascii="Times New Roman" w:hAnsi="Times New Roman" w:cs="Times New Roman"/>
          <w:b/>
          <w:bCs/>
          <w:i/>
          <w:color w:val="auto"/>
        </w:rPr>
        <w:t xml:space="preserve">the Delivery </w:t>
      </w:r>
      <w:r w:rsidR="007D2F7D" w:rsidRPr="006A478C">
        <w:rPr>
          <w:rFonts w:ascii="Times New Roman" w:hAnsi="Times New Roman" w:cs="Times New Roman"/>
          <w:b/>
          <w:bCs/>
          <w:i/>
          <w:color w:val="auto"/>
        </w:rPr>
        <w:t xml:space="preserve">of Sustainable </w:t>
      </w:r>
      <w:bookmarkEnd w:id="6"/>
      <w:r w:rsidR="007D2F7D" w:rsidRPr="006A478C">
        <w:rPr>
          <w:rFonts w:ascii="Times New Roman" w:hAnsi="Times New Roman" w:cs="Times New Roman"/>
          <w:b/>
          <w:bCs/>
          <w:i/>
          <w:color w:val="auto"/>
        </w:rPr>
        <w:t xml:space="preserve">Housing Projects </w:t>
      </w:r>
    </w:p>
    <w:bookmarkEnd w:id="7"/>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involvement of Quantity Surveyors in sustainable housing projects is crucial as they play a vital role in ensuring the financial and environmental viability of these projects. Several factors positively influence the involvement of Quantity Surveyor’s in sustainable housing initiatives, which can be broadly categorized into five key areas: policy and regulatory drivers, economic considerations, technological advancements, stakeholder engagement, and professional development.</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One of the primary factors driving the involvement of Quantity Surveyors in sustainable housing is the evolving policy and regulatory landscape. Governments around the world have implemented various policies and regulations to promote sustainable construction practices, such as building energy efficiency standards, carbon emission reduction targets, and sustainable procurement requirements (European Commission, 2021). These policies create a strong impetus for Quantity Surveyors to integrate sustainable design and construction principles into their work, as they need to ensure compliance with these regulatory frameworks (</w:t>
      </w:r>
      <w:proofErr w:type="spellStart"/>
      <w:r w:rsidRPr="00E90B72">
        <w:rPr>
          <w:rFonts w:ascii="Times New Roman" w:hAnsi="Times New Roman" w:cs="Times New Roman"/>
          <w:sz w:val="24"/>
          <w:szCs w:val="24"/>
        </w:rPr>
        <w:t>Olawunmi</w:t>
      </w:r>
      <w:proofErr w:type="spellEnd"/>
      <w:r w:rsidRPr="00E90B72">
        <w:rPr>
          <w:rFonts w:ascii="Times New Roman" w:hAnsi="Times New Roman" w:cs="Times New Roman"/>
          <w:sz w:val="24"/>
          <w:szCs w:val="24"/>
        </w:rPr>
        <w:t xml:space="preserve"> </w:t>
      </w:r>
      <w:r w:rsidR="006A478C">
        <w:rPr>
          <w:rFonts w:ascii="Times New Roman" w:hAnsi="Times New Roman" w:cs="Times New Roman"/>
          <w:sz w:val="24"/>
          <w:szCs w:val="24"/>
        </w:rPr>
        <w:t>and</w:t>
      </w:r>
      <w:r w:rsidRPr="00E90B72">
        <w:rPr>
          <w:rFonts w:ascii="Times New Roman" w:hAnsi="Times New Roman" w:cs="Times New Roman"/>
          <w:sz w:val="24"/>
          <w:szCs w:val="24"/>
        </w:rPr>
        <w:t xml:space="preserve"> Chan, 2018).</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From an economic perspective, the growing emphasis on life cycle costing and whole-life value has significantly influenced the role of Quantity Surveyors in sustainable housing projects. Quantity </w:t>
      </w:r>
      <w:r w:rsidRPr="00E90B72">
        <w:rPr>
          <w:rFonts w:ascii="Times New Roman" w:hAnsi="Times New Roman" w:cs="Times New Roman"/>
          <w:sz w:val="24"/>
          <w:szCs w:val="24"/>
        </w:rPr>
        <w:lastRenderedPageBreak/>
        <w:t xml:space="preserve">Surveyors are uniquely positioned to conduct comprehensive life cycle cost analyses, incorporating energy efficiency, maintenance, and end-of-life considerations, to demonstrate the economic viability of sustainable housing solutions </w:t>
      </w:r>
      <w:r w:rsidR="00AF5BDC">
        <w:rPr>
          <w:rFonts w:ascii="Times New Roman" w:hAnsi="Times New Roman" w:cs="Times New Roman"/>
          <w:sz w:val="24"/>
          <w:szCs w:val="24"/>
        </w:rPr>
        <w:t>(</w:t>
      </w:r>
      <w:r w:rsidR="006A478C">
        <w:rPr>
          <w:rFonts w:ascii="Times New Roman" w:hAnsi="Times New Roman" w:cs="Times New Roman"/>
          <w:color w:val="000000" w:themeColor="text1"/>
          <w:sz w:val="24"/>
          <w:szCs w:val="24"/>
        </w:rPr>
        <w:t>Goh</w:t>
      </w:r>
      <w:r w:rsidR="00AF5BDC">
        <w:rPr>
          <w:rFonts w:ascii="Times New Roman" w:hAnsi="Times New Roman" w:cs="Times New Roman"/>
          <w:color w:val="000000" w:themeColor="text1"/>
          <w:sz w:val="24"/>
          <w:szCs w:val="24"/>
        </w:rPr>
        <w:t xml:space="preserve"> </w:t>
      </w:r>
      <w:r w:rsidR="006A478C">
        <w:rPr>
          <w:rFonts w:ascii="Times New Roman" w:hAnsi="Times New Roman" w:cs="Times New Roman"/>
          <w:color w:val="000000" w:themeColor="text1"/>
          <w:sz w:val="24"/>
          <w:szCs w:val="24"/>
        </w:rPr>
        <w:t>and</w:t>
      </w:r>
      <w:r w:rsidR="00AF5BDC">
        <w:rPr>
          <w:rFonts w:ascii="Times New Roman" w:hAnsi="Times New Roman" w:cs="Times New Roman"/>
          <w:color w:val="000000" w:themeColor="text1"/>
          <w:sz w:val="24"/>
          <w:szCs w:val="24"/>
        </w:rPr>
        <w:t xml:space="preserve"> Sun, </w:t>
      </w:r>
      <w:r w:rsidR="00AF5BDC" w:rsidRPr="00FE3CAE">
        <w:rPr>
          <w:rFonts w:ascii="Times New Roman" w:hAnsi="Times New Roman" w:cs="Times New Roman"/>
          <w:color w:val="000000" w:themeColor="text1"/>
          <w:sz w:val="24"/>
          <w:szCs w:val="24"/>
        </w:rPr>
        <w:t>2016).</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rapid advancements in building information modeling (BIM) and other digital technologies have also positively impacted the involvement of Quantity Surveyors in sustainable housing projects. BIM-enabled data integration and visualization allow Quantity Surveyors to effectively analyze the environmental and financial implications of design decisions, enabling them to optimize susta</w:t>
      </w:r>
      <w:r w:rsidR="00AF5BDC">
        <w:rPr>
          <w:rFonts w:ascii="Times New Roman" w:hAnsi="Times New Roman" w:cs="Times New Roman"/>
          <w:sz w:val="24"/>
          <w:szCs w:val="24"/>
        </w:rPr>
        <w:t>inable design solutions (</w:t>
      </w:r>
      <w:proofErr w:type="spellStart"/>
      <w:r w:rsidR="001E2C2A">
        <w:rPr>
          <w:rFonts w:ascii="Times New Roman" w:hAnsi="Times New Roman" w:cs="Times New Roman"/>
          <w:sz w:val="24"/>
          <w:szCs w:val="24"/>
        </w:rPr>
        <w:t>Tay</w:t>
      </w:r>
      <w:proofErr w:type="spellEnd"/>
      <w:r w:rsidR="001E2C2A">
        <w:rPr>
          <w:rFonts w:ascii="Times New Roman" w:hAnsi="Times New Roman" w:cs="Times New Roman"/>
          <w:sz w:val="24"/>
          <w:szCs w:val="24"/>
        </w:rPr>
        <w:t>, (2015</w:t>
      </w:r>
      <w:r w:rsidRPr="00E90B72">
        <w:rPr>
          <w:rFonts w:ascii="Times New Roman" w:hAnsi="Times New Roman" w:cs="Times New Roman"/>
          <w:sz w:val="24"/>
          <w:szCs w:val="24"/>
        </w:rPr>
        <w:t>). Additionally, the use of digital tools, such as energy modeling and carbon footprint calculators, empowers Quantity Surveyors to provide more accurate and data-driven assessments of the sustainability performance of buildings (</w:t>
      </w:r>
      <w:proofErr w:type="spellStart"/>
      <w:r w:rsidRPr="00E90B72">
        <w:rPr>
          <w:rFonts w:ascii="Times New Roman" w:hAnsi="Times New Roman" w:cs="Times New Roman"/>
          <w:sz w:val="24"/>
          <w:szCs w:val="24"/>
        </w:rPr>
        <w:t>Ngyen</w:t>
      </w:r>
      <w:proofErr w:type="spellEnd"/>
      <w:r w:rsidRPr="00E90B72">
        <w:rPr>
          <w:rFonts w:ascii="Times New Roman" w:hAnsi="Times New Roman" w:cs="Times New Roman"/>
          <w:sz w:val="24"/>
          <w:szCs w:val="24"/>
        </w:rPr>
        <w:t xml:space="preserve"> </w:t>
      </w:r>
      <w:r w:rsidRPr="006A478C">
        <w:rPr>
          <w:rFonts w:ascii="Times New Roman" w:hAnsi="Times New Roman" w:cs="Times New Roman"/>
          <w:i/>
          <w:sz w:val="24"/>
          <w:szCs w:val="24"/>
        </w:rPr>
        <w:t>et al</w:t>
      </w:r>
      <w:r w:rsidRPr="00E90B72">
        <w:rPr>
          <w:rFonts w:ascii="Times New Roman" w:hAnsi="Times New Roman" w:cs="Times New Roman"/>
          <w:sz w:val="24"/>
          <w:szCs w:val="24"/>
        </w:rPr>
        <w:t>, 2010). Effective stakeholder engagement and collaboration are crucial factors in the successful integration of Quantity Surveyors into sustainable housing initiatives. Quantity Surveyors must work closely with architects, engineers, contractors, and sustainability consultants to align their cost management expertise with the overall sustainability objectives of the project (</w:t>
      </w:r>
      <w:proofErr w:type="spellStart"/>
      <w:r w:rsidRPr="00E90B72">
        <w:rPr>
          <w:rFonts w:ascii="Times New Roman" w:hAnsi="Times New Roman" w:cs="Times New Roman"/>
          <w:sz w:val="24"/>
          <w:szCs w:val="24"/>
        </w:rPr>
        <w:t>Alwan</w:t>
      </w:r>
      <w:proofErr w:type="spellEnd"/>
      <w:r w:rsidRPr="00E90B72">
        <w:rPr>
          <w:rFonts w:ascii="Times New Roman" w:hAnsi="Times New Roman" w:cs="Times New Roman"/>
          <w:sz w:val="24"/>
          <w:szCs w:val="24"/>
        </w:rPr>
        <w:t xml:space="preserve"> </w:t>
      </w:r>
      <w:r w:rsidRPr="006A478C">
        <w:rPr>
          <w:rFonts w:ascii="Times New Roman" w:hAnsi="Times New Roman" w:cs="Times New Roman"/>
          <w:i/>
          <w:sz w:val="24"/>
          <w:szCs w:val="24"/>
        </w:rPr>
        <w:t>et al,</w:t>
      </w:r>
      <w:r w:rsidRPr="00E90B72">
        <w:rPr>
          <w:rFonts w:ascii="Times New Roman" w:hAnsi="Times New Roman" w:cs="Times New Roman"/>
          <w:sz w:val="24"/>
          <w:szCs w:val="24"/>
        </w:rPr>
        <w:t xml:space="preserve"> 2017). This collaborative approach helps to identify and address potential trade-offs between cost and sustainability, leading to more holistic and sustainab</w:t>
      </w:r>
      <w:r w:rsidR="006A478C">
        <w:rPr>
          <w:rFonts w:ascii="Times New Roman" w:hAnsi="Times New Roman" w:cs="Times New Roman"/>
          <w:sz w:val="24"/>
          <w:szCs w:val="24"/>
        </w:rPr>
        <w:t>le decision-making (</w:t>
      </w:r>
      <w:proofErr w:type="spellStart"/>
      <w:r w:rsidR="006A478C">
        <w:rPr>
          <w:rFonts w:ascii="Times New Roman" w:hAnsi="Times New Roman" w:cs="Times New Roman"/>
          <w:sz w:val="24"/>
          <w:szCs w:val="24"/>
        </w:rPr>
        <w:t>Zabihi</w:t>
      </w:r>
      <w:proofErr w:type="spellEnd"/>
      <w:r w:rsidR="006A478C">
        <w:rPr>
          <w:rFonts w:ascii="Times New Roman" w:hAnsi="Times New Roman" w:cs="Times New Roman"/>
          <w:sz w:val="24"/>
          <w:szCs w:val="24"/>
        </w:rPr>
        <w:t xml:space="preserve"> </w:t>
      </w:r>
      <w:r w:rsidR="006A478C" w:rsidRPr="006A478C">
        <w:rPr>
          <w:rFonts w:ascii="Times New Roman" w:hAnsi="Times New Roman" w:cs="Times New Roman"/>
          <w:i/>
          <w:sz w:val="24"/>
          <w:szCs w:val="24"/>
        </w:rPr>
        <w:t>et a</w:t>
      </w:r>
      <w:r w:rsidRPr="006A478C">
        <w:rPr>
          <w:rFonts w:ascii="Times New Roman" w:hAnsi="Times New Roman" w:cs="Times New Roman"/>
          <w:i/>
          <w:sz w:val="24"/>
          <w:szCs w:val="24"/>
        </w:rPr>
        <w:t>l</w:t>
      </w:r>
      <w:r w:rsidRPr="00E90B72">
        <w:rPr>
          <w:rFonts w:ascii="Times New Roman" w:hAnsi="Times New Roman" w:cs="Times New Roman"/>
          <w:sz w:val="24"/>
          <w:szCs w:val="24"/>
        </w:rPr>
        <w:t>, 2013).</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professional development and continuous learning of Quantity Surveyors also play a significant role in their involvement in sustainable housing projects. As the field of sustainable construction evolves rapidly, Quantity Surveyors need to stay abreast of the latest trends, technologies, and best practices (</w:t>
      </w:r>
      <w:proofErr w:type="spellStart"/>
      <w:r w:rsidRPr="00E90B72">
        <w:rPr>
          <w:rFonts w:ascii="Times New Roman" w:hAnsi="Times New Roman" w:cs="Times New Roman"/>
          <w:sz w:val="24"/>
          <w:szCs w:val="24"/>
        </w:rPr>
        <w:t>Emuze</w:t>
      </w:r>
      <w:proofErr w:type="spellEnd"/>
      <w:r w:rsidRPr="00E90B72">
        <w:rPr>
          <w:rFonts w:ascii="Times New Roman" w:hAnsi="Times New Roman" w:cs="Times New Roman"/>
          <w:sz w:val="24"/>
          <w:szCs w:val="24"/>
        </w:rPr>
        <w:t xml:space="preserve"> </w:t>
      </w:r>
      <w:r w:rsidR="006A478C">
        <w:rPr>
          <w:rFonts w:ascii="Times New Roman" w:hAnsi="Times New Roman" w:cs="Times New Roman"/>
          <w:sz w:val="24"/>
          <w:szCs w:val="24"/>
        </w:rPr>
        <w:t>and</w:t>
      </w:r>
      <w:r w:rsidRPr="00E90B72">
        <w:rPr>
          <w:rFonts w:ascii="Times New Roman" w:hAnsi="Times New Roman" w:cs="Times New Roman"/>
          <w:sz w:val="24"/>
          <w:szCs w:val="24"/>
        </w:rPr>
        <w:t xml:space="preserve"> Smallwood, 2014). By actively engaging in professional development activities, such as attending training sessions, participating in industry events, and joining sustainability-focused communities of practice, Quantity Surveyors can enhance their knowledge and skills to effectively contribute to the delivery of sustainable housing (</w:t>
      </w:r>
      <w:proofErr w:type="spellStart"/>
      <w:r w:rsidRPr="00E90B72">
        <w:rPr>
          <w:rFonts w:ascii="Times New Roman" w:hAnsi="Times New Roman" w:cs="Times New Roman"/>
          <w:sz w:val="24"/>
          <w:szCs w:val="24"/>
        </w:rPr>
        <w:t>Häkkinen</w:t>
      </w:r>
      <w:proofErr w:type="spellEnd"/>
      <w:r w:rsidRPr="00E90B72">
        <w:rPr>
          <w:rFonts w:ascii="Times New Roman" w:hAnsi="Times New Roman" w:cs="Times New Roman"/>
          <w:sz w:val="24"/>
          <w:szCs w:val="24"/>
        </w:rPr>
        <w:t xml:space="preserve"> </w:t>
      </w:r>
      <w:r w:rsidR="006A478C">
        <w:rPr>
          <w:rFonts w:ascii="Times New Roman" w:hAnsi="Times New Roman" w:cs="Times New Roman"/>
          <w:sz w:val="24"/>
          <w:szCs w:val="24"/>
        </w:rPr>
        <w:t>and</w:t>
      </w:r>
      <w:r w:rsidRPr="00E90B72">
        <w:rPr>
          <w:rFonts w:ascii="Times New Roman" w:hAnsi="Times New Roman" w:cs="Times New Roman"/>
          <w:sz w:val="24"/>
          <w:szCs w:val="24"/>
        </w:rPr>
        <w:t xml:space="preserve"> </w:t>
      </w:r>
      <w:proofErr w:type="spellStart"/>
      <w:r w:rsidRPr="00E90B72">
        <w:rPr>
          <w:rFonts w:ascii="Times New Roman" w:hAnsi="Times New Roman" w:cs="Times New Roman"/>
          <w:sz w:val="24"/>
          <w:szCs w:val="24"/>
        </w:rPr>
        <w:t>Belloni</w:t>
      </w:r>
      <w:proofErr w:type="spellEnd"/>
      <w:r w:rsidRPr="00E90B72">
        <w:rPr>
          <w:rFonts w:ascii="Times New Roman" w:hAnsi="Times New Roman" w:cs="Times New Roman"/>
          <w:sz w:val="24"/>
          <w:szCs w:val="24"/>
        </w:rPr>
        <w:t xml:space="preserve">, 2011). the growing awareness and client demand for sustainable housing solutions have also positively influenced the involvement of Quantity Surveyors. As homebuyers and tenants become more conscious of the environmental and health benefits of sustainable housing, they are increasingly prioritizing these considerations in their purchasing decisions (Banani </w:t>
      </w:r>
      <w:r w:rsidRPr="006A478C">
        <w:rPr>
          <w:rFonts w:ascii="Times New Roman" w:hAnsi="Times New Roman" w:cs="Times New Roman"/>
          <w:i/>
          <w:sz w:val="24"/>
          <w:szCs w:val="24"/>
        </w:rPr>
        <w:t>et al</w:t>
      </w:r>
      <w:r w:rsidRPr="00E90B72">
        <w:rPr>
          <w:rFonts w:ascii="Times New Roman" w:hAnsi="Times New Roman" w:cs="Times New Roman"/>
          <w:sz w:val="24"/>
          <w:szCs w:val="24"/>
        </w:rPr>
        <w:t>, 2016). This shift in market demand has incentivized the construction industry, including Quantity Surveyors, to integrate sustainable practices more proactively into their projects (Babangida, 2012).</w:t>
      </w:r>
    </w:p>
    <w:p w:rsidR="007D2F7D" w:rsidRPr="00E90B72"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emergence of innovative financing mechanisms, such as green bonds and sustainability-linked loans, has provided additional support for the involvement of Quantity Surveyors in sustainable housing projects. These financial instruments incentivize the development of environmentally responsible and socially conscious projects, which aligns with the expertise and responsibilities of Quantity Surveyors (</w:t>
      </w:r>
      <w:r w:rsidRPr="00E90B72">
        <w:rPr>
          <w:rFonts w:ascii="Times New Roman" w:hAnsi="Times New Roman" w:cs="Times New Roman"/>
          <w:color w:val="000000" w:themeColor="text1"/>
          <w:sz w:val="24"/>
          <w:szCs w:val="24"/>
        </w:rPr>
        <w:t>Hyun</w:t>
      </w:r>
      <w:r w:rsidRPr="00E90B72">
        <w:rPr>
          <w:rFonts w:ascii="Times New Roman" w:hAnsi="Times New Roman" w:cs="Times New Roman"/>
          <w:sz w:val="24"/>
          <w:szCs w:val="24"/>
        </w:rPr>
        <w:t xml:space="preserve"> </w:t>
      </w:r>
      <w:r w:rsidR="006A478C">
        <w:rPr>
          <w:rFonts w:ascii="Times New Roman" w:hAnsi="Times New Roman" w:cs="Times New Roman"/>
          <w:color w:val="000000" w:themeColor="text1"/>
          <w:sz w:val="24"/>
          <w:szCs w:val="24"/>
        </w:rPr>
        <w:t>and</w:t>
      </w:r>
      <w:r w:rsidRPr="00E90B72">
        <w:rPr>
          <w:rFonts w:ascii="Times New Roman" w:hAnsi="Times New Roman" w:cs="Times New Roman"/>
          <w:color w:val="000000" w:themeColor="text1"/>
          <w:sz w:val="24"/>
          <w:szCs w:val="24"/>
        </w:rPr>
        <w:t xml:space="preserve"> Jang, 2020)</w:t>
      </w:r>
      <w:r w:rsidR="000A7D78">
        <w:rPr>
          <w:rFonts w:ascii="Times New Roman" w:hAnsi="Times New Roman" w:cs="Times New Roman"/>
          <w:color w:val="000000" w:themeColor="text1"/>
          <w:sz w:val="24"/>
          <w:szCs w:val="24"/>
        </w:rPr>
        <w:t>.</w:t>
      </w:r>
    </w:p>
    <w:p w:rsidR="007716E0" w:rsidRDefault="007D2F7D"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findings from this research work will investigate the positive factors influencing Quantity surveyors' involvement in sustainable housing projects within the Lagos, Nigeria housing development landscape, while examining their evolving roles and responsibilities throughout the construction stage.</w:t>
      </w:r>
    </w:p>
    <w:p w:rsidR="0059560C" w:rsidRDefault="0059560C" w:rsidP="0059560C">
      <w:pPr>
        <w:spacing w:line="240" w:lineRule="auto"/>
        <w:ind w:right="-613"/>
        <w:jc w:val="both"/>
        <w:rPr>
          <w:rFonts w:ascii="Times New Roman" w:hAnsi="Times New Roman" w:cs="Times New Roman"/>
          <w:sz w:val="24"/>
          <w:szCs w:val="24"/>
        </w:rPr>
      </w:pPr>
    </w:p>
    <w:p w:rsidR="002D2965" w:rsidRDefault="002D2965" w:rsidP="002D2965">
      <w:pPr>
        <w:pStyle w:val="Caption"/>
        <w:keepNext/>
        <w:spacing w:after="0" w:line="276" w:lineRule="auto"/>
        <w:ind w:left="-709" w:right="-613"/>
        <w:jc w:val="both"/>
        <w:rPr>
          <w:b/>
          <w:bCs w:val="0"/>
        </w:rPr>
      </w:pPr>
      <w:bookmarkStart w:id="8" w:name="_Toc175821637"/>
      <w:r>
        <w:rPr>
          <w:b/>
          <w:bCs w:val="0"/>
        </w:rPr>
        <w:t>Table I</w:t>
      </w:r>
      <w:r w:rsidRPr="00DE765B">
        <w:rPr>
          <w:b/>
          <w:bCs w:val="0"/>
        </w:rPr>
        <w:t xml:space="preserve">: Summary of Factors That Influence The Involvement of Quantity </w:t>
      </w:r>
      <w:r>
        <w:rPr>
          <w:b/>
          <w:bCs w:val="0"/>
        </w:rPr>
        <w:t xml:space="preserve"> </w:t>
      </w:r>
      <w:r w:rsidRPr="00DE765B">
        <w:rPr>
          <w:b/>
          <w:bCs w:val="0"/>
        </w:rPr>
        <w:t>Surveyors in</w:t>
      </w:r>
      <w:r>
        <w:rPr>
          <w:b/>
          <w:bCs w:val="0"/>
        </w:rPr>
        <w:t xml:space="preserve"> the Delivery</w:t>
      </w:r>
      <w:r w:rsidRPr="00DE765B">
        <w:rPr>
          <w:b/>
          <w:bCs w:val="0"/>
        </w:rPr>
        <w:t xml:space="preserve"> Sustainable Housing Projects</w:t>
      </w:r>
      <w:bookmarkEnd w:id="8"/>
    </w:p>
    <w:p w:rsidR="002D2965" w:rsidRPr="00496D6F" w:rsidRDefault="002D2965" w:rsidP="002D2965"/>
    <w:tbl>
      <w:tblPr>
        <w:tblStyle w:val="PlainTable2"/>
        <w:tblW w:w="0" w:type="auto"/>
        <w:tblLook w:val="06A0" w:firstRow="1" w:lastRow="0" w:firstColumn="1" w:lastColumn="0" w:noHBand="1" w:noVBand="1"/>
      </w:tblPr>
      <w:tblGrid>
        <w:gridCol w:w="895"/>
        <w:gridCol w:w="5338"/>
        <w:gridCol w:w="3117"/>
      </w:tblGrid>
      <w:tr w:rsidR="002D2965" w:rsidRPr="00E90B72" w:rsidTr="002D29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Borders>
              <w:top w:val="single" w:sz="12" w:space="0" w:color="auto"/>
              <w:bottom w:val="single" w:sz="12" w:space="0" w:color="auto"/>
            </w:tcBorders>
          </w:tcPr>
          <w:p w:rsidR="002D2965" w:rsidRPr="00E90B72" w:rsidRDefault="002D2965" w:rsidP="002D2965">
            <w:pPr>
              <w:jc w:val="both"/>
              <w:rPr>
                <w:rFonts w:ascii="Times New Roman" w:hAnsi="Times New Roman" w:cs="Times New Roman"/>
                <w:b w:val="0"/>
                <w:bCs w:val="0"/>
                <w:sz w:val="24"/>
                <w:szCs w:val="24"/>
              </w:rPr>
            </w:pPr>
            <w:r w:rsidRPr="00E90B72">
              <w:rPr>
                <w:rFonts w:ascii="Times New Roman" w:hAnsi="Times New Roman" w:cs="Times New Roman"/>
                <w:sz w:val="24"/>
                <w:szCs w:val="24"/>
              </w:rPr>
              <w:t>S/N</w:t>
            </w:r>
          </w:p>
        </w:tc>
        <w:tc>
          <w:tcPr>
            <w:tcW w:w="5338" w:type="dxa"/>
            <w:tcBorders>
              <w:top w:val="single" w:sz="12" w:space="0" w:color="auto"/>
              <w:bottom w:val="single" w:sz="12" w:space="0" w:color="auto"/>
            </w:tcBorders>
          </w:tcPr>
          <w:p w:rsidR="002D2965" w:rsidRPr="00E90B72" w:rsidRDefault="002D2965" w:rsidP="002D296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90B72">
              <w:rPr>
                <w:rFonts w:ascii="Times New Roman" w:hAnsi="Times New Roman" w:cs="Times New Roman"/>
                <w:sz w:val="24"/>
                <w:szCs w:val="24"/>
              </w:rPr>
              <w:t xml:space="preserve">Factors </w:t>
            </w:r>
          </w:p>
        </w:tc>
        <w:tc>
          <w:tcPr>
            <w:tcW w:w="3117" w:type="dxa"/>
            <w:tcBorders>
              <w:top w:val="single" w:sz="12" w:space="0" w:color="auto"/>
              <w:bottom w:val="single" w:sz="12" w:space="0" w:color="auto"/>
            </w:tcBorders>
          </w:tcPr>
          <w:p w:rsidR="002D2965" w:rsidRPr="00E90B72" w:rsidRDefault="002D2965" w:rsidP="002D296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90B72">
              <w:rPr>
                <w:rFonts w:ascii="Times New Roman" w:hAnsi="Times New Roman" w:cs="Times New Roman"/>
                <w:sz w:val="24"/>
                <w:szCs w:val="24"/>
              </w:rPr>
              <w:t xml:space="preserve">Sources </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Borders>
              <w:top w:val="single" w:sz="12" w:space="0" w:color="auto"/>
            </w:tcBorders>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w:t>
            </w:r>
          </w:p>
        </w:tc>
        <w:tc>
          <w:tcPr>
            <w:tcW w:w="5338" w:type="dxa"/>
            <w:tcBorders>
              <w:top w:val="single" w:sz="12" w:space="0" w:color="auto"/>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Evolving policy and regulatory drivers</w:t>
            </w:r>
          </w:p>
        </w:tc>
        <w:tc>
          <w:tcPr>
            <w:tcW w:w="3117" w:type="dxa"/>
            <w:tcBorders>
              <w:top w:val="single" w:sz="12" w:space="0" w:color="auto"/>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Olawunmi</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and</w:t>
            </w:r>
            <w:r w:rsidRPr="00E90B72">
              <w:rPr>
                <w:rFonts w:ascii="Times New Roman" w:hAnsi="Times New Roman" w:cs="Times New Roman"/>
                <w:sz w:val="24"/>
                <w:szCs w:val="24"/>
              </w:rPr>
              <w:t xml:space="preserve"> Chan, 2018)</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2</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Growing emphasis on life cycle costing and whole-</w:t>
            </w:r>
            <w:r w:rsidRPr="00E90B72">
              <w:rPr>
                <w:rFonts w:ascii="Times New Roman" w:hAnsi="Times New Roman" w:cs="Times New Roman"/>
                <w:sz w:val="24"/>
                <w:szCs w:val="24"/>
              </w:rPr>
              <w:lastRenderedPageBreak/>
              <w:t>life value assessment.</w:t>
            </w:r>
          </w:p>
        </w:tc>
        <w:tc>
          <w:tcPr>
            <w:tcW w:w="3117" w:type="dxa"/>
          </w:tcPr>
          <w:p w:rsidR="002D2965" w:rsidRPr="00E90B72" w:rsidRDefault="002D2965" w:rsidP="002D29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themeColor="text1"/>
                <w:sz w:val="24"/>
                <w:szCs w:val="24"/>
              </w:rPr>
              <w:lastRenderedPageBreak/>
              <w:t>(</w:t>
            </w:r>
            <w:proofErr w:type="spellStart"/>
            <w:r>
              <w:rPr>
                <w:rFonts w:ascii="Times New Roman" w:hAnsi="Times New Roman" w:cs="Times New Roman"/>
                <w:color w:val="000000" w:themeColor="text1"/>
                <w:sz w:val="24"/>
                <w:szCs w:val="24"/>
              </w:rPr>
              <w:t>Goh</w:t>
            </w:r>
            <w:proofErr w:type="spellEnd"/>
            <w:r>
              <w:rPr>
                <w:rFonts w:ascii="Times New Roman" w:hAnsi="Times New Roman" w:cs="Times New Roman"/>
                <w:color w:val="000000" w:themeColor="text1"/>
                <w:sz w:val="24"/>
                <w:szCs w:val="24"/>
              </w:rPr>
              <w:t xml:space="preserve"> and Sun, </w:t>
            </w:r>
            <w:r w:rsidRPr="00FE3CAE">
              <w:rPr>
                <w:rFonts w:ascii="Times New Roman" w:hAnsi="Times New Roman" w:cs="Times New Roman"/>
                <w:color w:val="000000" w:themeColor="text1"/>
                <w:sz w:val="24"/>
                <w:szCs w:val="24"/>
              </w:rPr>
              <w:t>2016).</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lastRenderedPageBreak/>
              <w:t>3</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Advancements in building information modeling (BIM) and other digital technologies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 xml:space="preserve">(Bynum </w:t>
            </w:r>
            <w:r w:rsidRPr="00987252">
              <w:rPr>
                <w:rFonts w:ascii="Times New Roman" w:hAnsi="Times New Roman" w:cs="Times New Roman"/>
                <w:i/>
                <w:sz w:val="24"/>
                <w:szCs w:val="24"/>
              </w:rPr>
              <w:t>et al</w:t>
            </w:r>
            <w:r w:rsidRPr="00E90B72">
              <w:rPr>
                <w:rFonts w:ascii="Times New Roman" w:hAnsi="Times New Roman" w:cs="Times New Roman"/>
                <w:sz w:val="24"/>
                <w:szCs w:val="24"/>
              </w:rPr>
              <w:t>, 2013).</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4</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 xml:space="preserve">Effective stakeholder engagement and collaboration among Quantity Surveyors and other professionals in the construction industry </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Zabihi</w:t>
            </w:r>
            <w:proofErr w:type="spellEnd"/>
            <w:r w:rsidRPr="00E90B72">
              <w:rPr>
                <w:rFonts w:ascii="Times New Roman" w:hAnsi="Times New Roman" w:cs="Times New Roman"/>
                <w:sz w:val="24"/>
                <w:szCs w:val="24"/>
              </w:rPr>
              <w:t xml:space="preserve"> </w:t>
            </w:r>
            <w:r w:rsidRPr="00987252">
              <w:rPr>
                <w:rFonts w:ascii="Times New Roman" w:hAnsi="Times New Roman" w:cs="Times New Roman"/>
                <w:i/>
                <w:sz w:val="24"/>
                <w:szCs w:val="24"/>
              </w:rPr>
              <w:t>et al</w:t>
            </w:r>
            <w:r w:rsidRPr="00E90B72">
              <w:rPr>
                <w:rFonts w:ascii="Times New Roman" w:hAnsi="Times New Roman" w:cs="Times New Roman"/>
                <w:sz w:val="24"/>
                <w:szCs w:val="24"/>
              </w:rPr>
              <w:t>, 2013).</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5</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Continuous professional development</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Emuze</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90B72">
              <w:rPr>
                <w:rFonts w:ascii="Times New Roman" w:hAnsi="Times New Roman" w:cs="Times New Roman"/>
                <w:sz w:val="24"/>
                <w:szCs w:val="24"/>
              </w:rPr>
              <w:t>Smallwood, 2014)</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6</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Increasing client demand and market awareness for sustainable housing solutions.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Banani</w:t>
            </w:r>
            <w:proofErr w:type="spellEnd"/>
            <w:r w:rsidRPr="00E90B72">
              <w:rPr>
                <w:rFonts w:ascii="Times New Roman" w:hAnsi="Times New Roman" w:cs="Times New Roman"/>
                <w:sz w:val="24"/>
                <w:szCs w:val="24"/>
              </w:rPr>
              <w:t xml:space="preserve"> </w:t>
            </w:r>
            <w:r w:rsidRPr="00987252">
              <w:rPr>
                <w:rFonts w:ascii="Times New Roman" w:hAnsi="Times New Roman" w:cs="Times New Roman"/>
                <w:i/>
                <w:sz w:val="24"/>
                <w:szCs w:val="24"/>
              </w:rPr>
              <w:t>et al</w:t>
            </w:r>
            <w:r w:rsidRPr="00E90B72">
              <w:rPr>
                <w:rFonts w:ascii="Times New Roman" w:hAnsi="Times New Roman" w:cs="Times New Roman"/>
                <w:sz w:val="24"/>
                <w:szCs w:val="24"/>
              </w:rPr>
              <w:t>, 2016)</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7</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 xml:space="preserve">Emergence of innovative financing mechanisms, such as green bonds and sustainability-linked </w:t>
            </w:r>
            <w:proofErr w:type="gramStart"/>
            <w:r w:rsidRPr="00E90B72">
              <w:rPr>
                <w:rFonts w:ascii="Times New Roman" w:hAnsi="Times New Roman" w:cs="Times New Roman"/>
                <w:sz w:val="24"/>
                <w:szCs w:val="24"/>
              </w:rPr>
              <w:t>loans, that</w:t>
            </w:r>
            <w:proofErr w:type="gramEnd"/>
            <w:r w:rsidRPr="00E90B72">
              <w:rPr>
                <w:rFonts w:ascii="Times New Roman" w:hAnsi="Times New Roman" w:cs="Times New Roman"/>
                <w:sz w:val="24"/>
                <w:szCs w:val="24"/>
              </w:rPr>
              <w:t xml:space="preserve"> incentivize sustainable construction.</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r w:rsidRPr="00E90B72">
              <w:rPr>
                <w:rFonts w:ascii="Times New Roman" w:hAnsi="Times New Roman" w:cs="Times New Roman"/>
                <w:color w:val="000000" w:themeColor="text1"/>
                <w:sz w:val="24"/>
                <w:szCs w:val="24"/>
              </w:rPr>
              <w:t>Hyun</w:t>
            </w:r>
            <w:r w:rsidRPr="00E90B72">
              <w:rPr>
                <w:rFonts w:ascii="Times New Roman" w:hAnsi="Times New Roman" w:cs="Times New Roman"/>
                <w:sz w:val="24"/>
                <w:szCs w:val="24"/>
              </w:rPr>
              <w:t xml:space="preserve"> </w:t>
            </w:r>
            <w:r>
              <w:rPr>
                <w:rFonts w:ascii="Times New Roman" w:hAnsi="Times New Roman" w:cs="Times New Roman"/>
                <w:color w:val="000000" w:themeColor="text1"/>
                <w:sz w:val="24"/>
                <w:szCs w:val="24"/>
              </w:rPr>
              <w:t>and</w:t>
            </w:r>
            <w:r w:rsidRPr="00E90B72">
              <w:rPr>
                <w:rFonts w:ascii="Times New Roman" w:hAnsi="Times New Roman" w:cs="Times New Roman"/>
                <w:color w:val="000000" w:themeColor="text1"/>
                <w:sz w:val="24"/>
                <w:szCs w:val="24"/>
              </w:rPr>
              <w:t xml:space="preserve"> Jang, 2020)</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8</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Alignment of sustainable construction practices with the core competencies and responsibilities of Quantity Surveyors.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Barua</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and</w:t>
            </w:r>
            <w:r w:rsidRPr="00E90B72">
              <w:rPr>
                <w:rFonts w:ascii="Times New Roman" w:hAnsi="Times New Roman" w:cs="Times New Roman"/>
                <w:sz w:val="24"/>
                <w:szCs w:val="24"/>
              </w:rPr>
              <w:t xml:space="preserve"> </w:t>
            </w:r>
            <w:proofErr w:type="spellStart"/>
            <w:r w:rsidRPr="00E90B72">
              <w:rPr>
                <w:rFonts w:ascii="Times New Roman" w:hAnsi="Times New Roman" w:cs="Times New Roman"/>
                <w:sz w:val="24"/>
                <w:szCs w:val="24"/>
              </w:rPr>
              <w:t>Gyakum</w:t>
            </w:r>
            <w:proofErr w:type="spellEnd"/>
            <w:r w:rsidRPr="00E90B72">
              <w:rPr>
                <w:rFonts w:ascii="Times New Roman" w:hAnsi="Times New Roman" w:cs="Times New Roman"/>
                <w:sz w:val="24"/>
                <w:szCs w:val="24"/>
              </w:rPr>
              <w:t>, 2019)</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9</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Advancements in construction materials and technologies that improve the environmental performance of buildings.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Zalejska-Jonsson</w:t>
            </w:r>
            <w:proofErr w:type="spellEnd"/>
            <w:r w:rsidRPr="00E90B72">
              <w:rPr>
                <w:rFonts w:ascii="Times New Roman" w:hAnsi="Times New Roman" w:cs="Times New Roman"/>
                <w:sz w:val="24"/>
                <w:szCs w:val="24"/>
              </w:rPr>
              <w:t>, 2014)</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10</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Growing focus on water conservation and the implementation of sustainable water management strategies.</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Haigh</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and</w:t>
            </w:r>
            <w:r w:rsidRPr="00E90B72">
              <w:rPr>
                <w:rFonts w:ascii="Times New Roman" w:hAnsi="Times New Roman" w:cs="Times New Roman"/>
                <w:sz w:val="24"/>
                <w:szCs w:val="24"/>
              </w:rPr>
              <w:t xml:space="preserve"> </w:t>
            </w:r>
            <w:proofErr w:type="spellStart"/>
            <w:r w:rsidRPr="00E90B72">
              <w:rPr>
                <w:rFonts w:ascii="Times New Roman" w:hAnsi="Times New Roman" w:cs="Times New Roman"/>
                <w:sz w:val="24"/>
                <w:szCs w:val="24"/>
              </w:rPr>
              <w:t>Dilanthi</w:t>
            </w:r>
            <w:proofErr w:type="spellEnd"/>
            <w:r w:rsidRPr="00E90B72">
              <w:rPr>
                <w:rFonts w:ascii="Times New Roman" w:hAnsi="Times New Roman" w:cs="Times New Roman"/>
                <w:sz w:val="24"/>
                <w:szCs w:val="24"/>
              </w:rPr>
              <w:t>, 2020)</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11</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 xml:space="preserve">Incorporation of passive design features, such as natural ventilation and </w:t>
            </w:r>
            <w:proofErr w:type="spellStart"/>
            <w:r w:rsidRPr="00E90B72">
              <w:rPr>
                <w:rFonts w:ascii="Times New Roman" w:hAnsi="Times New Roman" w:cs="Times New Roman"/>
                <w:sz w:val="24"/>
                <w:szCs w:val="24"/>
              </w:rPr>
              <w:t>daylighting</w:t>
            </w:r>
            <w:proofErr w:type="spellEnd"/>
            <w:r w:rsidRPr="00E90B72">
              <w:rPr>
                <w:rFonts w:ascii="Times New Roman" w:hAnsi="Times New Roman" w:cs="Times New Roman"/>
                <w:sz w:val="24"/>
                <w:szCs w:val="24"/>
              </w:rPr>
              <w:t>, to reduce energy consumption.</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Haigh</w:t>
            </w:r>
            <w:proofErr w:type="spellEnd"/>
            <w:r w:rsidRPr="00E90B72">
              <w:rPr>
                <w:rFonts w:ascii="Times New Roman" w:hAnsi="Times New Roman" w:cs="Times New Roman"/>
                <w:sz w:val="24"/>
                <w:szCs w:val="24"/>
              </w:rPr>
              <w:t xml:space="preserve"> </w:t>
            </w:r>
            <w:r>
              <w:rPr>
                <w:rFonts w:ascii="Times New Roman" w:hAnsi="Times New Roman" w:cs="Times New Roman"/>
                <w:sz w:val="24"/>
                <w:szCs w:val="24"/>
              </w:rPr>
              <w:t>and</w:t>
            </w:r>
            <w:r w:rsidRPr="00E90B72">
              <w:rPr>
                <w:rFonts w:ascii="Times New Roman" w:hAnsi="Times New Roman" w:cs="Times New Roman"/>
                <w:sz w:val="24"/>
                <w:szCs w:val="24"/>
              </w:rPr>
              <w:t xml:space="preserve"> </w:t>
            </w:r>
            <w:proofErr w:type="spellStart"/>
            <w:r w:rsidRPr="00E90B72">
              <w:rPr>
                <w:rFonts w:ascii="Times New Roman" w:hAnsi="Times New Roman" w:cs="Times New Roman"/>
                <w:sz w:val="24"/>
                <w:szCs w:val="24"/>
              </w:rPr>
              <w:t>Dilanthi</w:t>
            </w:r>
            <w:proofErr w:type="spellEnd"/>
            <w:r w:rsidRPr="00E90B72">
              <w:rPr>
                <w:rFonts w:ascii="Times New Roman" w:hAnsi="Times New Roman" w:cs="Times New Roman"/>
                <w:sz w:val="24"/>
                <w:szCs w:val="24"/>
              </w:rPr>
              <w:t>, 2020)</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12</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Improved understanding of the long-term financial benefits of sustainable design and construction.</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Caplehorn</w:t>
            </w:r>
            <w:proofErr w:type="spellEnd"/>
            <w:r w:rsidRPr="00E90B72">
              <w:rPr>
                <w:rFonts w:ascii="Times New Roman" w:hAnsi="Times New Roman" w:cs="Times New Roman"/>
                <w:sz w:val="24"/>
                <w:szCs w:val="24"/>
              </w:rPr>
              <w:t>, 2012)</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13</w:t>
            </w:r>
          </w:p>
        </w:tc>
        <w:tc>
          <w:tcPr>
            <w:tcW w:w="5338"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Increasing availability of green building certification and rating systems that drive sustainable design and construction.</w:t>
            </w:r>
          </w:p>
        </w:tc>
        <w:tc>
          <w:tcPr>
            <w:tcW w:w="3117" w:type="dxa"/>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Peah</w:t>
            </w:r>
            <w:proofErr w:type="spellEnd"/>
            <w:r w:rsidRPr="00E90B72">
              <w:rPr>
                <w:rFonts w:ascii="Times New Roman" w:hAnsi="Times New Roman" w:cs="Times New Roman"/>
                <w:sz w:val="24"/>
                <w:szCs w:val="24"/>
              </w:rPr>
              <w:t>, 2009)</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Borders>
              <w:bottom w:val="nil"/>
            </w:tcBorders>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14</w:t>
            </w:r>
          </w:p>
        </w:tc>
        <w:tc>
          <w:tcPr>
            <w:tcW w:w="5338" w:type="dxa"/>
            <w:tcBorders>
              <w:bottom w:val="nil"/>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Increasing availability of professional training and education programs focused on sustainable construction.</w:t>
            </w:r>
          </w:p>
        </w:tc>
        <w:tc>
          <w:tcPr>
            <w:tcW w:w="3117" w:type="dxa"/>
            <w:tcBorders>
              <w:bottom w:val="nil"/>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Robichaud</w:t>
            </w:r>
            <w:proofErr w:type="spellEnd"/>
            <w:r w:rsidRPr="00E90B72">
              <w:rPr>
                <w:rFonts w:ascii="Times New Roman" w:hAnsi="Times New Roman" w:cs="Times New Roman"/>
                <w:sz w:val="24"/>
                <w:szCs w:val="24"/>
              </w:rPr>
              <w:t xml:space="preserve"> &amp; </w:t>
            </w:r>
            <w:proofErr w:type="spellStart"/>
            <w:r w:rsidRPr="00E90B72">
              <w:rPr>
                <w:rFonts w:ascii="Times New Roman" w:hAnsi="Times New Roman" w:cs="Times New Roman"/>
                <w:sz w:val="24"/>
                <w:szCs w:val="24"/>
              </w:rPr>
              <w:t>Anantatmula</w:t>
            </w:r>
            <w:proofErr w:type="spellEnd"/>
            <w:r w:rsidRPr="00E90B72">
              <w:rPr>
                <w:rFonts w:ascii="Times New Roman" w:hAnsi="Times New Roman" w:cs="Times New Roman"/>
                <w:sz w:val="24"/>
                <w:szCs w:val="24"/>
              </w:rPr>
              <w:t>, 2011)</w:t>
            </w:r>
          </w:p>
        </w:tc>
      </w:tr>
      <w:tr w:rsidR="002D2965" w:rsidRPr="00E90B72" w:rsidTr="002D2965">
        <w:tc>
          <w:tcPr>
            <w:cnfStyle w:val="001000000000" w:firstRow="0" w:lastRow="0" w:firstColumn="1" w:lastColumn="0" w:oddVBand="0" w:evenVBand="0" w:oddHBand="0" w:evenHBand="0" w:firstRowFirstColumn="0" w:firstRowLastColumn="0" w:lastRowFirstColumn="0" w:lastRowLastColumn="0"/>
            <w:tcW w:w="895" w:type="dxa"/>
            <w:tcBorders>
              <w:top w:val="nil"/>
              <w:bottom w:val="single" w:sz="12" w:space="0" w:color="auto"/>
            </w:tcBorders>
          </w:tcPr>
          <w:p w:rsidR="002D2965" w:rsidRPr="00E90B72" w:rsidRDefault="002D2965" w:rsidP="002D2965">
            <w:pPr>
              <w:jc w:val="both"/>
              <w:rPr>
                <w:rFonts w:ascii="Times New Roman" w:hAnsi="Times New Roman" w:cs="Times New Roman"/>
                <w:sz w:val="24"/>
                <w:szCs w:val="24"/>
              </w:rPr>
            </w:pPr>
            <w:r w:rsidRPr="00E90B72">
              <w:rPr>
                <w:rFonts w:ascii="Times New Roman" w:hAnsi="Times New Roman" w:cs="Times New Roman"/>
                <w:sz w:val="24"/>
                <w:szCs w:val="24"/>
              </w:rPr>
              <w:t>15</w:t>
            </w:r>
          </w:p>
        </w:tc>
        <w:tc>
          <w:tcPr>
            <w:tcW w:w="5338" w:type="dxa"/>
            <w:tcBorders>
              <w:top w:val="nil"/>
              <w:bottom w:val="single" w:sz="12" w:space="0" w:color="auto"/>
            </w:tcBorders>
          </w:tcPr>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Supportive policies and incentives from governments and regulatory bodies to promote the adoption of sustainable construction practices.</w:t>
            </w:r>
          </w:p>
        </w:tc>
        <w:tc>
          <w:tcPr>
            <w:tcW w:w="3117" w:type="dxa"/>
            <w:tcBorders>
              <w:top w:val="nil"/>
              <w:bottom w:val="single" w:sz="12" w:space="0" w:color="auto"/>
            </w:tcBorders>
          </w:tcPr>
          <w:p w:rsidR="002D2965"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Pittau</w:t>
            </w:r>
            <w:proofErr w:type="spellEnd"/>
            <w:r w:rsidRPr="00E90B72">
              <w:rPr>
                <w:rFonts w:ascii="Times New Roman" w:hAnsi="Times New Roman" w:cs="Times New Roman"/>
                <w:sz w:val="24"/>
                <w:szCs w:val="24"/>
              </w:rPr>
              <w:t xml:space="preserve"> </w:t>
            </w:r>
            <w:r w:rsidRPr="00987252">
              <w:rPr>
                <w:rFonts w:ascii="Times New Roman" w:hAnsi="Times New Roman" w:cs="Times New Roman"/>
                <w:i/>
                <w:sz w:val="24"/>
                <w:szCs w:val="24"/>
              </w:rPr>
              <w:t>et al</w:t>
            </w:r>
            <w:r w:rsidRPr="00E90B72">
              <w:rPr>
                <w:rFonts w:ascii="Times New Roman" w:hAnsi="Times New Roman" w:cs="Times New Roman"/>
                <w:sz w:val="24"/>
                <w:szCs w:val="24"/>
              </w:rPr>
              <w:t>, 2019)</w:t>
            </w:r>
          </w:p>
          <w:p w:rsidR="002D2965"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2D2965" w:rsidRPr="00E90B72" w:rsidRDefault="002D2965" w:rsidP="002D29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D2965" w:rsidRDefault="002D2965" w:rsidP="006C44AF">
      <w:pPr>
        <w:spacing w:line="240" w:lineRule="auto"/>
        <w:ind w:left="-709" w:right="-613"/>
        <w:rPr>
          <w:rFonts w:ascii="Times New Roman" w:hAnsi="Times New Roman" w:cs="Times New Roman"/>
          <w:b/>
          <w:sz w:val="24"/>
          <w:szCs w:val="24"/>
        </w:rPr>
      </w:pPr>
    </w:p>
    <w:p w:rsidR="00784A4E" w:rsidRPr="004C7304" w:rsidRDefault="00FB6F2D" w:rsidP="0059560C">
      <w:pPr>
        <w:spacing w:line="240" w:lineRule="auto"/>
        <w:ind w:right="-613"/>
        <w:rPr>
          <w:rFonts w:ascii="Times New Roman" w:hAnsi="Times New Roman" w:cs="Times New Roman"/>
          <w:b/>
          <w:i/>
          <w:sz w:val="24"/>
          <w:szCs w:val="24"/>
        </w:rPr>
      </w:pPr>
      <w:r w:rsidRPr="00496D6F">
        <w:rPr>
          <w:rFonts w:ascii="Times New Roman" w:hAnsi="Times New Roman" w:cs="Times New Roman"/>
          <w:b/>
          <w:sz w:val="24"/>
          <w:szCs w:val="24"/>
        </w:rPr>
        <w:t>3.0</w:t>
      </w:r>
      <w:r w:rsidRPr="00496D6F">
        <w:rPr>
          <w:rFonts w:ascii="Times New Roman" w:hAnsi="Times New Roman" w:cs="Times New Roman"/>
          <w:b/>
          <w:sz w:val="24"/>
          <w:szCs w:val="24"/>
        </w:rPr>
        <w:tab/>
      </w:r>
      <w:r w:rsidR="00784A4E" w:rsidRPr="004C7304">
        <w:rPr>
          <w:rFonts w:ascii="Times New Roman" w:hAnsi="Times New Roman" w:cs="Times New Roman"/>
          <w:b/>
          <w:i/>
          <w:sz w:val="24"/>
          <w:szCs w:val="24"/>
        </w:rPr>
        <w:t>Methodology</w:t>
      </w:r>
    </w:p>
    <w:p w:rsidR="00784A4E" w:rsidRPr="00E90B72" w:rsidRDefault="00784A4E"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This study seeks to comprehensively explore the involvement of Quantity Surveyors in delivering housing projects within Lagos, Nigeria. To achieve a well-rounded understanding, the research target</w:t>
      </w:r>
      <w:r>
        <w:rPr>
          <w:rFonts w:ascii="Times New Roman" w:hAnsi="Times New Roman" w:cs="Times New Roman"/>
          <w:sz w:val="24"/>
          <w:szCs w:val="24"/>
        </w:rPr>
        <w:t>ed</w:t>
      </w:r>
      <w:r w:rsidRPr="00E90B72">
        <w:rPr>
          <w:rFonts w:ascii="Times New Roman" w:hAnsi="Times New Roman" w:cs="Times New Roman"/>
          <w:sz w:val="24"/>
          <w:szCs w:val="24"/>
        </w:rPr>
        <w:t xml:space="preserve"> a </w:t>
      </w:r>
      <w:r>
        <w:rPr>
          <w:rFonts w:ascii="Times New Roman" w:hAnsi="Times New Roman" w:cs="Times New Roman"/>
          <w:sz w:val="24"/>
          <w:szCs w:val="24"/>
        </w:rPr>
        <w:t xml:space="preserve">less </w:t>
      </w:r>
      <w:r w:rsidRPr="00E90B72">
        <w:rPr>
          <w:rFonts w:ascii="Times New Roman" w:hAnsi="Times New Roman" w:cs="Times New Roman"/>
          <w:sz w:val="24"/>
          <w:szCs w:val="24"/>
        </w:rPr>
        <w:t>diverse range of participants across the construction ecosystem in Lagos.</w:t>
      </w:r>
    </w:p>
    <w:p w:rsidR="006A478C" w:rsidRDefault="00784A4E"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Firstly, the study engage</w:t>
      </w:r>
      <w:r>
        <w:rPr>
          <w:rFonts w:ascii="Times New Roman" w:hAnsi="Times New Roman" w:cs="Times New Roman"/>
          <w:sz w:val="24"/>
          <w:szCs w:val="24"/>
        </w:rPr>
        <w:t>d</w:t>
      </w:r>
      <w:r w:rsidRPr="00E90B72">
        <w:rPr>
          <w:rFonts w:ascii="Times New Roman" w:hAnsi="Times New Roman" w:cs="Times New Roman"/>
          <w:sz w:val="24"/>
          <w:szCs w:val="24"/>
        </w:rPr>
        <w:t xml:space="preserve"> registered Quantity Surveyors </w:t>
      </w:r>
      <w:r>
        <w:rPr>
          <w:rFonts w:ascii="Times New Roman" w:hAnsi="Times New Roman" w:cs="Times New Roman"/>
          <w:sz w:val="24"/>
          <w:szCs w:val="24"/>
        </w:rPr>
        <w:t xml:space="preserve">who were </w:t>
      </w:r>
      <w:r w:rsidRPr="00E90B72">
        <w:rPr>
          <w:rFonts w:ascii="Times New Roman" w:hAnsi="Times New Roman" w:cs="Times New Roman"/>
          <w:sz w:val="24"/>
          <w:szCs w:val="24"/>
        </w:rPr>
        <w:t xml:space="preserve">actively involved in </w:t>
      </w:r>
      <w:r>
        <w:rPr>
          <w:rFonts w:ascii="Times New Roman" w:hAnsi="Times New Roman" w:cs="Times New Roman"/>
          <w:sz w:val="24"/>
          <w:szCs w:val="24"/>
        </w:rPr>
        <w:t xml:space="preserve">sustainability </w:t>
      </w:r>
      <w:r w:rsidRPr="00E90B72">
        <w:rPr>
          <w:rFonts w:ascii="Times New Roman" w:hAnsi="Times New Roman" w:cs="Times New Roman"/>
          <w:sz w:val="24"/>
          <w:szCs w:val="24"/>
        </w:rPr>
        <w:t xml:space="preserve">construction projects within Lagos. Their insights </w:t>
      </w:r>
      <w:r>
        <w:rPr>
          <w:rFonts w:ascii="Times New Roman" w:hAnsi="Times New Roman" w:cs="Times New Roman"/>
          <w:sz w:val="24"/>
          <w:szCs w:val="24"/>
        </w:rPr>
        <w:t>were</w:t>
      </w:r>
      <w:r w:rsidRPr="00E90B72">
        <w:rPr>
          <w:rFonts w:ascii="Times New Roman" w:hAnsi="Times New Roman" w:cs="Times New Roman"/>
          <w:sz w:val="24"/>
          <w:szCs w:val="24"/>
        </w:rPr>
        <w:t xml:space="preserve"> crucial </w:t>
      </w:r>
      <w:r>
        <w:rPr>
          <w:rFonts w:ascii="Times New Roman" w:hAnsi="Times New Roman" w:cs="Times New Roman"/>
          <w:sz w:val="24"/>
          <w:szCs w:val="24"/>
        </w:rPr>
        <w:t xml:space="preserve">to this study </w:t>
      </w:r>
      <w:r w:rsidRPr="00E90B72">
        <w:rPr>
          <w:rFonts w:ascii="Times New Roman" w:hAnsi="Times New Roman" w:cs="Times New Roman"/>
          <w:sz w:val="24"/>
          <w:szCs w:val="24"/>
        </w:rPr>
        <w:t xml:space="preserve">as they play a central role in cost analysis, procurement, and value engineering – all vital aspects of achieving sustainable construction. </w:t>
      </w:r>
    </w:p>
    <w:p w:rsidR="00784A4E" w:rsidRPr="00001530" w:rsidRDefault="00784A4E" w:rsidP="0059560C">
      <w:pPr>
        <w:spacing w:line="240" w:lineRule="auto"/>
        <w:ind w:right="-613"/>
        <w:jc w:val="both"/>
        <w:rPr>
          <w:rFonts w:ascii="Times New Roman" w:hAnsi="Times New Roman" w:cs="Times New Roman"/>
          <w:sz w:val="24"/>
          <w:szCs w:val="24"/>
        </w:rPr>
      </w:pPr>
      <w:r w:rsidRPr="00001530">
        <w:rPr>
          <w:rFonts w:ascii="Times New Roman" w:hAnsi="Times New Roman" w:cs="Times New Roman"/>
          <w:sz w:val="24"/>
          <w:szCs w:val="24"/>
        </w:rPr>
        <w:t>Through that approach of encompassing Quantity Surveyors who were involved in sustainability housing projects, the study provided a holistic view of the role</w:t>
      </w:r>
      <w:r w:rsidR="00F73F0D">
        <w:rPr>
          <w:rFonts w:ascii="Times New Roman" w:hAnsi="Times New Roman" w:cs="Times New Roman"/>
          <w:sz w:val="24"/>
          <w:szCs w:val="24"/>
        </w:rPr>
        <w:t>s</w:t>
      </w:r>
      <w:r w:rsidRPr="00001530">
        <w:rPr>
          <w:rFonts w:ascii="Times New Roman" w:hAnsi="Times New Roman" w:cs="Times New Roman"/>
          <w:sz w:val="24"/>
          <w:szCs w:val="24"/>
        </w:rPr>
        <w:t xml:space="preserve"> Quantity Surveyors play in promoting sustainable construction within the dynamic and evolving context of Lagos, and beyond even as far as </w:t>
      </w:r>
      <w:r w:rsidRPr="00001530">
        <w:rPr>
          <w:rFonts w:ascii="Times New Roman" w:hAnsi="Times New Roman" w:cs="Times New Roman"/>
          <w:sz w:val="24"/>
          <w:szCs w:val="24"/>
        </w:rPr>
        <w:lastRenderedPageBreak/>
        <w:t>West Africa. This comprehensive approach ensured the study captured the key factors impacting sustainable building delivery and identified opportunities for Quantity Surveyors to become even more instrumental in shaping a more sustainable future for Lagos.</w:t>
      </w:r>
    </w:p>
    <w:p w:rsidR="00784A4E" w:rsidRPr="004C7304" w:rsidRDefault="005F3E10" w:rsidP="0059560C">
      <w:pPr>
        <w:pStyle w:val="Heading2"/>
        <w:spacing w:line="240" w:lineRule="auto"/>
        <w:ind w:right="-613"/>
        <w:jc w:val="both"/>
        <w:rPr>
          <w:rFonts w:ascii="Times New Roman" w:hAnsi="Times New Roman" w:cs="Times New Roman"/>
          <w:b/>
          <w:bCs/>
          <w:i/>
          <w:color w:val="auto"/>
          <w:sz w:val="24"/>
          <w:szCs w:val="24"/>
        </w:rPr>
      </w:pPr>
      <w:bookmarkStart w:id="9" w:name="_Toc176647302"/>
      <w:r>
        <w:rPr>
          <w:rFonts w:ascii="Times New Roman" w:hAnsi="Times New Roman" w:cs="Times New Roman"/>
          <w:b/>
          <w:bCs/>
          <w:color w:val="auto"/>
          <w:sz w:val="24"/>
          <w:szCs w:val="24"/>
        </w:rPr>
        <w:t>3.1</w:t>
      </w:r>
      <w:r w:rsidR="00784A4E">
        <w:rPr>
          <w:rFonts w:ascii="Times New Roman" w:hAnsi="Times New Roman" w:cs="Times New Roman"/>
          <w:b/>
          <w:bCs/>
          <w:color w:val="auto"/>
          <w:sz w:val="24"/>
          <w:szCs w:val="24"/>
        </w:rPr>
        <w:tab/>
      </w:r>
      <w:r w:rsidR="00784A4E" w:rsidRPr="004C7304">
        <w:rPr>
          <w:rFonts w:ascii="Times New Roman" w:hAnsi="Times New Roman" w:cs="Times New Roman"/>
          <w:b/>
          <w:bCs/>
          <w:i/>
          <w:color w:val="auto"/>
          <w:sz w:val="24"/>
          <w:szCs w:val="24"/>
        </w:rPr>
        <w:t>Sample Frame and Sample Size</w:t>
      </w:r>
      <w:bookmarkEnd w:id="9"/>
    </w:p>
    <w:p w:rsidR="00784A4E" w:rsidRPr="00E90B72" w:rsidRDefault="00784A4E"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A sampling frame includes a numerical identifier for each target population to aid in analysis and allow for division into further frames for more in-depth analysis. Sample size is defined as the number of elements that can be selected for research. The sample size of this study cover</w:t>
      </w:r>
      <w:r>
        <w:rPr>
          <w:rFonts w:ascii="Times New Roman" w:hAnsi="Times New Roman" w:cs="Times New Roman"/>
          <w:sz w:val="24"/>
          <w:szCs w:val="24"/>
        </w:rPr>
        <w:t>ed</w:t>
      </w:r>
      <w:r w:rsidRPr="00E90B72">
        <w:rPr>
          <w:rFonts w:ascii="Times New Roman" w:hAnsi="Times New Roman" w:cs="Times New Roman"/>
          <w:sz w:val="24"/>
          <w:szCs w:val="24"/>
        </w:rPr>
        <w:t xml:space="preserve"> Quantity Surveyors that has been involved </w:t>
      </w:r>
      <w:r w:rsidR="003D135E">
        <w:rPr>
          <w:rFonts w:ascii="Times New Roman" w:hAnsi="Times New Roman" w:cs="Times New Roman"/>
          <w:sz w:val="24"/>
          <w:szCs w:val="24"/>
        </w:rPr>
        <w:t>in sustainable housing projects in Lagos State, Nigeria.</w:t>
      </w:r>
    </w:p>
    <w:p w:rsidR="00784A4E" w:rsidRPr="00E90B72" w:rsidRDefault="005F3E10" w:rsidP="0059560C">
      <w:pPr>
        <w:pStyle w:val="Heading2"/>
        <w:spacing w:line="240" w:lineRule="auto"/>
        <w:ind w:right="-613"/>
        <w:jc w:val="both"/>
        <w:rPr>
          <w:rFonts w:ascii="Times New Roman" w:hAnsi="Times New Roman" w:cs="Times New Roman"/>
          <w:b/>
          <w:bCs/>
          <w:color w:val="auto"/>
          <w:sz w:val="24"/>
          <w:szCs w:val="24"/>
        </w:rPr>
      </w:pPr>
      <w:bookmarkStart w:id="10" w:name="_Toc176647303"/>
      <w:r>
        <w:rPr>
          <w:rFonts w:ascii="Times New Roman" w:hAnsi="Times New Roman" w:cs="Times New Roman"/>
          <w:b/>
          <w:bCs/>
          <w:color w:val="auto"/>
          <w:sz w:val="24"/>
          <w:szCs w:val="24"/>
        </w:rPr>
        <w:t>3.2</w:t>
      </w:r>
      <w:r w:rsidR="00784A4E">
        <w:rPr>
          <w:rFonts w:ascii="Times New Roman" w:hAnsi="Times New Roman" w:cs="Times New Roman"/>
          <w:b/>
          <w:bCs/>
          <w:color w:val="auto"/>
          <w:sz w:val="24"/>
          <w:szCs w:val="24"/>
        </w:rPr>
        <w:tab/>
      </w:r>
      <w:r w:rsidR="00784A4E" w:rsidRPr="00E90B72">
        <w:rPr>
          <w:rFonts w:ascii="Times New Roman" w:hAnsi="Times New Roman" w:cs="Times New Roman"/>
          <w:b/>
          <w:bCs/>
          <w:color w:val="auto"/>
          <w:sz w:val="24"/>
          <w:szCs w:val="24"/>
        </w:rPr>
        <w:t xml:space="preserve"> </w:t>
      </w:r>
      <w:r w:rsidR="00784A4E" w:rsidRPr="004C7304">
        <w:rPr>
          <w:rFonts w:ascii="Times New Roman" w:hAnsi="Times New Roman" w:cs="Times New Roman"/>
          <w:b/>
          <w:bCs/>
          <w:i/>
          <w:color w:val="auto"/>
          <w:sz w:val="24"/>
          <w:szCs w:val="24"/>
        </w:rPr>
        <w:t>Sampling Procedure</w:t>
      </w:r>
      <w:bookmarkEnd w:id="10"/>
      <w:r w:rsidR="00784A4E" w:rsidRPr="00E90B72">
        <w:rPr>
          <w:rFonts w:ascii="Times New Roman" w:hAnsi="Times New Roman" w:cs="Times New Roman"/>
          <w:b/>
          <w:bCs/>
          <w:color w:val="auto"/>
          <w:sz w:val="24"/>
          <w:szCs w:val="24"/>
        </w:rPr>
        <w:t xml:space="preserve"> </w:t>
      </w:r>
    </w:p>
    <w:p w:rsidR="00784A4E" w:rsidRDefault="00784A4E" w:rsidP="0059560C">
      <w:pPr>
        <w:spacing w:line="240" w:lineRule="auto"/>
        <w:ind w:right="-613"/>
        <w:jc w:val="both"/>
        <w:rPr>
          <w:rFonts w:ascii="Times New Roman" w:hAnsi="Times New Roman" w:cs="Times New Roman"/>
          <w:sz w:val="24"/>
          <w:szCs w:val="24"/>
        </w:rPr>
      </w:pPr>
      <w:r w:rsidRPr="00693DB1">
        <w:rPr>
          <w:rFonts w:ascii="Times New Roman" w:hAnsi="Times New Roman" w:cs="Times New Roman"/>
          <w:sz w:val="24"/>
          <w:szCs w:val="24"/>
        </w:rPr>
        <w:t>Respondent-Driven Sampling (RDS) is a network-based sampling method designed to study hard-to-reach populations. It combines snowball sampling with a mathematical model that weights the sample to compensate for the non-random recruitment process. This study employ</w:t>
      </w:r>
      <w:r>
        <w:rPr>
          <w:rFonts w:ascii="Times New Roman" w:hAnsi="Times New Roman" w:cs="Times New Roman"/>
          <w:sz w:val="24"/>
          <w:szCs w:val="24"/>
        </w:rPr>
        <w:t>ed</w:t>
      </w:r>
      <w:r w:rsidRPr="00693DB1">
        <w:rPr>
          <w:rFonts w:ascii="Times New Roman" w:hAnsi="Times New Roman" w:cs="Times New Roman"/>
          <w:sz w:val="24"/>
          <w:szCs w:val="24"/>
        </w:rPr>
        <w:t xml:space="preserve"> RDS as the sampling procedure to investigate </w:t>
      </w:r>
      <w:r w:rsidRPr="00E90B72">
        <w:rPr>
          <w:rFonts w:ascii="Times New Roman" w:hAnsi="Times New Roman" w:cs="Times New Roman"/>
          <w:sz w:val="24"/>
          <w:szCs w:val="24"/>
        </w:rPr>
        <w:t>Q</w:t>
      </w:r>
      <w:r w:rsidRPr="00693DB1">
        <w:rPr>
          <w:rFonts w:ascii="Times New Roman" w:hAnsi="Times New Roman" w:cs="Times New Roman"/>
          <w:sz w:val="24"/>
          <w:szCs w:val="24"/>
        </w:rPr>
        <w:t xml:space="preserve">uantity </w:t>
      </w:r>
      <w:r w:rsidRPr="00E90B72">
        <w:rPr>
          <w:rFonts w:ascii="Times New Roman" w:hAnsi="Times New Roman" w:cs="Times New Roman"/>
          <w:sz w:val="24"/>
          <w:szCs w:val="24"/>
        </w:rPr>
        <w:t>S</w:t>
      </w:r>
      <w:r w:rsidRPr="00693DB1">
        <w:rPr>
          <w:rFonts w:ascii="Times New Roman" w:hAnsi="Times New Roman" w:cs="Times New Roman"/>
          <w:sz w:val="24"/>
          <w:szCs w:val="24"/>
        </w:rPr>
        <w:t>urveyors' involvement in the delivery of sustainable housing projects in Lagos, Nigeria.</w:t>
      </w:r>
      <w:r w:rsidRPr="00E90B72">
        <w:rPr>
          <w:rFonts w:ascii="Times New Roman" w:hAnsi="Times New Roman" w:cs="Times New Roman"/>
          <w:sz w:val="24"/>
          <w:szCs w:val="24"/>
        </w:rPr>
        <w:t xml:space="preserve"> </w:t>
      </w:r>
    </w:p>
    <w:p w:rsidR="005F3E10" w:rsidRPr="001820FA" w:rsidRDefault="005F3E10" w:rsidP="0059560C">
      <w:pPr>
        <w:spacing w:line="240" w:lineRule="auto"/>
        <w:ind w:right="-613"/>
        <w:jc w:val="both"/>
        <w:rPr>
          <w:rFonts w:ascii="Times New Roman" w:hAnsi="Times New Roman" w:cs="Times New Roman"/>
          <w:sz w:val="24"/>
          <w:szCs w:val="24"/>
        </w:rPr>
      </w:pPr>
      <w:r w:rsidRPr="00693DB1">
        <w:rPr>
          <w:rFonts w:ascii="Times New Roman" w:hAnsi="Times New Roman" w:cs="Times New Roman"/>
          <w:sz w:val="24"/>
          <w:szCs w:val="24"/>
        </w:rPr>
        <w:t xml:space="preserve">The choice of RDS for this research is based on its ability to access interconnected professional networks effectively. In the context of </w:t>
      </w:r>
      <w:r w:rsidRPr="00E90B72">
        <w:rPr>
          <w:rFonts w:ascii="Times New Roman" w:hAnsi="Times New Roman" w:cs="Times New Roman"/>
          <w:sz w:val="24"/>
          <w:szCs w:val="24"/>
        </w:rPr>
        <w:t>Q</w:t>
      </w:r>
      <w:r w:rsidRPr="00693DB1">
        <w:rPr>
          <w:rFonts w:ascii="Times New Roman" w:hAnsi="Times New Roman" w:cs="Times New Roman"/>
          <w:sz w:val="24"/>
          <w:szCs w:val="24"/>
        </w:rPr>
        <w:t xml:space="preserve">uantity </w:t>
      </w:r>
      <w:r w:rsidRPr="00E90B72">
        <w:rPr>
          <w:rFonts w:ascii="Times New Roman" w:hAnsi="Times New Roman" w:cs="Times New Roman"/>
          <w:sz w:val="24"/>
          <w:szCs w:val="24"/>
        </w:rPr>
        <w:t>S</w:t>
      </w:r>
      <w:r w:rsidRPr="00693DB1">
        <w:rPr>
          <w:rFonts w:ascii="Times New Roman" w:hAnsi="Times New Roman" w:cs="Times New Roman"/>
          <w:sz w:val="24"/>
          <w:szCs w:val="24"/>
        </w:rPr>
        <w:t xml:space="preserve">urveyors working on sustainable housing projects in Lagos, this method offers several advantages. </w:t>
      </w:r>
      <w:r w:rsidRPr="001820FA">
        <w:rPr>
          <w:rFonts w:ascii="Times New Roman" w:hAnsi="Times New Roman" w:cs="Times New Roman"/>
          <w:sz w:val="24"/>
          <w:szCs w:val="24"/>
        </w:rPr>
        <w:t>Implementation of RDS began, with the identification of initial participants, known as seeds, who were active in sustainable housing projects in Lagos. These seeds then recruited their peers, creating waves of recruitment that extended through the professional network. This approach produced a yield of diverse sample of Quantity Surveyors with varying levels of involvement in sustainable housing projects.</w:t>
      </w:r>
    </w:p>
    <w:p w:rsidR="005F3E10" w:rsidRPr="00E90B72" w:rsidRDefault="005F3E10" w:rsidP="0059560C">
      <w:pPr>
        <w:spacing w:line="240" w:lineRule="auto"/>
        <w:ind w:right="-613"/>
        <w:jc w:val="both"/>
        <w:rPr>
          <w:rFonts w:ascii="Times New Roman" w:hAnsi="Times New Roman" w:cs="Times New Roman"/>
          <w:sz w:val="24"/>
          <w:szCs w:val="24"/>
        </w:rPr>
      </w:pPr>
      <w:r w:rsidRPr="001820FA">
        <w:rPr>
          <w:rFonts w:ascii="Times New Roman" w:hAnsi="Times New Roman" w:cs="Times New Roman"/>
          <w:sz w:val="24"/>
          <w:szCs w:val="24"/>
        </w:rPr>
        <w:t xml:space="preserve">By utilizing RDS, this study overcame potential challenges in accessing the target population and to generate a more comprehensive understanding of quantity surveyors' roles in sustainable housing initiatives. </w:t>
      </w:r>
      <w:r w:rsidRPr="00693DB1">
        <w:rPr>
          <w:rFonts w:ascii="Times New Roman" w:hAnsi="Times New Roman" w:cs="Times New Roman"/>
          <w:sz w:val="24"/>
          <w:szCs w:val="24"/>
        </w:rPr>
        <w:t xml:space="preserve">While implementing RDS, careful attention </w:t>
      </w:r>
      <w:r>
        <w:rPr>
          <w:rFonts w:ascii="Times New Roman" w:hAnsi="Times New Roman" w:cs="Times New Roman"/>
          <w:sz w:val="24"/>
          <w:szCs w:val="24"/>
        </w:rPr>
        <w:t>was</w:t>
      </w:r>
      <w:r w:rsidRPr="00693DB1">
        <w:rPr>
          <w:rFonts w:ascii="Times New Roman" w:hAnsi="Times New Roman" w:cs="Times New Roman"/>
          <w:sz w:val="24"/>
          <w:szCs w:val="24"/>
        </w:rPr>
        <w:t xml:space="preserve"> paid to managing potential biases and ensuring the validity of the data collected. The insights gained through this sampling method are anticipated to contribute significantly to the understanding of </w:t>
      </w:r>
      <w:r w:rsidRPr="00E90B72">
        <w:rPr>
          <w:rFonts w:ascii="Times New Roman" w:hAnsi="Times New Roman" w:cs="Times New Roman"/>
          <w:sz w:val="24"/>
          <w:szCs w:val="24"/>
        </w:rPr>
        <w:t>Q</w:t>
      </w:r>
      <w:r w:rsidRPr="00693DB1">
        <w:rPr>
          <w:rFonts w:ascii="Times New Roman" w:hAnsi="Times New Roman" w:cs="Times New Roman"/>
          <w:sz w:val="24"/>
          <w:szCs w:val="24"/>
        </w:rPr>
        <w:t xml:space="preserve">uantity </w:t>
      </w:r>
      <w:r w:rsidRPr="00E90B72">
        <w:rPr>
          <w:rFonts w:ascii="Times New Roman" w:hAnsi="Times New Roman" w:cs="Times New Roman"/>
          <w:sz w:val="24"/>
          <w:szCs w:val="24"/>
        </w:rPr>
        <w:t>S</w:t>
      </w:r>
      <w:r w:rsidRPr="00693DB1">
        <w:rPr>
          <w:rFonts w:ascii="Times New Roman" w:hAnsi="Times New Roman" w:cs="Times New Roman"/>
          <w:sz w:val="24"/>
          <w:szCs w:val="24"/>
        </w:rPr>
        <w:t>urveyors' involvement in sustainable housing projects in Lagos, Nigeria.</w:t>
      </w:r>
    </w:p>
    <w:p w:rsidR="005F3E10" w:rsidRPr="00E90B72" w:rsidRDefault="005F3E10" w:rsidP="0059560C">
      <w:pPr>
        <w:pStyle w:val="Heading2"/>
        <w:spacing w:line="240" w:lineRule="auto"/>
        <w:ind w:right="-613"/>
        <w:jc w:val="both"/>
        <w:rPr>
          <w:rFonts w:ascii="Times New Roman" w:hAnsi="Times New Roman" w:cs="Times New Roman"/>
          <w:b/>
          <w:bCs/>
          <w:color w:val="auto"/>
          <w:sz w:val="24"/>
          <w:szCs w:val="24"/>
        </w:rPr>
      </w:pPr>
      <w:bookmarkStart w:id="11" w:name="_Toc176647304"/>
      <w:r>
        <w:rPr>
          <w:rFonts w:ascii="Times New Roman" w:hAnsi="Times New Roman" w:cs="Times New Roman"/>
          <w:b/>
          <w:bCs/>
          <w:color w:val="auto"/>
          <w:sz w:val="24"/>
          <w:szCs w:val="24"/>
        </w:rPr>
        <w:t>3.3</w:t>
      </w:r>
      <w:r w:rsidRPr="00E90B72">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b/>
      </w:r>
      <w:r w:rsidRPr="004C7304">
        <w:rPr>
          <w:rFonts w:ascii="Times New Roman" w:hAnsi="Times New Roman" w:cs="Times New Roman"/>
          <w:b/>
          <w:bCs/>
          <w:i/>
          <w:color w:val="auto"/>
          <w:sz w:val="24"/>
          <w:szCs w:val="24"/>
        </w:rPr>
        <w:t>Method for Data Collection</w:t>
      </w:r>
      <w:bookmarkEnd w:id="11"/>
      <w:r w:rsidRPr="00E90B72">
        <w:rPr>
          <w:rFonts w:ascii="Times New Roman" w:hAnsi="Times New Roman" w:cs="Times New Roman"/>
          <w:b/>
          <w:bCs/>
          <w:color w:val="auto"/>
          <w:sz w:val="24"/>
          <w:szCs w:val="24"/>
        </w:rPr>
        <w:t xml:space="preserve"> </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Data for the study </w:t>
      </w:r>
      <w:r>
        <w:rPr>
          <w:rFonts w:ascii="Times New Roman" w:hAnsi="Times New Roman" w:cs="Times New Roman"/>
          <w:sz w:val="24"/>
          <w:szCs w:val="24"/>
        </w:rPr>
        <w:t xml:space="preserve">were </w:t>
      </w:r>
      <w:r w:rsidRPr="00E90B72">
        <w:rPr>
          <w:rFonts w:ascii="Times New Roman" w:hAnsi="Times New Roman" w:cs="Times New Roman"/>
          <w:sz w:val="24"/>
          <w:szCs w:val="24"/>
        </w:rPr>
        <w:t xml:space="preserve">collected through primary (Questionnaires) source, in order to provide more insight into Quantity Surveying involvement in the delivery of sustainable housing projects in Lagos, Nigeria. In order to achieve the overall objectives, </w:t>
      </w:r>
      <w:proofErr w:type="gramStart"/>
      <w:r w:rsidRPr="00E90B72">
        <w:rPr>
          <w:rFonts w:ascii="Times New Roman" w:hAnsi="Times New Roman" w:cs="Times New Roman"/>
          <w:sz w:val="24"/>
          <w:szCs w:val="24"/>
        </w:rPr>
        <w:t>The</w:t>
      </w:r>
      <w:proofErr w:type="gramEnd"/>
      <w:r w:rsidRPr="00E90B72">
        <w:rPr>
          <w:rFonts w:ascii="Times New Roman" w:hAnsi="Times New Roman" w:cs="Times New Roman"/>
          <w:sz w:val="24"/>
          <w:szCs w:val="24"/>
        </w:rPr>
        <w:t xml:space="preserve"> questionnaire </w:t>
      </w:r>
      <w:r>
        <w:rPr>
          <w:rFonts w:ascii="Times New Roman" w:hAnsi="Times New Roman" w:cs="Times New Roman"/>
          <w:sz w:val="24"/>
          <w:szCs w:val="24"/>
        </w:rPr>
        <w:t>was well</w:t>
      </w:r>
      <w:r w:rsidRPr="00E90B72">
        <w:rPr>
          <w:rFonts w:ascii="Times New Roman" w:hAnsi="Times New Roman" w:cs="Times New Roman"/>
          <w:sz w:val="24"/>
          <w:szCs w:val="24"/>
        </w:rPr>
        <w:t>-structured and designed as a close-ended type to facilitate anonymity, freedom of expression, and confidentiality (Patten</w:t>
      </w:r>
      <w:r>
        <w:rPr>
          <w:rFonts w:ascii="Times New Roman" w:hAnsi="Times New Roman" w:cs="Times New Roman"/>
          <w:sz w:val="24"/>
          <w:szCs w:val="24"/>
        </w:rPr>
        <w:t xml:space="preserve">, 2016). The questionnaire </w:t>
      </w:r>
      <w:r w:rsidRPr="00E90B72">
        <w:rPr>
          <w:rFonts w:ascii="Times New Roman" w:hAnsi="Times New Roman" w:cs="Times New Roman"/>
          <w:sz w:val="24"/>
          <w:szCs w:val="24"/>
        </w:rPr>
        <w:t>comprise</w:t>
      </w:r>
      <w:r>
        <w:rPr>
          <w:rFonts w:ascii="Times New Roman" w:hAnsi="Times New Roman" w:cs="Times New Roman"/>
          <w:sz w:val="24"/>
          <w:szCs w:val="24"/>
        </w:rPr>
        <w:t>d two</w:t>
      </w:r>
      <w:r w:rsidRPr="00E90B72">
        <w:rPr>
          <w:rFonts w:ascii="Times New Roman" w:hAnsi="Times New Roman" w:cs="Times New Roman"/>
          <w:sz w:val="24"/>
          <w:szCs w:val="24"/>
        </w:rPr>
        <w:t xml:space="preserve"> </w:t>
      </w:r>
      <w:r>
        <w:rPr>
          <w:rFonts w:ascii="Times New Roman" w:hAnsi="Times New Roman" w:cs="Times New Roman"/>
          <w:sz w:val="24"/>
          <w:szCs w:val="24"/>
        </w:rPr>
        <w:t>sections, A and B. Section A</w:t>
      </w:r>
      <w:r w:rsidRPr="00E90B72">
        <w:rPr>
          <w:rFonts w:ascii="Times New Roman" w:hAnsi="Times New Roman" w:cs="Times New Roman"/>
          <w:sz w:val="24"/>
          <w:szCs w:val="24"/>
        </w:rPr>
        <w:t xml:space="preserve"> comprise</w:t>
      </w:r>
      <w:r>
        <w:rPr>
          <w:rFonts w:ascii="Times New Roman" w:hAnsi="Times New Roman" w:cs="Times New Roman"/>
          <w:sz w:val="24"/>
          <w:szCs w:val="24"/>
        </w:rPr>
        <w:t>d</w:t>
      </w:r>
      <w:r w:rsidRPr="00E90B72">
        <w:rPr>
          <w:rFonts w:ascii="Times New Roman" w:hAnsi="Times New Roman" w:cs="Times New Roman"/>
          <w:sz w:val="24"/>
          <w:szCs w:val="24"/>
        </w:rPr>
        <w:t xml:space="preserve"> the demographic data for the respondents and organizations. </w:t>
      </w:r>
      <w:r>
        <w:rPr>
          <w:rFonts w:ascii="Times New Roman" w:hAnsi="Times New Roman" w:cs="Times New Roman"/>
          <w:sz w:val="24"/>
          <w:szCs w:val="24"/>
        </w:rPr>
        <w:t>While Section B</w:t>
      </w:r>
      <w:r w:rsidRPr="00E90B72">
        <w:rPr>
          <w:rFonts w:ascii="Times New Roman" w:hAnsi="Times New Roman" w:cs="Times New Roman"/>
          <w:sz w:val="24"/>
          <w:szCs w:val="24"/>
        </w:rPr>
        <w:t xml:space="preserve"> concentrate</w:t>
      </w:r>
      <w:r>
        <w:rPr>
          <w:rFonts w:ascii="Times New Roman" w:hAnsi="Times New Roman" w:cs="Times New Roman"/>
          <w:sz w:val="24"/>
          <w:szCs w:val="24"/>
        </w:rPr>
        <w:t>d</w:t>
      </w:r>
      <w:r w:rsidRPr="00E90B72">
        <w:rPr>
          <w:rFonts w:ascii="Times New Roman" w:hAnsi="Times New Roman" w:cs="Times New Roman"/>
          <w:sz w:val="24"/>
          <w:szCs w:val="24"/>
        </w:rPr>
        <w:t xml:space="preserve"> on factors that influence the involvement of Quantity Surveyors in sustainable housing projects.</w:t>
      </w:r>
    </w:p>
    <w:p w:rsidR="005F3E10" w:rsidRPr="00E90B72" w:rsidRDefault="005F3E10" w:rsidP="0059560C">
      <w:pPr>
        <w:pStyle w:val="Heading2"/>
        <w:spacing w:line="240" w:lineRule="auto"/>
        <w:ind w:right="-613"/>
        <w:jc w:val="both"/>
        <w:rPr>
          <w:rFonts w:ascii="Times New Roman" w:hAnsi="Times New Roman" w:cs="Times New Roman"/>
          <w:b/>
          <w:bCs/>
          <w:color w:val="auto"/>
          <w:sz w:val="24"/>
          <w:szCs w:val="24"/>
        </w:rPr>
      </w:pPr>
      <w:bookmarkStart w:id="12" w:name="_Toc176647305"/>
      <w:r>
        <w:rPr>
          <w:rFonts w:ascii="Times New Roman" w:hAnsi="Times New Roman" w:cs="Times New Roman"/>
          <w:b/>
          <w:bCs/>
          <w:color w:val="auto"/>
          <w:sz w:val="24"/>
          <w:szCs w:val="24"/>
        </w:rPr>
        <w:t>3.4</w:t>
      </w:r>
      <w:r w:rsidRPr="00E90B72">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b/>
      </w:r>
      <w:r w:rsidRPr="004C7304">
        <w:rPr>
          <w:rFonts w:ascii="Times New Roman" w:hAnsi="Times New Roman" w:cs="Times New Roman"/>
          <w:b/>
          <w:bCs/>
          <w:i/>
          <w:color w:val="auto"/>
          <w:sz w:val="24"/>
          <w:szCs w:val="24"/>
        </w:rPr>
        <w:t>Method of Data Analysis</w:t>
      </w:r>
      <w:bookmarkEnd w:id="12"/>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In achieving the overall objective, mean score analysis, ANOVA and Factor Analysis w</w:t>
      </w:r>
      <w:r>
        <w:rPr>
          <w:rFonts w:ascii="Times New Roman" w:hAnsi="Times New Roman" w:cs="Times New Roman"/>
          <w:sz w:val="24"/>
          <w:szCs w:val="24"/>
        </w:rPr>
        <w:t>ere</w:t>
      </w:r>
      <w:r w:rsidRPr="00E90B72">
        <w:rPr>
          <w:rFonts w:ascii="Times New Roman" w:hAnsi="Times New Roman" w:cs="Times New Roman"/>
          <w:sz w:val="24"/>
          <w:szCs w:val="24"/>
        </w:rPr>
        <w:t xml:space="preserve"> used to ultimately analyze the resulting</w:t>
      </w:r>
      <w:r>
        <w:rPr>
          <w:rFonts w:ascii="Times New Roman" w:hAnsi="Times New Roman" w:cs="Times New Roman"/>
          <w:sz w:val="24"/>
          <w:szCs w:val="24"/>
        </w:rPr>
        <w:t xml:space="preserve"> factors collated from section B</w:t>
      </w:r>
      <w:r w:rsidRPr="00E90B72">
        <w:rPr>
          <w:rFonts w:ascii="Times New Roman" w:hAnsi="Times New Roman" w:cs="Times New Roman"/>
          <w:sz w:val="24"/>
          <w:szCs w:val="24"/>
        </w:rPr>
        <w:t xml:space="preserve"> of the questionnaire report. Section A w</w:t>
      </w:r>
      <w:r>
        <w:rPr>
          <w:rFonts w:ascii="Times New Roman" w:hAnsi="Times New Roman" w:cs="Times New Roman"/>
          <w:sz w:val="24"/>
          <w:szCs w:val="24"/>
        </w:rPr>
        <w:t>as</w:t>
      </w:r>
      <w:r w:rsidRPr="00E90B72">
        <w:rPr>
          <w:rFonts w:ascii="Times New Roman" w:hAnsi="Times New Roman" w:cs="Times New Roman"/>
          <w:sz w:val="24"/>
          <w:szCs w:val="24"/>
        </w:rPr>
        <w:t xml:space="preserve"> classified </w:t>
      </w:r>
      <w:r>
        <w:rPr>
          <w:rFonts w:ascii="Times New Roman" w:hAnsi="Times New Roman" w:cs="Times New Roman"/>
          <w:sz w:val="24"/>
          <w:szCs w:val="24"/>
        </w:rPr>
        <w:t>and analyzed as a base comparison to generate important data used to support the resulting findings.</w:t>
      </w:r>
    </w:p>
    <w:p w:rsidR="005F3E10" w:rsidRPr="00E90B72" w:rsidRDefault="005F3E10" w:rsidP="0059560C">
      <w:pPr>
        <w:pStyle w:val="Heading3"/>
        <w:spacing w:line="240" w:lineRule="auto"/>
        <w:ind w:right="-613"/>
        <w:jc w:val="both"/>
        <w:rPr>
          <w:rFonts w:ascii="Times New Roman" w:hAnsi="Times New Roman" w:cs="Times New Roman"/>
          <w:b/>
          <w:bCs/>
          <w:color w:val="auto"/>
        </w:rPr>
      </w:pPr>
      <w:bookmarkStart w:id="13" w:name="_Toc176647306"/>
      <w:r>
        <w:rPr>
          <w:rFonts w:ascii="Times New Roman" w:hAnsi="Times New Roman" w:cs="Times New Roman"/>
          <w:b/>
          <w:bCs/>
          <w:color w:val="auto"/>
        </w:rPr>
        <w:t>3.4</w:t>
      </w:r>
      <w:r w:rsidRPr="00E90B72">
        <w:rPr>
          <w:rFonts w:ascii="Times New Roman" w:hAnsi="Times New Roman" w:cs="Times New Roman"/>
          <w:b/>
          <w:bCs/>
          <w:color w:val="auto"/>
        </w:rPr>
        <w:t xml:space="preserve">.1 </w:t>
      </w:r>
      <w:r>
        <w:rPr>
          <w:rFonts w:ascii="Times New Roman" w:hAnsi="Times New Roman" w:cs="Times New Roman"/>
          <w:b/>
          <w:bCs/>
          <w:color w:val="auto"/>
        </w:rPr>
        <w:tab/>
      </w:r>
      <w:r w:rsidRPr="004C7304">
        <w:rPr>
          <w:rFonts w:ascii="Times New Roman" w:hAnsi="Times New Roman" w:cs="Times New Roman"/>
          <w:b/>
          <w:bCs/>
          <w:i/>
          <w:color w:val="auto"/>
        </w:rPr>
        <w:t>Mean Score Analysis</w:t>
      </w:r>
      <w:bookmarkEnd w:id="13"/>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The mean ranking analysis was adopted for this study to achieve the overall objectives, a 6-point Likert-type scale was employed for data collection across section B – section D, the formula for mean score analysis is given as;</w:t>
      </w:r>
    </w:p>
    <w:p w:rsidR="005F3E10" w:rsidRPr="00831153" w:rsidRDefault="005F3E10" w:rsidP="0059560C">
      <w:pPr>
        <w:spacing w:line="240" w:lineRule="auto"/>
        <w:ind w:right="-613"/>
        <w:jc w:val="both"/>
        <w:rPr>
          <w:rFonts w:ascii="Times New Roman" w:hAnsi="Times New Roman" w:cs="Times New Roman"/>
          <w:sz w:val="28"/>
          <w:szCs w:val="28"/>
        </w:rPr>
      </w:pPr>
      <w:r w:rsidRPr="00831153">
        <w:rPr>
          <w:rFonts w:ascii="Times New Roman" w:hAnsi="Times New Roman" w:cs="Times New Roman"/>
          <w:sz w:val="28"/>
          <w:szCs w:val="28"/>
        </w:rPr>
        <w:t xml:space="preserve">MS = </w:t>
      </w:r>
      <m:oMath>
        <m:f>
          <m:fPr>
            <m:ctrlPr>
              <w:rPr>
                <w:rFonts w:ascii="Cambria Math" w:hAnsi="Cambria Math" w:cs="Times New Roman"/>
                <w:i/>
                <w:sz w:val="28"/>
                <w:szCs w:val="28"/>
              </w:rPr>
            </m:ctrlPr>
          </m:fPr>
          <m:num>
            <m:r>
              <m:rPr>
                <m:sty m:val="p"/>
              </m:rPr>
              <w:rPr>
                <w:rFonts w:ascii="Cambria Math" w:hAnsi="Cambria Math" w:cs="Times New Roman"/>
                <w:sz w:val="28"/>
                <w:szCs w:val="28"/>
              </w:rPr>
              <m:t>5n</m:t>
            </m:r>
            <m:r>
              <m:rPr>
                <m:sty m:val="p"/>
              </m:rPr>
              <w:rPr>
                <w:rFonts w:ascii="Cambria Math" w:hAnsi="Cambria Math" w:cs="Times New Roman"/>
                <w:sz w:val="28"/>
                <w:szCs w:val="28"/>
                <w:vertAlign w:val="subscript"/>
              </w:rPr>
              <m:t>5</m:t>
            </m:r>
            <m:r>
              <m:rPr>
                <m:sty m:val="p"/>
              </m:rPr>
              <w:rPr>
                <w:rFonts w:ascii="Cambria Math" w:hAnsi="Cambria Math" w:cs="Times New Roman"/>
                <w:sz w:val="28"/>
                <w:szCs w:val="28"/>
              </w:rPr>
              <m:t>+4n</m:t>
            </m:r>
            <m:r>
              <m:rPr>
                <m:sty m:val="p"/>
              </m:rPr>
              <w:rPr>
                <w:rFonts w:ascii="Cambria Math" w:hAnsi="Cambria Math" w:cs="Times New Roman"/>
                <w:sz w:val="28"/>
                <w:szCs w:val="28"/>
                <w:vertAlign w:val="subscript"/>
              </w:rPr>
              <m:t>4</m:t>
            </m:r>
            <m:r>
              <m:rPr>
                <m:sty m:val="p"/>
              </m:rPr>
              <w:rPr>
                <w:rFonts w:ascii="Cambria Math" w:hAnsi="Cambria Math" w:cs="Times New Roman"/>
                <w:sz w:val="28"/>
                <w:szCs w:val="28"/>
              </w:rPr>
              <m:t>+3n</m:t>
            </m:r>
            <m:r>
              <m:rPr>
                <m:sty m:val="p"/>
              </m:rPr>
              <w:rPr>
                <w:rFonts w:ascii="Cambria Math" w:hAnsi="Cambria Math" w:cs="Times New Roman"/>
                <w:sz w:val="28"/>
                <w:szCs w:val="28"/>
                <w:vertAlign w:val="subscript"/>
              </w:rPr>
              <m:t>3</m:t>
            </m:r>
            <m:r>
              <m:rPr>
                <m:sty m:val="p"/>
              </m:rPr>
              <w:rPr>
                <w:rFonts w:ascii="Cambria Math" w:hAnsi="Cambria Math" w:cs="Times New Roman"/>
                <w:sz w:val="28"/>
                <w:szCs w:val="28"/>
              </w:rPr>
              <m:t>+2n</m:t>
            </m:r>
            <m:r>
              <m:rPr>
                <m:sty m:val="p"/>
              </m:rPr>
              <w:rPr>
                <w:rFonts w:ascii="Cambria Math" w:hAnsi="Cambria Math" w:cs="Times New Roman"/>
                <w:sz w:val="28"/>
                <w:szCs w:val="28"/>
                <w:vertAlign w:val="subscript"/>
              </w:rPr>
              <m:t>2</m:t>
            </m:r>
            <m:r>
              <m:rPr>
                <m:sty m:val="p"/>
              </m:rPr>
              <w:rPr>
                <w:rFonts w:ascii="Cambria Math" w:hAnsi="Cambria Math" w:cs="Times New Roman"/>
                <w:sz w:val="28"/>
                <w:szCs w:val="28"/>
              </w:rPr>
              <m:t>+1n</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+0n</m:t>
            </m:r>
            <m:r>
              <m:rPr>
                <m:sty m:val="p"/>
              </m:rPr>
              <w:rPr>
                <w:rFonts w:ascii="Cambria Math" w:hAnsi="Cambria Math" w:cs="Times New Roman"/>
                <w:sz w:val="28"/>
                <w:szCs w:val="28"/>
                <w:vertAlign w:val="subscript"/>
              </w:rPr>
              <m:t xml:space="preserve">0           </m:t>
            </m:r>
          </m:num>
          <m:den>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5</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4</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3</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2</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1</m:t>
            </m:r>
            <m:r>
              <m:rPr>
                <m:sty m:val="p"/>
              </m:rPr>
              <w:rPr>
                <w:rFonts w:ascii="Cambria Math" w:hAnsi="Cambria Math" w:cs="Times New Roman"/>
                <w:sz w:val="28"/>
                <w:szCs w:val="28"/>
              </w:rPr>
              <m:t>+n</m:t>
            </m:r>
            <m:r>
              <m:rPr>
                <m:sty m:val="p"/>
              </m:rPr>
              <w:rPr>
                <w:rFonts w:ascii="Cambria Math" w:hAnsi="Cambria Math" w:cs="Times New Roman"/>
                <w:sz w:val="28"/>
                <w:szCs w:val="28"/>
                <w:vertAlign w:val="subscript"/>
              </w:rPr>
              <m:t>0</m:t>
            </m:r>
          </m:den>
        </m:f>
      </m:oMath>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lastRenderedPageBreak/>
        <w:t xml:space="preserve">Where; </w:t>
      </w:r>
    </w:p>
    <w:p w:rsidR="005F3E10"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0</w:t>
      </w:r>
      <w:r w:rsidRPr="00E90B72">
        <w:rPr>
          <w:rFonts w:ascii="Times New Roman" w:hAnsi="Times New Roman" w:cs="Times New Roman"/>
          <w:sz w:val="24"/>
          <w:szCs w:val="24"/>
        </w:rPr>
        <w:t xml:space="preserve"> = no of respondent who answered “no level of involvement” or “not</w:t>
      </w:r>
      <w:r>
        <w:rPr>
          <w:rFonts w:ascii="Times New Roman" w:hAnsi="Times New Roman" w:cs="Times New Roman"/>
          <w:sz w:val="24"/>
          <w:szCs w:val="24"/>
        </w:rPr>
        <w:t xml:space="preserve"> </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important”</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1</w:t>
      </w:r>
      <w:r w:rsidRPr="00E90B72">
        <w:rPr>
          <w:rFonts w:ascii="Times New Roman" w:hAnsi="Times New Roman" w:cs="Times New Roman"/>
          <w:sz w:val="24"/>
          <w:szCs w:val="24"/>
        </w:rPr>
        <w:t xml:space="preserve"> = no of respondent who answered “very low level of involvement” or “very low-level importance”</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2</w:t>
      </w:r>
      <w:r w:rsidRPr="00E90B72">
        <w:rPr>
          <w:rFonts w:ascii="Times New Roman" w:hAnsi="Times New Roman" w:cs="Times New Roman"/>
          <w:sz w:val="24"/>
          <w:szCs w:val="24"/>
        </w:rPr>
        <w:t xml:space="preserve"> = no of respondent who answered “low level of involvement” or “low level of importance”</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3</w:t>
      </w:r>
      <w:r w:rsidRPr="00E90B72">
        <w:rPr>
          <w:rFonts w:ascii="Times New Roman" w:hAnsi="Times New Roman" w:cs="Times New Roman"/>
          <w:sz w:val="24"/>
          <w:szCs w:val="24"/>
        </w:rPr>
        <w:t xml:space="preserve"> = no of respondent who answered “moderate level of involvement” or “moderate level importance”</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4</w:t>
      </w:r>
      <w:r w:rsidRPr="00E90B72">
        <w:rPr>
          <w:rFonts w:ascii="Times New Roman" w:hAnsi="Times New Roman" w:cs="Times New Roman"/>
          <w:sz w:val="24"/>
          <w:szCs w:val="24"/>
        </w:rPr>
        <w:t xml:space="preserve"> = no of respondent who answered “high level of involvement” or “high level of importance”</w:t>
      </w:r>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n</w:t>
      </w:r>
      <w:r w:rsidRPr="00E90B72">
        <w:rPr>
          <w:rFonts w:ascii="Times New Roman" w:hAnsi="Times New Roman" w:cs="Times New Roman"/>
          <w:sz w:val="24"/>
          <w:szCs w:val="24"/>
          <w:vertAlign w:val="subscript"/>
        </w:rPr>
        <w:t>0</w:t>
      </w:r>
      <w:r w:rsidRPr="00E90B72">
        <w:rPr>
          <w:rFonts w:ascii="Times New Roman" w:hAnsi="Times New Roman" w:cs="Times New Roman"/>
          <w:sz w:val="24"/>
          <w:szCs w:val="24"/>
        </w:rPr>
        <w:t>5= no of respondent who answered “very high involvement” or “very high level of importance”</w:t>
      </w:r>
    </w:p>
    <w:p w:rsidR="005F3E10" w:rsidRPr="00E90B72" w:rsidRDefault="005F3E10" w:rsidP="0059560C">
      <w:pPr>
        <w:spacing w:line="240" w:lineRule="auto"/>
        <w:ind w:right="-613"/>
        <w:jc w:val="both"/>
        <w:rPr>
          <w:rFonts w:ascii="Times New Roman" w:hAnsi="Times New Roman" w:cs="Times New Roman"/>
          <w:sz w:val="24"/>
          <w:szCs w:val="24"/>
        </w:rPr>
      </w:pPr>
    </w:p>
    <w:p w:rsidR="005F3E10" w:rsidRPr="00B20067" w:rsidRDefault="005F3E10" w:rsidP="0059560C">
      <w:pPr>
        <w:pStyle w:val="Heading3"/>
        <w:spacing w:line="240" w:lineRule="auto"/>
        <w:ind w:right="-613"/>
        <w:rPr>
          <w:rFonts w:ascii="Times New Roman" w:hAnsi="Times New Roman" w:cs="Times New Roman"/>
          <w:b/>
          <w:bCs/>
        </w:rPr>
      </w:pPr>
      <w:bookmarkStart w:id="14" w:name="_Toc176647307"/>
      <w:r>
        <w:rPr>
          <w:rFonts w:ascii="Times New Roman" w:hAnsi="Times New Roman" w:cs="Times New Roman"/>
          <w:b/>
          <w:bCs/>
          <w:color w:val="auto"/>
        </w:rPr>
        <w:t>3.4</w:t>
      </w:r>
      <w:r w:rsidRPr="00B20067">
        <w:rPr>
          <w:rFonts w:ascii="Times New Roman" w:hAnsi="Times New Roman" w:cs="Times New Roman"/>
          <w:b/>
          <w:bCs/>
          <w:color w:val="auto"/>
        </w:rPr>
        <w:t>.2</w:t>
      </w:r>
      <w:r>
        <w:rPr>
          <w:rFonts w:ascii="Times New Roman" w:hAnsi="Times New Roman" w:cs="Times New Roman"/>
          <w:b/>
          <w:bCs/>
          <w:color w:val="auto"/>
        </w:rPr>
        <w:tab/>
      </w:r>
      <w:r w:rsidRPr="004C7304">
        <w:rPr>
          <w:rFonts w:ascii="Times New Roman" w:hAnsi="Times New Roman" w:cs="Times New Roman"/>
          <w:b/>
          <w:bCs/>
          <w:i/>
          <w:color w:val="auto"/>
        </w:rPr>
        <w:t>ANOVA</w:t>
      </w:r>
      <w:bookmarkEnd w:id="14"/>
    </w:p>
    <w:p w:rsidR="005F3E10" w:rsidRPr="00E90B72"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ANOVA entails a statistical method comparing means across multiple groups to determine significant differences. It partitions variance into within-group and between-group components, assessing factors' impact on a dependent variable.</w:t>
      </w:r>
    </w:p>
    <w:p w:rsidR="005F3E10" w:rsidRPr="004C7304" w:rsidRDefault="005F3E10" w:rsidP="0059560C">
      <w:pPr>
        <w:pStyle w:val="Heading3"/>
        <w:spacing w:line="240" w:lineRule="auto"/>
        <w:ind w:right="-613"/>
        <w:rPr>
          <w:rFonts w:ascii="Times New Roman" w:hAnsi="Times New Roman" w:cs="Times New Roman"/>
          <w:b/>
          <w:bCs/>
          <w:i/>
          <w:color w:val="auto"/>
        </w:rPr>
      </w:pPr>
      <w:bookmarkStart w:id="15" w:name="_Toc176647308"/>
      <w:r>
        <w:rPr>
          <w:rFonts w:ascii="Times New Roman" w:hAnsi="Times New Roman" w:cs="Times New Roman"/>
          <w:b/>
          <w:bCs/>
          <w:color w:val="auto"/>
        </w:rPr>
        <w:t>3.4</w:t>
      </w:r>
      <w:r w:rsidRPr="00B91396">
        <w:rPr>
          <w:rFonts w:ascii="Times New Roman" w:hAnsi="Times New Roman" w:cs="Times New Roman"/>
          <w:b/>
          <w:bCs/>
          <w:color w:val="auto"/>
        </w:rPr>
        <w:t xml:space="preserve">.3 </w:t>
      </w:r>
      <w:r>
        <w:rPr>
          <w:rFonts w:ascii="Times New Roman" w:hAnsi="Times New Roman" w:cs="Times New Roman"/>
          <w:b/>
          <w:bCs/>
          <w:color w:val="auto"/>
        </w:rPr>
        <w:tab/>
      </w:r>
      <w:r w:rsidRPr="004C7304">
        <w:rPr>
          <w:rFonts w:ascii="Times New Roman" w:hAnsi="Times New Roman" w:cs="Times New Roman"/>
          <w:b/>
          <w:bCs/>
          <w:i/>
          <w:color w:val="auto"/>
        </w:rPr>
        <w:t>Factor Analysis</w:t>
      </w:r>
      <w:bookmarkEnd w:id="15"/>
    </w:p>
    <w:p w:rsidR="008464E8" w:rsidRDefault="005F3E10" w:rsidP="0059560C">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Factor Analysis uses a statistical technique that identifies underlying factors explaining correlations among observed variables. It reduces numerous variables into fewer factors and reveals hidden data structures. In this study, Factor Analysis was adopted to explore potential linear relationships between a reduced number of unobservable factors and the variables of interest (Johnson</w:t>
      </w:r>
      <w:r>
        <w:rPr>
          <w:rFonts w:ascii="Times New Roman" w:hAnsi="Times New Roman" w:cs="Times New Roman"/>
          <w:sz w:val="24"/>
          <w:szCs w:val="24"/>
        </w:rPr>
        <w:t xml:space="preserve"> &amp; Wichern</w:t>
      </w:r>
      <w:r w:rsidRPr="00E90B72">
        <w:rPr>
          <w:rFonts w:ascii="Times New Roman" w:hAnsi="Times New Roman" w:cs="Times New Roman"/>
          <w:sz w:val="24"/>
          <w:szCs w:val="24"/>
        </w:rPr>
        <w:t>, 2022)</w:t>
      </w:r>
      <w:r>
        <w:rPr>
          <w:rFonts w:ascii="Times New Roman" w:hAnsi="Times New Roman" w:cs="Times New Roman"/>
          <w:sz w:val="24"/>
          <w:szCs w:val="24"/>
        </w:rPr>
        <w:t xml:space="preserve">. </w:t>
      </w:r>
    </w:p>
    <w:p w:rsidR="008464E8" w:rsidRDefault="00143844" w:rsidP="0059560C">
      <w:pPr>
        <w:spacing w:line="240" w:lineRule="auto"/>
        <w:ind w:right="-613"/>
        <w:rPr>
          <w:rFonts w:ascii="Times New Roman" w:hAnsi="Times New Roman" w:cs="Times New Roman"/>
          <w:b/>
          <w:bCs/>
          <w:sz w:val="24"/>
          <w:szCs w:val="24"/>
        </w:rPr>
      </w:pPr>
      <w:bookmarkStart w:id="16" w:name="_Toc175641579"/>
      <w:bookmarkStart w:id="17" w:name="_Toc175823368"/>
      <w:bookmarkStart w:id="18" w:name="_Toc175842930"/>
      <w:bookmarkStart w:id="19" w:name="_Toc176647310"/>
      <w:r>
        <w:rPr>
          <w:rFonts w:ascii="Times New Roman" w:hAnsi="Times New Roman" w:cs="Times New Roman"/>
          <w:b/>
          <w:bCs/>
          <w:sz w:val="24"/>
          <w:szCs w:val="24"/>
        </w:rPr>
        <w:t>4.0</w:t>
      </w:r>
      <w:r>
        <w:rPr>
          <w:rFonts w:ascii="Times New Roman" w:hAnsi="Times New Roman" w:cs="Times New Roman"/>
          <w:b/>
          <w:bCs/>
          <w:sz w:val="24"/>
          <w:szCs w:val="24"/>
        </w:rPr>
        <w:tab/>
      </w:r>
      <w:r w:rsidR="008464E8" w:rsidRPr="00FA4864">
        <w:rPr>
          <w:rFonts w:ascii="Times New Roman" w:hAnsi="Times New Roman" w:cs="Times New Roman"/>
          <w:b/>
          <w:bCs/>
          <w:i/>
          <w:sz w:val="24"/>
          <w:szCs w:val="24"/>
        </w:rPr>
        <w:t>DATA ANALYSIS AND DISCUSSION OF FINDINGS</w:t>
      </w:r>
      <w:bookmarkEnd w:id="16"/>
      <w:bookmarkEnd w:id="17"/>
      <w:bookmarkEnd w:id="18"/>
      <w:bookmarkEnd w:id="19"/>
    </w:p>
    <w:p w:rsidR="008464E8" w:rsidRDefault="008464E8" w:rsidP="0059560C">
      <w:pPr>
        <w:tabs>
          <w:tab w:val="left" w:pos="5171"/>
        </w:tabs>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sample size </w:t>
      </w:r>
      <w:r w:rsidR="009B357D">
        <w:rPr>
          <w:rFonts w:ascii="Times New Roman" w:hAnsi="Times New Roman" w:cs="Times New Roman"/>
          <w:sz w:val="24"/>
          <w:szCs w:val="24"/>
        </w:rPr>
        <w:t>indicated in this study involved</w:t>
      </w:r>
      <w:r w:rsidRPr="00E90B72">
        <w:rPr>
          <w:rFonts w:ascii="Times New Roman" w:hAnsi="Times New Roman" w:cs="Times New Roman"/>
          <w:sz w:val="24"/>
          <w:szCs w:val="24"/>
        </w:rPr>
        <w:t xml:space="preserve"> mainly Quantity Surveyors that have b</w:t>
      </w:r>
      <w:r w:rsidR="00974F3E">
        <w:rPr>
          <w:rFonts w:ascii="Times New Roman" w:hAnsi="Times New Roman" w:cs="Times New Roman"/>
          <w:sz w:val="24"/>
          <w:szCs w:val="24"/>
        </w:rPr>
        <w:t>een involved with Delivering</w:t>
      </w:r>
      <w:r w:rsidRPr="00E90B72">
        <w:rPr>
          <w:rFonts w:ascii="Times New Roman" w:hAnsi="Times New Roman" w:cs="Times New Roman"/>
          <w:sz w:val="24"/>
          <w:szCs w:val="24"/>
        </w:rPr>
        <w:t xml:space="preserve"> Sustainable housing projects in Lagos, Nigeria. Using the Respondent Driven Survey technique</w:t>
      </w:r>
      <w:r w:rsidR="00974F3E">
        <w:rPr>
          <w:rFonts w:ascii="Times New Roman" w:hAnsi="Times New Roman" w:cs="Times New Roman"/>
          <w:sz w:val="24"/>
          <w:szCs w:val="24"/>
        </w:rPr>
        <w:t xml:space="preserve"> as </w:t>
      </w:r>
      <w:r w:rsidRPr="00E90B72">
        <w:rPr>
          <w:rFonts w:ascii="Times New Roman" w:hAnsi="Times New Roman" w:cs="Times New Roman"/>
          <w:sz w:val="24"/>
          <w:szCs w:val="24"/>
        </w:rPr>
        <w:t xml:space="preserve">sampling technique to collect data, a total of </w:t>
      </w:r>
      <w:r>
        <w:rPr>
          <w:rFonts w:ascii="Times New Roman" w:hAnsi="Times New Roman" w:cs="Times New Roman"/>
          <w:sz w:val="24"/>
          <w:szCs w:val="24"/>
        </w:rPr>
        <w:t>48</w:t>
      </w:r>
      <w:r w:rsidRPr="00E90B72">
        <w:rPr>
          <w:rFonts w:ascii="Times New Roman" w:hAnsi="Times New Roman" w:cs="Times New Roman"/>
          <w:sz w:val="24"/>
          <w:szCs w:val="24"/>
        </w:rPr>
        <w:t xml:space="preserve"> questionnaires were distributed</w:t>
      </w:r>
      <w:r>
        <w:rPr>
          <w:rFonts w:ascii="Times New Roman" w:hAnsi="Times New Roman" w:cs="Times New Roman"/>
          <w:sz w:val="24"/>
          <w:szCs w:val="24"/>
        </w:rPr>
        <w:t xml:space="preserve"> without a benchmark</w:t>
      </w:r>
      <w:r w:rsidRPr="00E90B72">
        <w:rPr>
          <w:rFonts w:ascii="Times New Roman" w:hAnsi="Times New Roman" w:cs="Times New Roman"/>
          <w:sz w:val="24"/>
          <w:szCs w:val="24"/>
        </w:rPr>
        <w:t>, and 48 responses were returned</w:t>
      </w:r>
      <w:r w:rsidR="00FA4864">
        <w:rPr>
          <w:rFonts w:ascii="Times New Roman" w:hAnsi="Times New Roman" w:cs="Times New Roman"/>
          <w:sz w:val="24"/>
          <w:szCs w:val="24"/>
        </w:rPr>
        <w:t xml:space="preserve"> as seen on Table II</w:t>
      </w:r>
      <w:r>
        <w:rPr>
          <w:rFonts w:ascii="Times New Roman" w:hAnsi="Times New Roman" w:cs="Times New Roman"/>
          <w:sz w:val="24"/>
          <w:szCs w:val="24"/>
        </w:rPr>
        <w:t xml:space="preserve">. </w:t>
      </w:r>
      <w:r w:rsidR="00974F3E">
        <w:rPr>
          <w:rFonts w:ascii="Times New Roman" w:hAnsi="Times New Roman" w:cs="Times New Roman"/>
          <w:sz w:val="24"/>
          <w:szCs w:val="24"/>
        </w:rPr>
        <w:t>This represented</w:t>
      </w:r>
      <w:r w:rsidRPr="00E90B72">
        <w:rPr>
          <w:rFonts w:ascii="Times New Roman" w:hAnsi="Times New Roman" w:cs="Times New Roman"/>
          <w:sz w:val="24"/>
          <w:szCs w:val="24"/>
        </w:rPr>
        <w:t xml:space="preserve"> a response rate of </w:t>
      </w:r>
      <w:r>
        <w:rPr>
          <w:rFonts w:ascii="Times New Roman" w:hAnsi="Times New Roman" w:cs="Times New Roman"/>
          <w:sz w:val="24"/>
          <w:szCs w:val="24"/>
        </w:rPr>
        <w:t>100</w:t>
      </w:r>
      <w:r w:rsidRPr="00E90B72">
        <w:rPr>
          <w:rFonts w:ascii="Times New Roman" w:hAnsi="Times New Roman" w:cs="Times New Roman"/>
          <w:sz w:val="24"/>
          <w:szCs w:val="24"/>
        </w:rPr>
        <w:t>%.</w:t>
      </w:r>
      <w:r>
        <w:rPr>
          <w:rFonts w:ascii="Times New Roman" w:hAnsi="Times New Roman" w:cs="Times New Roman"/>
          <w:sz w:val="24"/>
          <w:szCs w:val="24"/>
        </w:rPr>
        <w:t xml:space="preserve"> </w:t>
      </w:r>
      <w:r w:rsidRPr="00E90B72">
        <w:rPr>
          <w:rFonts w:ascii="Times New Roman" w:hAnsi="Times New Roman" w:cs="Times New Roman"/>
          <w:sz w:val="24"/>
          <w:szCs w:val="24"/>
        </w:rPr>
        <w:t xml:space="preserve"> This is considered suitable as response rates that ranges between 30% - 60% are considered good. </w:t>
      </w:r>
      <w:proofErr w:type="gramStart"/>
      <w:r w:rsidRPr="00E90B72">
        <w:rPr>
          <w:rFonts w:ascii="Times New Roman" w:hAnsi="Times New Roman" w:cs="Times New Roman"/>
          <w:sz w:val="24"/>
          <w:szCs w:val="24"/>
        </w:rPr>
        <w:t>(</w:t>
      </w:r>
      <w:r w:rsidR="00830428" w:rsidRPr="00FE3CAE">
        <w:rPr>
          <w:rFonts w:ascii="Times New Roman" w:hAnsi="Times New Roman" w:cs="Times New Roman"/>
          <w:color w:val="000000" w:themeColor="text1"/>
          <w:sz w:val="24"/>
          <w:szCs w:val="24"/>
        </w:rPr>
        <w:t>Valdes-Vas</w:t>
      </w:r>
      <w:r w:rsidR="00830428">
        <w:rPr>
          <w:rFonts w:ascii="Times New Roman" w:hAnsi="Times New Roman" w:cs="Times New Roman"/>
          <w:color w:val="000000" w:themeColor="text1"/>
          <w:sz w:val="24"/>
          <w:szCs w:val="24"/>
        </w:rPr>
        <w:t>quez and Klotz (2012</w:t>
      </w:r>
      <w:r w:rsidRPr="00E90B72">
        <w:rPr>
          <w:rFonts w:ascii="Times New Roman" w:hAnsi="Times New Roman" w:cs="Times New Roman"/>
          <w:sz w:val="24"/>
          <w:szCs w:val="24"/>
        </w:rPr>
        <w:t>).</w:t>
      </w:r>
      <w:proofErr w:type="gramEnd"/>
      <w:r w:rsidRPr="00E90B72">
        <w:rPr>
          <w:rFonts w:ascii="Times New Roman" w:hAnsi="Times New Roman" w:cs="Times New Roman"/>
          <w:sz w:val="24"/>
          <w:szCs w:val="24"/>
        </w:rPr>
        <w:t xml:space="preserve"> </w:t>
      </w:r>
    </w:p>
    <w:p w:rsidR="002D2965" w:rsidRPr="006E251F" w:rsidRDefault="002D2965" w:rsidP="0059560C">
      <w:pPr>
        <w:tabs>
          <w:tab w:val="left" w:pos="5171"/>
        </w:tabs>
        <w:spacing w:after="0" w:line="276" w:lineRule="auto"/>
        <w:ind w:right="-613"/>
        <w:jc w:val="both"/>
        <w:rPr>
          <w:rFonts w:ascii="Times New Roman" w:hAnsi="Times New Roman" w:cs="Times New Roman"/>
          <w:b/>
          <w:bCs/>
          <w:sz w:val="24"/>
          <w:szCs w:val="24"/>
        </w:rPr>
      </w:pPr>
      <w:r w:rsidRPr="006E251F">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II: </w:t>
      </w:r>
      <w:r w:rsidRPr="006E251F">
        <w:rPr>
          <w:rFonts w:ascii="Times New Roman" w:hAnsi="Times New Roman" w:cs="Times New Roman"/>
          <w:b/>
          <w:bCs/>
          <w:sz w:val="24"/>
          <w:szCs w:val="24"/>
        </w:rPr>
        <w:t>Questionnaire Administered and Received</w:t>
      </w:r>
    </w:p>
    <w:tbl>
      <w:tblPr>
        <w:tblW w:w="0" w:type="auto"/>
        <w:tblLook w:val="06A0" w:firstRow="1" w:lastRow="0" w:firstColumn="1" w:lastColumn="0" w:noHBand="1" w:noVBand="1"/>
      </w:tblPr>
      <w:tblGrid>
        <w:gridCol w:w="3116"/>
        <w:gridCol w:w="3117"/>
        <w:gridCol w:w="3117"/>
      </w:tblGrid>
      <w:tr w:rsidR="002D2965" w:rsidRPr="00E90B72" w:rsidTr="002D2965">
        <w:tc>
          <w:tcPr>
            <w:tcW w:w="3116" w:type="dxa"/>
            <w:tcBorders>
              <w:top w:val="single" w:sz="12" w:space="0" w:color="auto"/>
              <w:bottom w:val="single" w:sz="12" w:space="0" w:color="auto"/>
            </w:tcBorders>
            <w:vAlign w:val="center"/>
          </w:tcPr>
          <w:p w:rsidR="002D2965" w:rsidRPr="00E90B72" w:rsidRDefault="002D2965" w:rsidP="0059560C">
            <w:pPr>
              <w:ind w:right="-613"/>
              <w:jc w:val="center"/>
              <w:rPr>
                <w:rFonts w:ascii="Times New Roman" w:hAnsi="Times New Roman" w:cs="Times New Roman"/>
                <w:sz w:val="24"/>
                <w:szCs w:val="24"/>
              </w:rPr>
            </w:pPr>
            <w:r w:rsidRPr="00E90B72">
              <w:rPr>
                <w:rFonts w:ascii="Times New Roman" w:hAnsi="Times New Roman" w:cs="Times New Roman"/>
                <w:sz w:val="24"/>
                <w:szCs w:val="24"/>
              </w:rPr>
              <w:t>Questionnaires Administered</w:t>
            </w:r>
          </w:p>
        </w:tc>
        <w:tc>
          <w:tcPr>
            <w:tcW w:w="3117" w:type="dxa"/>
            <w:tcBorders>
              <w:top w:val="single" w:sz="12" w:space="0" w:color="auto"/>
              <w:bottom w:val="single" w:sz="12" w:space="0" w:color="auto"/>
            </w:tcBorders>
            <w:vAlign w:val="center"/>
          </w:tcPr>
          <w:p w:rsidR="002D2965" w:rsidRPr="00E90B72" w:rsidRDefault="002D2965" w:rsidP="0059560C">
            <w:pPr>
              <w:ind w:right="-613"/>
              <w:jc w:val="center"/>
              <w:rPr>
                <w:rFonts w:ascii="Times New Roman" w:hAnsi="Times New Roman" w:cs="Times New Roman"/>
                <w:sz w:val="24"/>
                <w:szCs w:val="24"/>
              </w:rPr>
            </w:pPr>
            <w:r w:rsidRPr="00E90B72">
              <w:rPr>
                <w:rFonts w:ascii="Times New Roman" w:hAnsi="Times New Roman" w:cs="Times New Roman"/>
                <w:sz w:val="24"/>
                <w:szCs w:val="24"/>
              </w:rPr>
              <w:t>Questionnaires Received</w:t>
            </w:r>
          </w:p>
        </w:tc>
        <w:tc>
          <w:tcPr>
            <w:tcW w:w="3117" w:type="dxa"/>
            <w:tcBorders>
              <w:top w:val="single" w:sz="12" w:space="0" w:color="auto"/>
              <w:bottom w:val="single" w:sz="12" w:space="0" w:color="auto"/>
            </w:tcBorders>
            <w:vAlign w:val="center"/>
          </w:tcPr>
          <w:p w:rsidR="002D2965" w:rsidRPr="00E90B72" w:rsidRDefault="002D2965" w:rsidP="0059560C">
            <w:pPr>
              <w:ind w:right="-613"/>
              <w:jc w:val="center"/>
              <w:rPr>
                <w:rFonts w:ascii="Times New Roman" w:hAnsi="Times New Roman" w:cs="Times New Roman"/>
                <w:sz w:val="24"/>
                <w:szCs w:val="24"/>
              </w:rPr>
            </w:pPr>
            <w:r w:rsidRPr="00E90B72">
              <w:rPr>
                <w:rFonts w:ascii="Times New Roman" w:hAnsi="Times New Roman" w:cs="Times New Roman"/>
                <w:sz w:val="24"/>
                <w:szCs w:val="24"/>
              </w:rPr>
              <w:t>Percentage</w:t>
            </w:r>
          </w:p>
        </w:tc>
      </w:tr>
      <w:tr w:rsidR="002D2965" w:rsidRPr="00E90B72" w:rsidTr="002D2965">
        <w:tc>
          <w:tcPr>
            <w:tcW w:w="3116" w:type="dxa"/>
            <w:tcBorders>
              <w:top w:val="single" w:sz="12" w:space="0" w:color="auto"/>
              <w:bottom w:val="single" w:sz="12" w:space="0" w:color="auto"/>
            </w:tcBorders>
            <w:vAlign w:val="center"/>
          </w:tcPr>
          <w:p w:rsidR="002D2965" w:rsidRPr="00E90B72" w:rsidRDefault="002D2965" w:rsidP="0059560C">
            <w:pPr>
              <w:spacing w:line="276" w:lineRule="auto"/>
              <w:ind w:right="-613"/>
              <w:jc w:val="center"/>
              <w:rPr>
                <w:rFonts w:ascii="Times New Roman" w:hAnsi="Times New Roman" w:cs="Times New Roman"/>
                <w:sz w:val="24"/>
                <w:szCs w:val="24"/>
              </w:rPr>
            </w:pPr>
            <w:r>
              <w:rPr>
                <w:rFonts w:ascii="Times New Roman" w:hAnsi="Times New Roman" w:cs="Times New Roman"/>
                <w:sz w:val="24"/>
                <w:szCs w:val="24"/>
              </w:rPr>
              <w:t>48</w:t>
            </w:r>
          </w:p>
        </w:tc>
        <w:tc>
          <w:tcPr>
            <w:tcW w:w="3117" w:type="dxa"/>
            <w:tcBorders>
              <w:top w:val="single" w:sz="12" w:space="0" w:color="auto"/>
              <w:bottom w:val="single" w:sz="12" w:space="0" w:color="auto"/>
            </w:tcBorders>
            <w:vAlign w:val="center"/>
          </w:tcPr>
          <w:p w:rsidR="002D2965" w:rsidRPr="00E90B72" w:rsidRDefault="002D2965" w:rsidP="0059560C">
            <w:pPr>
              <w:spacing w:line="276" w:lineRule="auto"/>
              <w:ind w:right="-613"/>
              <w:jc w:val="center"/>
              <w:rPr>
                <w:rFonts w:ascii="Times New Roman" w:hAnsi="Times New Roman" w:cs="Times New Roman"/>
                <w:sz w:val="24"/>
                <w:szCs w:val="24"/>
              </w:rPr>
            </w:pPr>
            <w:r w:rsidRPr="00E90B72">
              <w:rPr>
                <w:rFonts w:ascii="Times New Roman" w:hAnsi="Times New Roman" w:cs="Times New Roman"/>
                <w:sz w:val="24"/>
                <w:szCs w:val="24"/>
              </w:rPr>
              <w:t>48</w:t>
            </w:r>
          </w:p>
        </w:tc>
        <w:tc>
          <w:tcPr>
            <w:tcW w:w="3117" w:type="dxa"/>
            <w:tcBorders>
              <w:top w:val="single" w:sz="12" w:space="0" w:color="auto"/>
              <w:bottom w:val="single" w:sz="12" w:space="0" w:color="auto"/>
            </w:tcBorders>
            <w:vAlign w:val="center"/>
          </w:tcPr>
          <w:p w:rsidR="002D2965" w:rsidRPr="00E90B72" w:rsidRDefault="002D2965" w:rsidP="0059560C">
            <w:pPr>
              <w:spacing w:line="276" w:lineRule="auto"/>
              <w:ind w:right="-613"/>
              <w:jc w:val="center"/>
              <w:rPr>
                <w:rFonts w:ascii="Times New Roman" w:hAnsi="Times New Roman" w:cs="Times New Roman"/>
                <w:sz w:val="24"/>
                <w:szCs w:val="24"/>
              </w:rPr>
            </w:pPr>
            <w:r>
              <w:rPr>
                <w:rFonts w:ascii="Times New Roman" w:hAnsi="Times New Roman" w:cs="Times New Roman"/>
                <w:sz w:val="24"/>
                <w:szCs w:val="24"/>
              </w:rPr>
              <w:t>100</w:t>
            </w:r>
            <w:r w:rsidRPr="00E90B72">
              <w:rPr>
                <w:rFonts w:ascii="Times New Roman" w:hAnsi="Times New Roman" w:cs="Times New Roman"/>
                <w:sz w:val="24"/>
                <w:szCs w:val="24"/>
              </w:rPr>
              <w:t>%</w:t>
            </w:r>
          </w:p>
        </w:tc>
      </w:tr>
    </w:tbl>
    <w:p w:rsidR="008464E8" w:rsidRPr="00136620" w:rsidRDefault="008464E8" w:rsidP="0059560C">
      <w:pPr>
        <w:spacing w:line="240" w:lineRule="auto"/>
        <w:ind w:right="-613"/>
      </w:pPr>
    </w:p>
    <w:p w:rsidR="008464E8" w:rsidRPr="005341FD" w:rsidRDefault="00942F58" w:rsidP="0059560C">
      <w:pPr>
        <w:pStyle w:val="Heading2"/>
        <w:spacing w:line="240" w:lineRule="auto"/>
        <w:ind w:right="-613"/>
        <w:rPr>
          <w:rFonts w:ascii="Times New Roman" w:hAnsi="Times New Roman" w:cs="Times New Roman"/>
          <w:b/>
          <w:bCs/>
          <w:color w:val="auto"/>
          <w:sz w:val="24"/>
          <w:szCs w:val="24"/>
        </w:rPr>
      </w:pPr>
      <w:bookmarkStart w:id="20" w:name="_Toc176647313"/>
      <w:r>
        <w:rPr>
          <w:rFonts w:ascii="Times New Roman" w:hAnsi="Times New Roman" w:cs="Times New Roman"/>
          <w:b/>
          <w:bCs/>
          <w:color w:val="auto"/>
          <w:sz w:val="24"/>
          <w:szCs w:val="24"/>
        </w:rPr>
        <w:t>4.1</w:t>
      </w:r>
      <w:r w:rsidR="008464E8" w:rsidRPr="005341FD">
        <w:rPr>
          <w:rFonts w:ascii="Times New Roman" w:hAnsi="Times New Roman" w:cs="Times New Roman"/>
          <w:b/>
          <w:bCs/>
          <w:color w:val="auto"/>
          <w:sz w:val="24"/>
          <w:szCs w:val="24"/>
        </w:rPr>
        <w:t xml:space="preserve"> </w:t>
      </w:r>
      <w:r w:rsidR="008464E8">
        <w:rPr>
          <w:rFonts w:ascii="Times New Roman" w:hAnsi="Times New Roman" w:cs="Times New Roman"/>
          <w:b/>
          <w:bCs/>
          <w:color w:val="auto"/>
          <w:sz w:val="24"/>
          <w:szCs w:val="24"/>
        </w:rPr>
        <w:tab/>
      </w:r>
      <w:r w:rsidR="008464E8" w:rsidRPr="00FA4864">
        <w:rPr>
          <w:rFonts w:ascii="Times New Roman" w:hAnsi="Times New Roman" w:cs="Times New Roman"/>
          <w:b/>
          <w:bCs/>
          <w:i/>
          <w:color w:val="auto"/>
          <w:sz w:val="24"/>
          <w:szCs w:val="24"/>
        </w:rPr>
        <w:t>Background of the Respondent</w:t>
      </w:r>
      <w:bookmarkEnd w:id="20"/>
      <w:r w:rsidR="008464E8" w:rsidRPr="005341FD">
        <w:rPr>
          <w:rFonts w:ascii="Times New Roman" w:hAnsi="Times New Roman" w:cs="Times New Roman"/>
          <w:b/>
          <w:bCs/>
          <w:color w:val="auto"/>
          <w:sz w:val="24"/>
          <w:szCs w:val="24"/>
        </w:rPr>
        <w:t xml:space="preserve"> </w:t>
      </w:r>
    </w:p>
    <w:p w:rsidR="008464E8" w:rsidRPr="00E90B72" w:rsidRDefault="008464E8" w:rsidP="0059560C">
      <w:pPr>
        <w:pStyle w:val="whitespace-pre-wrap"/>
        <w:ind w:right="-613"/>
        <w:jc w:val="both"/>
      </w:pPr>
      <w:r w:rsidRPr="00E90B72">
        <w:t>The survey data here provides insights into the professional experience, academic qualifications, project involvement, and firm types of 48 respondents in the field of housing construction, with a focus on sustain</w:t>
      </w:r>
      <w:r w:rsidR="00FA4864">
        <w:t>able housing projects. Table III</w:t>
      </w:r>
      <w:r w:rsidRPr="00E90B72">
        <w:t>, presents a summary on the professional background of the 48 respondents involved in sustainable housing projects. In terms of professional experience, the largest group of respondents (41.7%) have been in the field for 6-10 years, closely followed by those with 5 years or less experience (37.5%). A smaller proportion have more extensive experience, with 16.7% having 11-15 years, and 4.2% having over 16 years in the profession.</w:t>
      </w:r>
    </w:p>
    <w:p w:rsidR="008464E8" w:rsidRPr="00E90B72" w:rsidRDefault="008464E8" w:rsidP="0059560C">
      <w:pPr>
        <w:pStyle w:val="whitespace-pre-wrap"/>
        <w:ind w:right="-613"/>
        <w:jc w:val="both"/>
      </w:pPr>
      <w:r w:rsidRPr="00E90B72">
        <w:lastRenderedPageBreak/>
        <w:t>Regarding academic qualifications, the respondents are well-educated, with some respondents at least holding two or more degrees. Each respondent were made to select the highest form of degree obtained with 66.7% holding a B.Sc. or B.Tech</w:t>
      </w:r>
      <w:r>
        <w:t xml:space="preserve">. </w:t>
      </w:r>
      <w:r w:rsidRPr="00E90B72">
        <w:t xml:space="preserve">degree. A significant portion (20.8%) have advanced to obtain M.Sc. or </w:t>
      </w:r>
      <w:proofErr w:type="spellStart"/>
      <w:r w:rsidRPr="00E90B72">
        <w:t>M.Tech</w:t>
      </w:r>
      <w:proofErr w:type="spellEnd"/>
      <w:r>
        <w:t>.</w:t>
      </w:r>
      <w:r w:rsidRPr="00E90B72">
        <w:t xml:space="preserve"> degrees, while 12.5% hold HND qualifications. Notably, there are no Ph.D. holders among the respondents.</w:t>
      </w:r>
    </w:p>
    <w:p w:rsidR="008464E8" w:rsidRDefault="008464E8" w:rsidP="0059560C">
      <w:pPr>
        <w:pStyle w:val="whitespace-pre-wrap"/>
        <w:ind w:right="-613"/>
        <w:jc w:val="both"/>
      </w:pPr>
      <w:r w:rsidRPr="00E90B72">
        <w:t>The respondents have varying levels of involvement in housing projects. The largest group (45.8%) has participated in 6-10 projects, while 22.9% have worked on 0-5 projects. Some respondents have more extensive project experience, with 18.8% having been involved in more than 15 projects. The respondents also come from diverse professional settings. The largest group (41.7%) works in firms that handle both consulting and contracting, while 35.4% are in contracting firms, an</w:t>
      </w:r>
      <w:r w:rsidR="00660067">
        <w:t>d 22.9% are in consulting firms.</w:t>
      </w:r>
    </w:p>
    <w:p w:rsidR="002D2965" w:rsidRDefault="002D2965" w:rsidP="00C56BDF">
      <w:pPr>
        <w:pStyle w:val="whitespace-pre-wrap"/>
        <w:spacing w:line="480" w:lineRule="auto"/>
        <w:ind w:left="-709" w:right="-613" w:firstLine="709"/>
        <w:jc w:val="both"/>
      </w:pPr>
      <w:r>
        <w:rPr>
          <w:b/>
          <w:bCs/>
        </w:rPr>
        <w:t>Table III</w:t>
      </w:r>
      <w:r w:rsidRPr="00035CAD">
        <w:rPr>
          <w:b/>
          <w:bCs/>
        </w:rPr>
        <w:t>: Respondent Background Information</w:t>
      </w:r>
    </w:p>
    <w:tbl>
      <w:tblPr>
        <w:tblStyle w:val="PlainTable2"/>
        <w:tblW w:w="5147" w:type="pct"/>
        <w:tblLayout w:type="fixed"/>
        <w:tblLook w:val="06A0" w:firstRow="1" w:lastRow="0" w:firstColumn="1" w:lastColumn="0" w:noHBand="1" w:noVBand="1"/>
      </w:tblPr>
      <w:tblGrid>
        <w:gridCol w:w="2758"/>
        <w:gridCol w:w="2044"/>
        <w:gridCol w:w="1531"/>
        <w:gridCol w:w="1227"/>
        <w:gridCol w:w="1225"/>
        <w:gridCol w:w="920"/>
      </w:tblGrid>
      <w:tr w:rsidR="002D2965" w:rsidRPr="00557D45" w:rsidTr="002D2965">
        <w:trPr>
          <w:cnfStyle w:val="100000000000" w:firstRow="1" w:lastRow="0" w:firstColumn="0" w:lastColumn="0" w:oddVBand="0" w:evenVBand="0" w:oddHBand="0"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bottom w:val="single" w:sz="4" w:space="0" w:color="auto"/>
            </w:tcBorders>
            <w:vAlign w:val="center"/>
            <w:hideMark/>
          </w:tcPr>
          <w:p w:rsidR="002D2965" w:rsidRPr="00557D45" w:rsidRDefault="002D2965" w:rsidP="002D2965">
            <w:pPr>
              <w:tabs>
                <w:tab w:val="left" w:pos="5171"/>
              </w:tabs>
              <w:jc w:val="center"/>
              <w:rPr>
                <w:rFonts w:ascii="Times New Roman" w:hAnsi="Times New Roman" w:cs="Times New Roman"/>
                <w:sz w:val="24"/>
                <w:szCs w:val="24"/>
              </w:rPr>
            </w:pPr>
            <w:r w:rsidRPr="00557D45">
              <w:rPr>
                <w:rFonts w:ascii="Times New Roman" w:hAnsi="Times New Roman" w:cs="Times New Roman"/>
                <w:sz w:val="24"/>
                <w:szCs w:val="24"/>
              </w:rPr>
              <w:t>Background Information</w:t>
            </w:r>
          </w:p>
        </w:tc>
        <w:tc>
          <w:tcPr>
            <w:tcW w:w="1053" w:type="pct"/>
            <w:tcBorders>
              <w:top w:val="single" w:sz="4" w:space="0" w:color="auto"/>
              <w:bottom w:val="single" w:sz="4" w:space="0" w:color="auto"/>
            </w:tcBorders>
            <w:vAlign w:val="center"/>
            <w:hideMark/>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Parameters</w:t>
            </w:r>
          </w:p>
        </w:tc>
        <w:tc>
          <w:tcPr>
            <w:tcW w:w="789" w:type="pct"/>
            <w:tcBorders>
              <w:top w:val="single" w:sz="4" w:space="0" w:color="auto"/>
              <w:bottom w:val="single" w:sz="4" w:space="0" w:color="auto"/>
            </w:tcBorders>
            <w:vAlign w:val="center"/>
            <w:hideMark/>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Frequency</w:t>
            </w:r>
          </w:p>
        </w:tc>
        <w:tc>
          <w:tcPr>
            <w:tcW w:w="632" w:type="pct"/>
            <w:tcBorders>
              <w:top w:val="single" w:sz="4" w:space="0" w:color="auto"/>
              <w:bottom w:val="single" w:sz="4" w:space="0" w:color="auto"/>
            </w:tcBorders>
            <w:noWrap/>
            <w:vAlign w:val="center"/>
            <w:hideMark/>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Percent</w:t>
            </w:r>
          </w:p>
        </w:tc>
        <w:tc>
          <w:tcPr>
            <w:tcW w:w="631" w:type="pct"/>
            <w:tcBorders>
              <w:top w:val="single" w:sz="4" w:space="0" w:color="auto"/>
              <w:bottom w:val="single" w:sz="4" w:space="0" w:color="auto"/>
            </w:tcBorders>
            <w:vAlign w:val="center"/>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Cum. Percent</w:t>
            </w:r>
          </w:p>
        </w:tc>
        <w:tc>
          <w:tcPr>
            <w:tcW w:w="474" w:type="pct"/>
            <w:tcBorders>
              <w:top w:val="single" w:sz="4" w:space="0" w:color="auto"/>
              <w:bottom w:val="single" w:sz="4" w:space="0" w:color="auto"/>
            </w:tcBorders>
            <w:vAlign w:val="center"/>
          </w:tcPr>
          <w:p w:rsidR="002D2965" w:rsidRPr="00557D45" w:rsidRDefault="002D2965" w:rsidP="002D2965">
            <w:pPr>
              <w:tabs>
                <w:tab w:val="left" w:pos="5171"/>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7D45">
              <w:rPr>
                <w:rFonts w:ascii="Times New Roman" w:hAnsi="Times New Roman" w:cs="Times New Roman"/>
                <w:sz w:val="24"/>
                <w:szCs w:val="24"/>
              </w:rPr>
              <w:t>Mean</w:t>
            </w: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tcBorders>
              <w:top w:val="single" w:sz="4" w:space="0" w:color="auto"/>
            </w:tcBorders>
            <w:noWrap/>
            <w:hideMark/>
          </w:tcPr>
          <w:p w:rsidR="002D2965" w:rsidRPr="00E90B72" w:rsidRDefault="002D2965" w:rsidP="002D2965">
            <w:pPr>
              <w:tabs>
                <w:tab w:val="left" w:pos="5171"/>
              </w:tabs>
              <w:jc w:val="center"/>
              <w:rPr>
                <w:rFonts w:ascii="Times New Roman" w:hAnsi="Times New Roman" w:cs="Times New Roman"/>
                <w:sz w:val="24"/>
                <w:szCs w:val="24"/>
              </w:rPr>
            </w:pPr>
          </w:p>
        </w:tc>
        <w:tc>
          <w:tcPr>
            <w:tcW w:w="1053" w:type="pct"/>
            <w:tcBorders>
              <w:top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tcBorders>
              <w:top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tcBorders>
              <w:top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Borders>
              <w:top w:val="single" w:sz="4" w:space="0" w:color="auto"/>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Borders>
              <w:top w:val="single" w:sz="4" w:space="0" w:color="auto"/>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Years of professional experience</w:t>
            </w: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5 years or below</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37.5</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E251F">
              <w:rPr>
                <w:rFonts w:ascii="Times New Roman" w:hAnsi="Times New Roman" w:cs="Times New Roman"/>
                <w:sz w:val="24"/>
                <w:szCs w:val="24"/>
              </w:rPr>
              <w:t>37.5</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6 - 10 Years</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20</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41.7</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79.2</w:t>
            </w:r>
          </w:p>
        </w:tc>
        <w:tc>
          <w:tcPr>
            <w:tcW w:w="474" w:type="pct"/>
          </w:tcPr>
          <w:p w:rsidR="002D2965" w:rsidRPr="00E90B72" w:rsidRDefault="002D2965" w:rsidP="002D2965">
            <w:pPr>
              <w:tabs>
                <w:tab w:val="left" w:pos="517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7.44</w:t>
            </w: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11- 15 Years</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16.7</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95.9</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16 - 20 Years</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2.1</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98.9</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Above 21 Years</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2.1</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Highest academic qualification(s) of respondent</w:t>
            </w: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HND</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12.5</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B.Sc./</w:t>
            </w:r>
            <w:proofErr w:type="spellStart"/>
            <w:r w:rsidRPr="00E90B72">
              <w:rPr>
                <w:rFonts w:ascii="Times New Roman" w:hAnsi="Times New Roman" w:cs="Times New Roman"/>
                <w:sz w:val="24"/>
                <w:szCs w:val="24"/>
              </w:rPr>
              <w:t>B.Tech</w:t>
            </w:r>
            <w:proofErr w:type="spellEnd"/>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32</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66.7</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68.7</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90B72">
              <w:rPr>
                <w:rFonts w:ascii="Times New Roman" w:hAnsi="Times New Roman" w:cs="Times New Roman"/>
                <w:sz w:val="24"/>
                <w:szCs w:val="24"/>
              </w:rPr>
              <w:t>M.Sc</w:t>
            </w:r>
            <w:proofErr w:type="spellEnd"/>
            <w:r w:rsidRPr="00E90B72">
              <w:rPr>
                <w:rFonts w:ascii="Times New Roman" w:hAnsi="Times New Roman" w:cs="Times New Roman"/>
                <w:sz w:val="24"/>
                <w:szCs w:val="24"/>
              </w:rPr>
              <w:t>/</w:t>
            </w:r>
            <w:proofErr w:type="spellStart"/>
            <w:r w:rsidRPr="00E90B72">
              <w:rPr>
                <w:rFonts w:ascii="Times New Roman" w:hAnsi="Times New Roman" w:cs="Times New Roman"/>
                <w:sz w:val="24"/>
                <w:szCs w:val="24"/>
              </w:rPr>
              <w:t>M.Tech</w:t>
            </w:r>
            <w:proofErr w:type="spellEnd"/>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10</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20.8</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81.2</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PHD</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0</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Number of housing projects you have participated in</w:t>
            </w: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0 - 5</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22.9</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22.9</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6 - 10</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22</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45.8</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68.7</w:t>
            </w:r>
          </w:p>
        </w:tc>
        <w:tc>
          <w:tcPr>
            <w:tcW w:w="474" w:type="pct"/>
          </w:tcPr>
          <w:p w:rsidR="002D2965" w:rsidRPr="00E90B72" w:rsidRDefault="002D2965" w:rsidP="002D2965">
            <w:pPr>
              <w:tabs>
                <w:tab w:val="left" w:pos="517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9.35</w:t>
            </w: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11 - 15</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12.5</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81.2</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15 above</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9</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18.8</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Type of Firm</w:t>
            </w: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Consulting</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22.9</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22.9</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Contracting</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17</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35.4</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58.3</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624"/>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Both (Consulting and</w:t>
            </w:r>
            <w:r w:rsidRPr="00E90B72">
              <w:rPr>
                <w:rFonts w:ascii="Times New Roman" w:hAnsi="Times New Roman" w:cs="Times New Roman"/>
                <w:sz w:val="24"/>
                <w:szCs w:val="24"/>
              </w:rPr>
              <w:br/>
              <w:t>Contracting)</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20</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41.7</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w:t>
            </w:r>
          </w:p>
        </w:tc>
        <w:tc>
          <w:tcPr>
            <w:tcW w:w="631"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tcBorders>
              <w:bottom w:val="nil"/>
            </w:tcBorders>
            <w:noWrap/>
            <w:hideMark/>
          </w:tcPr>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tcBorders>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pct"/>
            <w:tcBorders>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2" w:type="pct"/>
            <w:tcBorders>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31" w:type="pct"/>
            <w:tcBorders>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4" w:type="pct"/>
            <w:tcBorders>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val="restart"/>
            <w:tcBorders>
              <w:top w:val="nil"/>
              <w:bottom w:val="nil"/>
            </w:tcBorders>
            <w:noWrap/>
            <w:vAlign w:val="center"/>
            <w:hideMark/>
          </w:tcPr>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 xml:space="preserve">Number of sustainable </w:t>
            </w:r>
            <w:r w:rsidRPr="00B91396">
              <w:rPr>
                <w:rFonts w:ascii="Times New Roman" w:hAnsi="Times New Roman" w:cs="Times New Roman"/>
                <w:b w:val="0"/>
                <w:bCs w:val="0"/>
                <w:sz w:val="24"/>
                <w:szCs w:val="24"/>
              </w:rPr>
              <w:lastRenderedPageBreak/>
              <w:t>housing</w:t>
            </w:r>
          </w:p>
          <w:p w:rsidR="002D2965" w:rsidRPr="00B91396" w:rsidRDefault="002D2965" w:rsidP="002D2965">
            <w:pPr>
              <w:tabs>
                <w:tab w:val="left" w:pos="5171"/>
              </w:tabs>
              <w:jc w:val="center"/>
              <w:rPr>
                <w:rFonts w:ascii="Times New Roman" w:hAnsi="Times New Roman" w:cs="Times New Roman"/>
                <w:b w:val="0"/>
                <w:bCs w:val="0"/>
                <w:sz w:val="24"/>
                <w:szCs w:val="24"/>
              </w:rPr>
            </w:pPr>
            <w:r w:rsidRPr="00B91396">
              <w:rPr>
                <w:rFonts w:ascii="Times New Roman" w:hAnsi="Times New Roman" w:cs="Times New Roman"/>
                <w:b w:val="0"/>
                <w:bCs w:val="0"/>
                <w:sz w:val="24"/>
                <w:szCs w:val="24"/>
              </w:rPr>
              <w:t>projects you have participated in</w:t>
            </w:r>
          </w:p>
          <w:p w:rsidR="002D2965" w:rsidRPr="00B91396" w:rsidRDefault="002D2965" w:rsidP="002D2965">
            <w:pPr>
              <w:tabs>
                <w:tab w:val="left" w:pos="5171"/>
              </w:tabs>
              <w:jc w:val="center"/>
              <w:rPr>
                <w:rFonts w:ascii="Times New Roman" w:hAnsi="Times New Roman" w:cs="Times New Roman"/>
                <w:b w:val="0"/>
                <w:bCs w:val="0"/>
                <w:sz w:val="24"/>
                <w:szCs w:val="24"/>
              </w:rPr>
            </w:pPr>
          </w:p>
        </w:tc>
        <w:tc>
          <w:tcPr>
            <w:tcW w:w="1053"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lastRenderedPageBreak/>
              <w:t>0 - 5</w:t>
            </w:r>
          </w:p>
        </w:tc>
        <w:tc>
          <w:tcPr>
            <w:tcW w:w="789"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30</w:t>
            </w:r>
          </w:p>
        </w:tc>
        <w:tc>
          <w:tcPr>
            <w:tcW w:w="632"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62.5</w:t>
            </w:r>
          </w:p>
        </w:tc>
        <w:tc>
          <w:tcPr>
            <w:tcW w:w="631"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62.5</w:t>
            </w:r>
          </w:p>
        </w:tc>
        <w:tc>
          <w:tcPr>
            <w:tcW w:w="474" w:type="pct"/>
            <w:tcBorders>
              <w:top w:val="nil"/>
              <w:bottom w:val="nil"/>
            </w:tcBorders>
          </w:tcPr>
          <w:p w:rsidR="002D2965" w:rsidRPr="00E90B72" w:rsidRDefault="002D2965" w:rsidP="002D2965">
            <w:pPr>
              <w:tabs>
                <w:tab w:val="left" w:pos="517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w:t>
            </w: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tcBorders>
              <w:top w:val="nil"/>
              <w:bottom w:val="nil"/>
            </w:tcBorders>
            <w:noWrap/>
            <w:hideMark/>
          </w:tcPr>
          <w:p w:rsidR="002D2965" w:rsidRPr="00E90B72" w:rsidRDefault="002D2965" w:rsidP="002D2965">
            <w:pPr>
              <w:tabs>
                <w:tab w:val="left" w:pos="5171"/>
              </w:tabs>
              <w:jc w:val="both"/>
              <w:rPr>
                <w:rFonts w:ascii="Times New Roman" w:hAnsi="Times New Roman" w:cs="Times New Roman"/>
                <w:sz w:val="24"/>
                <w:szCs w:val="24"/>
              </w:rPr>
            </w:pPr>
          </w:p>
        </w:tc>
        <w:tc>
          <w:tcPr>
            <w:tcW w:w="1053"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6 - 10</w:t>
            </w:r>
          </w:p>
        </w:tc>
        <w:tc>
          <w:tcPr>
            <w:tcW w:w="789"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13</w:t>
            </w:r>
          </w:p>
        </w:tc>
        <w:tc>
          <w:tcPr>
            <w:tcW w:w="632"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27.1</w:t>
            </w:r>
          </w:p>
        </w:tc>
        <w:tc>
          <w:tcPr>
            <w:tcW w:w="631"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89.6</w:t>
            </w:r>
          </w:p>
        </w:tc>
        <w:tc>
          <w:tcPr>
            <w:tcW w:w="474" w:type="pct"/>
            <w:tcBorders>
              <w:top w:val="nil"/>
              <w:bottom w:val="nil"/>
            </w:tcBorders>
          </w:tcPr>
          <w:p w:rsidR="002D2965" w:rsidRPr="00E90B72" w:rsidRDefault="002D2965" w:rsidP="002D2965">
            <w:pPr>
              <w:tabs>
                <w:tab w:val="left" w:pos="5171"/>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tcBorders>
              <w:top w:val="nil"/>
              <w:bottom w:val="nil"/>
            </w:tcBorders>
            <w:noWrap/>
            <w:hideMark/>
          </w:tcPr>
          <w:p w:rsidR="002D2965" w:rsidRPr="00E90B72" w:rsidRDefault="002D2965" w:rsidP="002D2965">
            <w:pPr>
              <w:tabs>
                <w:tab w:val="left" w:pos="5171"/>
              </w:tabs>
              <w:jc w:val="both"/>
              <w:rPr>
                <w:rFonts w:ascii="Times New Roman" w:hAnsi="Times New Roman" w:cs="Times New Roman"/>
                <w:sz w:val="24"/>
                <w:szCs w:val="24"/>
              </w:rPr>
            </w:pPr>
          </w:p>
        </w:tc>
        <w:tc>
          <w:tcPr>
            <w:tcW w:w="1053"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11 - 15</w:t>
            </w:r>
          </w:p>
        </w:tc>
        <w:tc>
          <w:tcPr>
            <w:tcW w:w="789"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4</w:t>
            </w:r>
          </w:p>
        </w:tc>
        <w:tc>
          <w:tcPr>
            <w:tcW w:w="632"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8.3</w:t>
            </w:r>
          </w:p>
        </w:tc>
        <w:tc>
          <w:tcPr>
            <w:tcW w:w="631"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97.9</w:t>
            </w:r>
          </w:p>
        </w:tc>
        <w:tc>
          <w:tcPr>
            <w:tcW w:w="474"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312"/>
        </w:trPr>
        <w:tc>
          <w:tcPr>
            <w:cnfStyle w:val="001000000000" w:firstRow="0" w:lastRow="0" w:firstColumn="1" w:lastColumn="0" w:oddVBand="0" w:evenVBand="0" w:oddHBand="0" w:evenHBand="0" w:firstRowFirstColumn="0" w:firstRowLastColumn="0" w:lastRowFirstColumn="0" w:lastRowLastColumn="0"/>
            <w:tcW w:w="1421" w:type="pct"/>
            <w:vMerge/>
            <w:tcBorders>
              <w:top w:val="nil"/>
              <w:bottom w:val="nil"/>
            </w:tcBorders>
            <w:noWrap/>
            <w:hideMark/>
          </w:tcPr>
          <w:p w:rsidR="002D2965" w:rsidRPr="00E90B72" w:rsidRDefault="002D2965" w:rsidP="002D2965">
            <w:pPr>
              <w:tabs>
                <w:tab w:val="left" w:pos="5171"/>
              </w:tabs>
              <w:jc w:val="both"/>
              <w:rPr>
                <w:rFonts w:ascii="Times New Roman" w:hAnsi="Times New Roman" w:cs="Times New Roman"/>
                <w:sz w:val="24"/>
                <w:szCs w:val="24"/>
              </w:rPr>
            </w:pPr>
          </w:p>
        </w:tc>
        <w:tc>
          <w:tcPr>
            <w:tcW w:w="1053"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Above 15</w:t>
            </w:r>
          </w:p>
        </w:tc>
        <w:tc>
          <w:tcPr>
            <w:tcW w:w="789"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1</w:t>
            </w:r>
          </w:p>
        </w:tc>
        <w:tc>
          <w:tcPr>
            <w:tcW w:w="632" w:type="pct"/>
            <w:tcBorders>
              <w:top w:val="nil"/>
              <w:bottom w:val="nil"/>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90B72">
              <w:rPr>
                <w:rFonts w:ascii="Times New Roman" w:hAnsi="Times New Roman" w:cs="Times New Roman"/>
                <w:sz w:val="24"/>
                <w:szCs w:val="24"/>
              </w:rPr>
              <w:t>2.1</w:t>
            </w:r>
          </w:p>
        </w:tc>
        <w:tc>
          <w:tcPr>
            <w:tcW w:w="631"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74" w:type="pct"/>
            <w:tcBorders>
              <w:top w:val="nil"/>
              <w:bottom w:val="nil"/>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D2965" w:rsidRPr="00E90B72" w:rsidTr="002D2965">
        <w:trPr>
          <w:trHeight w:val="153"/>
        </w:trPr>
        <w:tc>
          <w:tcPr>
            <w:cnfStyle w:val="001000000000" w:firstRow="0" w:lastRow="0" w:firstColumn="1" w:lastColumn="0" w:oddVBand="0" w:evenVBand="0" w:oddHBand="0" w:evenHBand="0" w:firstRowFirstColumn="0" w:firstRowLastColumn="0" w:lastRowFirstColumn="0" w:lastRowLastColumn="0"/>
            <w:tcW w:w="1421" w:type="pct"/>
            <w:vMerge/>
            <w:tcBorders>
              <w:top w:val="nil"/>
              <w:bottom w:val="single" w:sz="4" w:space="0" w:color="auto"/>
            </w:tcBorders>
            <w:noWrap/>
            <w:hideMark/>
          </w:tcPr>
          <w:p w:rsidR="002D2965" w:rsidRPr="00E90B72" w:rsidRDefault="002D2965" w:rsidP="002D2965">
            <w:pPr>
              <w:tabs>
                <w:tab w:val="left" w:pos="5171"/>
              </w:tabs>
              <w:jc w:val="both"/>
              <w:rPr>
                <w:rFonts w:ascii="Times New Roman" w:hAnsi="Times New Roman" w:cs="Times New Roman"/>
                <w:sz w:val="24"/>
                <w:szCs w:val="24"/>
              </w:rPr>
            </w:pPr>
          </w:p>
        </w:tc>
        <w:tc>
          <w:tcPr>
            <w:tcW w:w="1053" w:type="pct"/>
            <w:tcBorders>
              <w:top w:val="nil"/>
              <w:bottom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Total</w:t>
            </w:r>
          </w:p>
        </w:tc>
        <w:tc>
          <w:tcPr>
            <w:tcW w:w="789" w:type="pct"/>
            <w:tcBorders>
              <w:top w:val="nil"/>
              <w:bottom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48</w:t>
            </w:r>
          </w:p>
        </w:tc>
        <w:tc>
          <w:tcPr>
            <w:tcW w:w="632" w:type="pct"/>
            <w:tcBorders>
              <w:top w:val="nil"/>
              <w:bottom w:val="single" w:sz="4" w:space="0" w:color="auto"/>
            </w:tcBorders>
            <w:noWrap/>
            <w:hideMark/>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90B72">
              <w:rPr>
                <w:rFonts w:ascii="Times New Roman" w:hAnsi="Times New Roman" w:cs="Times New Roman"/>
                <w:b/>
                <w:bCs/>
                <w:sz w:val="24"/>
                <w:szCs w:val="24"/>
              </w:rPr>
              <w:t>100.0</w:t>
            </w:r>
          </w:p>
        </w:tc>
        <w:tc>
          <w:tcPr>
            <w:tcW w:w="631" w:type="pct"/>
            <w:tcBorders>
              <w:top w:val="nil"/>
              <w:bottom w:val="single" w:sz="4" w:space="0" w:color="auto"/>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474" w:type="pct"/>
            <w:tcBorders>
              <w:top w:val="nil"/>
              <w:bottom w:val="single" w:sz="4" w:space="0" w:color="auto"/>
            </w:tcBorders>
          </w:tcPr>
          <w:p w:rsidR="002D2965" w:rsidRPr="00E90B72" w:rsidRDefault="002D2965" w:rsidP="002D2965">
            <w:pPr>
              <w:tabs>
                <w:tab w:val="left" w:pos="5171"/>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rsidR="008464E8" w:rsidRDefault="008464E8" w:rsidP="00C56BDF">
      <w:pPr>
        <w:pStyle w:val="whitespace-pre-wrap"/>
        <w:ind w:right="-613"/>
        <w:jc w:val="both"/>
      </w:pPr>
      <w:r w:rsidRPr="00E90B72">
        <w:t>When it comes to sustainable housing projects specifically, the majority of respondents (62.5%) have limited experience, having participated in only 0-5 such projects. A smaller group (27.1%) has been involved in 6-10 sustainable housing projects, with very few having experience beyond that.</w:t>
      </w:r>
      <w:r>
        <w:t xml:space="preserve"> </w:t>
      </w:r>
    </w:p>
    <w:p w:rsidR="008464E8" w:rsidRDefault="008464E8" w:rsidP="00C56BDF">
      <w:pPr>
        <w:pStyle w:val="whitespace-pre-wrap"/>
        <w:ind w:right="-613"/>
        <w:jc w:val="both"/>
      </w:pPr>
      <w:r w:rsidRPr="00E90B72">
        <w:t>This data paints a picture of a workforce with a mix of early-career and mid-career professionals, well-educated, and gaining experience across various types of housing projects. However, there appears to be a gap in experience specifically related to sustainable housing projects, suggesting a potential area for growth and development in the industry.</w:t>
      </w:r>
    </w:p>
    <w:p w:rsidR="001820FA" w:rsidRPr="00FA4864" w:rsidRDefault="001820FA" w:rsidP="00C56BDF">
      <w:pPr>
        <w:pStyle w:val="Heading2"/>
        <w:spacing w:line="240" w:lineRule="auto"/>
        <w:ind w:right="-613"/>
        <w:rPr>
          <w:rFonts w:ascii="Times New Roman" w:hAnsi="Times New Roman" w:cs="Times New Roman"/>
          <w:b/>
          <w:bCs/>
          <w:i/>
          <w:color w:val="auto"/>
          <w:sz w:val="24"/>
          <w:szCs w:val="24"/>
        </w:rPr>
      </w:pPr>
      <w:bookmarkStart w:id="21" w:name="_Toc176647318"/>
      <w:r w:rsidRPr="00FA4864">
        <w:rPr>
          <w:rFonts w:ascii="Times New Roman" w:hAnsi="Times New Roman" w:cs="Times New Roman"/>
          <w:b/>
          <w:bCs/>
          <w:i/>
          <w:color w:val="auto"/>
          <w:sz w:val="24"/>
          <w:szCs w:val="24"/>
        </w:rPr>
        <w:t xml:space="preserve">4.6 </w:t>
      </w:r>
      <w:r w:rsidRPr="00FA4864">
        <w:rPr>
          <w:rFonts w:ascii="Times New Roman" w:hAnsi="Times New Roman" w:cs="Times New Roman"/>
          <w:b/>
          <w:bCs/>
          <w:i/>
          <w:color w:val="auto"/>
          <w:sz w:val="24"/>
          <w:szCs w:val="24"/>
        </w:rPr>
        <w:tab/>
        <w:t xml:space="preserve">Factors Promoting the Involvement of Quantity Surveyors in the Delivery </w:t>
      </w:r>
    </w:p>
    <w:p w:rsidR="001820FA" w:rsidRDefault="001820FA" w:rsidP="00C56BDF">
      <w:pPr>
        <w:pStyle w:val="Heading2"/>
        <w:tabs>
          <w:tab w:val="center" w:pos="4105"/>
        </w:tabs>
        <w:spacing w:after="240" w:line="240" w:lineRule="auto"/>
        <w:ind w:right="-613"/>
        <w:rPr>
          <w:rFonts w:ascii="Times New Roman" w:hAnsi="Times New Roman" w:cs="Times New Roman"/>
          <w:b/>
          <w:bCs/>
          <w:color w:val="auto"/>
          <w:sz w:val="24"/>
          <w:szCs w:val="24"/>
        </w:rPr>
      </w:pPr>
      <w:r w:rsidRPr="00FA4864">
        <w:rPr>
          <w:rFonts w:ascii="Times New Roman" w:hAnsi="Times New Roman" w:cs="Times New Roman"/>
          <w:b/>
          <w:bCs/>
          <w:i/>
          <w:color w:val="auto"/>
          <w:sz w:val="24"/>
          <w:szCs w:val="24"/>
        </w:rPr>
        <w:t xml:space="preserve">            of</w:t>
      </w:r>
      <w:bookmarkEnd w:id="21"/>
      <w:r w:rsidRPr="00FA4864">
        <w:rPr>
          <w:rFonts w:ascii="Times New Roman" w:hAnsi="Times New Roman" w:cs="Times New Roman"/>
          <w:b/>
          <w:bCs/>
          <w:i/>
          <w:color w:val="auto"/>
          <w:sz w:val="24"/>
          <w:szCs w:val="24"/>
        </w:rPr>
        <w:t xml:space="preserve"> </w:t>
      </w:r>
      <w:bookmarkStart w:id="22" w:name="_Toc176647319"/>
      <w:r w:rsidRPr="00FA4864">
        <w:rPr>
          <w:rFonts w:ascii="Times New Roman" w:hAnsi="Times New Roman" w:cs="Times New Roman"/>
          <w:b/>
          <w:bCs/>
          <w:i/>
          <w:color w:val="auto"/>
          <w:sz w:val="24"/>
          <w:szCs w:val="24"/>
        </w:rPr>
        <w:t>Sustainable Housing Projects</w:t>
      </w:r>
      <w:bookmarkEnd w:id="22"/>
      <w:r>
        <w:rPr>
          <w:rFonts w:ascii="Times New Roman" w:hAnsi="Times New Roman" w:cs="Times New Roman"/>
          <w:b/>
          <w:bCs/>
          <w:color w:val="auto"/>
          <w:sz w:val="24"/>
          <w:szCs w:val="24"/>
        </w:rPr>
        <w:tab/>
      </w:r>
    </w:p>
    <w:p w:rsidR="001820FA" w:rsidRDefault="001820FA" w:rsidP="00C56BDF">
      <w:pPr>
        <w:spacing w:line="240" w:lineRule="auto"/>
        <w:ind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Cronbach's alpha figures </w:t>
      </w:r>
      <w:r w:rsidR="00FA4864">
        <w:rPr>
          <w:rFonts w:ascii="Times New Roman" w:hAnsi="Times New Roman" w:cs="Times New Roman"/>
          <w:sz w:val="24"/>
          <w:szCs w:val="24"/>
        </w:rPr>
        <w:t>indicated in table IV</w:t>
      </w:r>
      <w:r>
        <w:rPr>
          <w:rFonts w:ascii="Times New Roman" w:hAnsi="Times New Roman" w:cs="Times New Roman"/>
          <w:sz w:val="24"/>
          <w:szCs w:val="24"/>
        </w:rPr>
        <w:t xml:space="preserve"> </w:t>
      </w:r>
      <w:r w:rsidRPr="00E90B72">
        <w:rPr>
          <w:rFonts w:ascii="Times New Roman" w:hAnsi="Times New Roman" w:cs="Times New Roman"/>
          <w:sz w:val="24"/>
          <w:szCs w:val="24"/>
        </w:rPr>
        <w:t>are set at 0.9</w:t>
      </w:r>
      <w:r>
        <w:rPr>
          <w:rFonts w:ascii="Times New Roman" w:hAnsi="Times New Roman" w:cs="Times New Roman"/>
          <w:sz w:val="24"/>
          <w:szCs w:val="24"/>
        </w:rPr>
        <w:t>14</w:t>
      </w:r>
      <w:r w:rsidRPr="00E90B72">
        <w:rPr>
          <w:rFonts w:ascii="Times New Roman" w:hAnsi="Times New Roman" w:cs="Times New Roman"/>
          <w:sz w:val="24"/>
          <w:szCs w:val="24"/>
        </w:rPr>
        <w:t xml:space="preserve"> which suggest that the responses provided are excellent and are expected to be reli</w:t>
      </w:r>
      <w:r>
        <w:rPr>
          <w:rFonts w:ascii="Times New Roman" w:hAnsi="Times New Roman" w:cs="Times New Roman"/>
          <w:sz w:val="24"/>
          <w:szCs w:val="24"/>
        </w:rPr>
        <w:t>able in carrying out this study.</w:t>
      </w:r>
    </w:p>
    <w:p w:rsidR="007716E0" w:rsidRDefault="007716E0" w:rsidP="006C44AF">
      <w:pPr>
        <w:spacing w:line="240" w:lineRule="auto"/>
        <w:ind w:left="-709" w:right="-613"/>
        <w:jc w:val="both"/>
        <w:rPr>
          <w:rFonts w:ascii="Times New Roman" w:hAnsi="Times New Roman" w:cs="Times New Roman"/>
          <w:sz w:val="24"/>
          <w:szCs w:val="24"/>
        </w:rPr>
      </w:pPr>
    </w:p>
    <w:p w:rsidR="002D2965" w:rsidRDefault="002D2965" w:rsidP="00006234">
      <w:pPr>
        <w:spacing w:after="0" w:line="240" w:lineRule="auto"/>
        <w:ind w:right="-908"/>
        <w:jc w:val="both"/>
        <w:rPr>
          <w:rFonts w:ascii="Times New Roman" w:hAnsi="Times New Roman" w:cs="Times New Roman"/>
          <w:b/>
          <w:bCs/>
          <w:sz w:val="24"/>
          <w:szCs w:val="24"/>
        </w:rPr>
      </w:pPr>
      <w:r w:rsidRPr="0084793A">
        <w:rPr>
          <w:rFonts w:ascii="Times New Roman" w:hAnsi="Times New Roman" w:cs="Times New Roman"/>
          <w:b/>
          <w:bCs/>
          <w:sz w:val="24"/>
          <w:szCs w:val="24"/>
        </w:rPr>
        <w:t>Table</w:t>
      </w:r>
      <w:r>
        <w:rPr>
          <w:rFonts w:ascii="Times New Roman" w:hAnsi="Times New Roman" w:cs="Times New Roman"/>
          <w:b/>
          <w:bCs/>
          <w:sz w:val="24"/>
          <w:szCs w:val="24"/>
        </w:rPr>
        <w:t xml:space="preserve"> IV:</w:t>
      </w:r>
      <w:r w:rsidRPr="0084793A">
        <w:rPr>
          <w:rFonts w:ascii="Times New Roman" w:hAnsi="Times New Roman" w:cs="Times New Roman"/>
          <w:b/>
          <w:bCs/>
          <w:sz w:val="24"/>
          <w:szCs w:val="24"/>
        </w:rPr>
        <w:t xml:space="preserve"> Reliability </w:t>
      </w:r>
      <w:r w:rsidRPr="000F1273">
        <w:rPr>
          <w:rFonts w:ascii="Times New Roman" w:hAnsi="Times New Roman" w:cs="Times New Roman"/>
          <w:b/>
          <w:bCs/>
          <w:sz w:val="24"/>
          <w:szCs w:val="24"/>
        </w:rPr>
        <w:t>Statistics</w:t>
      </w:r>
      <w:r w:rsidRPr="0084793A">
        <w:rPr>
          <w:rFonts w:ascii="Times New Roman" w:hAnsi="Times New Roman" w:cs="Times New Roman"/>
          <w:b/>
          <w:bCs/>
          <w:sz w:val="24"/>
          <w:szCs w:val="24"/>
        </w:rPr>
        <w:t xml:space="preserve"> for Data ON </w:t>
      </w:r>
      <w:bookmarkStart w:id="23" w:name="_Hlk175577195"/>
      <w:r w:rsidRPr="0084793A">
        <w:rPr>
          <w:rFonts w:ascii="Times New Roman" w:hAnsi="Times New Roman" w:cs="Times New Roman"/>
          <w:b/>
          <w:bCs/>
          <w:sz w:val="24"/>
          <w:szCs w:val="24"/>
        </w:rPr>
        <w:t xml:space="preserve">Factors Promoting the Involvement </w:t>
      </w:r>
    </w:p>
    <w:p w:rsidR="002D2965" w:rsidRPr="0084793A" w:rsidRDefault="002D2965" w:rsidP="002D2965">
      <w:pPr>
        <w:spacing w:after="0" w:line="240" w:lineRule="auto"/>
        <w:ind w:left="-709" w:right="-908"/>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sidRPr="0084793A">
        <w:rPr>
          <w:rFonts w:ascii="Times New Roman" w:hAnsi="Times New Roman" w:cs="Times New Roman"/>
          <w:b/>
          <w:bCs/>
          <w:sz w:val="24"/>
          <w:szCs w:val="24"/>
        </w:rPr>
        <w:t>of</w:t>
      </w:r>
      <w:proofErr w:type="gramEnd"/>
      <w:r w:rsidRPr="0084793A">
        <w:rPr>
          <w:rFonts w:ascii="Times New Roman" w:hAnsi="Times New Roman" w:cs="Times New Roman"/>
          <w:b/>
          <w:bCs/>
          <w:sz w:val="24"/>
          <w:szCs w:val="24"/>
        </w:rPr>
        <w:t xml:space="preserve"> Quantity</w:t>
      </w:r>
      <w:r>
        <w:rPr>
          <w:rFonts w:ascii="Times New Roman" w:hAnsi="Times New Roman" w:cs="Times New Roman"/>
          <w:b/>
          <w:bCs/>
          <w:sz w:val="24"/>
          <w:szCs w:val="24"/>
        </w:rPr>
        <w:t xml:space="preserve"> Surveyors</w:t>
      </w:r>
      <w:r w:rsidRPr="0084793A">
        <w:rPr>
          <w:rFonts w:ascii="Times New Roman" w:hAnsi="Times New Roman" w:cs="Times New Roman"/>
          <w:b/>
          <w:bCs/>
          <w:sz w:val="24"/>
          <w:szCs w:val="24"/>
        </w:rPr>
        <w:t xml:space="preserve"> in the Delivery of Sustainable Housing Projects</w:t>
      </w:r>
      <w:bookmarkEnd w:id="23"/>
    </w:p>
    <w:tbl>
      <w:tblPr>
        <w:tblW w:w="5000" w:type="pct"/>
        <w:jc w:val="center"/>
        <w:tblLook w:val="0620" w:firstRow="1" w:lastRow="0" w:firstColumn="0" w:lastColumn="0" w:noHBand="1" w:noVBand="1"/>
      </w:tblPr>
      <w:tblGrid>
        <w:gridCol w:w="5295"/>
        <w:gridCol w:w="4133"/>
      </w:tblGrid>
      <w:tr w:rsidR="002D2965" w:rsidRPr="00E90B72" w:rsidTr="002D2965">
        <w:trPr>
          <w:trHeight w:val="134"/>
          <w:jc w:val="center"/>
        </w:trPr>
        <w:tc>
          <w:tcPr>
            <w:tcW w:w="2808" w:type="pct"/>
            <w:tcBorders>
              <w:top w:val="single" w:sz="4" w:space="0" w:color="auto"/>
              <w:bottom w:val="single" w:sz="4" w:space="0" w:color="auto"/>
            </w:tcBorders>
            <w:vAlign w:val="bottom"/>
          </w:tcPr>
          <w:p w:rsidR="002D2965" w:rsidRPr="000F1273" w:rsidRDefault="002D2965" w:rsidP="002D2965">
            <w:pPr>
              <w:spacing w:line="276" w:lineRule="auto"/>
              <w:ind w:left="-709" w:right="-613"/>
              <w:jc w:val="center"/>
              <w:rPr>
                <w:rFonts w:ascii="Times New Roman" w:hAnsi="Times New Roman" w:cs="Times New Roman"/>
                <w:sz w:val="24"/>
                <w:szCs w:val="24"/>
              </w:rPr>
            </w:pPr>
            <w:r w:rsidRPr="000F1273">
              <w:rPr>
                <w:rFonts w:ascii="Times New Roman" w:hAnsi="Times New Roman" w:cs="Times New Roman"/>
                <w:caps/>
                <w:sz w:val="24"/>
                <w:szCs w:val="24"/>
              </w:rPr>
              <w:t>Cronbach's Alpha</w:t>
            </w:r>
          </w:p>
        </w:tc>
        <w:tc>
          <w:tcPr>
            <w:tcW w:w="2192" w:type="pct"/>
            <w:tcBorders>
              <w:top w:val="single" w:sz="4" w:space="0" w:color="auto"/>
              <w:bottom w:val="single" w:sz="4" w:space="0" w:color="auto"/>
            </w:tcBorders>
            <w:vAlign w:val="bottom"/>
          </w:tcPr>
          <w:p w:rsidR="002D2965" w:rsidRPr="000F1273" w:rsidRDefault="002D2965" w:rsidP="002D2965">
            <w:pPr>
              <w:spacing w:line="276" w:lineRule="auto"/>
              <w:ind w:left="-709" w:right="-613"/>
              <w:jc w:val="center"/>
              <w:rPr>
                <w:rFonts w:ascii="Times New Roman" w:hAnsi="Times New Roman" w:cs="Times New Roman"/>
                <w:sz w:val="24"/>
                <w:szCs w:val="24"/>
              </w:rPr>
            </w:pPr>
            <w:r w:rsidRPr="000F1273">
              <w:rPr>
                <w:rFonts w:ascii="Times New Roman" w:hAnsi="Times New Roman" w:cs="Times New Roman"/>
                <w:caps/>
                <w:sz w:val="24"/>
                <w:szCs w:val="24"/>
              </w:rPr>
              <w:t>N</w:t>
            </w:r>
            <w:r w:rsidRPr="00E90B72">
              <w:rPr>
                <w:rFonts w:ascii="Times New Roman" w:hAnsi="Times New Roman" w:cs="Times New Roman"/>
                <w:caps/>
                <w:sz w:val="24"/>
                <w:szCs w:val="24"/>
              </w:rPr>
              <w:t>o</w:t>
            </w:r>
            <w:r w:rsidRPr="000F1273">
              <w:rPr>
                <w:rFonts w:ascii="Times New Roman" w:hAnsi="Times New Roman" w:cs="Times New Roman"/>
                <w:caps/>
                <w:sz w:val="24"/>
                <w:szCs w:val="24"/>
              </w:rPr>
              <w:t xml:space="preserve"> </w:t>
            </w:r>
            <w:r>
              <w:rPr>
                <w:rFonts w:ascii="Times New Roman" w:hAnsi="Times New Roman" w:cs="Times New Roman"/>
                <w:caps/>
                <w:sz w:val="24"/>
                <w:szCs w:val="24"/>
              </w:rPr>
              <w:t>o</w:t>
            </w:r>
            <w:r w:rsidRPr="000F1273">
              <w:rPr>
                <w:rFonts w:ascii="Times New Roman" w:hAnsi="Times New Roman" w:cs="Times New Roman"/>
                <w:caps/>
                <w:sz w:val="24"/>
                <w:szCs w:val="24"/>
              </w:rPr>
              <w:t>f Items</w:t>
            </w:r>
          </w:p>
        </w:tc>
      </w:tr>
      <w:tr w:rsidR="002D2965" w:rsidRPr="00E90B72" w:rsidTr="002D2965">
        <w:trPr>
          <w:trHeight w:val="179"/>
          <w:jc w:val="center"/>
        </w:trPr>
        <w:tc>
          <w:tcPr>
            <w:tcW w:w="2808" w:type="pct"/>
            <w:tcBorders>
              <w:top w:val="single" w:sz="4" w:space="0" w:color="auto"/>
              <w:bottom w:val="single" w:sz="4" w:space="0" w:color="auto"/>
            </w:tcBorders>
            <w:vAlign w:val="bottom"/>
          </w:tcPr>
          <w:p w:rsidR="002D2965" w:rsidRPr="000F1273" w:rsidRDefault="002D2965" w:rsidP="002D2965">
            <w:pPr>
              <w:spacing w:line="276" w:lineRule="auto"/>
              <w:ind w:left="-709" w:right="-613"/>
              <w:jc w:val="center"/>
              <w:rPr>
                <w:rFonts w:ascii="Times New Roman" w:hAnsi="Times New Roman" w:cs="Times New Roman"/>
                <w:sz w:val="24"/>
                <w:szCs w:val="24"/>
              </w:rPr>
            </w:pPr>
            <w:r w:rsidRPr="000F1273">
              <w:rPr>
                <w:rFonts w:ascii="Times New Roman" w:hAnsi="Times New Roman" w:cs="Times New Roman"/>
                <w:sz w:val="24"/>
                <w:szCs w:val="24"/>
              </w:rPr>
              <w:t>.9</w:t>
            </w:r>
            <w:r w:rsidRPr="00E90B72">
              <w:rPr>
                <w:rFonts w:ascii="Times New Roman" w:hAnsi="Times New Roman" w:cs="Times New Roman"/>
                <w:sz w:val="24"/>
                <w:szCs w:val="24"/>
              </w:rPr>
              <w:t>14</w:t>
            </w:r>
          </w:p>
        </w:tc>
        <w:tc>
          <w:tcPr>
            <w:tcW w:w="2192" w:type="pct"/>
            <w:tcBorders>
              <w:top w:val="single" w:sz="4" w:space="0" w:color="auto"/>
              <w:bottom w:val="single" w:sz="4" w:space="0" w:color="auto"/>
            </w:tcBorders>
            <w:vAlign w:val="bottom"/>
          </w:tcPr>
          <w:p w:rsidR="002D2965" w:rsidRPr="000F1273" w:rsidRDefault="002D2965" w:rsidP="002D2965">
            <w:pPr>
              <w:spacing w:line="276" w:lineRule="auto"/>
              <w:ind w:left="-709" w:right="-613"/>
              <w:jc w:val="center"/>
              <w:rPr>
                <w:rFonts w:ascii="Times New Roman" w:hAnsi="Times New Roman" w:cs="Times New Roman"/>
                <w:sz w:val="24"/>
                <w:szCs w:val="24"/>
              </w:rPr>
            </w:pPr>
            <w:r w:rsidRPr="000F1273">
              <w:rPr>
                <w:rFonts w:ascii="Times New Roman" w:hAnsi="Times New Roman" w:cs="Times New Roman"/>
                <w:sz w:val="24"/>
                <w:szCs w:val="24"/>
              </w:rPr>
              <w:t>1</w:t>
            </w:r>
            <w:r w:rsidRPr="00E90B72">
              <w:rPr>
                <w:rFonts w:ascii="Times New Roman" w:hAnsi="Times New Roman" w:cs="Times New Roman"/>
                <w:sz w:val="24"/>
                <w:szCs w:val="24"/>
              </w:rPr>
              <w:t>5</w:t>
            </w:r>
          </w:p>
        </w:tc>
      </w:tr>
    </w:tbl>
    <w:p w:rsidR="001820FA" w:rsidRPr="00BE1B27" w:rsidRDefault="001820FA" w:rsidP="002D2965">
      <w:pPr>
        <w:spacing w:line="240" w:lineRule="auto"/>
        <w:ind w:right="-613"/>
      </w:pPr>
    </w:p>
    <w:p w:rsidR="007D2F7D" w:rsidRDefault="00FA4864" w:rsidP="00006234">
      <w:pPr>
        <w:spacing w:line="240" w:lineRule="auto"/>
        <w:ind w:right="-613"/>
        <w:jc w:val="both"/>
        <w:rPr>
          <w:rFonts w:ascii="Times New Roman" w:hAnsi="Times New Roman" w:cs="Times New Roman"/>
          <w:sz w:val="24"/>
          <w:szCs w:val="24"/>
        </w:rPr>
      </w:pPr>
      <w:r>
        <w:rPr>
          <w:rFonts w:ascii="Times New Roman" w:hAnsi="Times New Roman" w:cs="Times New Roman"/>
          <w:sz w:val="24"/>
          <w:szCs w:val="24"/>
        </w:rPr>
        <w:t>The data on table V</w:t>
      </w:r>
      <w:r w:rsidR="001820FA">
        <w:rPr>
          <w:rFonts w:ascii="Times New Roman" w:hAnsi="Times New Roman" w:cs="Times New Roman"/>
          <w:sz w:val="24"/>
          <w:szCs w:val="24"/>
        </w:rPr>
        <w:t xml:space="preserve"> </w:t>
      </w:r>
      <w:r w:rsidR="001820FA" w:rsidRPr="00E90B72">
        <w:rPr>
          <w:rFonts w:ascii="Times New Roman" w:hAnsi="Times New Roman" w:cs="Times New Roman"/>
          <w:sz w:val="24"/>
          <w:szCs w:val="24"/>
        </w:rPr>
        <w:t>presented previews a comprehensive overview of the factors promoting the involvement of quantity surveyors in the delivery of sustainable housing</w:t>
      </w:r>
      <w:r w:rsidR="001820FA" w:rsidRPr="00A3253A">
        <w:rPr>
          <w:rFonts w:ascii="Times New Roman" w:hAnsi="Times New Roman" w:cs="Times New Roman"/>
          <w:sz w:val="24"/>
          <w:szCs w:val="24"/>
        </w:rPr>
        <w:t xml:space="preserve"> </w:t>
      </w:r>
      <w:r w:rsidR="001820FA" w:rsidRPr="00E90B72">
        <w:rPr>
          <w:rFonts w:ascii="Times New Roman" w:hAnsi="Times New Roman" w:cs="Times New Roman"/>
          <w:sz w:val="24"/>
          <w:szCs w:val="24"/>
        </w:rPr>
        <w:t xml:space="preserve">projects in Lagos, Nigeria. </w:t>
      </w:r>
    </w:p>
    <w:p w:rsidR="007716E0" w:rsidRDefault="007716E0" w:rsidP="006C44AF">
      <w:pPr>
        <w:spacing w:line="240" w:lineRule="auto"/>
        <w:ind w:left="-709" w:right="-613"/>
        <w:jc w:val="both"/>
        <w:rPr>
          <w:rFonts w:ascii="Times New Roman" w:hAnsi="Times New Roman" w:cs="Times New Roman"/>
          <w:sz w:val="24"/>
          <w:szCs w:val="24"/>
        </w:rPr>
      </w:pPr>
    </w:p>
    <w:p w:rsidR="007F3085" w:rsidRDefault="007F3085" w:rsidP="006C44AF">
      <w:pPr>
        <w:spacing w:line="240" w:lineRule="auto"/>
        <w:ind w:left="-709" w:right="-613"/>
        <w:jc w:val="both"/>
        <w:rPr>
          <w:rFonts w:ascii="Times New Roman" w:hAnsi="Times New Roman" w:cs="Times New Roman"/>
          <w:sz w:val="24"/>
          <w:szCs w:val="24"/>
        </w:rPr>
      </w:pPr>
    </w:p>
    <w:p w:rsidR="007F3085" w:rsidRDefault="007F3085" w:rsidP="006C44AF">
      <w:pPr>
        <w:spacing w:line="240" w:lineRule="auto"/>
        <w:ind w:left="-709" w:right="-613"/>
        <w:jc w:val="both"/>
        <w:rPr>
          <w:rFonts w:ascii="Times New Roman" w:hAnsi="Times New Roman" w:cs="Times New Roman"/>
          <w:sz w:val="24"/>
          <w:szCs w:val="24"/>
        </w:rPr>
      </w:pPr>
    </w:p>
    <w:p w:rsidR="007F3085" w:rsidRDefault="007F3085" w:rsidP="006C44AF">
      <w:pPr>
        <w:spacing w:line="240" w:lineRule="auto"/>
        <w:ind w:left="-709" w:right="-613"/>
        <w:jc w:val="both"/>
        <w:rPr>
          <w:rFonts w:ascii="Times New Roman" w:hAnsi="Times New Roman" w:cs="Times New Roman"/>
          <w:sz w:val="24"/>
          <w:szCs w:val="24"/>
        </w:rPr>
      </w:pPr>
    </w:p>
    <w:p w:rsidR="007F3085" w:rsidRDefault="007F3085" w:rsidP="006C44AF">
      <w:pPr>
        <w:spacing w:line="240" w:lineRule="auto"/>
        <w:ind w:left="-709" w:right="-613"/>
        <w:jc w:val="both"/>
        <w:rPr>
          <w:rFonts w:ascii="Times New Roman" w:hAnsi="Times New Roman" w:cs="Times New Roman"/>
          <w:sz w:val="24"/>
          <w:szCs w:val="24"/>
        </w:rPr>
      </w:pPr>
    </w:p>
    <w:p w:rsidR="007716E0" w:rsidRDefault="007716E0" w:rsidP="006C44AF">
      <w:pPr>
        <w:spacing w:line="240" w:lineRule="auto"/>
        <w:ind w:left="-709" w:right="-613"/>
        <w:jc w:val="both"/>
        <w:rPr>
          <w:rFonts w:ascii="Times New Roman" w:hAnsi="Times New Roman" w:cs="Times New Roman"/>
          <w:sz w:val="24"/>
          <w:szCs w:val="24"/>
        </w:rPr>
      </w:pPr>
    </w:p>
    <w:p w:rsidR="002D2965" w:rsidRPr="00035CAD" w:rsidRDefault="002D2965" w:rsidP="00006234">
      <w:pPr>
        <w:spacing w:after="0" w:line="240" w:lineRule="auto"/>
        <w:ind w:right="-613"/>
        <w:jc w:val="both"/>
        <w:rPr>
          <w:rFonts w:ascii="Times New Roman" w:hAnsi="Times New Roman" w:cs="Times New Roman"/>
          <w:b/>
          <w:bCs/>
          <w:color w:val="000000"/>
        </w:rPr>
      </w:pPr>
      <w:r>
        <w:rPr>
          <w:rFonts w:ascii="Times New Roman" w:hAnsi="Times New Roman" w:cs="Times New Roman"/>
          <w:b/>
          <w:bCs/>
          <w:color w:val="000000"/>
          <w:sz w:val="24"/>
          <w:szCs w:val="24"/>
        </w:rPr>
        <w:t>Table V</w:t>
      </w:r>
      <w:r w:rsidRPr="00035CAD">
        <w:rPr>
          <w:rFonts w:ascii="Times New Roman" w:hAnsi="Times New Roman" w:cs="Times New Roman"/>
          <w:b/>
          <w:bCs/>
          <w:color w:val="000000"/>
          <w:sz w:val="24"/>
          <w:szCs w:val="24"/>
        </w:rPr>
        <w:t>: Factors Promoting the Involvement of Quantity Surveyors in the Delivery of Sustainable Housing Projects</w:t>
      </w:r>
      <w:r w:rsidRPr="00035CAD">
        <w:rPr>
          <w:rFonts w:ascii="Times New Roman" w:hAnsi="Times New Roman" w:cs="Times New Roman"/>
          <w:b/>
          <w:bCs/>
          <w:color w:val="000000"/>
        </w:rPr>
        <w:t xml:space="preserve"> </w:t>
      </w:r>
    </w:p>
    <w:p w:rsidR="002D296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sidRPr="00035CAD">
        <w:rPr>
          <w:rFonts w:ascii="Times New Roman" w:hAnsi="Times New Roman" w:cs="Times New Roman"/>
          <w:b/>
          <w:bCs/>
          <w:color w:val="000000"/>
        </w:rPr>
        <w:t xml:space="preserve">       B</w:t>
      </w:r>
      <w:r w:rsidRPr="00035CAD">
        <w:rPr>
          <w:rFonts w:ascii="Times New Roman" w:eastAsia="Times New Roman" w:hAnsi="Times New Roman" w:cs="Times New Roman"/>
          <w:b/>
          <w:bCs/>
          <w:color w:val="000000"/>
          <w:sz w:val="24"/>
          <w:szCs w:val="24"/>
        </w:rPr>
        <w:t xml:space="preserve">ased on the </w:t>
      </w:r>
      <w:r w:rsidRPr="00035CAD">
        <w:rPr>
          <w:rFonts w:ascii="Times New Roman" w:hAnsi="Times New Roman" w:cs="Times New Roman"/>
          <w:b/>
          <w:bCs/>
          <w:color w:val="000000"/>
        </w:rPr>
        <w:t>N</w:t>
      </w:r>
      <w:r w:rsidRPr="00035CAD">
        <w:rPr>
          <w:rFonts w:ascii="Times New Roman" w:eastAsia="Times New Roman" w:hAnsi="Times New Roman" w:cs="Times New Roman"/>
          <w:b/>
          <w:bCs/>
          <w:color w:val="000000"/>
          <w:sz w:val="24"/>
          <w:szCs w:val="24"/>
        </w:rPr>
        <w:t xml:space="preserve">umber of </w:t>
      </w:r>
      <w:r w:rsidRPr="00035CAD">
        <w:rPr>
          <w:rFonts w:ascii="Times New Roman" w:hAnsi="Times New Roman" w:cs="Times New Roman"/>
          <w:b/>
          <w:bCs/>
          <w:color w:val="000000"/>
        </w:rPr>
        <w:t>S</w:t>
      </w:r>
      <w:r w:rsidRPr="00035CAD">
        <w:rPr>
          <w:rFonts w:ascii="Times New Roman" w:eastAsia="Times New Roman" w:hAnsi="Times New Roman" w:cs="Times New Roman"/>
          <w:b/>
          <w:bCs/>
          <w:color w:val="000000"/>
          <w:sz w:val="24"/>
          <w:szCs w:val="24"/>
        </w:rPr>
        <w:t xml:space="preserve">ustainable </w:t>
      </w:r>
      <w:r w:rsidRPr="00035CAD">
        <w:rPr>
          <w:rFonts w:ascii="Times New Roman" w:hAnsi="Times New Roman" w:cs="Times New Roman"/>
          <w:b/>
          <w:bCs/>
          <w:color w:val="000000"/>
        </w:rPr>
        <w:t>H</w:t>
      </w:r>
      <w:r w:rsidRPr="00035CAD">
        <w:rPr>
          <w:rFonts w:ascii="Times New Roman" w:eastAsia="Times New Roman" w:hAnsi="Times New Roman" w:cs="Times New Roman"/>
          <w:b/>
          <w:bCs/>
          <w:color w:val="000000"/>
          <w:sz w:val="24"/>
          <w:szCs w:val="24"/>
        </w:rPr>
        <w:t xml:space="preserve">ouses they have </w:t>
      </w:r>
      <w:proofErr w:type="gramStart"/>
      <w:r w:rsidRPr="00035CAD">
        <w:rPr>
          <w:rFonts w:ascii="Times New Roman" w:hAnsi="Times New Roman" w:cs="Times New Roman"/>
          <w:b/>
          <w:bCs/>
          <w:color w:val="000000"/>
        </w:rPr>
        <w:t>C</w:t>
      </w:r>
      <w:r w:rsidRPr="00035CAD">
        <w:rPr>
          <w:rFonts w:ascii="Times New Roman" w:eastAsia="Times New Roman" w:hAnsi="Times New Roman" w:cs="Times New Roman"/>
          <w:b/>
          <w:bCs/>
          <w:color w:val="000000"/>
          <w:sz w:val="24"/>
          <w:szCs w:val="24"/>
        </w:rPr>
        <w:t>ompleted</w:t>
      </w:r>
      <w:proofErr w:type="gramEnd"/>
    </w:p>
    <w:p w:rsidR="00006234" w:rsidRDefault="00006234" w:rsidP="002D2965">
      <w:pPr>
        <w:spacing w:after="0" w:line="240" w:lineRule="auto"/>
        <w:ind w:left="-709" w:right="-613"/>
        <w:jc w:val="both"/>
        <w:rPr>
          <w:rFonts w:ascii="Times New Roman" w:eastAsia="Times New Roman" w:hAnsi="Times New Roman" w:cs="Times New Roman"/>
          <w:b/>
          <w:bCs/>
          <w:color w:val="000000"/>
          <w:sz w:val="24"/>
          <w:szCs w:val="24"/>
        </w:rPr>
      </w:pPr>
    </w:p>
    <w:p w:rsidR="002D296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p>
    <w:tbl>
      <w:tblPr>
        <w:tblStyle w:val="PlainTable2"/>
        <w:tblW w:w="5147" w:type="pct"/>
        <w:tblLayout w:type="fixed"/>
        <w:tblLook w:val="06A0" w:firstRow="1" w:lastRow="0" w:firstColumn="1" w:lastColumn="0" w:noHBand="1" w:noVBand="1"/>
      </w:tblPr>
      <w:tblGrid>
        <w:gridCol w:w="1378"/>
        <w:gridCol w:w="474"/>
        <w:gridCol w:w="509"/>
        <w:gridCol w:w="592"/>
        <w:gridCol w:w="691"/>
        <w:gridCol w:w="485"/>
        <w:gridCol w:w="592"/>
        <w:gridCol w:w="701"/>
        <w:gridCol w:w="543"/>
        <w:gridCol w:w="588"/>
        <w:gridCol w:w="654"/>
        <w:gridCol w:w="526"/>
        <w:gridCol w:w="588"/>
        <w:gridCol w:w="625"/>
        <w:gridCol w:w="759"/>
      </w:tblGrid>
      <w:tr w:rsidR="002D2965" w:rsidRPr="00074705" w:rsidTr="002D2965">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710" w:type="pct"/>
            <w:vMerge w:val="restart"/>
            <w:tcBorders>
              <w:top w:val="single" w:sz="4" w:space="0" w:color="auto"/>
            </w:tcBorders>
            <w:vAlign w:val="center"/>
            <w:hideMark/>
          </w:tcPr>
          <w:p w:rsidR="002D2965" w:rsidRPr="00074705" w:rsidRDefault="002D2965" w:rsidP="002D2965">
            <w:pPr>
              <w:jc w:val="center"/>
              <w:rPr>
                <w:rFonts w:ascii="Times New Roman" w:eastAsia="Times New Roman" w:hAnsi="Times New Roman" w:cs="Times New Roman"/>
                <w:color w:val="000000"/>
              </w:rPr>
            </w:pPr>
            <w:r w:rsidRPr="00074705">
              <w:rPr>
                <w:rFonts w:ascii="Times New Roman" w:eastAsia="Times New Roman" w:hAnsi="Times New Roman" w:cs="Times New Roman"/>
                <w:color w:val="000000"/>
              </w:rPr>
              <w:t>Factors Promoting the Involvement</w:t>
            </w:r>
          </w:p>
        </w:tc>
        <w:tc>
          <w:tcPr>
            <w:tcW w:w="811" w:type="pct"/>
            <w:gridSpan w:val="3"/>
            <w:tcBorders>
              <w:top w:val="single" w:sz="4" w:space="0" w:color="auto"/>
              <w:bottom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Overall</w:t>
            </w:r>
          </w:p>
        </w:tc>
        <w:tc>
          <w:tcPr>
            <w:tcW w:w="911" w:type="pct"/>
            <w:gridSpan w:val="3"/>
            <w:tcBorders>
              <w:top w:val="single" w:sz="4" w:space="0" w:color="auto"/>
              <w:bottom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0 - 5</w:t>
            </w:r>
          </w:p>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44" w:type="pct"/>
            <w:gridSpan w:val="3"/>
            <w:tcBorders>
              <w:top w:val="single" w:sz="4" w:space="0" w:color="auto"/>
              <w:bottom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6 - 10</w:t>
            </w:r>
          </w:p>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911" w:type="pct"/>
            <w:gridSpan w:val="3"/>
            <w:tcBorders>
              <w:top w:val="single" w:sz="4" w:space="0" w:color="auto"/>
              <w:bottom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11 - 15</w:t>
            </w:r>
          </w:p>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322" w:type="pct"/>
            <w:vMerge w:val="restart"/>
            <w:tcBorders>
              <w:top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F-Stat</w:t>
            </w:r>
          </w:p>
        </w:tc>
        <w:tc>
          <w:tcPr>
            <w:tcW w:w="392" w:type="pct"/>
            <w:vMerge w:val="restart"/>
            <w:tcBorders>
              <w:top w:val="single" w:sz="4" w:space="0" w:color="auto"/>
            </w:tcBorders>
            <w:vAlign w:val="center"/>
            <w:hideMark/>
          </w:tcPr>
          <w:p w:rsidR="002D2965" w:rsidRPr="00074705" w:rsidRDefault="002D2965" w:rsidP="002D29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P- Values</w:t>
            </w:r>
          </w:p>
        </w:tc>
      </w:tr>
      <w:tr w:rsidR="002D2965" w:rsidRPr="00074705" w:rsidTr="002D2965">
        <w:trPr>
          <w:trHeight w:val="449"/>
        </w:trPr>
        <w:tc>
          <w:tcPr>
            <w:cnfStyle w:val="001000000000" w:firstRow="0" w:lastRow="0" w:firstColumn="1" w:lastColumn="0" w:oddVBand="0" w:evenVBand="0" w:oddHBand="0" w:evenHBand="0" w:firstRowFirstColumn="0" w:firstRowLastColumn="0" w:lastRowFirstColumn="0" w:lastRowLastColumn="0"/>
            <w:tcW w:w="710" w:type="pct"/>
            <w:vMerge/>
            <w:tcBorders>
              <w:bottom w:val="single" w:sz="4" w:space="0" w:color="auto"/>
            </w:tcBorders>
          </w:tcPr>
          <w:p w:rsidR="002D2965" w:rsidRPr="00074705" w:rsidRDefault="002D2965" w:rsidP="002D2965">
            <w:pPr>
              <w:rPr>
                <w:rFonts w:ascii="Times New Roman" w:eastAsia="Times New Roman" w:hAnsi="Times New Roman" w:cs="Times New Roman"/>
                <w:b w:val="0"/>
                <w:bCs w:val="0"/>
                <w:color w:val="000000"/>
              </w:rPr>
            </w:pPr>
          </w:p>
        </w:tc>
        <w:tc>
          <w:tcPr>
            <w:tcW w:w="244"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MS</w:t>
            </w:r>
          </w:p>
        </w:tc>
        <w:tc>
          <w:tcPr>
            <w:tcW w:w="262"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SD</w:t>
            </w:r>
          </w:p>
        </w:tc>
        <w:tc>
          <w:tcPr>
            <w:tcW w:w="305"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56"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MS</w:t>
            </w:r>
          </w:p>
        </w:tc>
        <w:tc>
          <w:tcPr>
            <w:tcW w:w="250"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SD</w:t>
            </w:r>
          </w:p>
        </w:tc>
        <w:tc>
          <w:tcPr>
            <w:tcW w:w="304"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61"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MS</w:t>
            </w:r>
          </w:p>
        </w:tc>
        <w:tc>
          <w:tcPr>
            <w:tcW w:w="280"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SD</w:t>
            </w:r>
          </w:p>
        </w:tc>
        <w:tc>
          <w:tcPr>
            <w:tcW w:w="303"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37"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MS</w:t>
            </w:r>
          </w:p>
        </w:tc>
        <w:tc>
          <w:tcPr>
            <w:tcW w:w="271"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SD</w:t>
            </w:r>
          </w:p>
        </w:tc>
        <w:tc>
          <w:tcPr>
            <w:tcW w:w="303"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22" w:type="pct"/>
            <w:vMerge/>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c>
          <w:tcPr>
            <w:tcW w:w="392" w:type="pct"/>
            <w:vMerge/>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lastRenderedPageBreak/>
              <w:t>Continuous professional development</w:t>
            </w:r>
          </w:p>
        </w:tc>
        <w:tc>
          <w:tcPr>
            <w:tcW w:w="244"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4.04</w:t>
            </w:r>
          </w:p>
        </w:tc>
        <w:tc>
          <w:tcPr>
            <w:tcW w:w="262"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0.87</w:t>
            </w:r>
          </w:p>
        </w:tc>
        <w:tc>
          <w:tcPr>
            <w:tcW w:w="305"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w:t>
            </w:r>
          </w:p>
        </w:tc>
        <w:tc>
          <w:tcPr>
            <w:tcW w:w="356"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3.90</w:t>
            </w:r>
          </w:p>
        </w:tc>
        <w:tc>
          <w:tcPr>
            <w:tcW w:w="250"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0.80</w:t>
            </w:r>
          </w:p>
        </w:tc>
        <w:tc>
          <w:tcPr>
            <w:tcW w:w="304"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2</w:t>
            </w:r>
          </w:p>
        </w:tc>
        <w:tc>
          <w:tcPr>
            <w:tcW w:w="361"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4.31</w:t>
            </w:r>
          </w:p>
        </w:tc>
        <w:tc>
          <w:tcPr>
            <w:tcW w:w="280"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0.86</w:t>
            </w:r>
          </w:p>
        </w:tc>
        <w:tc>
          <w:tcPr>
            <w:tcW w:w="303"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w:t>
            </w:r>
          </w:p>
        </w:tc>
        <w:tc>
          <w:tcPr>
            <w:tcW w:w="337"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4.20</w:t>
            </w:r>
          </w:p>
        </w:tc>
        <w:tc>
          <w:tcPr>
            <w:tcW w:w="271"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1.30</w:t>
            </w:r>
          </w:p>
        </w:tc>
        <w:tc>
          <w:tcPr>
            <w:tcW w:w="303"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2</w:t>
            </w:r>
          </w:p>
        </w:tc>
        <w:tc>
          <w:tcPr>
            <w:tcW w:w="322"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1.082</w:t>
            </w:r>
          </w:p>
        </w:tc>
        <w:tc>
          <w:tcPr>
            <w:tcW w:w="392"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0.348</w:t>
            </w:r>
          </w:p>
        </w:tc>
      </w:tr>
      <w:tr w:rsidR="002D2965" w:rsidRPr="00074705" w:rsidTr="002D2965">
        <w:trPr>
          <w:trHeight w:val="792"/>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Advancement in construction materials and technologies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3.94</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0.76</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2</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3.97</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0.77</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3.92</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0.64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2</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3.80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1.10</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3</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0.103</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0.902</w:t>
            </w:r>
          </w:p>
        </w:tc>
      </w:tr>
      <w:tr w:rsidR="002D2965" w:rsidRPr="00074705" w:rsidTr="002D2965">
        <w:trPr>
          <w:trHeight w:val="629"/>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Increase in client demand and Market awareness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3.75</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0.76</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3</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3.73</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0.64</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4</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3.62</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0.96</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4</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4.20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1.098</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0.342</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Financial benefit of sustainable construction</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3.71</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0.90</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4</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3.77</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0.90</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3</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3.62</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0.87</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3</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0.163</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0.850</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Alignment of sustainable construction practices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3.52</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1.01</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0.93</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3.31</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1.18</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6</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0.386</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0.682</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Growing emphasis on Life Cycle Cost Analysis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3.42</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0.79</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6</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3.50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0.82</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6</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3.15</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0.80</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8</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3.60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0.55</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4</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1.010</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0.372</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Evolving policy and regulatory drivers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3.38</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1.04</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7</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3.33</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0.99</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8</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3.46</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1.13</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5</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9</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0.067</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0.935</w:t>
            </w:r>
          </w:p>
        </w:tc>
      </w:tr>
      <w:tr w:rsidR="002D2965" w:rsidRPr="00074705" w:rsidTr="002D2965">
        <w:trPr>
          <w:trHeight w:val="440"/>
        </w:trPr>
        <w:tc>
          <w:tcPr>
            <w:cnfStyle w:val="001000000000" w:firstRow="0" w:lastRow="0" w:firstColumn="1" w:lastColumn="0" w:oddVBand="0" w:evenVBand="0" w:oddHBand="0" w:evenHBand="0" w:firstRowFirstColumn="0" w:firstRowLastColumn="0" w:lastRowFirstColumn="0" w:lastRowLastColumn="0"/>
            <w:tcW w:w="710" w:type="pct"/>
            <w:tcBorders>
              <w:bottom w:val="single" w:sz="4" w:space="0" w:color="auto"/>
            </w:tcBorders>
            <w:hideMark/>
          </w:tcPr>
          <w:p w:rsidR="002D296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Incorporation of passive design features.</w:t>
            </w: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Default="00006234" w:rsidP="002D2965">
            <w:pPr>
              <w:rPr>
                <w:rFonts w:ascii="Times New Roman" w:eastAsia="Times New Roman" w:hAnsi="Times New Roman" w:cs="Times New Roman"/>
                <w:b w:val="0"/>
                <w:bCs w:val="0"/>
                <w:color w:val="000000"/>
              </w:rPr>
            </w:pPr>
          </w:p>
          <w:p w:rsidR="00006234" w:rsidRPr="00074705" w:rsidRDefault="00006234" w:rsidP="002D2965">
            <w:pPr>
              <w:rPr>
                <w:rFonts w:ascii="Times New Roman" w:eastAsia="Times New Roman" w:hAnsi="Times New Roman" w:cs="Times New Roman"/>
                <w:b w:val="0"/>
                <w:bCs w:val="0"/>
                <w:color w:val="000000"/>
              </w:rPr>
            </w:pPr>
          </w:p>
        </w:tc>
        <w:tc>
          <w:tcPr>
            <w:tcW w:w="244"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3.29</w:t>
            </w:r>
          </w:p>
        </w:tc>
        <w:tc>
          <w:tcPr>
            <w:tcW w:w="262" w:type="pct"/>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1.18</w:t>
            </w:r>
          </w:p>
        </w:tc>
        <w:tc>
          <w:tcPr>
            <w:tcW w:w="305"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8</w:t>
            </w:r>
          </w:p>
        </w:tc>
        <w:tc>
          <w:tcPr>
            <w:tcW w:w="356"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3.27</w:t>
            </w:r>
          </w:p>
        </w:tc>
        <w:tc>
          <w:tcPr>
            <w:tcW w:w="250" w:type="pct"/>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1.20</w:t>
            </w:r>
          </w:p>
        </w:tc>
        <w:tc>
          <w:tcPr>
            <w:tcW w:w="304"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61"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3.31</w:t>
            </w:r>
          </w:p>
        </w:tc>
        <w:tc>
          <w:tcPr>
            <w:tcW w:w="280" w:type="pct"/>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1.32</w:t>
            </w:r>
          </w:p>
        </w:tc>
        <w:tc>
          <w:tcPr>
            <w:tcW w:w="303"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7</w:t>
            </w:r>
          </w:p>
        </w:tc>
        <w:tc>
          <w:tcPr>
            <w:tcW w:w="337"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3.40</w:t>
            </w:r>
          </w:p>
        </w:tc>
        <w:tc>
          <w:tcPr>
            <w:tcW w:w="271" w:type="pct"/>
            <w:tcBorders>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0.89</w:t>
            </w:r>
          </w:p>
        </w:tc>
        <w:tc>
          <w:tcPr>
            <w:tcW w:w="303"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7</w:t>
            </w:r>
          </w:p>
        </w:tc>
        <w:tc>
          <w:tcPr>
            <w:tcW w:w="322"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0.028</w:t>
            </w:r>
          </w:p>
        </w:tc>
        <w:tc>
          <w:tcPr>
            <w:tcW w:w="392" w:type="pct"/>
            <w:tcBorders>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0.973</w:t>
            </w:r>
          </w:p>
        </w:tc>
      </w:tr>
      <w:tr w:rsidR="002D2965" w:rsidRPr="00074705" w:rsidTr="002D2965">
        <w:trPr>
          <w:trHeight w:val="440"/>
        </w:trPr>
        <w:tc>
          <w:tcPr>
            <w:cnfStyle w:val="001000000000" w:firstRow="0" w:lastRow="0" w:firstColumn="1" w:lastColumn="0" w:oddVBand="0" w:evenVBand="0" w:oddHBand="0" w:evenHBand="0" w:firstRowFirstColumn="0" w:firstRowLastColumn="0" w:lastRowFirstColumn="0" w:lastRowLastColumn="0"/>
            <w:tcW w:w="710" w:type="pct"/>
            <w:vMerge w:val="restart"/>
            <w:tcBorders>
              <w:top w:val="single" w:sz="4" w:space="0" w:color="auto"/>
              <w:bottom w:val="nil"/>
            </w:tcBorders>
            <w:vAlign w:val="center"/>
          </w:tcPr>
          <w:p w:rsidR="002D2965" w:rsidRPr="00074705" w:rsidRDefault="002D2965" w:rsidP="002D2965">
            <w:pPr>
              <w:jc w:val="center"/>
              <w:rPr>
                <w:rFonts w:ascii="Times New Roman" w:eastAsia="Times New Roman" w:hAnsi="Times New Roman" w:cs="Times New Roman"/>
                <w:color w:val="000000"/>
              </w:rPr>
            </w:pPr>
            <w:r w:rsidRPr="00074705">
              <w:rPr>
                <w:rFonts w:ascii="Times New Roman" w:eastAsia="Times New Roman" w:hAnsi="Times New Roman" w:cs="Times New Roman"/>
                <w:color w:val="000000"/>
              </w:rPr>
              <w:t>Factors Promoting the Involvement</w:t>
            </w:r>
            <w:r>
              <w:rPr>
                <w:rFonts w:ascii="Times New Roman" w:eastAsia="Times New Roman" w:hAnsi="Times New Roman" w:cs="Times New Roman"/>
                <w:color w:val="000000"/>
              </w:rPr>
              <w:t xml:space="preserve"> cont’d</w:t>
            </w:r>
          </w:p>
        </w:tc>
        <w:tc>
          <w:tcPr>
            <w:tcW w:w="811" w:type="pct"/>
            <w:gridSpan w:val="3"/>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Overall</w:t>
            </w:r>
          </w:p>
        </w:tc>
        <w:tc>
          <w:tcPr>
            <w:tcW w:w="911" w:type="pct"/>
            <w:gridSpan w:val="3"/>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 xml:space="preserve">0 </w:t>
            </w:r>
            <w:r>
              <w:rPr>
                <w:rFonts w:ascii="Times New Roman" w:hAnsi="Times New Roman" w:cs="Times New Roman"/>
                <w:b/>
                <w:bCs/>
              </w:rPr>
              <w:t>–</w:t>
            </w:r>
            <w:r w:rsidRPr="00074705">
              <w:rPr>
                <w:rFonts w:ascii="Times New Roman" w:hAnsi="Times New Roman" w:cs="Times New Roman"/>
                <w:b/>
                <w:bCs/>
              </w:rPr>
              <w:t xml:space="preserve"> 5</w:t>
            </w:r>
          </w:p>
        </w:tc>
        <w:tc>
          <w:tcPr>
            <w:tcW w:w="944" w:type="pct"/>
            <w:gridSpan w:val="3"/>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6 - 10</w:t>
            </w:r>
          </w:p>
        </w:tc>
        <w:tc>
          <w:tcPr>
            <w:tcW w:w="911" w:type="pct"/>
            <w:gridSpan w:val="3"/>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11 - 15</w:t>
            </w:r>
          </w:p>
        </w:tc>
        <w:tc>
          <w:tcPr>
            <w:tcW w:w="322" w:type="pct"/>
            <w:vMerge w:val="restart"/>
            <w:tcBorders>
              <w:top w:val="single" w:sz="4" w:space="0" w:color="auto"/>
              <w:bottom w:val="nil"/>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F-Stat</w:t>
            </w:r>
          </w:p>
        </w:tc>
        <w:tc>
          <w:tcPr>
            <w:tcW w:w="392" w:type="pct"/>
            <w:vMerge w:val="restart"/>
            <w:tcBorders>
              <w:top w:val="single" w:sz="4" w:space="0" w:color="auto"/>
              <w:bottom w:val="nil"/>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i/>
                <w:iCs/>
              </w:rPr>
              <w:t>P</w:t>
            </w:r>
            <w:r w:rsidRPr="00074705">
              <w:rPr>
                <w:rFonts w:ascii="Times New Roman" w:hAnsi="Times New Roman" w:cs="Times New Roman"/>
                <w:b/>
                <w:bCs/>
              </w:rPr>
              <w:t>-Values</w:t>
            </w:r>
          </w:p>
        </w:tc>
      </w:tr>
      <w:tr w:rsidR="002D2965" w:rsidRPr="00074705" w:rsidTr="002D2965">
        <w:trPr>
          <w:trHeight w:val="440"/>
        </w:trPr>
        <w:tc>
          <w:tcPr>
            <w:cnfStyle w:val="001000000000" w:firstRow="0" w:lastRow="0" w:firstColumn="1" w:lastColumn="0" w:oddVBand="0" w:evenVBand="0" w:oddHBand="0" w:evenHBand="0" w:firstRowFirstColumn="0" w:firstRowLastColumn="0" w:lastRowFirstColumn="0" w:lastRowLastColumn="0"/>
            <w:tcW w:w="710" w:type="pct"/>
            <w:vMerge/>
            <w:tcBorders>
              <w:top w:val="nil"/>
              <w:bottom w:val="single" w:sz="4" w:space="0" w:color="auto"/>
            </w:tcBorders>
            <w:vAlign w:val="center"/>
          </w:tcPr>
          <w:p w:rsidR="002D2965" w:rsidRPr="00074705" w:rsidRDefault="002D2965" w:rsidP="002D2965">
            <w:pPr>
              <w:jc w:val="center"/>
              <w:rPr>
                <w:rFonts w:ascii="Times New Roman" w:eastAsia="Times New Roman" w:hAnsi="Times New Roman" w:cs="Times New Roman"/>
                <w:color w:val="000000"/>
              </w:rPr>
            </w:pPr>
          </w:p>
        </w:tc>
        <w:tc>
          <w:tcPr>
            <w:tcW w:w="244"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MS</w:t>
            </w:r>
          </w:p>
        </w:tc>
        <w:tc>
          <w:tcPr>
            <w:tcW w:w="262"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SD</w:t>
            </w:r>
          </w:p>
        </w:tc>
        <w:tc>
          <w:tcPr>
            <w:tcW w:w="305"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56"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MS</w:t>
            </w:r>
          </w:p>
        </w:tc>
        <w:tc>
          <w:tcPr>
            <w:tcW w:w="250"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SD</w:t>
            </w:r>
          </w:p>
        </w:tc>
        <w:tc>
          <w:tcPr>
            <w:tcW w:w="304"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61"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MS</w:t>
            </w:r>
          </w:p>
        </w:tc>
        <w:tc>
          <w:tcPr>
            <w:tcW w:w="280"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SD</w:t>
            </w:r>
          </w:p>
        </w:tc>
        <w:tc>
          <w:tcPr>
            <w:tcW w:w="303"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37"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MS</w:t>
            </w:r>
          </w:p>
        </w:tc>
        <w:tc>
          <w:tcPr>
            <w:tcW w:w="271" w:type="pct"/>
            <w:tcBorders>
              <w:top w:val="single" w:sz="4" w:space="0" w:color="auto"/>
              <w:bottom w:val="single" w:sz="4" w:space="0" w:color="auto"/>
            </w:tcBorders>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74705">
              <w:rPr>
                <w:rFonts w:ascii="Times New Roman" w:hAnsi="Times New Roman" w:cs="Times New Roman"/>
                <w:b/>
                <w:bCs/>
              </w:rPr>
              <w:t>SD</w:t>
            </w:r>
          </w:p>
        </w:tc>
        <w:tc>
          <w:tcPr>
            <w:tcW w:w="303" w:type="pct"/>
            <w:tcBorders>
              <w:top w:val="single" w:sz="4" w:space="0" w:color="auto"/>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eastAsia="Times New Roman" w:hAnsi="Times New Roman" w:cs="Times New Roman"/>
                <w:b/>
                <w:bCs/>
                <w:color w:val="000000"/>
              </w:rPr>
              <w:t>Rank</w:t>
            </w:r>
          </w:p>
        </w:tc>
        <w:tc>
          <w:tcPr>
            <w:tcW w:w="322" w:type="pct"/>
            <w:vMerge/>
            <w:tcBorders>
              <w:top w:val="nil"/>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392" w:type="pct"/>
            <w:vMerge/>
            <w:tcBorders>
              <w:top w:val="nil"/>
              <w:bottom w:val="single" w:sz="4" w:space="0" w:color="auto"/>
            </w:tcBorders>
            <w:noWrap/>
            <w:vAlign w:val="center"/>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2D2965" w:rsidRPr="00074705" w:rsidTr="002D2965">
        <w:trPr>
          <w:trHeight w:val="1056"/>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lastRenderedPageBreak/>
              <w:t>Developing cost efficient strategies for the maintenance and operation of the building</w:t>
            </w:r>
          </w:p>
        </w:tc>
        <w:tc>
          <w:tcPr>
            <w:tcW w:w="244"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3.29</w:t>
            </w:r>
          </w:p>
        </w:tc>
        <w:tc>
          <w:tcPr>
            <w:tcW w:w="262"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1.24</w:t>
            </w:r>
          </w:p>
        </w:tc>
        <w:tc>
          <w:tcPr>
            <w:tcW w:w="305"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9</w:t>
            </w:r>
          </w:p>
        </w:tc>
        <w:tc>
          <w:tcPr>
            <w:tcW w:w="356"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3.37</w:t>
            </w:r>
          </w:p>
        </w:tc>
        <w:tc>
          <w:tcPr>
            <w:tcW w:w="250"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1.33</w:t>
            </w:r>
          </w:p>
        </w:tc>
        <w:tc>
          <w:tcPr>
            <w:tcW w:w="304"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7</w:t>
            </w:r>
          </w:p>
        </w:tc>
        <w:tc>
          <w:tcPr>
            <w:tcW w:w="361"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3.15</w:t>
            </w:r>
          </w:p>
        </w:tc>
        <w:tc>
          <w:tcPr>
            <w:tcW w:w="280"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1.21</w:t>
            </w:r>
          </w:p>
        </w:tc>
        <w:tc>
          <w:tcPr>
            <w:tcW w:w="303"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9</w:t>
            </w:r>
          </w:p>
        </w:tc>
        <w:tc>
          <w:tcPr>
            <w:tcW w:w="337"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3.20</w:t>
            </w:r>
          </w:p>
        </w:tc>
        <w:tc>
          <w:tcPr>
            <w:tcW w:w="271" w:type="pct"/>
            <w:tcBorders>
              <w:top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0.84</w:t>
            </w:r>
          </w:p>
        </w:tc>
        <w:tc>
          <w:tcPr>
            <w:tcW w:w="303"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22"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0.144</w:t>
            </w:r>
          </w:p>
        </w:tc>
        <w:tc>
          <w:tcPr>
            <w:tcW w:w="392" w:type="pct"/>
            <w:tcBorders>
              <w:top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0.866</w:t>
            </w:r>
          </w:p>
        </w:tc>
      </w:tr>
      <w:tr w:rsidR="002D2965" w:rsidRPr="00074705" w:rsidTr="002D2965">
        <w:trPr>
          <w:trHeight w:val="792"/>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 xml:space="preserve">Advancements in Building Information </w:t>
            </w:r>
            <w:proofErr w:type="spellStart"/>
            <w:r w:rsidRPr="00074705">
              <w:rPr>
                <w:rFonts w:ascii="Times New Roman" w:eastAsia="Times New Roman" w:hAnsi="Times New Roman" w:cs="Times New Roman"/>
                <w:b w:val="0"/>
                <w:bCs w:val="0"/>
                <w:color w:val="000000"/>
              </w:rPr>
              <w:t>Modelling</w:t>
            </w:r>
            <w:proofErr w:type="spellEnd"/>
            <w:r w:rsidRPr="00074705">
              <w:rPr>
                <w:rFonts w:ascii="Times New Roman" w:eastAsia="Times New Roman" w:hAnsi="Times New Roman" w:cs="Times New Roman"/>
                <w:b w:val="0"/>
                <w:bCs w:val="0"/>
                <w:color w:val="000000"/>
              </w:rPr>
              <w:t xml:space="preserve"> (BIM)</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2.98</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1.08</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2.90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1.19</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12</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3.08</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0.95</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3.20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10</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0.230</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0.796</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Financing mechanisms such as loans or bonds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2.94</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1.14</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11</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3.30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1.15</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9</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2.23</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0.83</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0.89</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4.971</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074705">
              <w:rPr>
                <w:rFonts w:ascii="Times New Roman" w:hAnsi="Times New Roman" w:cs="Times New Roman"/>
                <w:b/>
                <w:bCs/>
              </w:rPr>
              <w:t>*0.011</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Rising stakeholder collaboration</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2.90</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1.13</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12</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3.00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1.17</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11</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2.46</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0.97</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11</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3.40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1.14</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8</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1.614</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0.210</w:t>
            </w:r>
          </w:p>
        </w:tc>
      </w:tr>
      <w:tr w:rsidR="002D2965" w:rsidRPr="00074705" w:rsidTr="002D2965">
        <w:trPr>
          <w:trHeight w:val="1056"/>
        </w:trPr>
        <w:tc>
          <w:tcPr>
            <w:cnfStyle w:val="001000000000" w:firstRow="0" w:lastRow="0" w:firstColumn="1" w:lastColumn="0" w:oddVBand="0" w:evenVBand="0" w:oddHBand="0" w:evenHBand="0" w:firstRowFirstColumn="0" w:firstRowLastColumn="0" w:lastRowFirstColumn="0" w:lastRowLastColumn="0"/>
            <w:tcW w:w="710" w:type="pct"/>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Increasing availability of green building certification and rating systems</w:t>
            </w:r>
          </w:p>
        </w:tc>
        <w:tc>
          <w:tcPr>
            <w:tcW w:w="24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2.63</w:t>
            </w:r>
          </w:p>
        </w:tc>
        <w:tc>
          <w:tcPr>
            <w:tcW w:w="262"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1.28</w:t>
            </w:r>
          </w:p>
        </w:tc>
        <w:tc>
          <w:tcPr>
            <w:tcW w:w="305"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56"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2.70</w:t>
            </w:r>
          </w:p>
        </w:tc>
        <w:tc>
          <w:tcPr>
            <w:tcW w:w="25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1.34</w:t>
            </w:r>
          </w:p>
        </w:tc>
        <w:tc>
          <w:tcPr>
            <w:tcW w:w="304"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61"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2.31</w:t>
            </w:r>
          </w:p>
        </w:tc>
        <w:tc>
          <w:tcPr>
            <w:tcW w:w="280"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1.11</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12</w:t>
            </w:r>
          </w:p>
        </w:tc>
        <w:tc>
          <w:tcPr>
            <w:tcW w:w="337"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3.00</w:t>
            </w:r>
          </w:p>
        </w:tc>
        <w:tc>
          <w:tcPr>
            <w:tcW w:w="271" w:type="pct"/>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1.41</w:t>
            </w:r>
          </w:p>
        </w:tc>
        <w:tc>
          <w:tcPr>
            <w:tcW w:w="303"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12</w:t>
            </w:r>
          </w:p>
        </w:tc>
        <w:tc>
          <w:tcPr>
            <w:tcW w:w="32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0.654</w:t>
            </w:r>
          </w:p>
        </w:tc>
        <w:tc>
          <w:tcPr>
            <w:tcW w:w="392" w:type="pct"/>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0.525</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tcBorders>
              <w:bottom w:val="nil"/>
            </w:tcBorders>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Growing focus on water conservation</w:t>
            </w:r>
          </w:p>
        </w:tc>
        <w:tc>
          <w:tcPr>
            <w:tcW w:w="244"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2.50</w:t>
            </w:r>
          </w:p>
        </w:tc>
        <w:tc>
          <w:tcPr>
            <w:tcW w:w="262" w:type="pct"/>
            <w:tcBorders>
              <w:bottom w:val="nil"/>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1.29</w:t>
            </w:r>
          </w:p>
        </w:tc>
        <w:tc>
          <w:tcPr>
            <w:tcW w:w="305"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14</w:t>
            </w:r>
          </w:p>
        </w:tc>
        <w:tc>
          <w:tcPr>
            <w:tcW w:w="356"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2.67</w:t>
            </w:r>
          </w:p>
        </w:tc>
        <w:tc>
          <w:tcPr>
            <w:tcW w:w="250" w:type="pct"/>
            <w:tcBorders>
              <w:bottom w:val="nil"/>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1.49</w:t>
            </w:r>
          </w:p>
        </w:tc>
        <w:tc>
          <w:tcPr>
            <w:tcW w:w="304"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14</w:t>
            </w:r>
          </w:p>
        </w:tc>
        <w:tc>
          <w:tcPr>
            <w:tcW w:w="361"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2.08</w:t>
            </w:r>
          </w:p>
        </w:tc>
        <w:tc>
          <w:tcPr>
            <w:tcW w:w="280" w:type="pct"/>
            <w:tcBorders>
              <w:bottom w:val="nil"/>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0.76</w:t>
            </w:r>
          </w:p>
        </w:tc>
        <w:tc>
          <w:tcPr>
            <w:tcW w:w="303"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14</w:t>
            </w:r>
          </w:p>
        </w:tc>
        <w:tc>
          <w:tcPr>
            <w:tcW w:w="337"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2.60</w:t>
            </w:r>
          </w:p>
        </w:tc>
        <w:tc>
          <w:tcPr>
            <w:tcW w:w="271" w:type="pct"/>
            <w:tcBorders>
              <w:bottom w:val="nil"/>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0.89</w:t>
            </w:r>
          </w:p>
        </w:tc>
        <w:tc>
          <w:tcPr>
            <w:tcW w:w="303"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13</w:t>
            </w:r>
          </w:p>
        </w:tc>
        <w:tc>
          <w:tcPr>
            <w:tcW w:w="322"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0.966</w:t>
            </w:r>
          </w:p>
        </w:tc>
        <w:tc>
          <w:tcPr>
            <w:tcW w:w="392" w:type="pct"/>
            <w:tcBorders>
              <w:bottom w:val="nil"/>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0.388</w:t>
            </w:r>
          </w:p>
        </w:tc>
      </w:tr>
      <w:tr w:rsidR="002D2965" w:rsidRPr="00074705" w:rsidTr="002D2965">
        <w:trPr>
          <w:trHeight w:val="528"/>
        </w:trPr>
        <w:tc>
          <w:tcPr>
            <w:cnfStyle w:val="001000000000" w:firstRow="0" w:lastRow="0" w:firstColumn="1" w:lastColumn="0" w:oddVBand="0" w:evenVBand="0" w:oddHBand="0" w:evenHBand="0" w:firstRowFirstColumn="0" w:firstRowLastColumn="0" w:lastRowFirstColumn="0" w:lastRowLastColumn="0"/>
            <w:tcW w:w="710" w:type="pct"/>
            <w:tcBorders>
              <w:top w:val="nil"/>
              <w:bottom w:val="single" w:sz="4" w:space="0" w:color="auto"/>
            </w:tcBorders>
            <w:hideMark/>
          </w:tcPr>
          <w:p w:rsidR="002D2965" w:rsidRPr="00074705" w:rsidRDefault="002D2965" w:rsidP="002D2965">
            <w:pPr>
              <w:rPr>
                <w:rFonts w:ascii="Times New Roman" w:eastAsia="Times New Roman" w:hAnsi="Times New Roman" w:cs="Times New Roman"/>
                <w:b w:val="0"/>
                <w:bCs w:val="0"/>
                <w:color w:val="000000"/>
              </w:rPr>
            </w:pPr>
            <w:r w:rsidRPr="00074705">
              <w:rPr>
                <w:rFonts w:ascii="Times New Roman" w:eastAsia="Times New Roman" w:hAnsi="Times New Roman" w:cs="Times New Roman"/>
                <w:b w:val="0"/>
                <w:bCs w:val="0"/>
                <w:color w:val="000000"/>
              </w:rPr>
              <w:t>Policies and incentives from government</w:t>
            </w:r>
          </w:p>
        </w:tc>
        <w:tc>
          <w:tcPr>
            <w:tcW w:w="244"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2.33</w:t>
            </w:r>
          </w:p>
        </w:tc>
        <w:tc>
          <w:tcPr>
            <w:tcW w:w="262" w:type="pct"/>
            <w:tcBorders>
              <w:top w:val="nil"/>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1.62</w:t>
            </w:r>
          </w:p>
        </w:tc>
        <w:tc>
          <w:tcPr>
            <w:tcW w:w="305"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15</w:t>
            </w:r>
          </w:p>
        </w:tc>
        <w:tc>
          <w:tcPr>
            <w:tcW w:w="356"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2.60</w:t>
            </w:r>
          </w:p>
        </w:tc>
        <w:tc>
          <w:tcPr>
            <w:tcW w:w="250" w:type="pct"/>
            <w:tcBorders>
              <w:top w:val="nil"/>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1.61</w:t>
            </w:r>
          </w:p>
        </w:tc>
        <w:tc>
          <w:tcPr>
            <w:tcW w:w="304"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15</w:t>
            </w:r>
          </w:p>
        </w:tc>
        <w:tc>
          <w:tcPr>
            <w:tcW w:w="361"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1.69</w:t>
            </w:r>
          </w:p>
        </w:tc>
        <w:tc>
          <w:tcPr>
            <w:tcW w:w="280" w:type="pct"/>
            <w:tcBorders>
              <w:top w:val="nil"/>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1.60</w:t>
            </w:r>
          </w:p>
        </w:tc>
        <w:tc>
          <w:tcPr>
            <w:tcW w:w="303"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15</w:t>
            </w:r>
          </w:p>
        </w:tc>
        <w:tc>
          <w:tcPr>
            <w:tcW w:w="337"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2.40</w:t>
            </w:r>
          </w:p>
        </w:tc>
        <w:tc>
          <w:tcPr>
            <w:tcW w:w="271" w:type="pct"/>
            <w:tcBorders>
              <w:top w:val="nil"/>
              <w:bottom w:val="single" w:sz="4" w:space="0" w:color="auto"/>
            </w:tcBorders>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1.52</w:t>
            </w:r>
          </w:p>
        </w:tc>
        <w:tc>
          <w:tcPr>
            <w:tcW w:w="303"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eastAsia="Times New Roman" w:hAnsi="Times New Roman" w:cs="Times New Roman"/>
                <w:color w:val="000000"/>
              </w:rPr>
              <w:t>15</w:t>
            </w:r>
          </w:p>
        </w:tc>
        <w:tc>
          <w:tcPr>
            <w:tcW w:w="322"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1.465</w:t>
            </w:r>
          </w:p>
        </w:tc>
        <w:tc>
          <w:tcPr>
            <w:tcW w:w="392" w:type="pct"/>
            <w:tcBorders>
              <w:top w:val="nil"/>
              <w:bottom w:val="single" w:sz="4" w:space="0" w:color="auto"/>
            </w:tcBorders>
            <w:noWrap/>
            <w:hideMark/>
          </w:tcPr>
          <w:p w:rsidR="002D2965" w:rsidRPr="00074705" w:rsidRDefault="002D2965" w:rsidP="002D29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074705">
              <w:rPr>
                <w:rFonts w:ascii="Times New Roman" w:hAnsi="Times New Roman" w:cs="Times New Roman"/>
              </w:rPr>
              <w:t>0.242</w:t>
            </w:r>
          </w:p>
        </w:tc>
      </w:tr>
    </w:tbl>
    <w:p w:rsidR="002D2965" w:rsidRPr="00035CAD" w:rsidRDefault="002D2965" w:rsidP="002D2965">
      <w:pPr>
        <w:spacing w:after="0" w:line="240" w:lineRule="auto"/>
        <w:ind w:right="-613"/>
        <w:jc w:val="both"/>
        <w:rPr>
          <w:rFonts w:ascii="Times New Roman" w:eastAsia="Times New Roman" w:hAnsi="Times New Roman" w:cs="Times New Roman"/>
          <w:b/>
          <w:bCs/>
          <w:color w:val="000000"/>
          <w:sz w:val="24"/>
          <w:szCs w:val="24"/>
        </w:rPr>
      </w:pPr>
    </w:p>
    <w:p w:rsidR="002D2965" w:rsidRDefault="002D2965" w:rsidP="00006234">
      <w:pPr>
        <w:spacing w:line="240" w:lineRule="auto"/>
        <w:ind w:right="-613"/>
        <w:jc w:val="both"/>
        <w:rPr>
          <w:rFonts w:ascii="Times New Roman" w:hAnsi="Times New Roman" w:cs="Times New Roman"/>
          <w:b/>
          <w:bCs/>
          <w:i/>
          <w:iCs/>
          <w:color w:val="000000"/>
          <w:sz w:val="24"/>
          <w:szCs w:val="24"/>
        </w:rPr>
      </w:pPr>
      <w:proofErr w:type="gramStart"/>
      <w:r w:rsidRPr="00E90B72">
        <w:rPr>
          <w:rFonts w:ascii="Times New Roman" w:hAnsi="Times New Roman" w:cs="Times New Roman"/>
          <w:b/>
          <w:bCs/>
          <w:i/>
          <w:iCs/>
          <w:color w:val="000000"/>
          <w:sz w:val="24"/>
          <w:szCs w:val="24"/>
        </w:rPr>
        <w:t>p-value</w:t>
      </w:r>
      <w:proofErr w:type="gramEnd"/>
      <w:r w:rsidRPr="00E90B72">
        <w:rPr>
          <w:rFonts w:ascii="Times New Roman" w:hAnsi="Times New Roman" w:cs="Times New Roman"/>
          <w:b/>
          <w:bCs/>
          <w:i/>
          <w:iCs/>
          <w:color w:val="000000"/>
          <w:sz w:val="24"/>
          <w:szCs w:val="24"/>
        </w:rPr>
        <w:t xml:space="preserve"> is significant at 0.05</w:t>
      </w:r>
    </w:p>
    <w:p w:rsidR="002D2965" w:rsidRPr="00BE1B27" w:rsidRDefault="002D2965" w:rsidP="00006234">
      <w:pPr>
        <w:spacing w:after="0" w:line="240" w:lineRule="auto"/>
        <w:ind w:right="-613"/>
        <w:jc w:val="both"/>
        <w:rPr>
          <w:rFonts w:ascii="Times New Roman" w:hAnsi="Times New Roman" w:cs="Times New Roman"/>
          <w:b/>
          <w:bCs/>
          <w:i/>
          <w:iCs/>
          <w:color w:val="000000"/>
          <w:sz w:val="24"/>
          <w:szCs w:val="24"/>
        </w:rPr>
        <w:sectPr w:rsidR="002D2965" w:rsidRPr="00BE1B27" w:rsidSect="0059560C">
          <w:pgSz w:w="11906" w:h="16838" w:code="9"/>
          <w:pgMar w:top="1440" w:right="1985" w:bottom="1440" w:left="709" w:header="720" w:footer="720" w:gutter="0"/>
          <w:cols w:space="720"/>
          <w:docGrid w:linePitch="360"/>
        </w:sectPr>
      </w:pPr>
      <w:r w:rsidRPr="00AB3AEA">
        <w:rPr>
          <w:rFonts w:ascii="Times New Roman" w:hAnsi="Times New Roman" w:cs="Times New Roman"/>
          <w:b/>
          <w:bCs/>
          <w:i/>
          <w:iCs/>
          <w:color w:val="000000"/>
          <w:sz w:val="24"/>
          <w:szCs w:val="24"/>
        </w:rPr>
        <w:t>MS = Means S</w:t>
      </w:r>
      <w:r w:rsidR="00006234">
        <w:rPr>
          <w:rFonts w:ascii="Times New Roman" w:hAnsi="Times New Roman" w:cs="Times New Roman"/>
          <w:b/>
          <w:bCs/>
          <w:i/>
          <w:iCs/>
          <w:color w:val="000000"/>
          <w:sz w:val="24"/>
          <w:szCs w:val="24"/>
        </w:rPr>
        <w:t xml:space="preserve">core and SD = Standard </w:t>
      </w:r>
      <w:proofErr w:type="spellStart"/>
      <w:r w:rsidR="00006234">
        <w:rPr>
          <w:rFonts w:ascii="Times New Roman" w:hAnsi="Times New Roman" w:cs="Times New Roman"/>
          <w:b/>
          <w:bCs/>
          <w:i/>
          <w:iCs/>
          <w:color w:val="000000"/>
          <w:sz w:val="24"/>
          <w:szCs w:val="24"/>
        </w:rPr>
        <w:t>deviatio</w:t>
      </w:r>
      <w:proofErr w:type="spellEnd"/>
    </w:p>
    <w:p w:rsidR="007D2F7D" w:rsidRPr="00BE1B27" w:rsidRDefault="007D2F7D" w:rsidP="006C44AF">
      <w:pPr>
        <w:spacing w:after="0" w:line="240" w:lineRule="auto"/>
        <w:ind w:right="-613"/>
        <w:jc w:val="both"/>
        <w:rPr>
          <w:rFonts w:ascii="Times New Roman" w:hAnsi="Times New Roman" w:cs="Times New Roman"/>
          <w:b/>
          <w:bCs/>
          <w:i/>
          <w:iCs/>
          <w:color w:val="000000"/>
          <w:sz w:val="24"/>
          <w:szCs w:val="24"/>
        </w:rPr>
        <w:sectPr w:rsidR="007D2F7D" w:rsidRPr="00BE1B27" w:rsidSect="007F3085">
          <w:pgSz w:w="11906" w:h="16838" w:code="9"/>
          <w:pgMar w:top="1440" w:right="1985" w:bottom="1440" w:left="709" w:header="720" w:footer="720" w:gutter="0"/>
          <w:cols w:space="720"/>
          <w:docGrid w:linePitch="360"/>
        </w:sectPr>
      </w:pPr>
    </w:p>
    <w:p w:rsidR="007D2F7D"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lastRenderedPageBreak/>
        <w:t>This data provides valuable insights into the drivers shaping the profession's engagement with sustainable development principles in the housing sector</w:t>
      </w:r>
      <w:r>
        <w:rPr>
          <w:rFonts w:ascii="Times New Roman" w:hAnsi="Times New Roman" w:cs="Times New Roman"/>
          <w:sz w:val="24"/>
          <w:szCs w:val="24"/>
        </w:rPr>
        <w:t>.</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 xml:space="preserve">Continuous professional development emerges as the most significant factor promoting quantity surveyors' involvement in sustainable housing projects, with the highest overall mean score of 4.04. This underscores the importance of ongoing learning and skill enhancement in adapting to the evolving demands of sustainable construction. The high ranking across all project volume categories suggests that quantity surveyors recognize the need for continuous upskilling to remain relevant and </w:t>
      </w:r>
      <w:r w:rsidR="006A478C">
        <w:rPr>
          <w:rFonts w:ascii="Times New Roman" w:hAnsi="Times New Roman" w:cs="Times New Roman"/>
          <w:sz w:val="24"/>
          <w:szCs w:val="24"/>
        </w:rPr>
        <w:t xml:space="preserve">effective in this field. </w:t>
      </w:r>
      <w:proofErr w:type="spellStart"/>
      <w:r w:rsidR="006A478C">
        <w:rPr>
          <w:rFonts w:ascii="Times New Roman" w:hAnsi="Times New Roman" w:cs="Times New Roman"/>
          <w:sz w:val="24"/>
          <w:szCs w:val="24"/>
        </w:rPr>
        <w:t>Emuze</w:t>
      </w:r>
      <w:proofErr w:type="spellEnd"/>
      <w:r w:rsidR="006A478C">
        <w:rPr>
          <w:rFonts w:ascii="Times New Roman" w:hAnsi="Times New Roman" w:cs="Times New Roman"/>
          <w:sz w:val="24"/>
          <w:szCs w:val="24"/>
        </w:rPr>
        <w:t xml:space="preserve"> and</w:t>
      </w:r>
      <w:r w:rsidRPr="00E90B72">
        <w:rPr>
          <w:rFonts w:ascii="Times New Roman" w:hAnsi="Times New Roman" w:cs="Times New Roman"/>
          <w:sz w:val="24"/>
          <w:szCs w:val="24"/>
        </w:rPr>
        <w:t xml:space="preserve"> Smallwood (2014) statement also support this notion as it is explicitly stated in the literature review.</w:t>
      </w:r>
    </w:p>
    <w:p w:rsidR="007D2F7D"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Closely following is the advancement in construction materials and technologies, ranking second with an overall mean score of 3.94. This high ranking reflects the impact of technological progress on the construction industry and highlights the need for quantity surveyors to stay abreast of these developments. The consistency of this factor's importance across different project volumes (p-value of 0.902) suggests that it is a pervasive influence, affecting quantity surveyors at all levels of experience in sustainable housing project</w:t>
      </w:r>
      <w:r>
        <w:rPr>
          <w:rFonts w:ascii="Times New Roman" w:hAnsi="Times New Roman" w:cs="Times New Roman"/>
          <w:sz w:val="24"/>
          <w:szCs w:val="24"/>
        </w:rPr>
        <w:t>.</w:t>
      </w:r>
    </w:p>
    <w:p w:rsidR="007D2F7D" w:rsidRDefault="007D2F7D" w:rsidP="006C44AF">
      <w:pPr>
        <w:spacing w:line="240" w:lineRule="auto"/>
        <w:ind w:left="-709" w:right="-613"/>
        <w:jc w:val="both"/>
        <w:rPr>
          <w:rFonts w:ascii="Times New Roman" w:hAnsi="Times New Roman" w:cs="Times New Roman"/>
          <w:sz w:val="24"/>
          <w:szCs w:val="24"/>
        </w:rPr>
        <w:sectPr w:rsidR="007D2F7D" w:rsidSect="007D2F7D">
          <w:pgSz w:w="11906" w:h="16838" w:code="9"/>
          <w:pgMar w:top="1440" w:right="1440" w:bottom="1440" w:left="2160" w:header="720" w:footer="720" w:gutter="0"/>
          <w:cols w:space="720"/>
          <w:docGrid w:linePitch="360"/>
        </w:sectPr>
      </w:pPr>
      <w:r w:rsidRPr="00E90B72">
        <w:rPr>
          <w:rFonts w:ascii="Times New Roman" w:hAnsi="Times New Roman" w:cs="Times New Roman"/>
          <w:sz w:val="24"/>
          <w:szCs w:val="24"/>
        </w:rPr>
        <w:t xml:space="preserve">The third-ranked factor, increase in client demand and market awareness (overall mean score of 3.75), points to the growing recognition of sustainable housing's importance among clients and the broader market. This external pressure appears to be a significant driver for quantity surveyors' involvement in sustainable projects. The relatively high ranking of this factor across all project </w:t>
      </w:r>
      <w:r>
        <w:rPr>
          <w:rFonts w:ascii="Times New Roman" w:hAnsi="Times New Roman" w:cs="Times New Roman"/>
          <w:sz w:val="24"/>
          <w:szCs w:val="24"/>
        </w:rPr>
        <w:t>volume</w:t>
      </w:r>
      <w:r w:rsidRPr="00E90B72">
        <w:rPr>
          <w:rFonts w:ascii="Times New Roman" w:hAnsi="Times New Roman" w:cs="Times New Roman"/>
          <w:sz w:val="24"/>
          <w:szCs w:val="24"/>
        </w:rPr>
        <w:t xml:space="preserve"> categories indicates that market forces play a substantial role in shaping the profession's engagement with </w:t>
      </w:r>
      <w:r>
        <w:rPr>
          <w:rFonts w:ascii="Times New Roman" w:hAnsi="Times New Roman" w:cs="Times New Roman"/>
          <w:sz w:val="24"/>
          <w:szCs w:val="24"/>
        </w:rPr>
        <w:t>sustainability</w:t>
      </w:r>
    </w:p>
    <w:p w:rsidR="00AF5BDC" w:rsidRDefault="007D2F7D" w:rsidP="006C44AF">
      <w:pPr>
        <w:spacing w:line="240" w:lineRule="auto"/>
        <w:ind w:left="-709" w:right="-613"/>
        <w:jc w:val="both"/>
        <w:rPr>
          <w:rFonts w:ascii="Times New Roman" w:hAnsi="Times New Roman" w:cs="Times New Roman"/>
          <w:color w:val="000000" w:themeColor="text1"/>
          <w:sz w:val="24"/>
          <w:szCs w:val="24"/>
        </w:rPr>
      </w:pPr>
      <w:r w:rsidRPr="00E90B72">
        <w:rPr>
          <w:rFonts w:ascii="Times New Roman" w:hAnsi="Times New Roman" w:cs="Times New Roman"/>
          <w:sz w:val="24"/>
          <w:szCs w:val="24"/>
        </w:rPr>
        <w:lastRenderedPageBreak/>
        <w:t>Financial benefits of sustainable construction rank fourth overall, with a mean score of 3.71. This highlights the economic incentives driving the adoption of sustainable practices in housing projects. The high ranking of this factor suggests that quantity surveyors are well-positioned to demonstrate and leverage the financial advantages of sustainable construction, aligning with their traditional role as cost experts. A mix of roles such as LCCA, incorporating energy efficiency designs and so on helps in achieving a positive financial benefits of sustainable housing projects (</w:t>
      </w:r>
      <w:r w:rsidR="006A478C">
        <w:rPr>
          <w:rFonts w:ascii="Times New Roman" w:hAnsi="Times New Roman" w:cs="Times New Roman"/>
          <w:color w:val="000000" w:themeColor="text1"/>
          <w:sz w:val="24"/>
          <w:szCs w:val="24"/>
        </w:rPr>
        <w:t>Goh and</w:t>
      </w:r>
      <w:r w:rsidR="00AF5BDC">
        <w:rPr>
          <w:rFonts w:ascii="Times New Roman" w:hAnsi="Times New Roman" w:cs="Times New Roman"/>
          <w:color w:val="000000" w:themeColor="text1"/>
          <w:sz w:val="24"/>
          <w:szCs w:val="24"/>
        </w:rPr>
        <w:t xml:space="preserve"> Sun., </w:t>
      </w:r>
      <w:r w:rsidR="00AF5BDC" w:rsidRPr="00FE3CAE">
        <w:rPr>
          <w:rFonts w:ascii="Times New Roman" w:hAnsi="Times New Roman" w:cs="Times New Roman"/>
          <w:color w:val="000000" w:themeColor="text1"/>
          <w:sz w:val="24"/>
          <w:szCs w:val="24"/>
        </w:rPr>
        <w:t xml:space="preserve">2016). </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Moving down the list, we see factors such as the alignment of sustainable construction practices, growing emphasis on Life Cycle Cost Analysis, and evolving policy and regulatory drivers. These factors, while still important, show slightly lower levels of influence on quantity surveyors' involvement in sustainable housing projects. Their middling rankings might indicate areas where the profession could potentially increase its focus and expertise to drive greater involvement in sustainable projects.</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Interestingly, the incorporation of passive design features and developing cost-efficient strategies for maintenance and operation rank in the middle of the list. This positioning suggests that while these factors do promote involvement, they may not be as influential as some of the higher-ranked factors. This could present an opportunity for quantity surveyors to expand their role in these areas, particularly given their relevance to long-term sustainability and cost-efficiency.</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lower end of the ranking includes factors such as advancements in Building Information Modelling (BIM), financing mechanisms, rising stakeholder collaboration, and increasing availability of green building certification systems. The relatively low ranking of BIM (overall mean score of 2.98) is particularly noteworthy, given its growing importance in the construction industry globally. This could indicate an area for potential growth and increased adoption among quantity surveyors working on sustainable housing projects in Lagos. </w:t>
      </w:r>
      <w:proofErr w:type="spellStart"/>
      <w:r w:rsidR="001E2C2A" w:rsidRPr="001B5F66">
        <w:rPr>
          <w:rFonts w:ascii="Times New Roman" w:hAnsi="Times New Roman" w:cs="Times New Roman"/>
          <w:sz w:val="24"/>
          <w:szCs w:val="24"/>
        </w:rPr>
        <w:t>Tay</w:t>
      </w:r>
      <w:proofErr w:type="spellEnd"/>
      <w:r w:rsidR="001E2C2A" w:rsidRPr="001B5F66">
        <w:rPr>
          <w:rFonts w:ascii="Times New Roman" w:hAnsi="Times New Roman" w:cs="Times New Roman"/>
          <w:sz w:val="24"/>
          <w:szCs w:val="24"/>
        </w:rPr>
        <w:t xml:space="preserve">, W. D. (2015) </w:t>
      </w:r>
      <w:r w:rsidRPr="00E90B72">
        <w:rPr>
          <w:rFonts w:ascii="Times New Roman" w:hAnsi="Times New Roman" w:cs="Times New Roman"/>
          <w:sz w:val="24"/>
          <w:szCs w:val="24"/>
        </w:rPr>
        <w:t>theorized that the rapid advancement with the use of BIM as positively impacted the involvement of Quantity Surveyors with sustainable practices. So, it seems we have a lot of catching up to do regarding this</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One factor that stands out in the analysis is financing mechanisms such as loans or bonds. This is the only factor showing a statistically significant variation across project volumes (p-value of 0.011). The mean scores for this factor decrease from 3.3 for those involved in 0-5 projects to 2.23 for 6-10 projects, then increase slightly to 2.6 for 11-15 projects. This U-shaped pattern is intriguing and could suggest a complex relationship between experience and the perceived importance of financing mechanisms.</w:t>
      </w:r>
    </w:p>
    <w:p w:rsidR="006A478C"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lowest-ranked factors include growing focus on water conservation and policies and incentives from government. While these factors still have mean scores above the midpoint of the scale, their lower ranking suggests that they currently have less influence on quantity surveyors' involvement in sustainable housing projects compared to other factors. </w:t>
      </w:r>
    </w:p>
    <w:p w:rsidR="007D2F7D" w:rsidRPr="00E90B72"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In order to gain further insights into the data collected, this study employed factor analysis to identify the factor grouping of the Factors Promoting the Involvement of Quantity Surveyors in the Delivery of Sustainable Housing Projects. In other studies where Factor Analysis was applied</w:t>
      </w:r>
      <w:r>
        <w:rPr>
          <w:rFonts w:ascii="Times New Roman" w:hAnsi="Times New Roman" w:cs="Times New Roman"/>
          <w:sz w:val="24"/>
          <w:szCs w:val="24"/>
        </w:rPr>
        <w:t xml:space="preserve">, </w:t>
      </w:r>
      <w:r w:rsidRPr="00E90B72">
        <w:rPr>
          <w:rFonts w:ascii="Times New Roman" w:hAnsi="Times New Roman" w:cs="Times New Roman"/>
          <w:sz w:val="24"/>
          <w:szCs w:val="24"/>
        </w:rPr>
        <w:t>0.5 was used as cutoff points. This study therefore used 0.54 which is considered to be good as it has 25% overlapping variance. It must also be noted that values less than 0.54 will be suppressed. The Extraction Method used is Principal Component Analysis. The Rotation Method adopted is Varimax with Kaiser Normalization. Rotation converging in 24 iterations.</w:t>
      </w:r>
    </w:p>
    <w:p w:rsidR="007D2F7D" w:rsidRDefault="007D2F7D" w:rsidP="006C44AF">
      <w:pPr>
        <w:spacing w:line="240" w:lineRule="auto"/>
        <w:ind w:left="-709" w:right="-613"/>
        <w:jc w:val="both"/>
        <w:rPr>
          <w:rFonts w:ascii="Times New Roman" w:hAnsi="Times New Roman" w:cs="Times New Roman"/>
          <w:sz w:val="24"/>
          <w:szCs w:val="24"/>
        </w:rPr>
      </w:pPr>
      <w:r w:rsidRPr="00E90B72">
        <w:rPr>
          <w:rFonts w:ascii="Times New Roman" w:hAnsi="Times New Roman" w:cs="Times New Roman"/>
          <w:sz w:val="24"/>
          <w:szCs w:val="24"/>
        </w:rPr>
        <w:t xml:space="preserve">The need to ascertain the extent of adequacy of the data loaded for the study informed the use of Kaiser-Meyer-Olkin (KMO) and Bartlett’s test. The Bartlett’s measure tests the null hypothesis that the original correlation matrix is an identity matrix. For factor analysis to be adequate, Kaiser recommends accepting values greater than 0.5 as </w:t>
      </w:r>
      <w:r w:rsidR="007716E0">
        <w:rPr>
          <w:rFonts w:ascii="Times New Roman" w:hAnsi="Times New Roman" w:cs="Times New Roman"/>
          <w:sz w:val="24"/>
          <w:szCs w:val="24"/>
        </w:rPr>
        <w:t>acceptable. As shown in Table VI</w:t>
      </w:r>
      <w:r w:rsidRPr="00E90B72">
        <w:rPr>
          <w:rFonts w:ascii="Times New Roman" w:hAnsi="Times New Roman" w:cs="Times New Roman"/>
          <w:sz w:val="24"/>
          <w:szCs w:val="24"/>
        </w:rPr>
        <w:t>, the KMO is 0.7</w:t>
      </w:r>
      <w:r>
        <w:rPr>
          <w:rFonts w:ascii="Times New Roman" w:hAnsi="Times New Roman" w:cs="Times New Roman"/>
          <w:sz w:val="24"/>
          <w:szCs w:val="24"/>
        </w:rPr>
        <w:t>9</w:t>
      </w:r>
      <w:r w:rsidRPr="00E90B72">
        <w:rPr>
          <w:rFonts w:ascii="Times New Roman" w:hAnsi="Times New Roman" w:cs="Times New Roman"/>
          <w:sz w:val="24"/>
          <w:szCs w:val="24"/>
        </w:rPr>
        <w:t xml:space="preserve"> which falls into the range of being great: so, it is evident that factor analysis is appropriate for this data set. Also, Bartlett’s test of </w:t>
      </w:r>
      <w:r w:rsidRPr="00E90B72">
        <w:rPr>
          <w:rFonts w:ascii="Times New Roman" w:hAnsi="Times New Roman" w:cs="Times New Roman"/>
          <w:sz w:val="24"/>
          <w:szCs w:val="24"/>
        </w:rPr>
        <w:lastRenderedPageBreak/>
        <w:t>sphericity is highly significant (</w:t>
      </w:r>
      <w:r w:rsidRPr="00E90B72">
        <w:rPr>
          <w:rFonts w:ascii="Times New Roman" w:hAnsi="Times New Roman" w:cs="Times New Roman"/>
          <w:i/>
          <w:sz w:val="24"/>
          <w:szCs w:val="24"/>
        </w:rPr>
        <w:t>p</w:t>
      </w:r>
      <w:r w:rsidRPr="00E90B72">
        <w:rPr>
          <w:rFonts w:ascii="Times New Roman" w:hAnsi="Times New Roman" w:cs="Times New Roman"/>
          <w:sz w:val="24"/>
          <w:szCs w:val="24"/>
        </w:rPr>
        <w:t xml:space="preserve"> = 0.000) and therefore it could be established that factor analysis is appropriate.</w:t>
      </w:r>
    </w:p>
    <w:p w:rsidR="002D296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VI:</w:t>
      </w:r>
      <w:r w:rsidRPr="00E90B72">
        <w:rPr>
          <w:rFonts w:ascii="Times New Roman" w:eastAsia="Times New Roman" w:hAnsi="Times New Roman" w:cs="Times New Roman"/>
          <w:b/>
          <w:bCs/>
          <w:color w:val="000000"/>
          <w:sz w:val="24"/>
          <w:szCs w:val="24"/>
        </w:rPr>
        <w:t xml:space="preserve"> KMO and Bartlett's Test for </w:t>
      </w:r>
      <w:bookmarkStart w:id="24" w:name="_Hlk175585422"/>
      <w:r w:rsidRPr="00E90B72">
        <w:rPr>
          <w:rFonts w:ascii="Times New Roman" w:eastAsia="Times New Roman" w:hAnsi="Times New Roman" w:cs="Times New Roman"/>
          <w:b/>
          <w:bCs/>
          <w:color w:val="000000"/>
          <w:sz w:val="24"/>
          <w:szCs w:val="24"/>
        </w:rPr>
        <w:t xml:space="preserve">Factors Promoting the Involvement of </w:t>
      </w:r>
    </w:p>
    <w:p w:rsidR="002D2965" w:rsidRPr="0007470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E90B72">
        <w:rPr>
          <w:rFonts w:ascii="Times New Roman" w:eastAsia="Times New Roman" w:hAnsi="Times New Roman" w:cs="Times New Roman"/>
          <w:b/>
          <w:bCs/>
          <w:color w:val="000000"/>
          <w:sz w:val="24"/>
          <w:szCs w:val="24"/>
        </w:rPr>
        <w:t>Quantity Surveyors in the Delivery of Sustainable Housing Projects</w:t>
      </w:r>
      <w:bookmarkEnd w:id="24"/>
    </w:p>
    <w:tbl>
      <w:tblPr>
        <w:tblW w:w="5000" w:type="pct"/>
        <w:tblBorders>
          <w:top w:val="single" w:sz="4" w:space="0" w:color="auto"/>
          <w:bottom w:val="single" w:sz="8" w:space="0" w:color="auto"/>
        </w:tblBorders>
        <w:tblLook w:val="04A0" w:firstRow="1" w:lastRow="0" w:firstColumn="1" w:lastColumn="0" w:noHBand="0" w:noVBand="1"/>
      </w:tblPr>
      <w:tblGrid>
        <w:gridCol w:w="4372"/>
        <w:gridCol w:w="3315"/>
        <w:gridCol w:w="1528"/>
        <w:gridCol w:w="332"/>
      </w:tblGrid>
      <w:tr w:rsidR="002D2965" w:rsidRPr="00E90B72" w:rsidTr="002D2965">
        <w:trPr>
          <w:trHeight w:val="290"/>
        </w:trPr>
        <w:tc>
          <w:tcPr>
            <w:tcW w:w="4026" w:type="pct"/>
            <w:gridSpan w:val="2"/>
            <w:tcBorders>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Kaiser-Meyer-</w:t>
            </w:r>
            <w:proofErr w:type="spellStart"/>
            <w:r w:rsidRPr="00E90B72">
              <w:rPr>
                <w:rFonts w:ascii="Times New Roman" w:eastAsia="Times New Roman" w:hAnsi="Times New Roman" w:cs="Times New Roman"/>
                <w:color w:val="000000"/>
                <w:sz w:val="24"/>
                <w:szCs w:val="24"/>
              </w:rPr>
              <w:t>Olkin</w:t>
            </w:r>
            <w:proofErr w:type="spellEnd"/>
            <w:r w:rsidRPr="00E90B72">
              <w:rPr>
                <w:rFonts w:ascii="Times New Roman" w:eastAsia="Times New Roman" w:hAnsi="Times New Roman" w:cs="Times New Roman"/>
                <w:color w:val="000000"/>
                <w:sz w:val="24"/>
                <w:szCs w:val="24"/>
              </w:rPr>
              <w:t xml:space="preserve"> Measure of Sampling Adequacy.</w:t>
            </w:r>
          </w:p>
        </w:tc>
        <w:tc>
          <w:tcPr>
            <w:tcW w:w="800" w:type="pct"/>
            <w:tcBorders>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0.79</w:t>
            </w:r>
          </w:p>
        </w:tc>
        <w:tc>
          <w:tcPr>
            <w:tcW w:w="174" w:type="pct"/>
            <w:tcBorders>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r>
      <w:tr w:rsidR="002D2965" w:rsidRPr="00E90B72" w:rsidTr="002D2965">
        <w:trPr>
          <w:trHeight w:val="290"/>
        </w:trPr>
        <w:tc>
          <w:tcPr>
            <w:tcW w:w="2290" w:type="pct"/>
            <w:vMerge w:val="restart"/>
            <w:tcBorders>
              <w:top w:val="nil"/>
              <w:bottom w:val="nil"/>
            </w:tcBorders>
            <w:shd w:val="clear" w:color="auto" w:fill="auto"/>
            <w:noWrap/>
            <w:vAlign w:val="center"/>
            <w:hideMark/>
          </w:tcPr>
          <w:p w:rsidR="002D2965" w:rsidRPr="00E90B72" w:rsidRDefault="002D2965" w:rsidP="002D2965">
            <w:pPr>
              <w:spacing w:after="0" w:line="276" w:lineRule="auto"/>
              <w:jc w:val="center"/>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 xml:space="preserve">Bartlett's Test of </w:t>
            </w:r>
            <w:proofErr w:type="spellStart"/>
            <w:r w:rsidRPr="00E90B72">
              <w:rPr>
                <w:rFonts w:ascii="Times New Roman" w:eastAsia="Times New Roman" w:hAnsi="Times New Roman" w:cs="Times New Roman"/>
                <w:color w:val="000000"/>
                <w:sz w:val="24"/>
                <w:szCs w:val="24"/>
              </w:rPr>
              <w:t>Sphericity</w:t>
            </w:r>
            <w:proofErr w:type="spellEnd"/>
          </w:p>
          <w:p w:rsidR="002D2965" w:rsidRPr="00E90B72" w:rsidRDefault="002D2965" w:rsidP="002D2965">
            <w:pPr>
              <w:spacing w:after="0" w:line="276" w:lineRule="auto"/>
              <w:jc w:val="center"/>
              <w:rPr>
                <w:rFonts w:ascii="Times New Roman" w:eastAsia="Times New Roman" w:hAnsi="Times New Roman" w:cs="Times New Roman"/>
                <w:sz w:val="24"/>
                <w:szCs w:val="24"/>
              </w:rPr>
            </w:pPr>
          </w:p>
        </w:tc>
        <w:tc>
          <w:tcPr>
            <w:tcW w:w="1736"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Approx. Chi-Square</w:t>
            </w:r>
          </w:p>
        </w:tc>
        <w:tc>
          <w:tcPr>
            <w:tcW w:w="800"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424.43</w:t>
            </w:r>
          </w:p>
        </w:tc>
        <w:tc>
          <w:tcPr>
            <w:tcW w:w="174"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r>
      <w:tr w:rsidR="002D2965" w:rsidRPr="00E90B72" w:rsidTr="002D2965">
        <w:trPr>
          <w:trHeight w:val="290"/>
        </w:trPr>
        <w:tc>
          <w:tcPr>
            <w:tcW w:w="2290" w:type="pct"/>
            <w:vMerge/>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c>
          <w:tcPr>
            <w:tcW w:w="1736"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roofErr w:type="spellStart"/>
            <w:r w:rsidRPr="00E90B72">
              <w:rPr>
                <w:rFonts w:ascii="Times New Roman" w:eastAsia="Times New Roman" w:hAnsi="Times New Roman" w:cs="Times New Roman"/>
                <w:color w:val="000000"/>
                <w:sz w:val="24"/>
                <w:szCs w:val="24"/>
              </w:rPr>
              <w:t>Df</w:t>
            </w:r>
            <w:proofErr w:type="spellEnd"/>
          </w:p>
        </w:tc>
        <w:tc>
          <w:tcPr>
            <w:tcW w:w="800"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105</w:t>
            </w:r>
          </w:p>
        </w:tc>
        <w:tc>
          <w:tcPr>
            <w:tcW w:w="174" w:type="pct"/>
            <w:tcBorders>
              <w:top w:val="nil"/>
              <w:bottom w:val="nil"/>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r>
      <w:tr w:rsidR="002D2965" w:rsidRPr="00E90B72" w:rsidTr="002D2965">
        <w:trPr>
          <w:trHeight w:val="300"/>
        </w:trPr>
        <w:tc>
          <w:tcPr>
            <w:tcW w:w="2290" w:type="pct"/>
            <w:vMerge/>
            <w:tcBorders>
              <w:top w:val="nil"/>
              <w:bottom w:val="single" w:sz="4" w:space="0" w:color="auto"/>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p>
        </w:tc>
        <w:tc>
          <w:tcPr>
            <w:tcW w:w="1736" w:type="pct"/>
            <w:tcBorders>
              <w:top w:val="nil"/>
              <w:bottom w:val="single" w:sz="4" w:space="0" w:color="auto"/>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Sig.</w:t>
            </w:r>
          </w:p>
        </w:tc>
        <w:tc>
          <w:tcPr>
            <w:tcW w:w="800" w:type="pct"/>
            <w:tcBorders>
              <w:top w:val="nil"/>
              <w:bottom w:val="single" w:sz="4" w:space="0" w:color="auto"/>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0.000</w:t>
            </w:r>
          </w:p>
        </w:tc>
        <w:tc>
          <w:tcPr>
            <w:tcW w:w="174" w:type="pct"/>
            <w:tcBorders>
              <w:top w:val="nil"/>
              <w:bottom w:val="single" w:sz="4" w:space="0" w:color="auto"/>
            </w:tcBorders>
            <w:shd w:val="clear" w:color="auto" w:fill="auto"/>
            <w:noWrap/>
            <w:vAlign w:val="bottom"/>
            <w:hideMark/>
          </w:tcPr>
          <w:p w:rsidR="002D2965" w:rsidRPr="00E90B72" w:rsidRDefault="002D2965" w:rsidP="002D2965">
            <w:pPr>
              <w:spacing w:after="0" w:line="276" w:lineRule="auto"/>
              <w:jc w:val="both"/>
              <w:rPr>
                <w:rFonts w:ascii="Times New Roman" w:eastAsia="Times New Roman" w:hAnsi="Times New Roman" w:cs="Times New Roman"/>
                <w:color w:val="000000"/>
                <w:sz w:val="24"/>
                <w:szCs w:val="24"/>
              </w:rPr>
            </w:pPr>
            <w:r w:rsidRPr="00E90B72">
              <w:rPr>
                <w:rFonts w:ascii="Times New Roman" w:eastAsia="Times New Roman" w:hAnsi="Times New Roman" w:cs="Times New Roman"/>
                <w:color w:val="000000"/>
                <w:sz w:val="24"/>
                <w:szCs w:val="24"/>
              </w:rPr>
              <w:t> </w:t>
            </w:r>
          </w:p>
        </w:tc>
      </w:tr>
    </w:tbl>
    <w:p w:rsidR="007D2F7D" w:rsidRDefault="007D2F7D" w:rsidP="006C44AF">
      <w:pPr>
        <w:spacing w:line="240" w:lineRule="auto"/>
        <w:ind w:left="-709" w:right="-613"/>
        <w:jc w:val="both"/>
        <w:rPr>
          <w:rFonts w:ascii="Times New Roman" w:eastAsiaTheme="majorEastAsia" w:hAnsi="Times New Roman" w:cs="Times New Roman"/>
          <w:sz w:val="24"/>
          <w:szCs w:val="24"/>
        </w:rPr>
      </w:pPr>
      <w:r w:rsidRPr="00E90B72">
        <w:rPr>
          <w:rFonts w:ascii="Times New Roman" w:eastAsiaTheme="majorEastAsia" w:hAnsi="Times New Roman" w:cs="Times New Roman"/>
          <w:sz w:val="24"/>
          <w:szCs w:val="24"/>
        </w:rPr>
        <w:t>The total variance explained as pres</w:t>
      </w:r>
      <w:r w:rsidR="000C39F8">
        <w:rPr>
          <w:rFonts w:ascii="Times New Roman" w:eastAsiaTheme="majorEastAsia" w:hAnsi="Times New Roman" w:cs="Times New Roman"/>
          <w:sz w:val="24"/>
          <w:szCs w:val="24"/>
        </w:rPr>
        <w:t xml:space="preserve">ented </w:t>
      </w:r>
      <w:r w:rsidR="007716E0">
        <w:rPr>
          <w:rFonts w:ascii="Times New Roman" w:eastAsiaTheme="majorEastAsia" w:hAnsi="Times New Roman" w:cs="Times New Roman"/>
          <w:sz w:val="24"/>
          <w:szCs w:val="24"/>
        </w:rPr>
        <w:t>in Table VII</w:t>
      </w:r>
      <w:r w:rsidRPr="00E90B72">
        <w:rPr>
          <w:rFonts w:ascii="Times New Roman" w:eastAsiaTheme="majorEastAsia" w:hAnsi="Times New Roman" w:cs="Times New Roman"/>
          <w:sz w:val="24"/>
          <w:szCs w:val="24"/>
        </w:rPr>
        <w:t xml:space="preserve"> shows how the variance is divided among the 16 possible factors influencing the usage of BIM variables. It must be noted that three factors have eigenvalues (a measure of explained variance) greater than 1.0, which is a common criterion for a factor to be useful. Together, these three factors accounted for about 65.518% of the variability in the original variables, thus suggested that three latent factors were associated with the perception of the years of experience on sustainable building construction against </w:t>
      </w:r>
      <w:bookmarkStart w:id="25" w:name="_Hlk175587158"/>
      <w:r w:rsidRPr="00E90B72">
        <w:rPr>
          <w:rFonts w:ascii="Times New Roman" w:eastAsiaTheme="majorEastAsia" w:hAnsi="Times New Roman" w:cs="Times New Roman"/>
          <w:sz w:val="24"/>
          <w:szCs w:val="24"/>
        </w:rPr>
        <w:t>factors promoting the</w:t>
      </w:r>
      <w:bookmarkEnd w:id="25"/>
      <w:r>
        <w:rPr>
          <w:rFonts w:ascii="Times New Roman" w:eastAsiaTheme="majorEastAsia" w:hAnsi="Times New Roman" w:cs="Times New Roman"/>
          <w:sz w:val="24"/>
          <w:szCs w:val="24"/>
        </w:rPr>
        <w:t xml:space="preserve">       </w:t>
      </w:r>
    </w:p>
    <w:p w:rsidR="007716E0" w:rsidRDefault="007716E0" w:rsidP="00006234">
      <w:pPr>
        <w:spacing w:line="240" w:lineRule="auto"/>
        <w:ind w:right="-613"/>
        <w:jc w:val="both"/>
        <w:rPr>
          <w:rFonts w:ascii="Times New Roman" w:eastAsiaTheme="majorEastAsia" w:hAnsi="Times New Roman" w:cs="Times New Roman"/>
          <w:sz w:val="24"/>
          <w:szCs w:val="24"/>
        </w:rPr>
      </w:pPr>
    </w:p>
    <w:p w:rsidR="002D2965"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VII</w:t>
      </w:r>
      <w:r w:rsidRPr="00F846CD">
        <w:rPr>
          <w:rFonts w:ascii="Times New Roman" w:eastAsia="Times New Roman" w:hAnsi="Times New Roman" w:cs="Times New Roman"/>
          <w:b/>
          <w:bCs/>
          <w:color w:val="000000"/>
          <w:sz w:val="24"/>
          <w:szCs w:val="24"/>
        </w:rPr>
        <w:t>: Total Variance Explained for Factors Promoting the Involvement of Quantity</w:t>
      </w:r>
      <w:r>
        <w:rPr>
          <w:rFonts w:ascii="Times New Roman" w:eastAsia="Times New Roman" w:hAnsi="Times New Roman" w:cs="Times New Roman"/>
          <w:b/>
          <w:bCs/>
          <w:color w:val="000000"/>
          <w:sz w:val="24"/>
          <w:szCs w:val="24"/>
        </w:rPr>
        <w:t xml:space="preserve"> </w:t>
      </w:r>
      <w:r w:rsidRPr="00F846CD">
        <w:rPr>
          <w:rFonts w:ascii="Times New Roman" w:eastAsia="Times New Roman" w:hAnsi="Times New Roman" w:cs="Times New Roman"/>
          <w:b/>
          <w:bCs/>
          <w:color w:val="000000"/>
          <w:sz w:val="24"/>
          <w:szCs w:val="24"/>
        </w:rPr>
        <w:t xml:space="preserve">Surveyors in the Delivery of </w:t>
      </w:r>
    </w:p>
    <w:p w:rsidR="002D2965" w:rsidRPr="00F846CD" w:rsidRDefault="002D2965" w:rsidP="002D2965">
      <w:pPr>
        <w:spacing w:after="0" w:line="240"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roofErr w:type="gramStart"/>
      <w:r w:rsidRPr="00F846CD">
        <w:rPr>
          <w:rFonts w:ascii="Times New Roman" w:eastAsia="Times New Roman" w:hAnsi="Times New Roman" w:cs="Times New Roman"/>
          <w:b/>
          <w:bCs/>
          <w:color w:val="000000"/>
          <w:sz w:val="24"/>
          <w:szCs w:val="24"/>
        </w:rPr>
        <w:t>Sustainable Housing Projects.</w:t>
      </w:r>
      <w:proofErr w:type="gramEnd"/>
    </w:p>
    <w:tbl>
      <w:tblPr>
        <w:tblW w:w="5000" w:type="pct"/>
        <w:tblLook w:val="06A0" w:firstRow="1" w:lastRow="0" w:firstColumn="1" w:lastColumn="0" w:noHBand="1" w:noVBand="1"/>
      </w:tblPr>
      <w:tblGrid>
        <w:gridCol w:w="1229"/>
        <w:gridCol w:w="877"/>
        <w:gridCol w:w="964"/>
        <w:gridCol w:w="897"/>
        <w:gridCol w:w="735"/>
        <w:gridCol w:w="970"/>
        <w:gridCol w:w="1128"/>
        <w:gridCol w:w="645"/>
        <w:gridCol w:w="970"/>
        <w:gridCol w:w="1132"/>
      </w:tblGrid>
      <w:tr w:rsidR="002D2965" w:rsidRPr="00CC2600" w:rsidTr="002D2965">
        <w:trPr>
          <w:trHeight w:val="340"/>
        </w:trPr>
        <w:tc>
          <w:tcPr>
            <w:tcW w:w="643" w:type="pct"/>
            <w:vMerge w:val="restart"/>
            <w:tcBorders>
              <w:top w:val="single" w:sz="12" w:space="0" w:color="auto"/>
              <w:bottom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eastAsia="Times New Roman" w:hAnsi="Times New Roman" w:cs="Times New Roman"/>
                <w:color w:val="000000"/>
                <w:sz w:val="24"/>
                <w:szCs w:val="24"/>
              </w:rPr>
              <w:t>Component</w:t>
            </w:r>
          </w:p>
          <w:p w:rsidR="002D2965" w:rsidRPr="00CC2600" w:rsidRDefault="002D2965" w:rsidP="002D2965">
            <w:pPr>
              <w:ind w:left="-709" w:right="-613"/>
              <w:jc w:val="center"/>
              <w:rPr>
                <w:rFonts w:ascii="Times New Roman" w:eastAsia="Times New Roman" w:hAnsi="Times New Roman" w:cs="Times New Roman"/>
                <w:b/>
                <w:bCs/>
                <w:color w:val="000000"/>
                <w:sz w:val="24"/>
                <w:szCs w:val="24"/>
              </w:rPr>
            </w:pPr>
          </w:p>
        </w:tc>
        <w:tc>
          <w:tcPr>
            <w:tcW w:w="1434" w:type="pct"/>
            <w:gridSpan w:val="3"/>
            <w:tcBorders>
              <w:top w:val="single" w:sz="12" w:space="0" w:color="auto"/>
              <w:bottom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color w:val="000000"/>
                <w:sz w:val="24"/>
                <w:szCs w:val="24"/>
              </w:rPr>
              <w:t>Initial Eigenvalues</w:t>
            </w:r>
          </w:p>
        </w:tc>
        <w:tc>
          <w:tcPr>
            <w:tcW w:w="1484" w:type="pct"/>
            <w:gridSpan w:val="3"/>
            <w:tcBorders>
              <w:top w:val="single" w:sz="12" w:space="0" w:color="auto"/>
              <w:bottom w:val="single" w:sz="12" w:space="0" w:color="auto"/>
            </w:tcBorders>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color w:val="000000"/>
                <w:sz w:val="24"/>
                <w:szCs w:val="24"/>
              </w:rPr>
              <w:t>Extraction Sums of Squared Loadings</w:t>
            </w:r>
          </w:p>
        </w:tc>
        <w:tc>
          <w:tcPr>
            <w:tcW w:w="1439" w:type="pct"/>
            <w:gridSpan w:val="3"/>
            <w:tcBorders>
              <w:top w:val="single" w:sz="12" w:space="0" w:color="auto"/>
              <w:bottom w:val="single" w:sz="12" w:space="0" w:color="auto"/>
            </w:tcBorders>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color w:val="000000"/>
                <w:sz w:val="24"/>
                <w:szCs w:val="24"/>
              </w:rPr>
              <w:t>Rotation Sums of Squared Loadings</w:t>
            </w:r>
          </w:p>
        </w:tc>
      </w:tr>
      <w:tr w:rsidR="002D2965" w:rsidRPr="00CC2600" w:rsidTr="002D2965">
        <w:trPr>
          <w:trHeight w:val="620"/>
        </w:trPr>
        <w:tc>
          <w:tcPr>
            <w:tcW w:w="643" w:type="pct"/>
            <w:vMerge/>
            <w:tcBorders>
              <w:top w:val="single" w:sz="12" w:space="0" w:color="auto"/>
              <w:bottom w:val="single" w:sz="12" w:space="0" w:color="auto"/>
            </w:tcBorders>
            <w:noWrap/>
            <w:hideMark/>
          </w:tcPr>
          <w:p w:rsidR="002D2965" w:rsidRPr="00CC2600" w:rsidRDefault="002D2965" w:rsidP="002D2965">
            <w:pPr>
              <w:ind w:left="-709" w:right="-613"/>
              <w:rPr>
                <w:rFonts w:ascii="Times New Roman" w:eastAsia="Times New Roman" w:hAnsi="Times New Roman" w:cs="Times New Roman"/>
                <w:b/>
                <w:bCs/>
                <w:color w:val="000000"/>
                <w:sz w:val="24"/>
                <w:szCs w:val="24"/>
              </w:rPr>
            </w:pPr>
          </w:p>
        </w:tc>
        <w:tc>
          <w:tcPr>
            <w:tcW w:w="459" w:type="pct"/>
            <w:tcBorders>
              <w:top w:val="single" w:sz="12" w:space="0" w:color="auto"/>
              <w:bottom w:val="single" w:sz="12" w:space="0" w:color="auto"/>
            </w:tcBorders>
            <w:noWrap/>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Total</w:t>
            </w:r>
          </w:p>
        </w:tc>
        <w:tc>
          <w:tcPr>
            <w:tcW w:w="505"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 Of Variance</w:t>
            </w:r>
          </w:p>
        </w:tc>
        <w:tc>
          <w:tcPr>
            <w:tcW w:w="470"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Cumulative %</w:t>
            </w:r>
          </w:p>
        </w:tc>
        <w:tc>
          <w:tcPr>
            <w:tcW w:w="385" w:type="pct"/>
            <w:tcBorders>
              <w:top w:val="single" w:sz="12" w:space="0" w:color="auto"/>
              <w:bottom w:val="single" w:sz="12" w:space="0" w:color="auto"/>
            </w:tcBorders>
            <w:noWrap/>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Total</w:t>
            </w:r>
          </w:p>
        </w:tc>
        <w:tc>
          <w:tcPr>
            <w:tcW w:w="508"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 Of Variance</w:t>
            </w:r>
          </w:p>
        </w:tc>
        <w:tc>
          <w:tcPr>
            <w:tcW w:w="591"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Cumulative %</w:t>
            </w:r>
          </w:p>
        </w:tc>
        <w:tc>
          <w:tcPr>
            <w:tcW w:w="338" w:type="pct"/>
            <w:tcBorders>
              <w:top w:val="single" w:sz="12" w:space="0" w:color="auto"/>
              <w:bottom w:val="single" w:sz="12" w:space="0" w:color="auto"/>
            </w:tcBorders>
            <w:noWrap/>
            <w:hideMark/>
          </w:tcPr>
          <w:p w:rsidR="002D2965" w:rsidRPr="00CC2600" w:rsidRDefault="002D2965" w:rsidP="002D2965">
            <w:pPr>
              <w:ind w:left="-709" w:right="-613"/>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Total</w:t>
            </w:r>
          </w:p>
        </w:tc>
        <w:tc>
          <w:tcPr>
            <w:tcW w:w="508"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 of Variance</w:t>
            </w:r>
          </w:p>
        </w:tc>
        <w:tc>
          <w:tcPr>
            <w:tcW w:w="593" w:type="pct"/>
            <w:tcBorders>
              <w:top w:val="single" w:sz="12" w:space="0" w:color="auto"/>
              <w:bottom w:val="single" w:sz="12" w:space="0" w:color="auto"/>
            </w:tcBorders>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Cumulative %</w:t>
            </w:r>
          </w:p>
        </w:tc>
      </w:tr>
      <w:tr w:rsidR="002D2965" w:rsidRPr="00CC2600" w:rsidTr="002D2965">
        <w:trPr>
          <w:trHeight w:val="290"/>
        </w:trPr>
        <w:tc>
          <w:tcPr>
            <w:tcW w:w="643"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w:t>
            </w:r>
          </w:p>
        </w:tc>
        <w:tc>
          <w:tcPr>
            <w:tcW w:w="459"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7.02</w:t>
            </w:r>
          </w:p>
        </w:tc>
        <w:tc>
          <w:tcPr>
            <w:tcW w:w="505"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46.798</w:t>
            </w:r>
          </w:p>
        </w:tc>
        <w:tc>
          <w:tcPr>
            <w:tcW w:w="470"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46.798</w:t>
            </w:r>
          </w:p>
        </w:tc>
        <w:tc>
          <w:tcPr>
            <w:tcW w:w="385"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7.02</w:t>
            </w:r>
          </w:p>
        </w:tc>
        <w:tc>
          <w:tcPr>
            <w:tcW w:w="508"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46.798</w:t>
            </w:r>
          </w:p>
        </w:tc>
        <w:tc>
          <w:tcPr>
            <w:tcW w:w="591"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46.798</w:t>
            </w:r>
          </w:p>
        </w:tc>
        <w:tc>
          <w:tcPr>
            <w:tcW w:w="338"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3.37</w:t>
            </w:r>
          </w:p>
        </w:tc>
        <w:tc>
          <w:tcPr>
            <w:tcW w:w="508"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22.509</w:t>
            </w:r>
          </w:p>
        </w:tc>
        <w:tc>
          <w:tcPr>
            <w:tcW w:w="593" w:type="pct"/>
            <w:tcBorders>
              <w:top w:val="single" w:sz="12"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22.509</w:t>
            </w: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2</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1.658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11.056</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57.855</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1.66</w:t>
            </w: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11.056</w:t>
            </w: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57.855</w:t>
            </w: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3.37</w:t>
            </w: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22.475</w:t>
            </w: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44.984</w:t>
            </w: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3</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1.150</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7.664</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65.518</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1.15</w:t>
            </w: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7.664</w:t>
            </w: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65.518</w:t>
            </w: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3.08</w:t>
            </w: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20.534</w:t>
            </w: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65.518</w:t>
            </w: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4</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0.900</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5.997</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71.515</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5</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0.872</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5.811</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77.326</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6</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0.68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4.533</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81.859</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7</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0.621</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4.138</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85.997</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8</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0.438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2.917</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88.914</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9</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0.378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2.518</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91.432</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10</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0.368</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2.456</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93.888</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11</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0.312</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2.083</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95.971</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12</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0.232</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1.550</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97.521</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13</w:t>
            </w:r>
          </w:p>
        </w:tc>
        <w:tc>
          <w:tcPr>
            <w:tcW w:w="459"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0.170</w:t>
            </w:r>
          </w:p>
        </w:tc>
        <w:tc>
          <w:tcPr>
            <w:tcW w:w="50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1.132</w:t>
            </w:r>
          </w:p>
        </w:tc>
        <w:tc>
          <w:tcPr>
            <w:tcW w:w="470"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98.652</w:t>
            </w:r>
          </w:p>
        </w:tc>
        <w:tc>
          <w:tcPr>
            <w:tcW w:w="385" w:type="pct"/>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14</w:t>
            </w:r>
          </w:p>
        </w:tc>
        <w:tc>
          <w:tcPr>
            <w:tcW w:w="459"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0.115</w:t>
            </w:r>
          </w:p>
        </w:tc>
        <w:tc>
          <w:tcPr>
            <w:tcW w:w="505"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0.769</w:t>
            </w:r>
          </w:p>
        </w:tc>
        <w:tc>
          <w:tcPr>
            <w:tcW w:w="470"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99.421</w:t>
            </w:r>
          </w:p>
        </w:tc>
        <w:tc>
          <w:tcPr>
            <w:tcW w:w="385"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tcBorders>
              <w:bottom w:val="nil"/>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r w:rsidR="002D2965" w:rsidRPr="00CC2600" w:rsidTr="002D2965">
        <w:trPr>
          <w:trHeight w:val="290"/>
        </w:trPr>
        <w:tc>
          <w:tcPr>
            <w:tcW w:w="643"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b/>
                <w:bCs/>
                <w:color w:val="000000"/>
                <w:sz w:val="24"/>
                <w:szCs w:val="24"/>
              </w:rPr>
            </w:pPr>
            <w:r w:rsidRPr="00CC2600">
              <w:rPr>
                <w:rFonts w:ascii="Times New Roman" w:eastAsia="Times New Roman" w:hAnsi="Times New Roman" w:cs="Times New Roman"/>
                <w:b/>
                <w:bCs/>
                <w:color w:val="000000"/>
                <w:sz w:val="24"/>
                <w:szCs w:val="24"/>
              </w:rPr>
              <w:t>15</w:t>
            </w:r>
          </w:p>
        </w:tc>
        <w:tc>
          <w:tcPr>
            <w:tcW w:w="459"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0.087</w:t>
            </w:r>
          </w:p>
        </w:tc>
        <w:tc>
          <w:tcPr>
            <w:tcW w:w="505"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0.579</w:t>
            </w:r>
          </w:p>
        </w:tc>
        <w:tc>
          <w:tcPr>
            <w:tcW w:w="470"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r w:rsidRPr="00CC2600">
              <w:rPr>
                <w:rFonts w:ascii="Times New Roman" w:hAnsi="Times New Roman" w:cs="Times New Roman"/>
                <w:color w:val="000000"/>
                <w:sz w:val="24"/>
                <w:szCs w:val="24"/>
              </w:rPr>
              <w:t>100.00</w:t>
            </w:r>
          </w:p>
        </w:tc>
        <w:tc>
          <w:tcPr>
            <w:tcW w:w="385"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color w:val="000000"/>
                <w:sz w:val="24"/>
                <w:szCs w:val="24"/>
              </w:rPr>
            </w:pPr>
          </w:p>
        </w:tc>
        <w:tc>
          <w:tcPr>
            <w:tcW w:w="508"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1"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338"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08"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c>
          <w:tcPr>
            <w:tcW w:w="593" w:type="pct"/>
            <w:tcBorders>
              <w:top w:val="nil"/>
              <w:bottom w:val="single" w:sz="4" w:space="0" w:color="auto"/>
            </w:tcBorders>
            <w:noWrap/>
            <w:vAlign w:val="center"/>
            <w:hideMark/>
          </w:tcPr>
          <w:p w:rsidR="002D2965" w:rsidRPr="00CC2600" w:rsidRDefault="002D2965" w:rsidP="002D2965">
            <w:pPr>
              <w:ind w:left="-709" w:right="-613"/>
              <w:jc w:val="center"/>
              <w:rPr>
                <w:rFonts w:ascii="Times New Roman" w:eastAsia="Times New Roman" w:hAnsi="Times New Roman" w:cs="Times New Roman"/>
                <w:sz w:val="24"/>
                <w:szCs w:val="24"/>
              </w:rPr>
            </w:pPr>
          </w:p>
        </w:tc>
      </w:tr>
    </w:tbl>
    <w:p w:rsidR="002D2965" w:rsidRDefault="002D2965" w:rsidP="002D2965">
      <w:pPr>
        <w:spacing w:line="276" w:lineRule="auto"/>
        <w:ind w:left="-709" w:right="-613"/>
        <w:jc w:val="both"/>
        <w:rPr>
          <w:rFonts w:ascii="Times New Roman" w:eastAsiaTheme="majorEastAsia" w:hAnsi="Times New Roman" w:cs="Times New Roman"/>
          <w:b/>
          <w:bCs/>
          <w:i/>
          <w:iCs/>
          <w:sz w:val="24"/>
          <w:szCs w:val="24"/>
        </w:rPr>
        <w:sectPr w:rsidR="002D2965" w:rsidSect="00006234">
          <w:pgSz w:w="11906" w:h="16838" w:code="9"/>
          <w:pgMar w:top="1440" w:right="1440" w:bottom="1440" w:left="1135" w:header="720" w:footer="720" w:gutter="0"/>
          <w:cols w:space="720"/>
          <w:docGrid w:linePitch="360"/>
        </w:sectPr>
      </w:pPr>
      <w:r w:rsidRPr="00862231">
        <w:rPr>
          <w:rFonts w:ascii="Times New Roman" w:eastAsiaTheme="majorEastAsia" w:hAnsi="Times New Roman" w:cs="Times New Roman"/>
          <w:b/>
          <w:bCs/>
          <w:i/>
          <w:iCs/>
          <w:sz w:val="24"/>
          <w:szCs w:val="24"/>
        </w:rPr>
        <w:t>Extraction meth</w:t>
      </w:r>
      <w:r>
        <w:rPr>
          <w:rFonts w:ascii="Times New Roman" w:eastAsiaTheme="majorEastAsia" w:hAnsi="Times New Roman" w:cs="Times New Roman"/>
          <w:b/>
          <w:bCs/>
          <w:i/>
          <w:iCs/>
          <w:sz w:val="24"/>
          <w:szCs w:val="24"/>
        </w:rPr>
        <w:t>od: Principal Component Analysis</w:t>
      </w:r>
    </w:p>
    <w:p w:rsidR="007D2F7D" w:rsidRDefault="007D2F7D" w:rsidP="006C44AF">
      <w:pPr>
        <w:spacing w:line="240" w:lineRule="auto"/>
        <w:ind w:right="-613"/>
        <w:jc w:val="both"/>
        <w:rPr>
          <w:rFonts w:ascii="Times New Roman" w:eastAsiaTheme="majorEastAsia" w:hAnsi="Times New Roman" w:cs="Times New Roman"/>
          <w:b/>
          <w:bCs/>
          <w:i/>
          <w:iCs/>
          <w:sz w:val="24"/>
          <w:szCs w:val="24"/>
        </w:rPr>
        <w:sectPr w:rsidR="007D2F7D" w:rsidSect="007F3085">
          <w:pgSz w:w="11906" w:h="16838" w:code="9"/>
          <w:pgMar w:top="1440" w:right="1440" w:bottom="1440" w:left="851" w:header="720" w:footer="720" w:gutter="0"/>
          <w:cols w:space="720"/>
          <w:docGrid w:linePitch="360"/>
        </w:sectPr>
      </w:pPr>
    </w:p>
    <w:p w:rsidR="007D2F7D" w:rsidRPr="00862231" w:rsidRDefault="007D2F7D" w:rsidP="006C44AF">
      <w:pPr>
        <w:spacing w:line="240" w:lineRule="auto"/>
        <w:ind w:right="-613"/>
        <w:jc w:val="both"/>
        <w:rPr>
          <w:rFonts w:ascii="Times New Roman" w:eastAsiaTheme="majorEastAsia" w:hAnsi="Times New Roman" w:cs="Times New Roman"/>
          <w:b/>
          <w:bCs/>
          <w:i/>
          <w:iCs/>
          <w:sz w:val="24"/>
          <w:szCs w:val="24"/>
        </w:rPr>
      </w:pPr>
    </w:p>
    <w:p w:rsidR="007D2F7D" w:rsidRDefault="007D2F7D" w:rsidP="00DD6755">
      <w:pPr>
        <w:spacing w:line="240" w:lineRule="auto"/>
        <w:ind w:right="-46" w:firstLine="709"/>
        <w:jc w:val="both"/>
        <w:rPr>
          <w:rFonts w:ascii="Times New Roman" w:eastAsiaTheme="majorEastAsia" w:hAnsi="Times New Roman" w:cs="Times New Roman"/>
          <w:sz w:val="24"/>
          <w:szCs w:val="24"/>
        </w:rPr>
      </w:pPr>
      <w:r w:rsidRPr="00E90B72">
        <w:rPr>
          <w:rFonts w:ascii="Times New Roman" w:eastAsiaTheme="majorEastAsia" w:hAnsi="Times New Roman" w:cs="Times New Roman"/>
          <w:sz w:val="24"/>
          <w:szCs w:val="24"/>
        </w:rPr>
        <w:t>involvement of Quantity Surveyors in the delivery of sustainable housing projects, but there was a room for a lot of unexplained variation</w:t>
      </w:r>
      <w:r w:rsidR="00FA0BF9">
        <w:rPr>
          <w:rFonts w:ascii="Times New Roman" w:eastAsiaTheme="majorEastAsia" w:hAnsi="Times New Roman" w:cs="Times New Roman"/>
          <w:sz w:val="24"/>
          <w:szCs w:val="24"/>
        </w:rPr>
        <w:t>.</w:t>
      </w:r>
      <w:r w:rsidRPr="00E90B72">
        <w:rPr>
          <w:rFonts w:ascii="Times New Roman" w:eastAsiaTheme="majorEastAsia" w:hAnsi="Times New Roman" w:cs="Times New Roman"/>
          <w:sz w:val="24"/>
          <w:szCs w:val="24"/>
        </w:rPr>
        <w:t xml:space="preserve"> </w:t>
      </w:r>
    </w:p>
    <w:p w:rsidR="007D2F7D" w:rsidRPr="00136620" w:rsidRDefault="007D2F7D" w:rsidP="00DD6755">
      <w:pPr>
        <w:spacing w:line="240" w:lineRule="auto"/>
        <w:ind w:right="-46" w:firstLine="709"/>
        <w:jc w:val="both"/>
        <w:rPr>
          <w:rFonts w:ascii="Times New Roman" w:eastAsiaTheme="majorEastAsia" w:hAnsi="Times New Roman" w:cs="Times New Roman"/>
          <w:sz w:val="24"/>
          <w:szCs w:val="24"/>
        </w:rPr>
      </w:pPr>
      <w:r w:rsidRPr="00E90B72">
        <w:rPr>
          <w:rFonts w:ascii="Times New Roman" w:eastAsiaTheme="majorEastAsia" w:hAnsi="Times New Roman" w:cs="Times New Roman"/>
          <w:sz w:val="24"/>
          <w:szCs w:val="24"/>
        </w:rPr>
        <w:t>I</w:t>
      </w:r>
      <w:r w:rsidR="007716E0">
        <w:rPr>
          <w:rFonts w:ascii="Times New Roman" w:eastAsiaTheme="majorEastAsia" w:hAnsi="Times New Roman" w:cs="Times New Roman"/>
          <w:sz w:val="24"/>
          <w:szCs w:val="24"/>
        </w:rPr>
        <w:t>t can be observed from Table VIII</w:t>
      </w:r>
      <w:r>
        <w:rPr>
          <w:rFonts w:ascii="Times New Roman" w:eastAsiaTheme="majorEastAsia" w:hAnsi="Times New Roman" w:cs="Times New Roman"/>
          <w:sz w:val="24"/>
          <w:szCs w:val="24"/>
        </w:rPr>
        <w:t xml:space="preserve"> </w:t>
      </w:r>
      <w:r w:rsidRPr="00E90B72">
        <w:rPr>
          <w:rFonts w:ascii="Times New Roman" w:eastAsiaTheme="majorEastAsia" w:hAnsi="Times New Roman" w:cs="Times New Roman"/>
          <w:sz w:val="24"/>
          <w:szCs w:val="24"/>
        </w:rPr>
        <w:t xml:space="preserve">that four (4) of the factors promoting the involvement of Quantity Surveyors in the delivery of sustainable housing projects variables loaded on </w:t>
      </w:r>
      <w:r w:rsidRPr="00E90B72">
        <w:rPr>
          <w:rFonts w:ascii="Times New Roman" w:eastAsiaTheme="majorEastAsia" w:hAnsi="Times New Roman" w:cs="Times New Roman"/>
          <w:i/>
          <w:sz w:val="24"/>
          <w:szCs w:val="24"/>
        </w:rPr>
        <w:t xml:space="preserve">factor 1 </w:t>
      </w:r>
      <w:r w:rsidRPr="00E90B72">
        <w:rPr>
          <w:rFonts w:ascii="Times New Roman" w:eastAsiaTheme="majorEastAsia" w:hAnsi="Times New Roman" w:cs="Times New Roman"/>
          <w:sz w:val="24"/>
          <w:szCs w:val="24"/>
        </w:rPr>
        <w:t>and the first component, which we might call "Policy and Collaborative Drivers," encompasses government policies, stakeholder collaboration, financing mechanisms, and water conservation</w:t>
      </w:r>
      <w:r>
        <w:rPr>
          <w:rFonts w:ascii="Times New Roman" w:eastAsiaTheme="majorEastAsia" w:hAnsi="Times New Roman" w:cs="Times New Roman"/>
          <w:sz w:val="24"/>
          <w:szCs w:val="24"/>
        </w:rPr>
        <w:t xml:space="preserve"> </w:t>
      </w:r>
      <w:r w:rsidRPr="00E90B72">
        <w:rPr>
          <w:rFonts w:ascii="Times New Roman" w:eastAsiaTheme="majorEastAsia" w:hAnsi="Times New Roman" w:cs="Times New Roman"/>
          <w:sz w:val="24"/>
          <w:szCs w:val="24"/>
        </w:rPr>
        <w:t>efforts. This grouping suggests that external policy frameworks and collaborative initiatives play a crucial role in encouraging quantity surveyors to engage with sustainable housing projects.</w:t>
      </w:r>
    </w:p>
    <w:p w:rsidR="007D2F7D" w:rsidRDefault="007D2F7D" w:rsidP="00DD6755">
      <w:pPr>
        <w:spacing w:line="240" w:lineRule="auto"/>
        <w:ind w:right="-46" w:firstLine="709"/>
        <w:jc w:val="both"/>
        <w:rPr>
          <w:rFonts w:ascii="Times New Roman" w:hAnsi="Times New Roman" w:cs="Times New Roman"/>
          <w:sz w:val="24"/>
          <w:szCs w:val="24"/>
        </w:rPr>
      </w:pPr>
      <w:r w:rsidRPr="00E90B72">
        <w:rPr>
          <w:rFonts w:ascii="Times New Roman" w:hAnsi="Times New Roman" w:cs="Times New Roman"/>
          <w:sz w:val="24"/>
          <w:szCs w:val="24"/>
        </w:rPr>
        <w:t>The second component, "Technological and Analytical Advancements," includes evolving regulatory drivers, BIM advancements, green building certifications, life cycle cost analysis, and</w:t>
      </w:r>
      <w:r w:rsidRPr="00E90B72">
        <w:rPr>
          <w:rFonts w:ascii="Times New Roman" w:eastAsiaTheme="majorEastAsia" w:hAnsi="Times New Roman" w:cs="Times New Roman"/>
          <w:sz w:val="24"/>
          <w:szCs w:val="24"/>
        </w:rPr>
        <w:t xml:space="preserve"> </w:t>
      </w:r>
      <w:r w:rsidRPr="00E90B72">
        <w:rPr>
          <w:rFonts w:ascii="Times New Roman" w:hAnsi="Times New Roman" w:cs="Times New Roman"/>
          <w:sz w:val="24"/>
          <w:szCs w:val="24"/>
        </w:rPr>
        <w:t>passive design features. This component highlights the importance of modern, data-driven approaches and technological innovations in shaping quantity surveyors' involvement in sustainable construction.</w:t>
      </w:r>
    </w:p>
    <w:p w:rsidR="007D2F7D" w:rsidRPr="00E90B72" w:rsidRDefault="007D2F7D" w:rsidP="00DD6755">
      <w:pPr>
        <w:spacing w:line="240" w:lineRule="auto"/>
        <w:ind w:right="-46" w:firstLine="709"/>
        <w:jc w:val="both"/>
        <w:rPr>
          <w:rFonts w:ascii="Times New Roman" w:hAnsi="Times New Roman" w:cs="Times New Roman"/>
          <w:sz w:val="24"/>
          <w:szCs w:val="24"/>
        </w:rPr>
      </w:pPr>
      <w:r w:rsidRPr="00E90B72">
        <w:rPr>
          <w:rFonts w:ascii="Times New Roman" w:hAnsi="Times New Roman" w:cs="Times New Roman"/>
          <w:sz w:val="24"/>
          <w:szCs w:val="24"/>
        </w:rPr>
        <w:t>The third component, "Market and Professional Development," comprises client demand, continuous professional development, alignment of sustainable practices, and advancements in materials and technologies. This grouping emphasizes the significance of market forces and professional growth in driving quantity surveyors' engagement with sustainable housing projects.</w:t>
      </w:r>
    </w:p>
    <w:p w:rsidR="007716E0" w:rsidRDefault="007D2F7D" w:rsidP="00DD6755">
      <w:pPr>
        <w:spacing w:line="240" w:lineRule="auto"/>
        <w:ind w:right="-46" w:firstLine="709"/>
        <w:jc w:val="both"/>
        <w:rPr>
          <w:rFonts w:ascii="Times New Roman" w:hAnsi="Times New Roman" w:cs="Times New Roman"/>
          <w:sz w:val="24"/>
          <w:szCs w:val="24"/>
        </w:rPr>
      </w:pPr>
      <w:r w:rsidRPr="00E90B72">
        <w:rPr>
          <w:rFonts w:ascii="Times New Roman" w:hAnsi="Times New Roman" w:cs="Times New Roman"/>
          <w:sz w:val="24"/>
          <w:szCs w:val="24"/>
        </w:rPr>
        <w:t>However, two factors- cost-efficient maintenance strategies and financial benefits of sustainable construction - do not show significant loadings on any component, suggesting they might be more complex or multifaceted in their influence.</w:t>
      </w:r>
    </w:p>
    <w:p w:rsidR="002D2965" w:rsidRDefault="002D2965" w:rsidP="002D2965">
      <w:pPr>
        <w:spacing w:after="0" w:line="276" w:lineRule="auto"/>
        <w:ind w:left="-709" w:right="-613"/>
        <w:jc w:val="both"/>
        <w:rPr>
          <w:rFonts w:ascii="Times New Roman" w:eastAsia="Times New Roman" w:hAnsi="Times New Roman" w:cs="Times New Roman"/>
          <w:b/>
          <w:bCs/>
          <w:color w:val="000000"/>
          <w:sz w:val="24"/>
          <w:szCs w:val="24"/>
        </w:rPr>
      </w:pPr>
      <w:bookmarkStart w:id="26" w:name="_Toc175641587"/>
      <w:bookmarkStart w:id="27" w:name="_Toc175823376"/>
      <w:bookmarkStart w:id="28" w:name="_Toc175842938"/>
      <w:bookmarkStart w:id="29" w:name="_Toc176647321"/>
      <w:r>
        <w:rPr>
          <w:rFonts w:ascii="Times New Roman" w:hAnsi="Times New Roman" w:cs="Times New Roman"/>
          <w:b/>
          <w:bCs/>
          <w:sz w:val="24"/>
          <w:szCs w:val="24"/>
        </w:rPr>
        <w:t>Table VIII</w:t>
      </w:r>
      <w:r>
        <w:rPr>
          <w:rFonts w:ascii="Times New Roman" w:hAnsi="Times New Roman" w:cs="Times New Roman"/>
          <w:b/>
          <w:bCs/>
          <w:color w:val="000000"/>
          <w:sz w:val="24"/>
          <w:szCs w:val="24"/>
        </w:rPr>
        <w:t xml:space="preserve">: </w:t>
      </w:r>
      <w:r w:rsidRPr="00E90B72">
        <w:rPr>
          <w:rFonts w:ascii="Times New Roman" w:hAnsi="Times New Roman" w:cs="Times New Roman"/>
          <w:b/>
          <w:bCs/>
          <w:color w:val="000000"/>
          <w:sz w:val="24"/>
          <w:szCs w:val="24"/>
        </w:rPr>
        <w:t xml:space="preserve">Rotated Component Matrix for </w:t>
      </w:r>
      <w:r w:rsidRPr="00E90B72">
        <w:rPr>
          <w:rFonts w:ascii="Times New Roman" w:eastAsia="Times New Roman" w:hAnsi="Times New Roman" w:cs="Times New Roman"/>
          <w:b/>
          <w:bCs/>
          <w:color w:val="000000"/>
          <w:sz w:val="24"/>
          <w:szCs w:val="24"/>
        </w:rPr>
        <w:t xml:space="preserve">Factors Promoting the Involvement of </w:t>
      </w:r>
    </w:p>
    <w:p w:rsidR="002D2965" w:rsidRPr="00E90B72" w:rsidRDefault="002D2965" w:rsidP="002D2965">
      <w:pPr>
        <w:spacing w:after="0" w:line="276" w:lineRule="auto"/>
        <w:ind w:left="-709" w:right="-6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E90B72">
        <w:rPr>
          <w:rFonts w:ascii="Times New Roman" w:eastAsia="Times New Roman" w:hAnsi="Times New Roman" w:cs="Times New Roman"/>
          <w:b/>
          <w:bCs/>
          <w:color w:val="000000"/>
          <w:sz w:val="24"/>
          <w:szCs w:val="24"/>
        </w:rPr>
        <w:t>Quantity Surveyors in the Delivery of Sustainable Housing Projects</w:t>
      </w:r>
    </w:p>
    <w:tbl>
      <w:tblPr>
        <w:tblStyle w:val="PlainTable2"/>
        <w:tblW w:w="5000" w:type="pct"/>
        <w:tblLook w:val="06A0" w:firstRow="1" w:lastRow="0" w:firstColumn="1" w:lastColumn="0" w:noHBand="1" w:noVBand="1"/>
      </w:tblPr>
      <w:tblGrid>
        <w:gridCol w:w="4988"/>
        <w:gridCol w:w="1418"/>
        <w:gridCol w:w="1418"/>
        <w:gridCol w:w="1418"/>
      </w:tblGrid>
      <w:tr w:rsidR="002D2965" w:rsidRPr="00562EEE" w:rsidTr="002D2965">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699" w:type="pct"/>
            <w:tcBorders>
              <w:top w:val="single" w:sz="4" w:space="0" w:color="auto"/>
              <w:bottom w:val="single" w:sz="4" w:space="0" w:color="auto"/>
            </w:tcBorders>
            <w:hideMark/>
          </w:tcPr>
          <w:p w:rsidR="002D2965" w:rsidRPr="00562EEE" w:rsidRDefault="002D2965" w:rsidP="002D2965">
            <w:pPr>
              <w:spacing w:line="276" w:lineRule="auto"/>
              <w:jc w:val="both"/>
              <w:rPr>
                <w:rFonts w:ascii="Times New Roman" w:eastAsia="Times New Roman" w:hAnsi="Times New Roman" w:cs="Times New Roman"/>
              </w:rPr>
            </w:pPr>
          </w:p>
        </w:tc>
        <w:tc>
          <w:tcPr>
            <w:tcW w:w="2301" w:type="pct"/>
            <w:gridSpan w:val="3"/>
            <w:tcBorders>
              <w:top w:val="single" w:sz="4" w:space="0" w:color="auto"/>
              <w:bottom w:val="single" w:sz="4" w:space="0" w:color="auto"/>
            </w:tcBorders>
            <w:noWrap/>
            <w:hideMark/>
          </w:tcPr>
          <w:p w:rsidR="002D2965" w:rsidRPr="00074705" w:rsidRDefault="002D2965" w:rsidP="002D296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Component</w:t>
            </w:r>
          </w:p>
        </w:tc>
      </w:tr>
      <w:tr w:rsidR="002D2965" w:rsidRPr="00562EEE" w:rsidTr="002D2965">
        <w:trPr>
          <w:trHeight w:val="264"/>
        </w:trPr>
        <w:tc>
          <w:tcPr>
            <w:cnfStyle w:val="001000000000" w:firstRow="0" w:lastRow="0" w:firstColumn="1" w:lastColumn="0" w:oddVBand="0" w:evenVBand="0" w:oddHBand="0" w:evenHBand="0" w:firstRowFirstColumn="0" w:firstRowLastColumn="0" w:lastRowFirstColumn="0" w:lastRowLastColumn="0"/>
            <w:tcW w:w="2699" w:type="pct"/>
            <w:tcBorders>
              <w:top w:val="single" w:sz="4" w:space="0" w:color="auto"/>
            </w:tcBorders>
            <w:hideMark/>
          </w:tcPr>
          <w:p w:rsidR="002D2965" w:rsidRPr="00074705" w:rsidRDefault="002D2965" w:rsidP="002D2965">
            <w:pPr>
              <w:spacing w:line="276" w:lineRule="auto"/>
              <w:jc w:val="both"/>
              <w:rPr>
                <w:rFonts w:ascii="Times New Roman" w:eastAsia="Times New Roman" w:hAnsi="Times New Roman" w:cs="Times New Roman"/>
                <w:color w:val="000000"/>
              </w:rPr>
            </w:pPr>
          </w:p>
        </w:tc>
        <w:tc>
          <w:tcPr>
            <w:tcW w:w="767" w:type="pct"/>
            <w:tcBorders>
              <w:top w:val="single" w:sz="4" w:space="0" w:color="auto"/>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1</w:t>
            </w:r>
          </w:p>
        </w:tc>
        <w:tc>
          <w:tcPr>
            <w:tcW w:w="767" w:type="pct"/>
            <w:tcBorders>
              <w:top w:val="single" w:sz="4" w:space="0" w:color="auto"/>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2</w:t>
            </w:r>
          </w:p>
        </w:tc>
        <w:tc>
          <w:tcPr>
            <w:tcW w:w="766" w:type="pct"/>
            <w:tcBorders>
              <w:top w:val="single" w:sz="4" w:space="0" w:color="auto"/>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3</w:t>
            </w:r>
          </w:p>
        </w:tc>
      </w:tr>
      <w:tr w:rsidR="002D2965" w:rsidRPr="00562EEE" w:rsidTr="002D2965">
        <w:trPr>
          <w:trHeight w:val="264"/>
        </w:trPr>
        <w:tc>
          <w:tcPr>
            <w:cnfStyle w:val="001000000000" w:firstRow="0" w:lastRow="0" w:firstColumn="1" w:lastColumn="0" w:oddVBand="0" w:evenVBand="0" w:oddHBand="0" w:evenHBand="0" w:firstRowFirstColumn="0" w:firstRowLastColumn="0" w:lastRowFirstColumn="0" w:lastRowLastColumn="0"/>
            <w:tcW w:w="2699" w:type="pct"/>
          </w:tcPr>
          <w:p w:rsidR="002D2965" w:rsidRPr="00074705" w:rsidRDefault="002D2965" w:rsidP="002D2965">
            <w:pPr>
              <w:spacing w:line="276" w:lineRule="auto"/>
              <w:rPr>
                <w:rFonts w:ascii="Times New Roman" w:eastAsia="Times New Roman" w:hAnsi="Times New Roman" w:cs="Times New Roman"/>
                <w:color w:val="000000"/>
                <w:sz w:val="24"/>
                <w:szCs w:val="24"/>
              </w:rPr>
            </w:pPr>
            <w:r w:rsidRPr="00074705">
              <w:rPr>
                <w:rFonts w:ascii="Times New Roman" w:eastAsiaTheme="majorEastAsia" w:hAnsi="Times New Roman" w:cs="Times New Roman"/>
                <w:sz w:val="24"/>
                <w:szCs w:val="24"/>
              </w:rPr>
              <w:t>Policy and Collaborative Drivers</w:t>
            </w: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440"/>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Policies and incentives from government</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0.841</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264"/>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Rising stakeholder collaboration</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0.791</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528"/>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Financing mechanisms such as loans or bonds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0.747</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528"/>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Growing focus on water conservation</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0.564</w:t>
            </w:r>
          </w:p>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377"/>
        </w:trPr>
        <w:tc>
          <w:tcPr>
            <w:cnfStyle w:val="001000000000" w:firstRow="0" w:lastRow="0" w:firstColumn="1" w:lastColumn="0" w:oddVBand="0" w:evenVBand="0" w:oddHBand="0" w:evenHBand="0" w:firstRowFirstColumn="0" w:firstRowLastColumn="0" w:lastRowFirstColumn="0" w:lastRowLastColumn="0"/>
            <w:tcW w:w="2699" w:type="pct"/>
          </w:tcPr>
          <w:p w:rsidR="002D2965" w:rsidRPr="00074705" w:rsidRDefault="002D2965" w:rsidP="002D2965">
            <w:pPr>
              <w:spacing w:line="276" w:lineRule="auto"/>
              <w:rPr>
                <w:rFonts w:ascii="Times New Roman" w:eastAsia="Times New Roman" w:hAnsi="Times New Roman" w:cs="Times New Roman"/>
                <w:color w:val="000000"/>
                <w:sz w:val="24"/>
                <w:szCs w:val="24"/>
              </w:rPr>
            </w:pPr>
            <w:r w:rsidRPr="00074705">
              <w:rPr>
                <w:rFonts w:ascii="Times New Roman" w:hAnsi="Times New Roman" w:cs="Times New Roman"/>
                <w:sz w:val="24"/>
                <w:szCs w:val="24"/>
              </w:rPr>
              <w:t>Technological and Analytical Advancements</w:t>
            </w: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431"/>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Evolving policy and regulatory drivers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0.791</w:t>
            </w: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449"/>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 xml:space="preserve">Advancements in Building Information </w:t>
            </w:r>
            <w:proofErr w:type="spellStart"/>
            <w:r w:rsidRPr="00074705">
              <w:rPr>
                <w:rFonts w:ascii="Times New Roman" w:eastAsia="Times New Roman" w:hAnsi="Times New Roman" w:cs="Times New Roman"/>
                <w:b w:val="0"/>
                <w:bCs w:val="0"/>
                <w:color w:val="000000"/>
                <w:sz w:val="24"/>
                <w:szCs w:val="24"/>
              </w:rPr>
              <w:t>Modelling</w:t>
            </w:r>
            <w:proofErr w:type="spellEnd"/>
            <w:r w:rsidRPr="00074705">
              <w:rPr>
                <w:rFonts w:ascii="Times New Roman" w:eastAsia="Times New Roman" w:hAnsi="Times New Roman" w:cs="Times New Roman"/>
                <w:b w:val="0"/>
                <w:bCs w:val="0"/>
                <w:color w:val="000000"/>
                <w:sz w:val="24"/>
                <w:szCs w:val="24"/>
              </w:rPr>
              <w:t xml:space="preserve"> (BIM)</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0.696</w:t>
            </w: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575"/>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Increasing availability of green building certification and rating systems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0.668</w:t>
            </w: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332"/>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Growing emphasis on Life Cycle Cost Analysis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0.631</w:t>
            </w: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528"/>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 xml:space="preserve">Incorporation of passive design features. </w:t>
            </w:r>
            <w:proofErr w:type="spellStart"/>
            <w:r w:rsidRPr="00074705">
              <w:rPr>
                <w:rFonts w:ascii="Times New Roman" w:eastAsia="Times New Roman" w:hAnsi="Times New Roman" w:cs="Times New Roman"/>
                <w:b w:val="0"/>
                <w:bCs w:val="0"/>
                <w:color w:val="000000"/>
                <w:sz w:val="24"/>
                <w:szCs w:val="24"/>
              </w:rPr>
              <w:t>E.g</w:t>
            </w:r>
            <w:proofErr w:type="spellEnd"/>
            <w:r w:rsidRPr="00074705">
              <w:rPr>
                <w:rFonts w:ascii="Times New Roman" w:eastAsia="Times New Roman" w:hAnsi="Times New Roman" w:cs="Times New Roman"/>
                <w:b w:val="0"/>
                <w:bCs w:val="0"/>
                <w:color w:val="000000"/>
                <w:sz w:val="24"/>
                <w:szCs w:val="24"/>
              </w:rPr>
              <w:t>, Natural ventilation</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0.600</w:t>
            </w:r>
          </w:p>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2D2965" w:rsidRPr="00562EEE" w:rsidTr="002D2965">
        <w:trPr>
          <w:trHeight w:val="575"/>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lastRenderedPageBreak/>
              <w:t>Developing cost efficient strategies for the maintenance and operation of the building</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431"/>
        </w:trPr>
        <w:tc>
          <w:tcPr>
            <w:cnfStyle w:val="001000000000" w:firstRow="0" w:lastRow="0" w:firstColumn="1" w:lastColumn="0" w:oddVBand="0" w:evenVBand="0" w:oddHBand="0" w:evenHBand="0" w:firstRowFirstColumn="0" w:firstRowLastColumn="0" w:lastRowFirstColumn="0" w:lastRowLastColumn="0"/>
            <w:tcW w:w="2699" w:type="pct"/>
          </w:tcPr>
          <w:p w:rsidR="002D2965" w:rsidRPr="00074705" w:rsidRDefault="002D2965" w:rsidP="002D2965">
            <w:pPr>
              <w:spacing w:line="276" w:lineRule="auto"/>
              <w:rPr>
                <w:rFonts w:ascii="Times New Roman" w:hAnsi="Times New Roman" w:cs="Times New Roman"/>
                <w:b w:val="0"/>
                <w:bCs w:val="0"/>
                <w:sz w:val="24"/>
                <w:szCs w:val="24"/>
              </w:rPr>
            </w:pPr>
          </w:p>
          <w:p w:rsidR="002D2965" w:rsidRPr="00074705" w:rsidRDefault="002D2965" w:rsidP="002D2965">
            <w:pPr>
              <w:spacing w:line="276" w:lineRule="auto"/>
              <w:rPr>
                <w:rFonts w:ascii="Times New Roman" w:eastAsia="Times New Roman" w:hAnsi="Times New Roman" w:cs="Times New Roman"/>
                <w:color w:val="000000"/>
                <w:sz w:val="24"/>
                <w:szCs w:val="24"/>
              </w:rPr>
            </w:pPr>
            <w:r w:rsidRPr="00074705">
              <w:rPr>
                <w:rFonts w:ascii="Times New Roman" w:hAnsi="Times New Roman" w:cs="Times New Roman"/>
                <w:sz w:val="24"/>
                <w:szCs w:val="24"/>
              </w:rPr>
              <w:t>Market and Professional Development</w:t>
            </w: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noWrap/>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2965" w:rsidRPr="00562EEE" w:rsidTr="002D2965">
        <w:trPr>
          <w:trHeight w:val="341"/>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Increase in client demand and Market awareness</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0.841</w:t>
            </w:r>
          </w:p>
        </w:tc>
      </w:tr>
      <w:tr w:rsidR="002D2965" w:rsidRPr="00562EEE" w:rsidTr="002D2965">
        <w:trPr>
          <w:trHeight w:val="341"/>
        </w:trPr>
        <w:tc>
          <w:tcPr>
            <w:cnfStyle w:val="001000000000" w:firstRow="0" w:lastRow="0" w:firstColumn="1" w:lastColumn="0" w:oddVBand="0" w:evenVBand="0" w:oddHBand="0" w:evenHBand="0" w:firstRowFirstColumn="0" w:firstRowLastColumn="0" w:lastRowFirstColumn="0" w:lastRowLastColumn="0"/>
            <w:tcW w:w="2699" w:type="pct"/>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Continuous professional development</w:t>
            </w: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0.714</w:t>
            </w:r>
          </w:p>
        </w:tc>
      </w:tr>
      <w:tr w:rsidR="002D2965" w:rsidRPr="00562EEE" w:rsidTr="002D2965">
        <w:trPr>
          <w:trHeight w:val="368"/>
        </w:trPr>
        <w:tc>
          <w:tcPr>
            <w:cnfStyle w:val="001000000000" w:firstRow="0" w:lastRow="0" w:firstColumn="1" w:lastColumn="0" w:oddVBand="0" w:evenVBand="0" w:oddHBand="0" w:evenHBand="0" w:firstRowFirstColumn="0" w:firstRowLastColumn="0" w:lastRowFirstColumn="0" w:lastRowLastColumn="0"/>
            <w:tcW w:w="2699" w:type="pct"/>
            <w:tcBorders>
              <w:bottom w:val="nil"/>
            </w:tcBorders>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Alignment of sustainable construction practices</w:t>
            </w:r>
          </w:p>
        </w:tc>
        <w:tc>
          <w:tcPr>
            <w:tcW w:w="767" w:type="pct"/>
            <w:tcBorders>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tcBorders>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tcBorders>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0.706</w:t>
            </w:r>
          </w:p>
        </w:tc>
      </w:tr>
      <w:tr w:rsidR="002D2965" w:rsidRPr="00562EEE" w:rsidTr="002D2965">
        <w:trPr>
          <w:trHeight w:val="521"/>
        </w:trPr>
        <w:tc>
          <w:tcPr>
            <w:cnfStyle w:val="001000000000" w:firstRow="0" w:lastRow="0" w:firstColumn="1" w:lastColumn="0" w:oddVBand="0" w:evenVBand="0" w:oddHBand="0" w:evenHBand="0" w:firstRowFirstColumn="0" w:firstRowLastColumn="0" w:lastRowFirstColumn="0" w:lastRowLastColumn="0"/>
            <w:tcW w:w="2699" w:type="pct"/>
            <w:tcBorders>
              <w:top w:val="nil"/>
              <w:bottom w:val="nil"/>
            </w:tcBorders>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Advancement in construction materials and technologies</w:t>
            </w:r>
          </w:p>
        </w:tc>
        <w:tc>
          <w:tcPr>
            <w:tcW w:w="767" w:type="pct"/>
            <w:tcBorders>
              <w:top w:val="nil"/>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tcBorders>
              <w:top w:val="nil"/>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tcBorders>
              <w:top w:val="nil"/>
              <w:bottom w:val="nil"/>
            </w:tcBorders>
            <w:noWrap/>
            <w:hideMark/>
          </w:tcPr>
          <w:p w:rsidR="002D2965" w:rsidRPr="00074705" w:rsidRDefault="002D2965" w:rsidP="002D29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074705">
              <w:rPr>
                <w:rFonts w:ascii="Times New Roman" w:eastAsia="Times New Roman" w:hAnsi="Times New Roman" w:cs="Times New Roman"/>
                <w:color w:val="000000"/>
                <w:sz w:val="24"/>
                <w:szCs w:val="24"/>
              </w:rPr>
              <w:t>0.634</w:t>
            </w:r>
          </w:p>
        </w:tc>
      </w:tr>
      <w:tr w:rsidR="002D2965" w:rsidRPr="00562EEE" w:rsidTr="002D2965">
        <w:trPr>
          <w:trHeight w:val="296"/>
        </w:trPr>
        <w:tc>
          <w:tcPr>
            <w:cnfStyle w:val="001000000000" w:firstRow="0" w:lastRow="0" w:firstColumn="1" w:lastColumn="0" w:oddVBand="0" w:evenVBand="0" w:oddHBand="0" w:evenHBand="0" w:firstRowFirstColumn="0" w:firstRowLastColumn="0" w:lastRowFirstColumn="0" w:lastRowLastColumn="0"/>
            <w:tcW w:w="2699" w:type="pct"/>
            <w:tcBorders>
              <w:top w:val="nil"/>
              <w:bottom w:val="single" w:sz="4" w:space="0" w:color="auto"/>
            </w:tcBorders>
            <w:hideMark/>
          </w:tcPr>
          <w:p w:rsidR="002D2965" w:rsidRPr="00074705" w:rsidRDefault="002D2965" w:rsidP="002D2965">
            <w:pPr>
              <w:spacing w:line="276" w:lineRule="auto"/>
              <w:rPr>
                <w:rFonts w:ascii="Times New Roman" w:eastAsia="Times New Roman" w:hAnsi="Times New Roman" w:cs="Times New Roman"/>
                <w:b w:val="0"/>
                <w:bCs w:val="0"/>
                <w:color w:val="000000"/>
                <w:sz w:val="24"/>
                <w:szCs w:val="24"/>
              </w:rPr>
            </w:pPr>
            <w:r w:rsidRPr="00074705">
              <w:rPr>
                <w:rFonts w:ascii="Times New Roman" w:eastAsia="Times New Roman" w:hAnsi="Times New Roman" w:cs="Times New Roman"/>
                <w:b w:val="0"/>
                <w:bCs w:val="0"/>
                <w:color w:val="000000"/>
                <w:sz w:val="24"/>
                <w:szCs w:val="24"/>
              </w:rPr>
              <w:t>Financial benefit of sustainable construction</w:t>
            </w:r>
          </w:p>
        </w:tc>
        <w:tc>
          <w:tcPr>
            <w:tcW w:w="767" w:type="pct"/>
            <w:tcBorders>
              <w:top w:val="nil"/>
              <w:bottom w:val="single" w:sz="4" w:space="0" w:color="auto"/>
            </w:tcBorders>
            <w:noWrap/>
            <w:hideMark/>
          </w:tcPr>
          <w:p w:rsidR="002D2965" w:rsidRPr="00074705" w:rsidRDefault="002D2965" w:rsidP="002D29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67" w:type="pct"/>
            <w:tcBorders>
              <w:top w:val="nil"/>
              <w:bottom w:val="single" w:sz="4" w:space="0" w:color="auto"/>
            </w:tcBorders>
            <w:noWrap/>
            <w:hideMark/>
          </w:tcPr>
          <w:p w:rsidR="002D2965" w:rsidRPr="00074705" w:rsidRDefault="002D2965" w:rsidP="002D29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66" w:type="pct"/>
            <w:tcBorders>
              <w:top w:val="nil"/>
              <w:bottom w:val="single" w:sz="4" w:space="0" w:color="auto"/>
            </w:tcBorders>
            <w:noWrap/>
            <w:hideMark/>
          </w:tcPr>
          <w:p w:rsidR="002D2965" w:rsidRPr="00074705" w:rsidRDefault="002D2965" w:rsidP="002D29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rsidR="002D2965" w:rsidRPr="00660067" w:rsidRDefault="002D2965" w:rsidP="002D2965">
      <w:pPr>
        <w:tabs>
          <w:tab w:val="left" w:pos="1210"/>
        </w:tabs>
        <w:spacing w:line="480" w:lineRule="auto"/>
        <w:ind w:left="-709" w:right="-613"/>
        <w:jc w:val="both"/>
        <w:rPr>
          <w:rFonts w:ascii="Times New Roman" w:hAnsi="Times New Roman" w:cs="Times New Roman"/>
          <w:sz w:val="24"/>
          <w:szCs w:val="24"/>
        </w:rPr>
      </w:pPr>
      <w:r w:rsidRPr="00E90B72">
        <w:rPr>
          <w:rFonts w:ascii="Times New Roman" w:eastAsia="Times New Roman" w:hAnsi="Times New Roman" w:cs="Times New Roman"/>
          <w:i/>
          <w:iCs/>
          <w:color w:val="000000"/>
          <w:sz w:val="24"/>
          <w:szCs w:val="24"/>
        </w:rPr>
        <w:t xml:space="preserve">Extraction Method: Principal Component Analysis. Rotation Method: </w:t>
      </w:r>
      <w:proofErr w:type="spellStart"/>
      <w:r w:rsidRPr="00E90B72">
        <w:rPr>
          <w:rFonts w:ascii="Times New Roman" w:eastAsia="Times New Roman" w:hAnsi="Times New Roman" w:cs="Times New Roman"/>
          <w:i/>
          <w:iCs/>
          <w:color w:val="000000"/>
          <w:sz w:val="24"/>
          <w:szCs w:val="24"/>
        </w:rPr>
        <w:t>Varimax</w:t>
      </w:r>
      <w:proofErr w:type="spellEnd"/>
      <w:r w:rsidRPr="00E90B72">
        <w:rPr>
          <w:rFonts w:ascii="Times New Roman" w:eastAsia="Times New Roman" w:hAnsi="Times New Roman" w:cs="Times New Roman"/>
          <w:i/>
          <w:iCs/>
          <w:color w:val="000000"/>
          <w:sz w:val="24"/>
          <w:szCs w:val="24"/>
        </w:rPr>
        <w:t xml:space="preserve"> with Kaiser Normalization</w:t>
      </w:r>
      <w:r>
        <w:rPr>
          <w:rFonts w:ascii="Times New Roman" w:eastAsia="Times New Roman" w:hAnsi="Times New Roman" w:cs="Times New Roman"/>
          <w:i/>
          <w:iCs/>
          <w:color w:val="000000"/>
          <w:sz w:val="24"/>
          <w:szCs w:val="24"/>
        </w:rPr>
        <w:t>.</w:t>
      </w:r>
      <w:r w:rsidRPr="00E90B72">
        <w:rPr>
          <w:rFonts w:ascii="Times New Roman" w:eastAsia="Times New Roman" w:hAnsi="Times New Roman" w:cs="Times New Roman"/>
          <w:i/>
          <w:iCs/>
          <w:color w:val="000000"/>
          <w:sz w:val="24"/>
          <w:szCs w:val="24"/>
        </w:rPr>
        <w:t xml:space="preserve"> </w:t>
      </w:r>
      <w:proofErr w:type="gramStart"/>
      <w:r w:rsidRPr="00E90B72">
        <w:rPr>
          <w:rFonts w:ascii="Times New Roman" w:eastAsia="Times New Roman" w:hAnsi="Times New Roman" w:cs="Times New Roman"/>
          <w:i/>
          <w:iCs/>
          <w:color w:val="000000"/>
          <w:sz w:val="24"/>
          <w:szCs w:val="24"/>
        </w:rPr>
        <w:t>a</w:t>
      </w:r>
      <w:proofErr w:type="gramEnd"/>
      <w:r w:rsidRPr="00E90B72">
        <w:rPr>
          <w:rFonts w:ascii="Times New Roman" w:eastAsia="Times New Roman" w:hAnsi="Times New Roman" w:cs="Times New Roman"/>
          <w:i/>
          <w:iCs/>
          <w:color w:val="000000"/>
          <w:sz w:val="24"/>
          <w:szCs w:val="24"/>
        </w:rPr>
        <w:t xml:space="preserve"> Rotation converged in 11 iterations.</w:t>
      </w:r>
    </w:p>
    <w:p w:rsidR="00591819" w:rsidRDefault="00A82B2D" w:rsidP="006C44AF">
      <w:pPr>
        <w:spacing w:line="240" w:lineRule="auto"/>
        <w:ind w:left="-709" w:right="-613"/>
        <w:rPr>
          <w:rFonts w:ascii="Times New Roman" w:hAnsi="Times New Roman" w:cs="Times New Roman"/>
          <w:b/>
          <w:bCs/>
          <w:sz w:val="24"/>
          <w:szCs w:val="24"/>
        </w:rPr>
      </w:pPr>
      <w:r>
        <w:rPr>
          <w:rFonts w:ascii="Times New Roman" w:hAnsi="Times New Roman" w:cs="Times New Roman"/>
          <w:b/>
          <w:bCs/>
          <w:sz w:val="24"/>
          <w:szCs w:val="24"/>
        </w:rPr>
        <w:t xml:space="preserve">           </w:t>
      </w:r>
      <w:r w:rsidR="00591819" w:rsidRPr="00B773E9">
        <w:rPr>
          <w:rFonts w:ascii="Times New Roman" w:hAnsi="Times New Roman" w:cs="Times New Roman"/>
          <w:b/>
          <w:bCs/>
          <w:sz w:val="24"/>
          <w:szCs w:val="24"/>
        </w:rPr>
        <w:t>CONCLUSIONS</w:t>
      </w:r>
      <w:bookmarkEnd w:id="26"/>
      <w:bookmarkEnd w:id="27"/>
      <w:bookmarkEnd w:id="28"/>
      <w:bookmarkEnd w:id="29"/>
    </w:p>
    <w:p w:rsidR="00591819" w:rsidRDefault="00591819" w:rsidP="006C44AF">
      <w:pPr>
        <w:tabs>
          <w:tab w:val="left" w:pos="1210"/>
        </w:tabs>
        <w:spacing w:line="240" w:lineRule="auto"/>
        <w:jc w:val="both"/>
        <w:rPr>
          <w:rFonts w:ascii="Times New Roman" w:hAnsi="Times New Roman" w:cs="Times New Roman"/>
          <w:sz w:val="24"/>
          <w:szCs w:val="24"/>
        </w:rPr>
      </w:pPr>
      <w:r w:rsidRPr="00591819">
        <w:rPr>
          <w:rFonts w:ascii="Times New Roman" w:hAnsi="Times New Roman" w:cs="Times New Roman"/>
          <w:sz w:val="24"/>
          <w:szCs w:val="24"/>
        </w:rPr>
        <w:t>To determine the factors promoting the involvement of quantity surveyors in the delivery o</w:t>
      </w:r>
      <w:r w:rsidR="00D40E1B">
        <w:rPr>
          <w:rFonts w:ascii="Times New Roman" w:hAnsi="Times New Roman" w:cs="Times New Roman"/>
          <w:sz w:val="24"/>
          <w:szCs w:val="24"/>
        </w:rPr>
        <w:t>f sustainable housing projects.</w:t>
      </w:r>
      <w:r w:rsidR="0064764E">
        <w:rPr>
          <w:rFonts w:ascii="Times New Roman" w:hAnsi="Times New Roman" w:cs="Times New Roman"/>
          <w:sz w:val="24"/>
          <w:szCs w:val="24"/>
        </w:rPr>
        <w:t xml:space="preserve"> </w:t>
      </w:r>
      <w:r w:rsidRPr="00591819">
        <w:rPr>
          <w:rFonts w:ascii="Times New Roman" w:hAnsi="Times New Roman" w:cs="Times New Roman"/>
          <w:sz w:val="24"/>
          <w:szCs w:val="24"/>
        </w:rPr>
        <w:t>The study reveals that quantity surveyors' involvement in sustainable housing projects in Lagos is driven by a complex interplay of factors. Continuous professional development, technological advancements, and market demands emerge here as key drivers. Quantity surveyors are willing participants in this new era of technological advancement and couple with other factors, this finding cements the importance of ongoing learning and skill enhancement in adapting to the evolving demands of sustainable construction. It aligns with previous research emphasizing the need for professionals in the construction industry to continually update their knowledge and skills to effectively engage with sustainability principles. Unfortunately, the believe on the lack of incentives from the government to support sustainability in construction projects as seen in the overall mean score, possibly explains why professionals tends to focus more on tradition roles.</w:t>
      </w:r>
    </w:p>
    <w:p w:rsidR="00F83031" w:rsidRPr="007F1124" w:rsidRDefault="00EE3937" w:rsidP="006C44AF">
      <w:pPr>
        <w:tabs>
          <w:tab w:val="left" w:pos="1210"/>
        </w:tabs>
        <w:spacing w:line="240" w:lineRule="auto"/>
        <w:jc w:val="both"/>
        <w:rPr>
          <w:rFonts w:ascii="Times New Roman" w:hAnsi="Times New Roman" w:cs="Times New Roman"/>
          <w:sz w:val="24"/>
          <w:szCs w:val="24"/>
        </w:rPr>
      </w:pPr>
      <w:r>
        <w:rPr>
          <w:rFonts w:ascii="Times New Roman" w:hAnsi="Times New Roman" w:cs="Times New Roman"/>
          <w:sz w:val="24"/>
          <w:szCs w:val="24"/>
        </w:rPr>
        <w:t>The research reveals an</w:t>
      </w:r>
      <w:r w:rsidR="007F1124" w:rsidRPr="007F1124">
        <w:rPr>
          <w:rFonts w:ascii="Times New Roman" w:hAnsi="Times New Roman" w:cs="Times New Roman"/>
          <w:sz w:val="24"/>
          <w:szCs w:val="24"/>
        </w:rPr>
        <w:t xml:space="preserve"> interplay of factors promoting quantity surveyors' involvement in sustainable housing projects. Continuous professional development emerges as the most significant factor, underscoring the importance of ongoing learning in this rapidly evolving field. This is closely followed by advancements in construction materials and technologies and increasing client demand and market awareness.</w:t>
      </w:r>
    </w:p>
    <w:p w:rsidR="00A93B91" w:rsidRDefault="00A93B91" w:rsidP="006C44AF">
      <w:pPr>
        <w:pStyle w:val="Heading1"/>
        <w:spacing w:line="240" w:lineRule="auto"/>
        <w:rPr>
          <w:rFonts w:ascii="Times New Roman" w:hAnsi="Times New Roman" w:cs="Times New Roman"/>
          <w:b/>
          <w:bCs/>
          <w:color w:val="auto"/>
          <w:sz w:val="24"/>
          <w:szCs w:val="24"/>
        </w:rPr>
      </w:pPr>
      <w:bookmarkStart w:id="30" w:name="_Toc176647326"/>
      <w:r w:rsidRPr="00E90B72">
        <w:rPr>
          <w:rFonts w:ascii="Times New Roman" w:hAnsi="Times New Roman" w:cs="Times New Roman"/>
          <w:b/>
          <w:bCs/>
          <w:color w:val="auto"/>
          <w:sz w:val="24"/>
          <w:szCs w:val="24"/>
        </w:rPr>
        <w:t>REFERENCES</w:t>
      </w:r>
      <w:bookmarkEnd w:id="30"/>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Adesoji</w:t>
      </w:r>
      <w:proofErr w:type="spellEnd"/>
      <w:r w:rsidRPr="001E2C2A">
        <w:rPr>
          <w:rFonts w:ascii="Times New Roman" w:hAnsi="Times New Roman" w:cs="Times New Roman"/>
          <w:sz w:val="24"/>
          <w:szCs w:val="24"/>
        </w:rPr>
        <w:t>, D.J. (2011) Achieving Sustainable Housing Development in Nigeria: A Critical Challenge to Governance, International Journal of Humaniti</w:t>
      </w:r>
      <w:r w:rsidR="001B5F66" w:rsidRPr="001E2C2A">
        <w:rPr>
          <w:rFonts w:ascii="Times New Roman" w:hAnsi="Times New Roman" w:cs="Times New Roman"/>
          <w:sz w:val="24"/>
          <w:szCs w:val="24"/>
        </w:rPr>
        <w:t>es and Social Science 1(9), 121-123</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Ahmed A. A, </w:t>
      </w:r>
      <w:proofErr w:type="spellStart"/>
      <w:r w:rsidRPr="001E2C2A">
        <w:rPr>
          <w:rFonts w:ascii="Times New Roman" w:hAnsi="Times New Roman" w:cs="Times New Roman"/>
          <w:sz w:val="24"/>
          <w:szCs w:val="24"/>
        </w:rPr>
        <w:t>Yacim</w:t>
      </w:r>
      <w:proofErr w:type="spellEnd"/>
      <w:r w:rsidRPr="001E2C2A">
        <w:rPr>
          <w:rFonts w:ascii="Times New Roman" w:hAnsi="Times New Roman" w:cs="Times New Roman"/>
          <w:sz w:val="24"/>
          <w:szCs w:val="24"/>
        </w:rPr>
        <w:t xml:space="preserve"> J. A, Umar D. Y &amp; Musa U. D. (2022). The challenges of sustainable buildings in Nigeria. International Journal of Sustainable Building Technology and Urban Develo</w:t>
      </w:r>
      <w:r w:rsidR="0064764E" w:rsidRPr="001E2C2A">
        <w:rPr>
          <w:rFonts w:ascii="Times New Roman" w:hAnsi="Times New Roman" w:cs="Times New Roman"/>
          <w:sz w:val="24"/>
          <w:szCs w:val="24"/>
        </w:rPr>
        <w:t>pment, 13(4), 488-489</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proofErr w:type="gramStart"/>
      <w:r w:rsidRPr="001E2C2A">
        <w:rPr>
          <w:rFonts w:ascii="Times New Roman" w:hAnsi="Times New Roman" w:cs="Times New Roman"/>
          <w:sz w:val="24"/>
          <w:szCs w:val="24"/>
        </w:rPr>
        <w:t>Alwan</w:t>
      </w:r>
      <w:proofErr w:type="spellEnd"/>
      <w:r w:rsidRPr="001E2C2A">
        <w:rPr>
          <w:rFonts w:ascii="Times New Roman" w:hAnsi="Times New Roman" w:cs="Times New Roman"/>
          <w:sz w:val="24"/>
          <w:szCs w:val="24"/>
        </w:rPr>
        <w:t>, Z., Jones, P., &amp; Holgate, P. (2017).</w:t>
      </w:r>
      <w:proofErr w:type="gramEnd"/>
      <w:r w:rsidRPr="001E2C2A">
        <w:rPr>
          <w:rFonts w:ascii="Times New Roman" w:hAnsi="Times New Roman" w:cs="Times New Roman"/>
          <w:sz w:val="24"/>
          <w:szCs w:val="24"/>
        </w:rPr>
        <w:t xml:space="preserve"> Strategic sustainable development in the UK construction industry, through the framework for strategic sustainable development, </w:t>
      </w:r>
      <w:r w:rsidRPr="001E2C2A">
        <w:rPr>
          <w:rFonts w:ascii="Times New Roman" w:hAnsi="Times New Roman" w:cs="Times New Roman"/>
          <w:sz w:val="24"/>
          <w:szCs w:val="24"/>
        </w:rPr>
        <w:lastRenderedPageBreak/>
        <w:t>using Building Information Modelling. Journal of Cleaner Production, 140</w:t>
      </w:r>
      <w:r w:rsidR="001B5F66" w:rsidRPr="001E2C2A">
        <w:rPr>
          <w:rFonts w:ascii="Times New Roman" w:hAnsi="Times New Roman" w:cs="Times New Roman"/>
          <w:sz w:val="24"/>
          <w:szCs w:val="24"/>
        </w:rPr>
        <w:t xml:space="preserve"> (2)</w:t>
      </w:r>
      <w:r w:rsidRPr="001E2C2A">
        <w:rPr>
          <w:rFonts w:ascii="Times New Roman" w:hAnsi="Times New Roman" w:cs="Times New Roman"/>
          <w:sz w:val="24"/>
          <w:szCs w:val="24"/>
        </w:rPr>
        <w:t>, 349-358.</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Arif</w:t>
      </w:r>
      <w:proofErr w:type="spellEnd"/>
      <w:r w:rsidRPr="001E2C2A">
        <w:rPr>
          <w:rFonts w:ascii="Times New Roman" w:hAnsi="Times New Roman" w:cs="Times New Roman"/>
          <w:sz w:val="24"/>
          <w:szCs w:val="24"/>
        </w:rPr>
        <w:t xml:space="preserve">, M., </w:t>
      </w:r>
      <w:proofErr w:type="spellStart"/>
      <w:r w:rsidRPr="001E2C2A">
        <w:rPr>
          <w:rFonts w:ascii="Times New Roman" w:hAnsi="Times New Roman" w:cs="Times New Roman"/>
          <w:sz w:val="24"/>
          <w:szCs w:val="24"/>
        </w:rPr>
        <w:t>Egbu</w:t>
      </w:r>
      <w:proofErr w:type="spellEnd"/>
      <w:r w:rsidRPr="001E2C2A">
        <w:rPr>
          <w:rFonts w:ascii="Times New Roman" w:hAnsi="Times New Roman" w:cs="Times New Roman"/>
          <w:sz w:val="24"/>
          <w:szCs w:val="24"/>
        </w:rPr>
        <w:t xml:space="preserve">, C., Haleem, A., </w:t>
      </w:r>
      <w:proofErr w:type="spellStart"/>
      <w:r w:rsidRPr="001E2C2A">
        <w:rPr>
          <w:rFonts w:ascii="Times New Roman" w:hAnsi="Times New Roman" w:cs="Times New Roman"/>
          <w:sz w:val="24"/>
          <w:szCs w:val="24"/>
        </w:rPr>
        <w:t>Kulonda</w:t>
      </w:r>
      <w:proofErr w:type="spellEnd"/>
      <w:r w:rsidRPr="001E2C2A">
        <w:rPr>
          <w:rFonts w:ascii="Times New Roman" w:hAnsi="Times New Roman" w:cs="Times New Roman"/>
          <w:sz w:val="24"/>
          <w:szCs w:val="24"/>
        </w:rPr>
        <w:t>, D. and Khalfan, M. (2009). State of green construction in India: drivers and challenges. Journal of Engineering, Design and Technology, 7(2), 223-234.</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Babangida, I., </w:t>
      </w:r>
      <w:proofErr w:type="spellStart"/>
      <w:r w:rsidRPr="001E2C2A">
        <w:rPr>
          <w:rFonts w:ascii="Times New Roman" w:hAnsi="Times New Roman" w:cs="Times New Roman"/>
          <w:sz w:val="24"/>
          <w:szCs w:val="24"/>
        </w:rPr>
        <w:t>Bala</w:t>
      </w:r>
      <w:proofErr w:type="spellEnd"/>
      <w:r w:rsidRPr="001E2C2A">
        <w:rPr>
          <w:rFonts w:ascii="Times New Roman" w:hAnsi="Times New Roman" w:cs="Times New Roman"/>
          <w:sz w:val="24"/>
          <w:szCs w:val="24"/>
        </w:rPr>
        <w:t xml:space="preserve">, K., &amp; </w:t>
      </w:r>
      <w:proofErr w:type="spellStart"/>
      <w:r w:rsidRPr="001E2C2A">
        <w:rPr>
          <w:rFonts w:ascii="Times New Roman" w:hAnsi="Times New Roman" w:cs="Times New Roman"/>
          <w:sz w:val="24"/>
          <w:szCs w:val="24"/>
        </w:rPr>
        <w:t>Bustani</w:t>
      </w:r>
      <w:proofErr w:type="spellEnd"/>
      <w:r w:rsidRPr="001E2C2A">
        <w:rPr>
          <w:rFonts w:ascii="Times New Roman" w:hAnsi="Times New Roman" w:cs="Times New Roman"/>
          <w:sz w:val="24"/>
          <w:szCs w:val="24"/>
        </w:rPr>
        <w:t>, S. A. (2012). A review of household's willingness-to-pay for green building features in residential properties. Journal of Su</w:t>
      </w:r>
      <w:r w:rsidR="00E136F4" w:rsidRPr="001E2C2A">
        <w:rPr>
          <w:rFonts w:ascii="Times New Roman" w:hAnsi="Times New Roman" w:cs="Times New Roman"/>
          <w:sz w:val="24"/>
          <w:szCs w:val="24"/>
        </w:rPr>
        <w:t>stainable Development, 5(8), 85-87.</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Ball, J. (2002). Can ISO 14000 and eco-labelling turn the construction industry green? Building and environment, 37(4), 421-428.</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Banani, R., </w:t>
      </w:r>
      <w:proofErr w:type="spellStart"/>
      <w:r w:rsidRPr="001E2C2A">
        <w:rPr>
          <w:rFonts w:ascii="Times New Roman" w:hAnsi="Times New Roman" w:cs="Times New Roman"/>
          <w:sz w:val="24"/>
          <w:szCs w:val="24"/>
        </w:rPr>
        <w:t>Vahdati</w:t>
      </w:r>
      <w:proofErr w:type="spellEnd"/>
      <w:r w:rsidRPr="001E2C2A">
        <w:rPr>
          <w:rFonts w:ascii="Times New Roman" w:hAnsi="Times New Roman" w:cs="Times New Roman"/>
          <w:sz w:val="24"/>
          <w:szCs w:val="24"/>
        </w:rPr>
        <w:t xml:space="preserve">, M. M., </w:t>
      </w:r>
      <w:proofErr w:type="spellStart"/>
      <w:r w:rsidRPr="001E2C2A">
        <w:rPr>
          <w:rFonts w:ascii="Times New Roman" w:hAnsi="Times New Roman" w:cs="Times New Roman"/>
          <w:sz w:val="24"/>
          <w:szCs w:val="24"/>
        </w:rPr>
        <w:t>Shahrestani</w:t>
      </w:r>
      <w:proofErr w:type="spellEnd"/>
      <w:r w:rsidRPr="001E2C2A">
        <w:rPr>
          <w:rFonts w:ascii="Times New Roman" w:hAnsi="Times New Roman" w:cs="Times New Roman"/>
          <w:sz w:val="24"/>
          <w:szCs w:val="24"/>
        </w:rPr>
        <w:t>, M., &amp; Clements-</w:t>
      </w:r>
      <w:proofErr w:type="spellStart"/>
      <w:r w:rsidRPr="001E2C2A">
        <w:rPr>
          <w:rFonts w:ascii="Times New Roman" w:hAnsi="Times New Roman" w:cs="Times New Roman"/>
          <w:sz w:val="24"/>
          <w:szCs w:val="24"/>
        </w:rPr>
        <w:t>Croome</w:t>
      </w:r>
      <w:proofErr w:type="spellEnd"/>
      <w:r w:rsidRPr="001E2C2A">
        <w:rPr>
          <w:rFonts w:ascii="Times New Roman" w:hAnsi="Times New Roman" w:cs="Times New Roman"/>
          <w:sz w:val="24"/>
          <w:szCs w:val="24"/>
        </w:rPr>
        <w:t>, D. (2016). The development of building assessment criteria framework for sustainable non-residential buildings in Saudi Arabia. Sustainable Cities and Society, 26, 289-305.</w:t>
      </w:r>
    </w:p>
    <w:p w:rsidR="008E2558" w:rsidRPr="001E2C2A" w:rsidRDefault="008E2558" w:rsidP="008E2558">
      <w:pPr>
        <w:spacing w:line="240" w:lineRule="auto"/>
        <w:ind w:left="720" w:hanging="720"/>
        <w:jc w:val="both"/>
        <w:rPr>
          <w:rFonts w:ascii="Times New Roman" w:hAnsi="Times New Roman" w:cs="Times New Roman"/>
          <w:b/>
          <w:bCs/>
          <w:sz w:val="24"/>
          <w:szCs w:val="24"/>
        </w:rPr>
      </w:pPr>
      <w:proofErr w:type="spellStart"/>
      <w:r w:rsidRPr="001E2C2A">
        <w:rPr>
          <w:rFonts w:ascii="Times New Roman" w:hAnsi="Times New Roman" w:cs="Times New Roman"/>
          <w:sz w:val="24"/>
          <w:szCs w:val="24"/>
        </w:rPr>
        <w:t>Berardi</w:t>
      </w:r>
      <w:proofErr w:type="spellEnd"/>
      <w:r w:rsidRPr="001E2C2A">
        <w:rPr>
          <w:rFonts w:ascii="Times New Roman" w:hAnsi="Times New Roman" w:cs="Times New Roman"/>
          <w:sz w:val="24"/>
          <w:szCs w:val="24"/>
        </w:rPr>
        <w:t>, U. (2011). Beyond sustainability assessment systems: Upgrading topics by enlarging the scale of assessment. International Journal of Sustainable Building Technology and Urban Development, 2(4), .276-282</w:t>
      </w:r>
    </w:p>
    <w:p w:rsidR="00B40E06" w:rsidRPr="001E2C2A" w:rsidRDefault="00B40E06" w:rsidP="006C44AF">
      <w:pPr>
        <w:spacing w:line="240" w:lineRule="auto"/>
        <w:ind w:left="720" w:hanging="720"/>
        <w:jc w:val="both"/>
        <w:rPr>
          <w:rFonts w:ascii="Times New Roman" w:hAnsi="Times New Roman" w:cs="Times New Roman"/>
          <w:sz w:val="24"/>
          <w:szCs w:val="24"/>
        </w:rPr>
      </w:pPr>
      <w:proofErr w:type="gramStart"/>
      <w:r w:rsidRPr="001E2C2A">
        <w:rPr>
          <w:rFonts w:ascii="Times New Roman" w:hAnsi="Times New Roman" w:cs="Times New Roman"/>
          <w:sz w:val="24"/>
          <w:szCs w:val="24"/>
        </w:rPr>
        <w:t>Chau, C. K., Leung, T. M., &amp; Ng, W. Y. (2015).</w:t>
      </w:r>
      <w:proofErr w:type="gramEnd"/>
      <w:r w:rsidRPr="001E2C2A">
        <w:rPr>
          <w:rFonts w:ascii="Times New Roman" w:hAnsi="Times New Roman" w:cs="Times New Roman"/>
          <w:sz w:val="24"/>
          <w:szCs w:val="24"/>
        </w:rPr>
        <w:t xml:space="preserve"> A review on life cycle assessment, life cycle energy assessment and life cycle carbon emissions assessment on buildings</w:t>
      </w:r>
      <w:r w:rsidR="00885562" w:rsidRPr="001E2C2A">
        <w:rPr>
          <w:rFonts w:ascii="Times New Roman" w:hAnsi="Times New Roman" w:cs="Times New Roman"/>
          <w:sz w:val="24"/>
          <w:szCs w:val="24"/>
        </w:rPr>
        <w:t>. Applied energy, 143, 395-413</w:t>
      </w:r>
    </w:p>
    <w:p w:rsidR="008E2558" w:rsidRPr="001E2C2A" w:rsidRDefault="008E2558" w:rsidP="008E2558">
      <w:pPr>
        <w:spacing w:line="240" w:lineRule="auto"/>
        <w:ind w:left="720" w:hanging="720"/>
        <w:jc w:val="both"/>
        <w:rPr>
          <w:rFonts w:ascii="Times New Roman" w:hAnsi="Times New Roman" w:cs="Times New Roman"/>
          <w:sz w:val="24"/>
          <w:szCs w:val="24"/>
        </w:rPr>
      </w:pPr>
      <w:proofErr w:type="gramStart"/>
      <w:r w:rsidRPr="001E2C2A">
        <w:rPr>
          <w:rFonts w:ascii="Times New Roman" w:hAnsi="Times New Roman" w:cs="Times New Roman"/>
          <w:sz w:val="24"/>
          <w:szCs w:val="24"/>
        </w:rPr>
        <w:t>Chong, B.L., Lee, W.P. and Lim, C.C. (2012).</w:t>
      </w:r>
      <w:proofErr w:type="gramEnd"/>
      <w:r w:rsidRPr="001E2C2A">
        <w:rPr>
          <w:rFonts w:ascii="Times New Roman" w:hAnsi="Times New Roman" w:cs="Times New Roman"/>
          <w:sz w:val="24"/>
          <w:szCs w:val="24"/>
        </w:rPr>
        <w:t xml:space="preserve"> </w:t>
      </w:r>
      <w:proofErr w:type="gramStart"/>
      <w:r w:rsidRPr="001E2C2A">
        <w:rPr>
          <w:rFonts w:ascii="Times New Roman" w:hAnsi="Times New Roman" w:cs="Times New Roman"/>
          <w:sz w:val="24"/>
          <w:szCs w:val="24"/>
        </w:rPr>
        <w:t>The Roles of Graduate Quantity Surveyors in the Malaysian Construction Industry.</w:t>
      </w:r>
      <w:proofErr w:type="gramEnd"/>
      <w:r w:rsidRPr="001E2C2A">
        <w:rPr>
          <w:rFonts w:ascii="Times New Roman" w:hAnsi="Times New Roman" w:cs="Times New Roman"/>
          <w:sz w:val="24"/>
          <w:szCs w:val="24"/>
        </w:rPr>
        <w:t xml:space="preserve"> </w:t>
      </w:r>
      <w:proofErr w:type="gramStart"/>
      <w:r w:rsidRPr="001E2C2A">
        <w:rPr>
          <w:rFonts w:ascii="Times New Roman" w:hAnsi="Times New Roman" w:cs="Times New Roman"/>
          <w:sz w:val="24"/>
          <w:szCs w:val="24"/>
        </w:rPr>
        <w:t>International Conference on Management and Education Innovation.</w:t>
      </w:r>
      <w:proofErr w:type="gramEnd"/>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proofErr w:type="gramStart"/>
      <w:r w:rsidRPr="001E2C2A">
        <w:rPr>
          <w:rFonts w:ascii="Times New Roman" w:hAnsi="Times New Roman" w:cs="Times New Roman"/>
          <w:sz w:val="24"/>
          <w:szCs w:val="24"/>
        </w:rPr>
        <w:t>Emuze</w:t>
      </w:r>
      <w:proofErr w:type="spellEnd"/>
      <w:r w:rsidRPr="001E2C2A">
        <w:rPr>
          <w:rFonts w:ascii="Times New Roman" w:hAnsi="Times New Roman" w:cs="Times New Roman"/>
          <w:sz w:val="24"/>
          <w:szCs w:val="24"/>
        </w:rPr>
        <w:t>, F., &amp; Smallwood, J. (2014).</w:t>
      </w:r>
      <w:proofErr w:type="gramEnd"/>
      <w:r w:rsidRPr="001E2C2A">
        <w:rPr>
          <w:rFonts w:ascii="Times New Roman" w:hAnsi="Times New Roman" w:cs="Times New Roman"/>
          <w:sz w:val="24"/>
          <w:szCs w:val="24"/>
        </w:rPr>
        <w:t xml:space="preserve"> Collaborative working in South African construction: Contractors' perspectives. Journal of Engineering, Design and Technology, 12(3), 294-306.</w:t>
      </w:r>
    </w:p>
    <w:p w:rsidR="008E2558" w:rsidRPr="001E2C2A" w:rsidRDefault="008E2558" w:rsidP="008E2558">
      <w:pPr>
        <w:spacing w:line="240" w:lineRule="auto"/>
        <w:ind w:left="720" w:hanging="720"/>
        <w:jc w:val="both"/>
        <w:rPr>
          <w:rFonts w:ascii="Times New Roman" w:hAnsi="Times New Roman" w:cs="Times New Roman"/>
          <w:sz w:val="24"/>
          <w:szCs w:val="24"/>
        </w:rPr>
      </w:pPr>
      <w:proofErr w:type="gramStart"/>
      <w:r w:rsidRPr="001E2C2A">
        <w:rPr>
          <w:rFonts w:ascii="Times New Roman" w:hAnsi="Times New Roman" w:cs="Times New Roman"/>
          <w:sz w:val="24"/>
          <w:szCs w:val="24"/>
        </w:rPr>
        <w:t>European Commission.</w:t>
      </w:r>
      <w:proofErr w:type="gramEnd"/>
      <w:r w:rsidRPr="001E2C2A">
        <w:rPr>
          <w:rFonts w:ascii="Times New Roman" w:hAnsi="Times New Roman" w:cs="Times New Roman"/>
          <w:sz w:val="24"/>
          <w:szCs w:val="24"/>
        </w:rPr>
        <w:t xml:space="preserve"> (2021). </w:t>
      </w:r>
      <w:proofErr w:type="gramStart"/>
      <w:r w:rsidRPr="001E2C2A">
        <w:rPr>
          <w:rFonts w:ascii="Times New Roman" w:hAnsi="Times New Roman" w:cs="Times New Roman"/>
          <w:sz w:val="24"/>
          <w:szCs w:val="24"/>
        </w:rPr>
        <w:t>The</w:t>
      </w:r>
      <w:proofErr w:type="gramEnd"/>
      <w:r w:rsidRPr="001E2C2A">
        <w:rPr>
          <w:rFonts w:ascii="Times New Roman" w:hAnsi="Times New Roman" w:cs="Times New Roman"/>
          <w:sz w:val="24"/>
          <w:szCs w:val="24"/>
        </w:rPr>
        <w:t xml:space="preserve"> European Green Deal.</w:t>
      </w:r>
    </w:p>
    <w:p w:rsidR="00885562" w:rsidRPr="001E2C2A" w:rsidRDefault="00AF5BDC"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Goh,</w:t>
      </w:r>
      <w:r w:rsidR="00885562" w:rsidRPr="001E2C2A">
        <w:rPr>
          <w:rFonts w:ascii="Times New Roman" w:hAnsi="Times New Roman" w:cs="Times New Roman"/>
          <w:sz w:val="24"/>
          <w:szCs w:val="24"/>
        </w:rPr>
        <w:t xml:space="preserve"> B. H., &amp; Sun, Y. (2016). The development of life-cycle costing for buildings. </w:t>
      </w:r>
      <w:proofErr w:type="gramStart"/>
      <w:r w:rsidR="00885562" w:rsidRPr="001E2C2A">
        <w:rPr>
          <w:rFonts w:ascii="Times New Roman" w:hAnsi="Times New Roman" w:cs="Times New Roman"/>
          <w:sz w:val="24"/>
          <w:szCs w:val="24"/>
        </w:rPr>
        <w:t>Building Research &amp; Information, 44(3), 319-333.</w:t>
      </w:r>
      <w:proofErr w:type="gramEnd"/>
    </w:p>
    <w:p w:rsidR="008E2558" w:rsidRPr="001E2C2A" w:rsidRDefault="008E2558" w:rsidP="008E2558">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IPCC (2007) Climate Change 2007: Mitigation of Climate Change. </w:t>
      </w:r>
      <w:proofErr w:type="gramStart"/>
      <w:r w:rsidRPr="001E2C2A">
        <w:rPr>
          <w:rFonts w:ascii="Times New Roman" w:hAnsi="Times New Roman" w:cs="Times New Roman"/>
          <w:sz w:val="24"/>
          <w:szCs w:val="24"/>
        </w:rPr>
        <w:t xml:space="preserve">Contribution of Working Group III to the Fourth Assessment Report of the Intergovernmental Panel on Climate Change, (Cambridge </w:t>
      </w:r>
      <w:proofErr w:type="spellStart"/>
      <w:r w:rsidRPr="001E2C2A">
        <w:rPr>
          <w:rFonts w:ascii="Times New Roman" w:hAnsi="Times New Roman" w:cs="Times New Roman"/>
          <w:sz w:val="24"/>
          <w:szCs w:val="24"/>
        </w:rPr>
        <w:t>Univ</w:t>
      </w:r>
      <w:proofErr w:type="spellEnd"/>
      <w:r w:rsidRPr="001E2C2A">
        <w:rPr>
          <w:rFonts w:ascii="Times New Roman" w:hAnsi="Times New Roman" w:cs="Times New Roman"/>
          <w:sz w:val="24"/>
          <w:szCs w:val="24"/>
        </w:rPr>
        <w:t xml:space="preserve"> Press, Cambridge, UK).</w:t>
      </w:r>
      <w:proofErr w:type="gramEnd"/>
    </w:p>
    <w:p w:rsidR="00830428" w:rsidRPr="001E2C2A" w:rsidRDefault="00830428" w:rsidP="00830428">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Johnson, R. A. &amp; </w:t>
      </w:r>
      <w:proofErr w:type="spellStart"/>
      <w:r w:rsidRPr="001E2C2A">
        <w:rPr>
          <w:rFonts w:ascii="Times New Roman" w:hAnsi="Times New Roman" w:cs="Times New Roman"/>
          <w:sz w:val="24"/>
          <w:szCs w:val="24"/>
        </w:rPr>
        <w:t>Wichern</w:t>
      </w:r>
      <w:proofErr w:type="spellEnd"/>
      <w:r w:rsidRPr="001E2C2A">
        <w:rPr>
          <w:rFonts w:ascii="Times New Roman" w:hAnsi="Times New Roman" w:cs="Times New Roman"/>
          <w:sz w:val="24"/>
          <w:szCs w:val="24"/>
        </w:rPr>
        <w:t xml:space="preserve">, D. W. (2022). </w:t>
      </w:r>
      <w:proofErr w:type="gramStart"/>
      <w:r w:rsidRPr="001E2C2A">
        <w:rPr>
          <w:rFonts w:ascii="Times New Roman" w:hAnsi="Times New Roman" w:cs="Times New Roman"/>
          <w:sz w:val="24"/>
          <w:szCs w:val="24"/>
        </w:rPr>
        <w:t>Applied Multivariate Statistical Analysis.</w:t>
      </w:r>
      <w:proofErr w:type="gramEnd"/>
      <w:r w:rsidRPr="001E2C2A">
        <w:rPr>
          <w:rFonts w:ascii="Times New Roman" w:hAnsi="Times New Roman" w:cs="Times New Roman"/>
          <w:sz w:val="24"/>
          <w:szCs w:val="24"/>
        </w:rPr>
        <w:t xml:space="preserve"> 7</w:t>
      </w:r>
      <w:r w:rsidRPr="001E2C2A">
        <w:rPr>
          <w:rFonts w:ascii="Times New Roman" w:hAnsi="Times New Roman" w:cs="Times New Roman"/>
          <w:sz w:val="24"/>
          <w:szCs w:val="24"/>
          <w:vertAlign w:val="superscript"/>
        </w:rPr>
        <w:t>th</w:t>
      </w:r>
      <w:r w:rsidRPr="001E2C2A">
        <w:rPr>
          <w:rFonts w:ascii="Times New Roman" w:hAnsi="Times New Roman" w:cs="Times New Roman"/>
          <w:sz w:val="24"/>
          <w:szCs w:val="24"/>
        </w:rPr>
        <w:t xml:space="preserve"> ed. Upper Saddle River, NJ: Pearson.</w:t>
      </w:r>
    </w:p>
    <w:p w:rsidR="00830428" w:rsidRPr="001E2C2A" w:rsidRDefault="00830428" w:rsidP="008E2558">
      <w:pPr>
        <w:spacing w:line="240" w:lineRule="auto"/>
        <w:ind w:left="720" w:hanging="720"/>
        <w:jc w:val="both"/>
        <w:rPr>
          <w:rFonts w:ascii="Times New Roman" w:hAnsi="Times New Roman" w:cs="Times New Roman"/>
          <w:sz w:val="24"/>
          <w:szCs w:val="24"/>
        </w:rPr>
      </w:pPr>
    </w:p>
    <w:p w:rsidR="00C50F7C" w:rsidRPr="001E2C2A" w:rsidRDefault="00C50F7C" w:rsidP="00666D31">
      <w:pPr>
        <w:spacing w:after="97" w:line="240" w:lineRule="auto"/>
        <w:ind w:left="567" w:hanging="567"/>
        <w:jc w:val="both"/>
        <w:rPr>
          <w:rFonts w:ascii="Times New Roman" w:eastAsia="Times New Roman" w:hAnsi="Times New Roman" w:cs="Times New Roman"/>
          <w:sz w:val="24"/>
          <w:szCs w:val="24"/>
        </w:rPr>
      </w:pPr>
      <w:r w:rsidRPr="001E2C2A">
        <w:rPr>
          <w:rFonts w:ascii="Times New Roman" w:hAnsi="Times New Roman" w:cs="Times New Roman"/>
          <w:sz w:val="24"/>
          <w:szCs w:val="24"/>
        </w:rPr>
        <w:t>Leo-</w:t>
      </w:r>
      <w:proofErr w:type="spellStart"/>
      <w:r w:rsidRPr="001E2C2A">
        <w:rPr>
          <w:rFonts w:ascii="Times New Roman" w:hAnsi="Times New Roman" w:cs="Times New Roman"/>
          <w:sz w:val="24"/>
          <w:szCs w:val="24"/>
        </w:rPr>
        <w:t>Olagbaye</w:t>
      </w:r>
      <w:proofErr w:type="spellEnd"/>
      <w:r w:rsidRPr="001E2C2A">
        <w:rPr>
          <w:rFonts w:ascii="Times New Roman" w:hAnsi="Times New Roman" w:cs="Times New Roman"/>
          <w:sz w:val="24"/>
          <w:szCs w:val="24"/>
        </w:rPr>
        <w:t xml:space="preserve"> F. (2024). </w:t>
      </w:r>
      <w:r w:rsidRPr="001E2C2A">
        <w:rPr>
          <w:rFonts w:ascii="Times New Roman" w:eastAsia="Times New Roman" w:hAnsi="Times New Roman" w:cs="Times New Roman"/>
          <w:sz w:val="24"/>
          <w:szCs w:val="24"/>
        </w:rPr>
        <w:t>Motivating Factors for the Delivery of Sustainable Housing Projects in Nigeria</w:t>
      </w:r>
      <w:r w:rsidR="00E5196F" w:rsidRPr="001E2C2A">
        <w:rPr>
          <w:rFonts w:ascii="Times New Roman" w:eastAsia="Times New Roman" w:hAnsi="Times New Roman" w:cs="Times New Roman"/>
          <w:sz w:val="30"/>
        </w:rPr>
        <w:t>.</w:t>
      </w:r>
      <w:r w:rsidRPr="001E2C2A">
        <w:rPr>
          <w:rFonts w:ascii="Times New Roman" w:eastAsia="Times New Roman" w:hAnsi="Times New Roman" w:cs="Times New Roman"/>
          <w:b/>
          <w:sz w:val="30"/>
        </w:rPr>
        <w:t xml:space="preserve"> </w:t>
      </w:r>
      <w:proofErr w:type="gramStart"/>
      <w:r w:rsidRPr="001E2C2A">
        <w:rPr>
          <w:rFonts w:ascii="Times New Roman" w:eastAsia="Times New Roman" w:hAnsi="Times New Roman" w:cs="Times New Roman"/>
          <w:sz w:val="24"/>
          <w:szCs w:val="24"/>
        </w:rPr>
        <w:t>Ibadan Planning Journal, 10(1), 16-28.</w:t>
      </w:r>
      <w:proofErr w:type="gramEnd"/>
    </w:p>
    <w:p w:rsidR="00DE5EBD" w:rsidRPr="001E2C2A" w:rsidRDefault="00DE5EBD" w:rsidP="00666D31">
      <w:pPr>
        <w:spacing w:after="97" w:line="240" w:lineRule="auto"/>
        <w:ind w:left="567" w:hanging="567"/>
        <w:jc w:val="both"/>
        <w:rPr>
          <w:rFonts w:ascii="Times New Roman" w:hAnsi="Times New Roman" w:cs="Times New Roman"/>
          <w:sz w:val="24"/>
          <w:szCs w:val="24"/>
        </w:rPr>
      </w:pPr>
      <w:r w:rsidRPr="001E2C2A">
        <w:rPr>
          <w:rFonts w:ascii="Times New Roman" w:hAnsi="Times New Roman" w:cs="Times New Roman"/>
          <w:bCs/>
          <w:sz w:val="24"/>
          <w:szCs w:val="24"/>
        </w:rPr>
        <w:t>Leo-</w:t>
      </w:r>
      <w:proofErr w:type="spellStart"/>
      <w:r w:rsidRPr="001E2C2A">
        <w:rPr>
          <w:rFonts w:ascii="Times New Roman" w:hAnsi="Times New Roman" w:cs="Times New Roman"/>
          <w:bCs/>
          <w:sz w:val="24"/>
          <w:szCs w:val="24"/>
        </w:rPr>
        <w:t>Olagbaye</w:t>
      </w:r>
      <w:proofErr w:type="spellEnd"/>
      <w:r w:rsidRPr="001E2C2A">
        <w:rPr>
          <w:rFonts w:ascii="Times New Roman" w:hAnsi="Times New Roman" w:cs="Times New Roman"/>
          <w:bCs/>
          <w:sz w:val="24"/>
          <w:szCs w:val="24"/>
        </w:rPr>
        <w:t>, F.</w:t>
      </w:r>
      <w:proofErr w:type="gramStart"/>
      <w:r w:rsidRPr="001E2C2A">
        <w:rPr>
          <w:rFonts w:ascii="Times New Roman" w:hAnsi="Times New Roman" w:cs="Times New Roman"/>
          <w:bCs/>
          <w:sz w:val="24"/>
          <w:szCs w:val="24"/>
        </w:rPr>
        <w:t>,</w:t>
      </w:r>
      <w:proofErr w:type="spellStart"/>
      <w:r w:rsidRPr="001E2C2A">
        <w:rPr>
          <w:rFonts w:ascii="Times New Roman" w:hAnsi="Times New Roman" w:cs="Times New Roman"/>
          <w:sz w:val="24"/>
          <w:szCs w:val="24"/>
        </w:rPr>
        <w:t>Odeyinka</w:t>
      </w:r>
      <w:proofErr w:type="spellEnd"/>
      <w:proofErr w:type="gramEnd"/>
      <w:r w:rsidRPr="001E2C2A">
        <w:rPr>
          <w:rFonts w:ascii="Times New Roman" w:hAnsi="Times New Roman" w:cs="Times New Roman"/>
          <w:sz w:val="24"/>
          <w:szCs w:val="24"/>
        </w:rPr>
        <w:t>, H.,</w:t>
      </w:r>
      <w:proofErr w:type="spellStart"/>
      <w:r w:rsidRPr="001E2C2A">
        <w:rPr>
          <w:rFonts w:ascii="Times New Roman" w:hAnsi="Times New Roman" w:cs="Times New Roman"/>
          <w:sz w:val="24"/>
          <w:szCs w:val="24"/>
        </w:rPr>
        <w:t>Rathnasiri</w:t>
      </w:r>
      <w:proofErr w:type="spellEnd"/>
      <w:r w:rsidRPr="001E2C2A">
        <w:rPr>
          <w:rFonts w:ascii="Times New Roman" w:hAnsi="Times New Roman" w:cs="Times New Roman"/>
          <w:sz w:val="24"/>
          <w:szCs w:val="24"/>
        </w:rPr>
        <w:t>, P. (2023). Stakeholders’ Roles in the Delivery of Sustainable Housing Projects in Lagos State, Nigeria</w:t>
      </w:r>
      <w:r w:rsidRPr="001E2C2A">
        <w:rPr>
          <w:rFonts w:ascii="Times New Roman" w:hAnsi="Times New Roman" w:cs="Times New Roman"/>
          <w:i/>
          <w:sz w:val="24"/>
          <w:szCs w:val="24"/>
        </w:rPr>
        <w:t xml:space="preserve">. </w:t>
      </w:r>
      <w:r w:rsidRPr="001E2C2A">
        <w:rPr>
          <w:rFonts w:ascii="Times New Roman" w:hAnsi="Times New Roman" w:cs="Times New Roman"/>
          <w:iCs/>
          <w:sz w:val="24"/>
          <w:szCs w:val="24"/>
        </w:rPr>
        <w:t>Journal of Sustainability</w:t>
      </w:r>
      <w:r w:rsidRPr="001E2C2A">
        <w:rPr>
          <w:rFonts w:ascii="Times New Roman" w:hAnsi="Times New Roman" w:cs="Times New Roman"/>
          <w:i/>
          <w:iCs/>
          <w:sz w:val="24"/>
          <w:szCs w:val="24"/>
        </w:rPr>
        <w:t xml:space="preserve"> </w:t>
      </w:r>
      <w:r w:rsidRPr="001E2C2A">
        <w:rPr>
          <w:rFonts w:ascii="Times New Roman" w:hAnsi="Times New Roman" w:cs="Times New Roman"/>
          <w:sz w:val="24"/>
          <w:szCs w:val="24"/>
        </w:rPr>
        <w:t>15(5): 1-22.</w:t>
      </w:r>
    </w:p>
    <w:p w:rsidR="0071425B" w:rsidRPr="001E2C2A" w:rsidRDefault="0071425B" w:rsidP="00666D31">
      <w:pPr>
        <w:spacing w:after="97" w:line="240" w:lineRule="auto"/>
        <w:ind w:left="567" w:hanging="567"/>
        <w:jc w:val="both"/>
        <w:rPr>
          <w:rFonts w:ascii="Times New Roman" w:eastAsia="Times New Roman" w:hAnsi="Times New Roman" w:cs="Times New Roman"/>
          <w:sz w:val="24"/>
          <w:szCs w:val="24"/>
        </w:rPr>
      </w:pPr>
      <w:r w:rsidRPr="001E2C2A">
        <w:rPr>
          <w:rFonts w:ascii="Times New Roman" w:eastAsia="Times New Roman" w:hAnsi="Times New Roman" w:cs="Times New Roman"/>
          <w:sz w:val="24"/>
          <w:szCs w:val="24"/>
        </w:rPr>
        <w:t>Leo-</w:t>
      </w:r>
      <w:proofErr w:type="spellStart"/>
      <w:r w:rsidRPr="001E2C2A">
        <w:rPr>
          <w:rFonts w:ascii="Times New Roman" w:eastAsia="Times New Roman" w:hAnsi="Times New Roman" w:cs="Times New Roman"/>
          <w:sz w:val="24"/>
          <w:szCs w:val="24"/>
        </w:rPr>
        <w:t>Olagbaye</w:t>
      </w:r>
      <w:proofErr w:type="spellEnd"/>
      <w:r w:rsidRPr="001E2C2A">
        <w:rPr>
          <w:rFonts w:ascii="Times New Roman" w:eastAsia="Times New Roman" w:hAnsi="Times New Roman" w:cs="Times New Roman"/>
          <w:sz w:val="24"/>
          <w:szCs w:val="24"/>
        </w:rPr>
        <w:t>, F.</w:t>
      </w:r>
      <w:r w:rsidRPr="001E2C2A">
        <w:rPr>
          <w:rFonts w:ascii="Times New Roman" w:eastAsia="Times New Roman" w:hAnsi="Times New Roman" w:cs="Times New Roman"/>
          <w:b/>
          <w:sz w:val="24"/>
          <w:szCs w:val="24"/>
        </w:rPr>
        <w:t xml:space="preserve"> </w:t>
      </w:r>
      <w:r w:rsidRPr="001E2C2A">
        <w:rPr>
          <w:rFonts w:ascii="Times New Roman" w:eastAsia="Times New Roman" w:hAnsi="Times New Roman" w:cs="Times New Roman"/>
          <w:sz w:val="24"/>
          <w:szCs w:val="24"/>
        </w:rPr>
        <w:t xml:space="preserve">and </w:t>
      </w:r>
      <w:proofErr w:type="spellStart"/>
      <w:r w:rsidRPr="001E2C2A">
        <w:rPr>
          <w:rFonts w:ascii="Times New Roman" w:eastAsia="Times New Roman" w:hAnsi="Times New Roman" w:cs="Times New Roman"/>
          <w:sz w:val="24"/>
          <w:szCs w:val="24"/>
        </w:rPr>
        <w:t>Odeyinka</w:t>
      </w:r>
      <w:proofErr w:type="spellEnd"/>
      <w:r w:rsidRPr="001E2C2A">
        <w:rPr>
          <w:rFonts w:ascii="Times New Roman" w:eastAsia="Times New Roman" w:hAnsi="Times New Roman" w:cs="Times New Roman"/>
          <w:sz w:val="24"/>
          <w:szCs w:val="24"/>
        </w:rPr>
        <w:t xml:space="preserve">, H.A. (2022). Conceptualizing Sustainability Housing Development and Construction. In: </w:t>
      </w:r>
      <w:proofErr w:type="spellStart"/>
      <w:r w:rsidRPr="001E2C2A">
        <w:rPr>
          <w:rFonts w:ascii="Times New Roman" w:eastAsia="Times New Roman" w:hAnsi="Times New Roman" w:cs="Times New Roman"/>
          <w:sz w:val="24"/>
          <w:szCs w:val="24"/>
        </w:rPr>
        <w:t>Ogunkan</w:t>
      </w:r>
      <w:proofErr w:type="spellEnd"/>
      <w:r w:rsidRPr="001E2C2A">
        <w:rPr>
          <w:rFonts w:ascii="Times New Roman" w:eastAsia="Times New Roman" w:hAnsi="Times New Roman" w:cs="Times New Roman"/>
          <w:sz w:val="24"/>
          <w:szCs w:val="24"/>
        </w:rPr>
        <w:t xml:space="preserve">, D., </w:t>
      </w:r>
      <w:proofErr w:type="spellStart"/>
      <w:r w:rsidRPr="001E2C2A">
        <w:rPr>
          <w:rFonts w:ascii="Times New Roman" w:eastAsia="Times New Roman" w:hAnsi="Times New Roman" w:cs="Times New Roman"/>
          <w:sz w:val="24"/>
          <w:szCs w:val="24"/>
        </w:rPr>
        <w:t>Fakolade</w:t>
      </w:r>
      <w:proofErr w:type="spellEnd"/>
      <w:r w:rsidRPr="001E2C2A">
        <w:rPr>
          <w:rFonts w:ascii="Times New Roman" w:eastAsia="Times New Roman" w:hAnsi="Times New Roman" w:cs="Times New Roman"/>
          <w:sz w:val="24"/>
          <w:szCs w:val="24"/>
        </w:rPr>
        <w:t xml:space="preserve">, O., </w:t>
      </w:r>
      <w:proofErr w:type="spellStart"/>
      <w:r w:rsidRPr="001E2C2A">
        <w:rPr>
          <w:rFonts w:ascii="Times New Roman" w:eastAsia="Times New Roman" w:hAnsi="Times New Roman" w:cs="Times New Roman"/>
          <w:sz w:val="24"/>
          <w:szCs w:val="24"/>
        </w:rPr>
        <w:t>Adejare</w:t>
      </w:r>
      <w:proofErr w:type="spellEnd"/>
      <w:r w:rsidRPr="001E2C2A">
        <w:rPr>
          <w:rFonts w:ascii="Times New Roman" w:eastAsia="Times New Roman" w:hAnsi="Times New Roman" w:cs="Times New Roman"/>
          <w:sz w:val="24"/>
          <w:szCs w:val="24"/>
        </w:rPr>
        <w:t xml:space="preserve">, Q., </w:t>
      </w:r>
      <w:proofErr w:type="spellStart"/>
      <w:r w:rsidRPr="001E2C2A">
        <w:rPr>
          <w:rFonts w:ascii="Times New Roman" w:eastAsia="Times New Roman" w:hAnsi="Times New Roman" w:cs="Times New Roman"/>
          <w:sz w:val="24"/>
          <w:szCs w:val="24"/>
        </w:rPr>
        <w:t>Orekan</w:t>
      </w:r>
      <w:proofErr w:type="spellEnd"/>
      <w:r w:rsidRPr="001E2C2A">
        <w:rPr>
          <w:rFonts w:ascii="Times New Roman" w:eastAsia="Times New Roman" w:hAnsi="Times New Roman" w:cs="Times New Roman"/>
          <w:sz w:val="24"/>
          <w:szCs w:val="24"/>
        </w:rPr>
        <w:t xml:space="preserve">, </w:t>
      </w:r>
      <w:r w:rsidRPr="001E2C2A">
        <w:rPr>
          <w:rFonts w:ascii="Times New Roman" w:eastAsia="Times New Roman" w:hAnsi="Times New Roman" w:cs="Times New Roman"/>
          <w:sz w:val="24"/>
          <w:szCs w:val="24"/>
        </w:rPr>
        <w:lastRenderedPageBreak/>
        <w:t xml:space="preserve">A., </w:t>
      </w:r>
      <w:proofErr w:type="spellStart"/>
      <w:r w:rsidRPr="001E2C2A">
        <w:rPr>
          <w:rFonts w:ascii="Times New Roman" w:eastAsia="Times New Roman" w:hAnsi="Times New Roman" w:cs="Times New Roman"/>
          <w:sz w:val="24"/>
          <w:szCs w:val="24"/>
        </w:rPr>
        <w:t>Oyeyipo</w:t>
      </w:r>
      <w:proofErr w:type="spellEnd"/>
      <w:r w:rsidRPr="001E2C2A">
        <w:rPr>
          <w:rFonts w:ascii="Times New Roman" w:eastAsia="Times New Roman" w:hAnsi="Times New Roman" w:cs="Times New Roman"/>
          <w:sz w:val="24"/>
          <w:szCs w:val="24"/>
        </w:rPr>
        <w:t xml:space="preserve">, O., </w:t>
      </w:r>
      <w:proofErr w:type="spellStart"/>
      <w:r w:rsidRPr="001E2C2A">
        <w:rPr>
          <w:rFonts w:ascii="Times New Roman" w:eastAsia="Times New Roman" w:hAnsi="Times New Roman" w:cs="Times New Roman"/>
          <w:sz w:val="24"/>
          <w:szCs w:val="24"/>
        </w:rPr>
        <w:t>Edike</w:t>
      </w:r>
      <w:proofErr w:type="spellEnd"/>
      <w:r w:rsidRPr="001E2C2A">
        <w:rPr>
          <w:rFonts w:ascii="Times New Roman" w:eastAsia="Times New Roman" w:hAnsi="Times New Roman" w:cs="Times New Roman"/>
          <w:sz w:val="24"/>
          <w:szCs w:val="24"/>
        </w:rPr>
        <w:t xml:space="preserve">, U. and Alabi, A. (Eds.) </w:t>
      </w:r>
      <w:r w:rsidRPr="001E2C2A">
        <w:rPr>
          <w:rFonts w:ascii="Times New Roman" w:eastAsia="Times New Roman" w:hAnsi="Times New Roman" w:cs="Times New Roman"/>
          <w:i/>
          <w:sz w:val="24"/>
          <w:szCs w:val="24"/>
        </w:rPr>
        <w:t xml:space="preserve">Emerging Issues in Nigeria’s Built </w:t>
      </w:r>
      <w:proofErr w:type="spellStart"/>
      <w:r w:rsidRPr="001E2C2A">
        <w:rPr>
          <w:rFonts w:ascii="Times New Roman" w:eastAsia="Times New Roman" w:hAnsi="Times New Roman" w:cs="Times New Roman"/>
          <w:i/>
          <w:sz w:val="24"/>
          <w:szCs w:val="24"/>
        </w:rPr>
        <w:t>Enviroment</w:t>
      </w:r>
      <w:proofErr w:type="spellEnd"/>
      <w:r w:rsidRPr="001E2C2A">
        <w:rPr>
          <w:rFonts w:ascii="Times New Roman" w:eastAsia="Times New Roman" w:hAnsi="Times New Roman" w:cs="Times New Roman"/>
          <w:i/>
          <w:sz w:val="24"/>
          <w:szCs w:val="24"/>
        </w:rPr>
        <w:t>, College of Environmental Sciences, Bells University of Technology, Ota, Nigeria,</w:t>
      </w:r>
      <w:r w:rsidR="00DE5EBD" w:rsidRPr="001E2C2A">
        <w:rPr>
          <w:rFonts w:ascii="Times New Roman" w:eastAsia="Times New Roman" w:hAnsi="Times New Roman" w:cs="Times New Roman"/>
          <w:sz w:val="24"/>
          <w:szCs w:val="24"/>
        </w:rPr>
        <w:t xml:space="preserve"> 104-116</w:t>
      </w:r>
      <w:r w:rsidRPr="001E2C2A">
        <w:rPr>
          <w:rFonts w:ascii="Times New Roman" w:eastAsia="Times New Roman" w:hAnsi="Times New Roman" w:cs="Times New Roman"/>
          <w:sz w:val="24"/>
          <w:szCs w:val="24"/>
        </w:rPr>
        <w:t xml:space="preserve"> ISBN: 978-187-658-1</w:t>
      </w:r>
    </w:p>
    <w:p w:rsidR="008E2558" w:rsidRPr="001E2C2A" w:rsidRDefault="008E2558" w:rsidP="008E2558">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Patten, M. L. (2016). Questionnaire Research: A Practical Guide. 4</w:t>
      </w:r>
      <w:r w:rsidRPr="001E2C2A">
        <w:rPr>
          <w:rFonts w:ascii="Times New Roman" w:hAnsi="Times New Roman" w:cs="Times New Roman"/>
          <w:sz w:val="24"/>
          <w:szCs w:val="24"/>
          <w:vertAlign w:val="superscript"/>
        </w:rPr>
        <w:t>th</w:t>
      </w:r>
      <w:r w:rsidRPr="001E2C2A">
        <w:rPr>
          <w:rFonts w:ascii="Times New Roman" w:hAnsi="Times New Roman" w:cs="Times New Roman"/>
          <w:sz w:val="24"/>
          <w:szCs w:val="24"/>
        </w:rPr>
        <w:t xml:space="preserve"> </w:t>
      </w:r>
      <w:proofErr w:type="gramStart"/>
      <w:r w:rsidRPr="001E2C2A">
        <w:rPr>
          <w:rFonts w:ascii="Times New Roman" w:hAnsi="Times New Roman" w:cs="Times New Roman"/>
          <w:sz w:val="24"/>
          <w:szCs w:val="24"/>
        </w:rPr>
        <w:t>ed</w:t>
      </w:r>
      <w:proofErr w:type="gramEnd"/>
      <w:r w:rsidRPr="001E2C2A">
        <w:rPr>
          <w:rFonts w:ascii="Times New Roman" w:hAnsi="Times New Roman" w:cs="Times New Roman"/>
          <w:sz w:val="24"/>
          <w:szCs w:val="24"/>
        </w:rPr>
        <w:t xml:space="preserve">. New York: </w:t>
      </w:r>
      <w:proofErr w:type="spellStart"/>
      <w:r w:rsidRPr="001E2C2A">
        <w:rPr>
          <w:rFonts w:ascii="Times New Roman" w:hAnsi="Times New Roman" w:cs="Times New Roman"/>
          <w:sz w:val="24"/>
          <w:szCs w:val="24"/>
        </w:rPr>
        <w:t>Routledge</w:t>
      </w:r>
      <w:proofErr w:type="spellEnd"/>
      <w:r w:rsidRPr="001E2C2A">
        <w:rPr>
          <w:rFonts w:ascii="Times New Roman" w:hAnsi="Times New Roman" w:cs="Times New Roman"/>
          <w:sz w:val="24"/>
          <w:szCs w:val="24"/>
        </w:rPr>
        <w:t>.</w:t>
      </w:r>
    </w:p>
    <w:p w:rsidR="00885562" w:rsidRPr="001E2C2A" w:rsidRDefault="00885562"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Petrovic</w:t>
      </w:r>
      <w:proofErr w:type="spellEnd"/>
      <w:r w:rsidRPr="001E2C2A">
        <w:rPr>
          <w:rFonts w:ascii="Times New Roman" w:hAnsi="Times New Roman" w:cs="Times New Roman"/>
          <w:sz w:val="24"/>
          <w:szCs w:val="24"/>
        </w:rPr>
        <w:t>, B. (2019). Life cycle assessment in the construction sector: A review. Renewable and Sustainable Energy Reviews, 101, 26-42</w:t>
      </w:r>
      <w:r w:rsidR="003977F2" w:rsidRPr="001E2C2A">
        <w:rPr>
          <w:rFonts w:ascii="Times New Roman" w:hAnsi="Times New Roman" w:cs="Times New Roman"/>
          <w:sz w:val="24"/>
          <w:szCs w:val="24"/>
        </w:rPr>
        <w:t>.</w:t>
      </w:r>
    </w:p>
    <w:p w:rsidR="00885562" w:rsidRPr="001E2C2A" w:rsidRDefault="00885562"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Tay, W. D. (2015) The Transition of Paradigms of the Quantity Surveying Profession: Relevancy, Competencies and Beyond. In: Proceedings of the HKIS and AIQS Joint Conference – How QS Will succeed in Tomorrow’s World, Nov. 2015, HK, 10 – 16</w:t>
      </w:r>
      <w:r w:rsidR="003977F2" w:rsidRPr="001E2C2A">
        <w:rPr>
          <w:rFonts w:ascii="Times New Roman" w:hAnsi="Times New Roman" w:cs="Times New Roman"/>
          <w:sz w:val="24"/>
          <w:szCs w:val="24"/>
        </w:rPr>
        <w:t>.</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Häkkinen</w:t>
      </w:r>
      <w:proofErr w:type="spellEnd"/>
      <w:r w:rsidRPr="001E2C2A">
        <w:rPr>
          <w:rFonts w:ascii="Times New Roman" w:hAnsi="Times New Roman" w:cs="Times New Roman"/>
          <w:sz w:val="24"/>
          <w:szCs w:val="24"/>
        </w:rPr>
        <w:t xml:space="preserve">, T., &amp; </w:t>
      </w:r>
      <w:proofErr w:type="spellStart"/>
      <w:r w:rsidRPr="001E2C2A">
        <w:rPr>
          <w:rFonts w:ascii="Times New Roman" w:hAnsi="Times New Roman" w:cs="Times New Roman"/>
          <w:sz w:val="24"/>
          <w:szCs w:val="24"/>
        </w:rPr>
        <w:t>Belloni</w:t>
      </w:r>
      <w:proofErr w:type="spellEnd"/>
      <w:r w:rsidRPr="001E2C2A">
        <w:rPr>
          <w:rFonts w:ascii="Times New Roman" w:hAnsi="Times New Roman" w:cs="Times New Roman"/>
          <w:sz w:val="24"/>
          <w:szCs w:val="24"/>
        </w:rPr>
        <w:t>, K. (2011). Barriers and drivers for sustainable building. Building Research &amp; Information, 39(3), 239-255.</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Hyun, S., &amp; Jang, W. S. (2020). Sustainable real estate development financing: The role of green bond</w:t>
      </w:r>
      <w:r w:rsidR="003977F2" w:rsidRPr="001E2C2A">
        <w:rPr>
          <w:rFonts w:ascii="Times New Roman" w:hAnsi="Times New Roman" w:cs="Times New Roman"/>
          <w:sz w:val="24"/>
          <w:szCs w:val="24"/>
        </w:rPr>
        <w:t>s. Sustainability, 12(10), 4256-4273.</w:t>
      </w:r>
    </w:p>
    <w:p w:rsidR="00A11B2D" w:rsidRPr="001E2C2A" w:rsidRDefault="00A11B2D" w:rsidP="006C44AF">
      <w:pPr>
        <w:spacing w:line="240" w:lineRule="auto"/>
        <w:ind w:left="720" w:hanging="720"/>
        <w:jc w:val="both"/>
        <w:rPr>
          <w:rFonts w:ascii="Times New Roman" w:hAnsi="Times New Roman" w:cs="Times New Roman"/>
          <w:sz w:val="24"/>
          <w:szCs w:val="24"/>
        </w:rPr>
      </w:pPr>
      <w:r w:rsidRPr="001E2C2A">
        <w:rPr>
          <w:rFonts w:ascii="Times New Roman" w:hAnsi="Times New Roman" w:cs="Times New Roman"/>
          <w:sz w:val="24"/>
          <w:szCs w:val="24"/>
        </w:rPr>
        <w:t xml:space="preserve">Nguyen, T. H., Shehab, T., &amp; </w:t>
      </w:r>
      <w:proofErr w:type="gramStart"/>
      <w:r w:rsidRPr="001E2C2A">
        <w:rPr>
          <w:rFonts w:ascii="Times New Roman" w:hAnsi="Times New Roman" w:cs="Times New Roman"/>
          <w:sz w:val="24"/>
          <w:szCs w:val="24"/>
        </w:rPr>
        <w:t>Gao</w:t>
      </w:r>
      <w:proofErr w:type="gramEnd"/>
      <w:r w:rsidRPr="001E2C2A">
        <w:rPr>
          <w:rFonts w:ascii="Times New Roman" w:hAnsi="Times New Roman" w:cs="Times New Roman"/>
          <w:sz w:val="24"/>
          <w:szCs w:val="24"/>
        </w:rPr>
        <w:t>, Z. (2010). Evaluating sustainability of architectural designs using building information modeling. The Open Construction and Bu</w:t>
      </w:r>
      <w:r w:rsidR="00EE3937" w:rsidRPr="001E2C2A">
        <w:rPr>
          <w:rFonts w:ascii="Times New Roman" w:hAnsi="Times New Roman" w:cs="Times New Roman"/>
          <w:sz w:val="24"/>
          <w:szCs w:val="24"/>
        </w:rPr>
        <w:t>ilding Technology Journal, 4(1), 202-246.</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Olawumi</w:t>
      </w:r>
      <w:proofErr w:type="spellEnd"/>
      <w:r w:rsidRPr="001E2C2A">
        <w:rPr>
          <w:rFonts w:ascii="Times New Roman" w:hAnsi="Times New Roman" w:cs="Times New Roman"/>
          <w:sz w:val="24"/>
          <w:szCs w:val="24"/>
        </w:rPr>
        <w:t>, T. O., &amp; Chan, D. W. (2018). Identifying and prioritizing the benefits of integrating BIM and sustainability practices in construction projects: A Delphi survey of international experts. Sustainable Cities and Society, 40, 16-27.</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gramStart"/>
      <w:r w:rsidRPr="001E2C2A">
        <w:rPr>
          <w:rFonts w:ascii="Times New Roman" w:hAnsi="Times New Roman" w:cs="Times New Roman"/>
          <w:sz w:val="24"/>
          <w:szCs w:val="24"/>
        </w:rPr>
        <w:t>Valdes-Vasquez, R. and Klotz, L.E. (2012).</w:t>
      </w:r>
      <w:proofErr w:type="gramEnd"/>
      <w:r w:rsidRPr="001E2C2A">
        <w:rPr>
          <w:rFonts w:ascii="Times New Roman" w:hAnsi="Times New Roman" w:cs="Times New Roman"/>
          <w:sz w:val="24"/>
          <w:szCs w:val="24"/>
        </w:rPr>
        <w:t xml:space="preserve"> Social sustainability considerations during planning and design: Framework of processes for construction projects. Journal of construction engineering and management, 139(1), 80-89</w:t>
      </w:r>
      <w:r w:rsidR="003977F2" w:rsidRPr="001E2C2A">
        <w:rPr>
          <w:rFonts w:ascii="Times New Roman" w:hAnsi="Times New Roman" w:cs="Times New Roman"/>
          <w:sz w:val="24"/>
          <w:szCs w:val="24"/>
        </w:rPr>
        <w:t>.</w:t>
      </w:r>
    </w:p>
    <w:p w:rsidR="00A11B2D" w:rsidRPr="001E2C2A" w:rsidRDefault="00A11B2D" w:rsidP="006C44AF">
      <w:pPr>
        <w:spacing w:line="240" w:lineRule="auto"/>
        <w:ind w:left="720" w:hanging="720"/>
        <w:jc w:val="both"/>
        <w:rPr>
          <w:rFonts w:ascii="Times New Roman" w:hAnsi="Times New Roman" w:cs="Times New Roman"/>
          <w:sz w:val="24"/>
          <w:szCs w:val="24"/>
        </w:rPr>
      </w:pPr>
      <w:proofErr w:type="spellStart"/>
      <w:r w:rsidRPr="001E2C2A">
        <w:rPr>
          <w:rFonts w:ascii="Times New Roman" w:hAnsi="Times New Roman" w:cs="Times New Roman"/>
          <w:sz w:val="24"/>
          <w:szCs w:val="24"/>
        </w:rPr>
        <w:t>Zabihi</w:t>
      </w:r>
      <w:proofErr w:type="spellEnd"/>
      <w:r w:rsidRPr="001E2C2A">
        <w:rPr>
          <w:rFonts w:ascii="Times New Roman" w:hAnsi="Times New Roman" w:cs="Times New Roman"/>
          <w:sz w:val="24"/>
          <w:szCs w:val="24"/>
        </w:rPr>
        <w:t xml:space="preserve">, H., Habib, F., &amp; </w:t>
      </w:r>
      <w:proofErr w:type="spellStart"/>
      <w:r w:rsidRPr="001E2C2A">
        <w:rPr>
          <w:rFonts w:ascii="Times New Roman" w:hAnsi="Times New Roman" w:cs="Times New Roman"/>
          <w:sz w:val="24"/>
          <w:szCs w:val="24"/>
        </w:rPr>
        <w:t>Mirsaeedie</w:t>
      </w:r>
      <w:proofErr w:type="spellEnd"/>
      <w:r w:rsidRPr="001E2C2A">
        <w:rPr>
          <w:rFonts w:ascii="Times New Roman" w:hAnsi="Times New Roman" w:cs="Times New Roman"/>
          <w:sz w:val="24"/>
          <w:szCs w:val="24"/>
        </w:rPr>
        <w:t>, L. (2013). Sustainability in building and construction: Revising definitions and concepts. International Journal of Ecology &amp; Development, 23(3), 2-13.</w:t>
      </w:r>
    </w:p>
    <w:p w:rsidR="00BF6034" w:rsidRPr="00BF6034" w:rsidRDefault="00BF6034" w:rsidP="00BF6034"/>
    <w:p w:rsidR="00CB734E" w:rsidRPr="00CB734E" w:rsidRDefault="00CB734E" w:rsidP="00CB734E"/>
    <w:p w:rsidR="007F1124" w:rsidRPr="00E90B72" w:rsidRDefault="007F1124" w:rsidP="00591819">
      <w:pPr>
        <w:tabs>
          <w:tab w:val="left" w:pos="1210"/>
        </w:tabs>
        <w:spacing w:line="480" w:lineRule="auto"/>
        <w:jc w:val="both"/>
        <w:rPr>
          <w:rFonts w:ascii="Times New Roman" w:hAnsi="Times New Roman" w:cs="Times New Roman"/>
          <w:sz w:val="24"/>
          <w:szCs w:val="24"/>
        </w:rPr>
      </w:pPr>
    </w:p>
    <w:p w:rsidR="00591819" w:rsidRPr="00BD256F" w:rsidRDefault="00591819" w:rsidP="00077C0B">
      <w:pPr>
        <w:ind w:left="-709" w:right="-613"/>
      </w:pPr>
    </w:p>
    <w:sectPr w:rsidR="00591819" w:rsidRPr="00BD25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3D" w:rsidRDefault="008A193D" w:rsidP="009A135A">
      <w:pPr>
        <w:spacing w:after="0" w:line="240" w:lineRule="auto"/>
      </w:pPr>
      <w:r>
        <w:separator/>
      </w:r>
    </w:p>
  </w:endnote>
  <w:endnote w:type="continuationSeparator" w:id="0">
    <w:p w:rsidR="008A193D" w:rsidRDefault="008A193D" w:rsidP="009A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3D" w:rsidRDefault="008A193D" w:rsidP="009A135A">
      <w:pPr>
        <w:spacing w:after="0" w:line="240" w:lineRule="auto"/>
      </w:pPr>
      <w:r>
        <w:separator/>
      </w:r>
    </w:p>
  </w:footnote>
  <w:footnote w:type="continuationSeparator" w:id="0">
    <w:p w:rsidR="008A193D" w:rsidRDefault="008A193D" w:rsidP="009A1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A68"/>
    <w:multiLevelType w:val="hybridMultilevel"/>
    <w:tmpl w:val="B62AF3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0D5EF9"/>
    <w:multiLevelType w:val="multilevel"/>
    <w:tmpl w:val="7F2428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DF7243"/>
    <w:multiLevelType w:val="multilevel"/>
    <w:tmpl w:val="7FA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11CD6"/>
    <w:multiLevelType w:val="multilevel"/>
    <w:tmpl w:val="0346EB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6F4FEB"/>
    <w:multiLevelType w:val="hybridMultilevel"/>
    <w:tmpl w:val="6A02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347A3"/>
    <w:multiLevelType w:val="multilevel"/>
    <w:tmpl w:val="ED9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8842ED"/>
    <w:multiLevelType w:val="hybridMultilevel"/>
    <w:tmpl w:val="64BC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C704F"/>
    <w:multiLevelType w:val="hybridMultilevel"/>
    <w:tmpl w:val="903023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64ECD"/>
    <w:multiLevelType w:val="multilevel"/>
    <w:tmpl w:val="8F1C89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C45584"/>
    <w:multiLevelType w:val="hybridMultilevel"/>
    <w:tmpl w:val="E848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33838"/>
    <w:multiLevelType w:val="hybridMultilevel"/>
    <w:tmpl w:val="1E76026C"/>
    <w:lvl w:ilvl="0" w:tplc="3C5615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65BC8"/>
    <w:multiLevelType w:val="hybridMultilevel"/>
    <w:tmpl w:val="A38E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501A7"/>
    <w:multiLevelType w:val="hybridMultilevel"/>
    <w:tmpl w:val="0100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E5D32"/>
    <w:multiLevelType w:val="multilevel"/>
    <w:tmpl w:val="C9D4839C"/>
    <w:lvl w:ilvl="0">
      <w:start w:val="1"/>
      <w:numFmt w:val="low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831C88"/>
    <w:multiLevelType w:val="hybridMultilevel"/>
    <w:tmpl w:val="B62AF3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7283CC5"/>
    <w:multiLevelType w:val="hybridMultilevel"/>
    <w:tmpl w:val="034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D7B10"/>
    <w:multiLevelType w:val="multilevel"/>
    <w:tmpl w:val="CB60B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D87D79"/>
    <w:multiLevelType w:val="hybridMultilevel"/>
    <w:tmpl w:val="542453A2"/>
    <w:lvl w:ilvl="0" w:tplc="9B3CE5D2">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D774CE"/>
    <w:multiLevelType w:val="multilevel"/>
    <w:tmpl w:val="A84A8A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1FB787F"/>
    <w:multiLevelType w:val="hybridMultilevel"/>
    <w:tmpl w:val="FFC4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561ABB"/>
    <w:multiLevelType w:val="hybridMultilevel"/>
    <w:tmpl w:val="0D0A804E"/>
    <w:lvl w:ilvl="0" w:tplc="F922206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C523F4"/>
    <w:multiLevelType w:val="hybridMultilevel"/>
    <w:tmpl w:val="63B6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4353B9"/>
    <w:multiLevelType w:val="multilevel"/>
    <w:tmpl w:val="5A54C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2B2D91"/>
    <w:multiLevelType w:val="multilevel"/>
    <w:tmpl w:val="85FC7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CD748F"/>
    <w:multiLevelType w:val="hybridMultilevel"/>
    <w:tmpl w:val="2018B334"/>
    <w:lvl w:ilvl="0" w:tplc="11AE7C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E83E85"/>
    <w:multiLevelType w:val="hybridMultilevel"/>
    <w:tmpl w:val="8ECE0362"/>
    <w:lvl w:ilvl="0" w:tplc="33F80DAE">
      <w:start w:val="1"/>
      <w:numFmt w:val="decimal"/>
      <w:lvlText w:val="%1"/>
      <w:lvlJc w:val="left"/>
      <w:pPr>
        <w:ind w:left="198"/>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1" w:tplc="19CE6706">
      <w:start w:val="1"/>
      <w:numFmt w:val="lowerLetter"/>
      <w:lvlText w:val="%2"/>
      <w:lvlJc w:val="left"/>
      <w:pPr>
        <w:ind w:left="108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2" w:tplc="C45221C6">
      <w:start w:val="1"/>
      <w:numFmt w:val="lowerRoman"/>
      <w:lvlText w:val="%3"/>
      <w:lvlJc w:val="left"/>
      <w:pPr>
        <w:ind w:left="180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3" w:tplc="F7285E8E">
      <w:start w:val="1"/>
      <w:numFmt w:val="decimal"/>
      <w:lvlText w:val="%4"/>
      <w:lvlJc w:val="left"/>
      <w:pPr>
        <w:ind w:left="252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4" w:tplc="0CB6170E">
      <w:start w:val="1"/>
      <w:numFmt w:val="lowerLetter"/>
      <w:lvlText w:val="%5"/>
      <w:lvlJc w:val="left"/>
      <w:pPr>
        <w:ind w:left="324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5" w:tplc="C86EB088">
      <w:start w:val="1"/>
      <w:numFmt w:val="lowerRoman"/>
      <w:lvlText w:val="%6"/>
      <w:lvlJc w:val="left"/>
      <w:pPr>
        <w:ind w:left="396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6" w:tplc="C7EE762A">
      <w:start w:val="1"/>
      <w:numFmt w:val="decimal"/>
      <w:lvlText w:val="%7"/>
      <w:lvlJc w:val="left"/>
      <w:pPr>
        <w:ind w:left="468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7" w:tplc="8F7AB4A0">
      <w:start w:val="1"/>
      <w:numFmt w:val="lowerLetter"/>
      <w:lvlText w:val="%8"/>
      <w:lvlJc w:val="left"/>
      <w:pPr>
        <w:ind w:left="540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lvl w:ilvl="8" w:tplc="1654E194">
      <w:start w:val="1"/>
      <w:numFmt w:val="lowerRoman"/>
      <w:lvlText w:val="%9"/>
      <w:lvlJc w:val="left"/>
      <w:pPr>
        <w:ind w:left="6120"/>
      </w:pPr>
      <w:rPr>
        <w:rFonts w:ascii="Palatino Linotype" w:eastAsia="Palatino Linotype" w:hAnsi="Palatino Linotype" w:cs="Palatino Linotype"/>
        <w:b w:val="0"/>
        <w:i w:val="0"/>
        <w:strike w:val="0"/>
        <w:dstrike w:val="0"/>
        <w:color w:val="000000"/>
        <w:sz w:val="16"/>
        <w:szCs w:val="16"/>
        <w:u w:val="none" w:color="000000"/>
        <w:bdr w:val="none" w:sz="0" w:space="0" w:color="auto"/>
        <w:shd w:val="clear" w:color="auto" w:fill="auto"/>
        <w:vertAlign w:val="superscript"/>
      </w:rPr>
    </w:lvl>
  </w:abstractNum>
  <w:abstractNum w:abstractNumId="26">
    <w:nsid w:val="5B6740C6"/>
    <w:multiLevelType w:val="multilevel"/>
    <w:tmpl w:val="352AF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B10E9C"/>
    <w:multiLevelType w:val="multilevel"/>
    <w:tmpl w:val="4C4202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16F0F6C"/>
    <w:multiLevelType w:val="multilevel"/>
    <w:tmpl w:val="CCBAA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
  </w:num>
  <w:num w:numId="3">
    <w:abstractNumId w:val="3"/>
  </w:num>
  <w:num w:numId="4">
    <w:abstractNumId w:val="17"/>
  </w:num>
  <w:num w:numId="5">
    <w:abstractNumId w:val="13"/>
  </w:num>
  <w:num w:numId="6">
    <w:abstractNumId w:val="14"/>
  </w:num>
  <w:num w:numId="7">
    <w:abstractNumId w:val="21"/>
  </w:num>
  <w:num w:numId="8">
    <w:abstractNumId w:val="2"/>
  </w:num>
  <w:num w:numId="9">
    <w:abstractNumId w:val="0"/>
  </w:num>
  <w:num w:numId="10">
    <w:abstractNumId w:val="16"/>
  </w:num>
  <w:num w:numId="11">
    <w:abstractNumId w:val="18"/>
  </w:num>
  <w:num w:numId="12">
    <w:abstractNumId w:val="28"/>
  </w:num>
  <w:num w:numId="13">
    <w:abstractNumId w:val="27"/>
  </w:num>
  <w:num w:numId="14">
    <w:abstractNumId w:val="22"/>
  </w:num>
  <w:num w:numId="15">
    <w:abstractNumId w:val="23"/>
  </w:num>
  <w:num w:numId="16">
    <w:abstractNumId w:val="26"/>
  </w:num>
  <w:num w:numId="17">
    <w:abstractNumId w:val="5"/>
  </w:num>
  <w:num w:numId="18">
    <w:abstractNumId w:val="7"/>
  </w:num>
  <w:num w:numId="19">
    <w:abstractNumId w:val="12"/>
  </w:num>
  <w:num w:numId="20">
    <w:abstractNumId w:val="6"/>
  </w:num>
  <w:num w:numId="21">
    <w:abstractNumId w:val="11"/>
  </w:num>
  <w:num w:numId="22">
    <w:abstractNumId w:val="10"/>
  </w:num>
  <w:num w:numId="23">
    <w:abstractNumId w:val="24"/>
  </w:num>
  <w:num w:numId="24">
    <w:abstractNumId w:val="20"/>
  </w:num>
  <w:num w:numId="25">
    <w:abstractNumId w:val="4"/>
  </w:num>
  <w:num w:numId="26">
    <w:abstractNumId w:val="9"/>
  </w:num>
  <w:num w:numId="27">
    <w:abstractNumId w:val="15"/>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4F"/>
    <w:rsid w:val="00001530"/>
    <w:rsid w:val="00006234"/>
    <w:rsid w:val="00017474"/>
    <w:rsid w:val="00031642"/>
    <w:rsid w:val="0004279D"/>
    <w:rsid w:val="00046169"/>
    <w:rsid w:val="00077C0B"/>
    <w:rsid w:val="000A7601"/>
    <w:rsid w:val="000A7D78"/>
    <w:rsid w:val="000B00AF"/>
    <w:rsid w:val="000B707F"/>
    <w:rsid w:val="000C39F8"/>
    <w:rsid w:val="00101F40"/>
    <w:rsid w:val="001068D4"/>
    <w:rsid w:val="00137E05"/>
    <w:rsid w:val="00143844"/>
    <w:rsid w:val="001631FB"/>
    <w:rsid w:val="001820FA"/>
    <w:rsid w:val="00185375"/>
    <w:rsid w:val="00186630"/>
    <w:rsid w:val="001A6EC3"/>
    <w:rsid w:val="001B5F66"/>
    <w:rsid w:val="001C22F6"/>
    <w:rsid w:val="001C2A29"/>
    <w:rsid w:val="001E1D5C"/>
    <w:rsid w:val="001E2C2A"/>
    <w:rsid w:val="00260133"/>
    <w:rsid w:val="002618C3"/>
    <w:rsid w:val="00264545"/>
    <w:rsid w:val="00284132"/>
    <w:rsid w:val="00285B75"/>
    <w:rsid w:val="002A772E"/>
    <w:rsid w:val="002B5AE0"/>
    <w:rsid w:val="002D2965"/>
    <w:rsid w:val="002E332B"/>
    <w:rsid w:val="002E408B"/>
    <w:rsid w:val="002F605D"/>
    <w:rsid w:val="00311D94"/>
    <w:rsid w:val="00323D56"/>
    <w:rsid w:val="00355731"/>
    <w:rsid w:val="003706FC"/>
    <w:rsid w:val="00383692"/>
    <w:rsid w:val="003977F2"/>
    <w:rsid w:val="003A4F83"/>
    <w:rsid w:val="003D135E"/>
    <w:rsid w:val="00405488"/>
    <w:rsid w:val="004140C0"/>
    <w:rsid w:val="00467684"/>
    <w:rsid w:val="00496D6F"/>
    <w:rsid w:val="00497907"/>
    <w:rsid w:val="004C7304"/>
    <w:rsid w:val="005042A9"/>
    <w:rsid w:val="0053710E"/>
    <w:rsid w:val="00540E7A"/>
    <w:rsid w:val="00580B24"/>
    <w:rsid w:val="00591819"/>
    <w:rsid w:val="0059560C"/>
    <w:rsid w:val="005B3C8B"/>
    <w:rsid w:val="005C18C1"/>
    <w:rsid w:val="005C1AA1"/>
    <w:rsid w:val="005D1EE8"/>
    <w:rsid w:val="005E76F9"/>
    <w:rsid w:val="005F2619"/>
    <w:rsid w:val="005F3E10"/>
    <w:rsid w:val="005F6668"/>
    <w:rsid w:val="00620F3E"/>
    <w:rsid w:val="00643FFA"/>
    <w:rsid w:val="0064764E"/>
    <w:rsid w:val="00650218"/>
    <w:rsid w:val="00656B78"/>
    <w:rsid w:val="00660067"/>
    <w:rsid w:val="00666D31"/>
    <w:rsid w:val="00685B3B"/>
    <w:rsid w:val="006A478C"/>
    <w:rsid w:val="006C44AF"/>
    <w:rsid w:val="007046CC"/>
    <w:rsid w:val="0071425B"/>
    <w:rsid w:val="00717452"/>
    <w:rsid w:val="0076041C"/>
    <w:rsid w:val="007716E0"/>
    <w:rsid w:val="00772073"/>
    <w:rsid w:val="00784A4E"/>
    <w:rsid w:val="00786439"/>
    <w:rsid w:val="00794BC8"/>
    <w:rsid w:val="00797986"/>
    <w:rsid w:val="007C1F18"/>
    <w:rsid w:val="007D2F7D"/>
    <w:rsid w:val="007D5455"/>
    <w:rsid w:val="007E0C75"/>
    <w:rsid w:val="007E468F"/>
    <w:rsid w:val="007F1124"/>
    <w:rsid w:val="007F3085"/>
    <w:rsid w:val="008041C8"/>
    <w:rsid w:val="00822337"/>
    <w:rsid w:val="00830428"/>
    <w:rsid w:val="00833B9F"/>
    <w:rsid w:val="008464E8"/>
    <w:rsid w:val="008713FB"/>
    <w:rsid w:val="00871C92"/>
    <w:rsid w:val="008738F5"/>
    <w:rsid w:val="00885562"/>
    <w:rsid w:val="008A193D"/>
    <w:rsid w:val="008B683F"/>
    <w:rsid w:val="008E2558"/>
    <w:rsid w:val="008E3E61"/>
    <w:rsid w:val="00933D15"/>
    <w:rsid w:val="00937D63"/>
    <w:rsid w:val="00942F58"/>
    <w:rsid w:val="00962285"/>
    <w:rsid w:val="0096433F"/>
    <w:rsid w:val="00974F3E"/>
    <w:rsid w:val="009874B7"/>
    <w:rsid w:val="009A135A"/>
    <w:rsid w:val="009A7237"/>
    <w:rsid w:val="009B058F"/>
    <w:rsid w:val="009B357D"/>
    <w:rsid w:val="009B3C68"/>
    <w:rsid w:val="009C7A9C"/>
    <w:rsid w:val="009D36BF"/>
    <w:rsid w:val="00A11B2D"/>
    <w:rsid w:val="00A173CE"/>
    <w:rsid w:val="00A77E85"/>
    <w:rsid w:val="00A82B2D"/>
    <w:rsid w:val="00A93B91"/>
    <w:rsid w:val="00AD4983"/>
    <w:rsid w:val="00AF5BDC"/>
    <w:rsid w:val="00B40E06"/>
    <w:rsid w:val="00B701BB"/>
    <w:rsid w:val="00B72D9F"/>
    <w:rsid w:val="00BB104F"/>
    <w:rsid w:val="00BD256F"/>
    <w:rsid w:val="00BD2717"/>
    <w:rsid w:val="00BE6087"/>
    <w:rsid w:val="00BF44CA"/>
    <w:rsid w:val="00BF4681"/>
    <w:rsid w:val="00BF4DA6"/>
    <w:rsid w:val="00BF6034"/>
    <w:rsid w:val="00C130FE"/>
    <w:rsid w:val="00C50F7C"/>
    <w:rsid w:val="00C56BDF"/>
    <w:rsid w:val="00C74735"/>
    <w:rsid w:val="00CB734E"/>
    <w:rsid w:val="00D06031"/>
    <w:rsid w:val="00D157D1"/>
    <w:rsid w:val="00D347B1"/>
    <w:rsid w:val="00D37EDF"/>
    <w:rsid w:val="00D40E1B"/>
    <w:rsid w:val="00D64075"/>
    <w:rsid w:val="00D77175"/>
    <w:rsid w:val="00D81868"/>
    <w:rsid w:val="00DA0195"/>
    <w:rsid w:val="00DA16AD"/>
    <w:rsid w:val="00DB4FC0"/>
    <w:rsid w:val="00DC03C6"/>
    <w:rsid w:val="00DC78D4"/>
    <w:rsid w:val="00DD5150"/>
    <w:rsid w:val="00DD6755"/>
    <w:rsid w:val="00DD7339"/>
    <w:rsid w:val="00DE5EBD"/>
    <w:rsid w:val="00E136F4"/>
    <w:rsid w:val="00E30991"/>
    <w:rsid w:val="00E472F8"/>
    <w:rsid w:val="00E5196F"/>
    <w:rsid w:val="00E54C1B"/>
    <w:rsid w:val="00E5598A"/>
    <w:rsid w:val="00E73400"/>
    <w:rsid w:val="00E96C73"/>
    <w:rsid w:val="00EC00A5"/>
    <w:rsid w:val="00EC649A"/>
    <w:rsid w:val="00EE3937"/>
    <w:rsid w:val="00EF5ABF"/>
    <w:rsid w:val="00F16FA7"/>
    <w:rsid w:val="00F330DE"/>
    <w:rsid w:val="00F73F0D"/>
    <w:rsid w:val="00F80FE7"/>
    <w:rsid w:val="00F81A4E"/>
    <w:rsid w:val="00F83031"/>
    <w:rsid w:val="00F86089"/>
    <w:rsid w:val="00F97571"/>
    <w:rsid w:val="00FA0BF9"/>
    <w:rsid w:val="00FA4864"/>
    <w:rsid w:val="00FB3E1B"/>
    <w:rsid w:val="00FB5837"/>
    <w:rsid w:val="00FB5D12"/>
    <w:rsid w:val="00FB6F2D"/>
    <w:rsid w:val="00FC2699"/>
    <w:rsid w:val="00FE11E5"/>
    <w:rsid w:val="00FE7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4F"/>
    <w:rPr>
      <w:lang w:val="en-US"/>
    </w:rPr>
  </w:style>
  <w:style w:type="paragraph" w:styleId="Heading1">
    <w:name w:val="heading 1"/>
    <w:basedOn w:val="Normal"/>
    <w:next w:val="Normal"/>
    <w:link w:val="Heading1Char"/>
    <w:uiPriority w:val="9"/>
    <w:qFormat/>
    <w:rsid w:val="00BD2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2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2F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D2F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56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7D2F7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B00A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7D2F7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D2F7D"/>
    <w:rPr>
      <w:rFonts w:asciiTheme="majorHAnsi" w:eastAsiaTheme="majorEastAsia" w:hAnsiTheme="majorHAnsi" w:cstheme="majorBidi"/>
      <w:color w:val="2F5496" w:themeColor="accent1" w:themeShade="BF"/>
      <w:lang w:val="en-US"/>
    </w:rPr>
  </w:style>
  <w:style w:type="paragraph" w:styleId="ListParagraph">
    <w:name w:val="List Paragraph"/>
    <w:basedOn w:val="Normal"/>
    <w:uiPriority w:val="34"/>
    <w:qFormat/>
    <w:rsid w:val="000B00AF"/>
    <w:pPr>
      <w:ind w:left="720"/>
      <w:contextualSpacing/>
    </w:pPr>
  </w:style>
  <w:style w:type="table" w:customStyle="1" w:styleId="PlainTable2">
    <w:name w:val="Plain Table 2"/>
    <w:basedOn w:val="TableNormal"/>
    <w:uiPriority w:val="42"/>
    <w:rsid w:val="007D2F7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7D2F7D"/>
    <w:pPr>
      <w:tabs>
        <w:tab w:val="right" w:pos="9360"/>
      </w:tabs>
      <w:spacing w:line="480" w:lineRule="auto"/>
    </w:pPr>
    <w:rPr>
      <w:rFonts w:ascii="Times New Roman" w:hAnsi="Times New Roman" w:cs="Times New Roman"/>
      <w:bCs/>
      <w:noProof/>
      <w:sz w:val="24"/>
      <w:szCs w:val="24"/>
    </w:rPr>
  </w:style>
  <w:style w:type="character" w:styleId="Hyperlink">
    <w:name w:val="Hyperlink"/>
    <w:basedOn w:val="DefaultParagraphFont"/>
    <w:uiPriority w:val="99"/>
    <w:unhideWhenUsed/>
    <w:rsid w:val="007D2F7D"/>
    <w:rPr>
      <w:color w:val="0563C1" w:themeColor="hyperlink"/>
      <w:u w:val="single"/>
    </w:rPr>
  </w:style>
  <w:style w:type="paragraph" w:styleId="Header">
    <w:name w:val="header"/>
    <w:basedOn w:val="Normal"/>
    <w:link w:val="HeaderChar"/>
    <w:uiPriority w:val="99"/>
    <w:unhideWhenUsed/>
    <w:rsid w:val="007D2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7D"/>
    <w:rPr>
      <w:lang w:val="en-US"/>
    </w:rPr>
  </w:style>
  <w:style w:type="paragraph" w:styleId="Footer">
    <w:name w:val="footer"/>
    <w:basedOn w:val="Normal"/>
    <w:link w:val="FooterChar"/>
    <w:uiPriority w:val="99"/>
    <w:unhideWhenUsed/>
    <w:rsid w:val="007D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7D"/>
    <w:rPr>
      <w:lang w:val="en-US"/>
    </w:rPr>
  </w:style>
  <w:style w:type="paragraph" w:styleId="TOCHeading">
    <w:name w:val="TOC Heading"/>
    <w:basedOn w:val="Heading1"/>
    <w:next w:val="Normal"/>
    <w:uiPriority w:val="39"/>
    <w:unhideWhenUsed/>
    <w:qFormat/>
    <w:rsid w:val="007D2F7D"/>
    <w:pPr>
      <w:outlineLvl w:val="9"/>
    </w:pPr>
  </w:style>
  <w:style w:type="paragraph" w:styleId="TOC1">
    <w:name w:val="toc 1"/>
    <w:basedOn w:val="Normal"/>
    <w:next w:val="Normal"/>
    <w:autoRedefine/>
    <w:uiPriority w:val="39"/>
    <w:unhideWhenUsed/>
    <w:rsid w:val="007D2F7D"/>
    <w:pPr>
      <w:tabs>
        <w:tab w:val="right" w:pos="9350"/>
      </w:tabs>
      <w:spacing w:after="100" w:line="480" w:lineRule="auto"/>
    </w:pPr>
    <w:rPr>
      <w:rFonts w:ascii="Times New Roman" w:hAnsi="Times New Roman" w:cs="Times New Roman"/>
      <w:b/>
      <w:bCs/>
      <w:noProof/>
    </w:rPr>
  </w:style>
  <w:style w:type="paragraph" w:styleId="TOC2">
    <w:name w:val="toc 2"/>
    <w:basedOn w:val="Normal"/>
    <w:next w:val="Normal"/>
    <w:autoRedefine/>
    <w:uiPriority w:val="39"/>
    <w:unhideWhenUsed/>
    <w:rsid w:val="007D2F7D"/>
    <w:pPr>
      <w:tabs>
        <w:tab w:val="right" w:pos="9350"/>
      </w:tabs>
      <w:spacing w:after="100" w:line="480" w:lineRule="auto"/>
      <w:ind w:left="720" w:hanging="720"/>
    </w:pPr>
  </w:style>
  <w:style w:type="paragraph" w:styleId="TOC3">
    <w:name w:val="toc 3"/>
    <w:basedOn w:val="Normal"/>
    <w:next w:val="Normal"/>
    <w:autoRedefine/>
    <w:uiPriority w:val="39"/>
    <w:unhideWhenUsed/>
    <w:rsid w:val="007D2F7D"/>
    <w:pPr>
      <w:tabs>
        <w:tab w:val="right" w:pos="9350"/>
      </w:tabs>
      <w:spacing w:after="100" w:line="480" w:lineRule="auto"/>
      <w:ind w:left="1440" w:hanging="630"/>
    </w:pPr>
    <w:rPr>
      <w:rFonts w:ascii="Times New Roman" w:hAnsi="Times New Roman" w:cs="Times New Roman"/>
      <w:noProof/>
      <w:sz w:val="24"/>
      <w:szCs w:val="24"/>
    </w:rPr>
  </w:style>
  <w:style w:type="paragraph" w:customStyle="1" w:styleId="whitespace-pre-wrap">
    <w:name w:val="whitespace-pre-wrap"/>
    <w:basedOn w:val="Normal"/>
    <w:rsid w:val="007D2F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5">
    <w:name w:val="Plain Table 5"/>
    <w:basedOn w:val="TableNormal"/>
    <w:uiPriority w:val="45"/>
    <w:rsid w:val="007D2F7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7D2F7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D2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D2F7D"/>
    <w:rPr>
      <w:sz w:val="20"/>
      <w:szCs w:val="20"/>
      <w:lang w:val="en-US"/>
    </w:rPr>
  </w:style>
  <w:style w:type="paragraph" w:styleId="CommentText">
    <w:name w:val="annotation text"/>
    <w:basedOn w:val="Normal"/>
    <w:link w:val="CommentTextChar"/>
    <w:uiPriority w:val="99"/>
    <w:semiHidden/>
    <w:unhideWhenUsed/>
    <w:rsid w:val="007D2F7D"/>
    <w:pPr>
      <w:spacing w:line="240" w:lineRule="auto"/>
    </w:pPr>
    <w:rPr>
      <w:sz w:val="20"/>
      <w:szCs w:val="20"/>
    </w:rPr>
  </w:style>
  <w:style w:type="character" w:customStyle="1" w:styleId="CommentSubjectChar">
    <w:name w:val="Comment Subject Char"/>
    <w:basedOn w:val="CommentTextChar"/>
    <w:link w:val="CommentSubject"/>
    <w:uiPriority w:val="99"/>
    <w:semiHidden/>
    <w:rsid w:val="007D2F7D"/>
    <w:rPr>
      <w:b/>
      <w:bCs/>
      <w:sz w:val="20"/>
      <w:szCs w:val="20"/>
      <w:lang w:val="en-US"/>
    </w:rPr>
  </w:style>
  <w:style w:type="paragraph" w:styleId="CommentSubject">
    <w:name w:val="annotation subject"/>
    <w:basedOn w:val="CommentText"/>
    <w:next w:val="CommentText"/>
    <w:link w:val="CommentSubjectChar"/>
    <w:uiPriority w:val="99"/>
    <w:semiHidden/>
    <w:unhideWhenUsed/>
    <w:rsid w:val="007D2F7D"/>
    <w:rPr>
      <w:b/>
      <w:bCs/>
    </w:rPr>
  </w:style>
  <w:style w:type="paragraph" w:styleId="TableofFigures">
    <w:name w:val="table of figures"/>
    <w:basedOn w:val="Normal"/>
    <w:next w:val="Normal"/>
    <w:uiPriority w:val="99"/>
    <w:unhideWhenUsed/>
    <w:rsid w:val="007D2F7D"/>
    <w:pPr>
      <w:spacing w:after="0"/>
    </w:pPr>
  </w:style>
  <w:style w:type="paragraph" w:customStyle="1" w:styleId="footnotedescription">
    <w:name w:val="footnote description"/>
    <w:next w:val="Normal"/>
    <w:link w:val="footnotedescriptionChar"/>
    <w:hidden/>
    <w:rsid w:val="009A135A"/>
    <w:pPr>
      <w:spacing w:after="0" w:line="228" w:lineRule="auto"/>
      <w:ind w:left="14" w:right="-1" w:firstLine="425"/>
      <w:jc w:val="both"/>
    </w:pPr>
    <w:rPr>
      <w:rFonts w:ascii="Palatino Linotype" w:eastAsia="Palatino Linotype" w:hAnsi="Palatino Linotype" w:cs="Palatino Linotype"/>
      <w:color w:val="000000"/>
      <w:sz w:val="20"/>
    </w:rPr>
  </w:style>
  <w:style w:type="character" w:customStyle="1" w:styleId="footnotedescriptionChar">
    <w:name w:val="footnote description Char"/>
    <w:link w:val="footnotedescription"/>
    <w:rsid w:val="009A135A"/>
    <w:rPr>
      <w:rFonts w:ascii="Palatino Linotype" w:eastAsia="Palatino Linotype" w:hAnsi="Palatino Linotype" w:cs="Palatino Linotype"/>
      <w:color w:val="000000"/>
      <w:sz w:val="20"/>
    </w:rPr>
  </w:style>
  <w:style w:type="character" w:customStyle="1" w:styleId="footnotemark">
    <w:name w:val="footnote mark"/>
    <w:hidden/>
    <w:rsid w:val="009A135A"/>
    <w:rPr>
      <w:rFonts w:ascii="Palatino Linotype" w:eastAsia="Palatino Linotype" w:hAnsi="Palatino Linotype" w:cs="Palatino Linotype"/>
      <w:b/>
      <w:color w:val="000000"/>
      <w:sz w:val="20"/>
      <w:vertAlign w:val="superscript"/>
    </w:rPr>
  </w:style>
  <w:style w:type="paragraph" w:styleId="BalloonText">
    <w:name w:val="Balloon Text"/>
    <w:basedOn w:val="Normal"/>
    <w:link w:val="BalloonTextChar"/>
    <w:uiPriority w:val="99"/>
    <w:semiHidden/>
    <w:unhideWhenUsed/>
    <w:rsid w:val="006C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AF"/>
    <w:rPr>
      <w:rFonts w:ascii="Tahoma" w:hAnsi="Tahoma" w:cs="Tahoma"/>
      <w:sz w:val="16"/>
      <w:szCs w:val="16"/>
      <w:lang w:val="en-US"/>
    </w:rPr>
  </w:style>
  <w:style w:type="paragraph" w:styleId="NoSpacing">
    <w:name w:val="No Spacing"/>
    <w:uiPriority w:val="1"/>
    <w:qFormat/>
    <w:rsid w:val="00933D15"/>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4F"/>
    <w:rPr>
      <w:lang w:val="en-US"/>
    </w:rPr>
  </w:style>
  <w:style w:type="paragraph" w:styleId="Heading1">
    <w:name w:val="heading 1"/>
    <w:basedOn w:val="Normal"/>
    <w:next w:val="Normal"/>
    <w:link w:val="Heading1Char"/>
    <w:uiPriority w:val="9"/>
    <w:qFormat/>
    <w:rsid w:val="00BD2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2F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0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2F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D2F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56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7D2F7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0B00A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7D2F7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D2F7D"/>
    <w:rPr>
      <w:rFonts w:asciiTheme="majorHAnsi" w:eastAsiaTheme="majorEastAsia" w:hAnsiTheme="majorHAnsi" w:cstheme="majorBidi"/>
      <w:color w:val="2F5496" w:themeColor="accent1" w:themeShade="BF"/>
      <w:lang w:val="en-US"/>
    </w:rPr>
  </w:style>
  <w:style w:type="paragraph" w:styleId="ListParagraph">
    <w:name w:val="List Paragraph"/>
    <w:basedOn w:val="Normal"/>
    <w:uiPriority w:val="34"/>
    <w:qFormat/>
    <w:rsid w:val="000B00AF"/>
    <w:pPr>
      <w:ind w:left="720"/>
      <w:contextualSpacing/>
    </w:pPr>
  </w:style>
  <w:style w:type="table" w:customStyle="1" w:styleId="PlainTable2">
    <w:name w:val="Plain Table 2"/>
    <w:basedOn w:val="TableNormal"/>
    <w:uiPriority w:val="42"/>
    <w:rsid w:val="007D2F7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7D2F7D"/>
    <w:pPr>
      <w:tabs>
        <w:tab w:val="right" w:pos="9360"/>
      </w:tabs>
      <w:spacing w:line="480" w:lineRule="auto"/>
    </w:pPr>
    <w:rPr>
      <w:rFonts w:ascii="Times New Roman" w:hAnsi="Times New Roman" w:cs="Times New Roman"/>
      <w:bCs/>
      <w:noProof/>
      <w:sz w:val="24"/>
      <w:szCs w:val="24"/>
    </w:rPr>
  </w:style>
  <w:style w:type="character" w:styleId="Hyperlink">
    <w:name w:val="Hyperlink"/>
    <w:basedOn w:val="DefaultParagraphFont"/>
    <w:uiPriority w:val="99"/>
    <w:unhideWhenUsed/>
    <w:rsid w:val="007D2F7D"/>
    <w:rPr>
      <w:color w:val="0563C1" w:themeColor="hyperlink"/>
      <w:u w:val="single"/>
    </w:rPr>
  </w:style>
  <w:style w:type="paragraph" w:styleId="Header">
    <w:name w:val="header"/>
    <w:basedOn w:val="Normal"/>
    <w:link w:val="HeaderChar"/>
    <w:uiPriority w:val="99"/>
    <w:unhideWhenUsed/>
    <w:rsid w:val="007D2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7D"/>
    <w:rPr>
      <w:lang w:val="en-US"/>
    </w:rPr>
  </w:style>
  <w:style w:type="paragraph" w:styleId="Footer">
    <w:name w:val="footer"/>
    <w:basedOn w:val="Normal"/>
    <w:link w:val="FooterChar"/>
    <w:uiPriority w:val="99"/>
    <w:unhideWhenUsed/>
    <w:rsid w:val="007D2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7D"/>
    <w:rPr>
      <w:lang w:val="en-US"/>
    </w:rPr>
  </w:style>
  <w:style w:type="paragraph" w:styleId="TOCHeading">
    <w:name w:val="TOC Heading"/>
    <w:basedOn w:val="Heading1"/>
    <w:next w:val="Normal"/>
    <w:uiPriority w:val="39"/>
    <w:unhideWhenUsed/>
    <w:qFormat/>
    <w:rsid w:val="007D2F7D"/>
    <w:pPr>
      <w:outlineLvl w:val="9"/>
    </w:pPr>
  </w:style>
  <w:style w:type="paragraph" w:styleId="TOC1">
    <w:name w:val="toc 1"/>
    <w:basedOn w:val="Normal"/>
    <w:next w:val="Normal"/>
    <w:autoRedefine/>
    <w:uiPriority w:val="39"/>
    <w:unhideWhenUsed/>
    <w:rsid w:val="007D2F7D"/>
    <w:pPr>
      <w:tabs>
        <w:tab w:val="right" w:pos="9350"/>
      </w:tabs>
      <w:spacing w:after="100" w:line="480" w:lineRule="auto"/>
    </w:pPr>
    <w:rPr>
      <w:rFonts w:ascii="Times New Roman" w:hAnsi="Times New Roman" w:cs="Times New Roman"/>
      <w:b/>
      <w:bCs/>
      <w:noProof/>
    </w:rPr>
  </w:style>
  <w:style w:type="paragraph" w:styleId="TOC2">
    <w:name w:val="toc 2"/>
    <w:basedOn w:val="Normal"/>
    <w:next w:val="Normal"/>
    <w:autoRedefine/>
    <w:uiPriority w:val="39"/>
    <w:unhideWhenUsed/>
    <w:rsid w:val="007D2F7D"/>
    <w:pPr>
      <w:tabs>
        <w:tab w:val="right" w:pos="9350"/>
      </w:tabs>
      <w:spacing w:after="100" w:line="480" w:lineRule="auto"/>
      <w:ind w:left="720" w:hanging="720"/>
    </w:pPr>
  </w:style>
  <w:style w:type="paragraph" w:styleId="TOC3">
    <w:name w:val="toc 3"/>
    <w:basedOn w:val="Normal"/>
    <w:next w:val="Normal"/>
    <w:autoRedefine/>
    <w:uiPriority w:val="39"/>
    <w:unhideWhenUsed/>
    <w:rsid w:val="007D2F7D"/>
    <w:pPr>
      <w:tabs>
        <w:tab w:val="right" w:pos="9350"/>
      </w:tabs>
      <w:spacing w:after="100" w:line="480" w:lineRule="auto"/>
      <w:ind w:left="1440" w:hanging="630"/>
    </w:pPr>
    <w:rPr>
      <w:rFonts w:ascii="Times New Roman" w:hAnsi="Times New Roman" w:cs="Times New Roman"/>
      <w:noProof/>
      <w:sz w:val="24"/>
      <w:szCs w:val="24"/>
    </w:rPr>
  </w:style>
  <w:style w:type="paragraph" w:customStyle="1" w:styleId="whitespace-pre-wrap">
    <w:name w:val="whitespace-pre-wrap"/>
    <w:basedOn w:val="Normal"/>
    <w:rsid w:val="007D2F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5">
    <w:name w:val="Plain Table 5"/>
    <w:basedOn w:val="TableNormal"/>
    <w:uiPriority w:val="45"/>
    <w:rsid w:val="007D2F7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7D2F7D"/>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D2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D2F7D"/>
    <w:rPr>
      <w:sz w:val="20"/>
      <w:szCs w:val="20"/>
      <w:lang w:val="en-US"/>
    </w:rPr>
  </w:style>
  <w:style w:type="paragraph" w:styleId="CommentText">
    <w:name w:val="annotation text"/>
    <w:basedOn w:val="Normal"/>
    <w:link w:val="CommentTextChar"/>
    <w:uiPriority w:val="99"/>
    <w:semiHidden/>
    <w:unhideWhenUsed/>
    <w:rsid w:val="007D2F7D"/>
    <w:pPr>
      <w:spacing w:line="240" w:lineRule="auto"/>
    </w:pPr>
    <w:rPr>
      <w:sz w:val="20"/>
      <w:szCs w:val="20"/>
    </w:rPr>
  </w:style>
  <w:style w:type="character" w:customStyle="1" w:styleId="CommentSubjectChar">
    <w:name w:val="Comment Subject Char"/>
    <w:basedOn w:val="CommentTextChar"/>
    <w:link w:val="CommentSubject"/>
    <w:uiPriority w:val="99"/>
    <w:semiHidden/>
    <w:rsid w:val="007D2F7D"/>
    <w:rPr>
      <w:b/>
      <w:bCs/>
      <w:sz w:val="20"/>
      <w:szCs w:val="20"/>
      <w:lang w:val="en-US"/>
    </w:rPr>
  </w:style>
  <w:style w:type="paragraph" w:styleId="CommentSubject">
    <w:name w:val="annotation subject"/>
    <w:basedOn w:val="CommentText"/>
    <w:next w:val="CommentText"/>
    <w:link w:val="CommentSubjectChar"/>
    <w:uiPriority w:val="99"/>
    <w:semiHidden/>
    <w:unhideWhenUsed/>
    <w:rsid w:val="007D2F7D"/>
    <w:rPr>
      <w:b/>
      <w:bCs/>
    </w:rPr>
  </w:style>
  <w:style w:type="paragraph" w:styleId="TableofFigures">
    <w:name w:val="table of figures"/>
    <w:basedOn w:val="Normal"/>
    <w:next w:val="Normal"/>
    <w:uiPriority w:val="99"/>
    <w:unhideWhenUsed/>
    <w:rsid w:val="007D2F7D"/>
    <w:pPr>
      <w:spacing w:after="0"/>
    </w:pPr>
  </w:style>
  <w:style w:type="paragraph" w:customStyle="1" w:styleId="footnotedescription">
    <w:name w:val="footnote description"/>
    <w:next w:val="Normal"/>
    <w:link w:val="footnotedescriptionChar"/>
    <w:hidden/>
    <w:rsid w:val="009A135A"/>
    <w:pPr>
      <w:spacing w:after="0" w:line="228" w:lineRule="auto"/>
      <w:ind w:left="14" w:right="-1" w:firstLine="425"/>
      <w:jc w:val="both"/>
    </w:pPr>
    <w:rPr>
      <w:rFonts w:ascii="Palatino Linotype" w:eastAsia="Palatino Linotype" w:hAnsi="Palatino Linotype" w:cs="Palatino Linotype"/>
      <w:color w:val="000000"/>
      <w:sz w:val="20"/>
    </w:rPr>
  </w:style>
  <w:style w:type="character" w:customStyle="1" w:styleId="footnotedescriptionChar">
    <w:name w:val="footnote description Char"/>
    <w:link w:val="footnotedescription"/>
    <w:rsid w:val="009A135A"/>
    <w:rPr>
      <w:rFonts w:ascii="Palatino Linotype" w:eastAsia="Palatino Linotype" w:hAnsi="Palatino Linotype" w:cs="Palatino Linotype"/>
      <w:color w:val="000000"/>
      <w:sz w:val="20"/>
    </w:rPr>
  </w:style>
  <w:style w:type="character" w:customStyle="1" w:styleId="footnotemark">
    <w:name w:val="footnote mark"/>
    <w:hidden/>
    <w:rsid w:val="009A135A"/>
    <w:rPr>
      <w:rFonts w:ascii="Palatino Linotype" w:eastAsia="Palatino Linotype" w:hAnsi="Palatino Linotype" w:cs="Palatino Linotype"/>
      <w:b/>
      <w:color w:val="000000"/>
      <w:sz w:val="20"/>
      <w:vertAlign w:val="superscript"/>
    </w:rPr>
  </w:style>
  <w:style w:type="paragraph" w:styleId="BalloonText">
    <w:name w:val="Balloon Text"/>
    <w:basedOn w:val="Normal"/>
    <w:link w:val="BalloonTextChar"/>
    <w:uiPriority w:val="99"/>
    <w:semiHidden/>
    <w:unhideWhenUsed/>
    <w:rsid w:val="006C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AF"/>
    <w:rPr>
      <w:rFonts w:ascii="Tahoma" w:hAnsi="Tahoma" w:cs="Tahoma"/>
      <w:sz w:val="16"/>
      <w:szCs w:val="16"/>
      <w:lang w:val="en-US"/>
    </w:rPr>
  </w:style>
  <w:style w:type="paragraph" w:styleId="NoSpacing">
    <w:name w:val="No Spacing"/>
    <w:uiPriority w:val="1"/>
    <w:qFormat/>
    <w:rsid w:val="00933D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F6FE-F780-4BF7-9817-A1856463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6466</Words>
  <Characters>36859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qwert</cp:lastModifiedBy>
  <cp:revision>5</cp:revision>
  <dcterms:created xsi:type="dcterms:W3CDTF">2026-03-06T09:48:00Z</dcterms:created>
  <dcterms:modified xsi:type="dcterms:W3CDTF">2026-03-07T14:57:00Z</dcterms:modified>
</cp:coreProperties>
</file>