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92DA" w14:textId="325B255B" w:rsidR="009616C0" w:rsidRDefault="00386F48" w:rsidP="001D0439">
      <w:pPr>
        <w:jc w:val="center"/>
        <w:rPr>
          <w:rFonts w:ascii="Times New Roman" w:hAnsi="Times New Roman" w:cs="Times New Roman"/>
          <w:b/>
          <w:bCs/>
          <w:sz w:val="28"/>
          <w:szCs w:val="28"/>
        </w:rPr>
      </w:pPr>
      <w:r w:rsidRPr="00386F48">
        <w:rPr>
          <w:rFonts w:ascii="Times New Roman" w:hAnsi="Times New Roman" w:cs="Times New Roman"/>
          <w:b/>
          <w:bCs/>
          <w:sz w:val="28"/>
          <w:szCs w:val="28"/>
        </w:rPr>
        <w:t>Brain Care Score, Tau</w:t>
      </w:r>
      <w:r>
        <w:rPr>
          <w:rFonts w:ascii="Times New Roman" w:hAnsi="Times New Roman" w:cs="Times New Roman"/>
          <w:b/>
          <w:bCs/>
          <w:sz w:val="28"/>
          <w:szCs w:val="28"/>
        </w:rPr>
        <w:t>-</w:t>
      </w:r>
      <w:r w:rsidRPr="00386F48">
        <w:rPr>
          <w:rFonts w:ascii="Times New Roman" w:hAnsi="Times New Roman" w:cs="Times New Roman"/>
          <w:b/>
          <w:bCs/>
          <w:sz w:val="28"/>
          <w:szCs w:val="28"/>
        </w:rPr>
        <w:t>SUVr and Amyloid</w:t>
      </w:r>
      <w:r>
        <w:rPr>
          <w:rFonts w:ascii="Times New Roman" w:hAnsi="Times New Roman" w:cs="Times New Roman"/>
          <w:b/>
          <w:bCs/>
          <w:sz w:val="28"/>
          <w:szCs w:val="28"/>
        </w:rPr>
        <w:t>-</w:t>
      </w:r>
      <w:r w:rsidRPr="00386F48">
        <w:rPr>
          <w:rFonts w:ascii="Times New Roman" w:hAnsi="Times New Roman" w:cs="Times New Roman"/>
          <w:b/>
          <w:bCs/>
          <w:sz w:val="28"/>
          <w:szCs w:val="28"/>
        </w:rPr>
        <w:t>Tau Biomarkers Across Menopausal Transitions in Gender</w:t>
      </w:r>
      <w:r>
        <w:rPr>
          <w:rFonts w:ascii="Times New Roman" w:hAnsi="Times New Roman" w:cs="Times New Roman"/>
          <w:b/>
          <w:bCs/>
          <w:sz w:val="28"/>
          <w:szCs w:val="28"/>
        </w:rPr>
        <w:t>-</w:t>
      </w:r>
      <w:r w:rsidRPr="00386F48">
        <w:rPr>
          <w:rFonts w:ascii="Times New Roman" w:hAnsi="Times New Roman" w:cs="Times New Roman"/>
          <w:b/>
          <w:bCs/>
          <w:sz w:val="28"/>
          <w:szCs w:val="28"/>
        </w:rPr>
        <w:t>Specific Determinants of Dementia Risk</w:t>
      </w:r>
    </w:p>
    <w:p w14:paraId="4C4D4965" w14:textId="3E0BDD04"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Abstract</w:t>
      </w:r>
    </w:p>
    <w:p w14:paraId="0FA5DE3C" w14:textId="73750111" w:rsidR="00C7746B" w:rsidRDefault="00C7746B" w:rsidP="00C7746B">
      <w:pPr>
        <w:jc w:val="both"/>
        <w:rPr>
          <w:rFonts w:ascii="Times New Roman" w:hAnsi="Times New Roman" w:cs="Times New Roman"/>
          <w:sz w:val="24"/>
          <w:szCs w:val="24"/>
        </w:rPr>
      </w:pPr>
      <w:r w:rsidRPr="00C7746B">
        <w:rPr>
          <w:rFonts w:ascii="Times New Roman" w:hAnsi="Times New Roman" w:cs="Times New Roman"/>
          <w:sz w:val="24"/>
          <w:szCs w:val="24"/>
        </w:rPr>
        <w:t>Current dementia prevention strategies frequently rely on a generalized “one-size-fits-all” framework for risk assessment and clinical evaluation. However</w:t>
      </w:r>
      <w:r>
        <w:rPr>
          <w:rFonts w:ascii="Times New Roman" w:hAnsi="Times New Roman" w:cs="Times New Roman"/>
          <w:sz w:val="24"/>
          <w:szCs w:val="24"/>
        </w:rPr>
        <w:t xml:space="preserve">, it is evident </w:t>
      </w:r>
      <w:r w:rsidRPr="00C7746B">
        <w:rPr>
          <w:rFonts w:ascii="Times New Roman" w:hAnsi="Times New Roman" w:cs="Times New Roman"/>
          <w:sz w:val="24"/>
          <w:szCs w:val="24"/>
        </w:rPr>
        <w:t>that substantial biological, hormonal, and socio</w:t>
      </w:r>
      <w:r w:rsidR="00793C27">
        <w:rPr>
          <w:rFonts w:ascii="Times New Roman" w:hAnsi="Times New Roman" w:cs="Times New Roman"/>
          <w:sz w:val="24"/>
          <w:szCs w:val="24"/>
        </w:rPr>
        <w:t>-</w:t>
      </w:r>
      <w:r w:rsidRPr="00C7746B">
        <w:rPr>
          <w:rFonts w:ascii="Times New Roman" w:hAnsi="Times New Roman" w:cs="Times New Roman"/>
          <w:sz w:val="24"/>
          <w:szCs w:val="24"/>
        </w:rPr>
        <w:t xml:space="preserve">behavioral differences between males and females influence both dementia risk and diagnostic accuracy. </w:t>
      </w:r>
      <w:r>
        <w:rPr>
          <w:rFonts w:ascii="Times New Roman" w:hAnsi="Times New Roman" w:cs="Times New Roman"/>
          <w:sz w:val="24"/>
          <w:szCs w:val="24"/>
        </w:rPr>
        <w:t xml:space="preserve">In this context, the </w:t>
      </w:r>
      <w:r w:rsidRPr="00C7746B">
        <w:rPr>
          <w:rFonts w:ascii="Times New Roman" w:hAnsi="Times New Roman" w:cs="Times New Roman"/>
          <w:sz w:val="24"/>
          <w:szCs w:val="24"/>
        </w:rPr>
        <w:t>effectiveness of the Brain Care Score (BCS), a 21-point modifiable lifestyle and health assessment tool</w:t>
      </w:r>
      <w:r>
        <w:rPr>
          <w:rFonts w:ascii="Times New Roman" w:hAnsi="Times New Roman" w:cs="Times New Roman"/>
          <w:sz w:val="24"/>
          <w:szCs w:val="24"/>
        </w:rPr>
        <w:t xml:space="preserve"> is evaluated. </w:t>
      </w:r>
      <w:r w:rsidRPr="00C7746B">
        <w:rPr>
          <w:rFonts w:ascii="Times New Roman" w:hAnsi="Times New Roman" w:cs="Times New Roman"/>
          <w:sz w:val="24"/>
          <w:szCs w:val="24"/>
        </w:rPr>
        <w:t xml:space="preserve">By synthesizing data from large longitudinal cohort studies involving more than 250,000 participants, we highlight how incremental improvements in modifiable risk factors are associated with measurable reductions in the risk of dementia, stroke, and depression. </w:t>
      </w:r>
      <w:r>
        <w:rPr>
          <w:rFonts w:ascii="Times New Roman" w:hAnsi="Times New Roman" w:cs="Times New Roman"/>
          <w:sz w:val="24"/>
          <w:szCs w:val="24"/>
        </w:rPr>
        <w:t>C</w:t>
      </w:r>
      <w:r w:rsidRPr="00C7746B">
        <w:rPr>
          <w:rFonts w:ascii="Times New Roman" w:hAnsi="Times New Roman" w:cs="Times New Roman"/>
          <w:sz w:val="24"/>
          <w:szCs w:val="24"/>
        </w:rPr>
        <w:t>onventional diagnostic frameworks may underestimate early cognitive impairment in women.</w:t>
      </w:r>
      <w:r w:rsidR="001D0439">
        <w:rPr>
          <w:rFonts w:ascii="Times New Roman" w:hAnsi="Times New Roman" w:cs="Times New Roman"/>
          <w:sz w:val="24"/>
          <w:szCs w:val="24"/>
        </w:rPr>
        <w:t xml:space="preserve"> </w:t>
      </w:r>
      <w:r w:rsidR="001D0439" w:rsidRPr="001D0439">
        <w:rPr>
          <w:rFonts w:ascii="Times New Roman" w:hAnsi="Times New Roman" w:cs="Times New Roman"/>
          <w:sz w:val="24"/>
          <w:szCs w:val="24"/>
        </w:rPr>
        <w:t xml:space="preserve">Studies indicate that women often demonstrate higher baseline memory performance and greater cognitive reserve, which can mask early disease manifestations during standard neuropsychological testing. This phenomenon may delay diagnosis despite the presence of underlying neuropathology. </w:t>
      </w:r>
      <w:r w:rsidRPr="00C7746B">
        <w:rPr>
          <w:rFonts w:ascii="Times New Roman" w:hAnsi="Times New Roman" w:cs="Times New Roman"/>
          <w:sz w:val="24"/>
          <w:szCs w:val="24"/>
        </w:rPr>
        <w:t>Integrating lifestyle-based risk metrics such as BCS with sex-specific biomarker interpretation</w:t>
      </w:r>
      <w:r w:rsidR="001D0439">
        <w:rPr>
          <w:rFonts w:ascii="Times New Roman" w:hAnsi="Times New Roman" w:cs="Times New Roman"/>
          <w:sz w:val="24"/>
          <w:szCs w:val="24"/>
        </w:rPr>
        <w:t xml:space="preserve">, </w:t>
      </w:r>
      <w:r w:rsidRPr="00C7746B">
        <w:rPr>
          <w:rFonts w:ascii="Times New Roman" w:hAnsi="Times New Roman" w:cs="Times New Roman"/>
          <w:sz w:val="24"/>
          <w:szCs w:val="24"/>
        </w:rPr>
        <w:t>including patterns of Amyloid</w:t>
      </w:r>
      <w:r w:rsidRPr="00C7746B">
        <w:rPr>
          <w:rFonts w:ascii="Times New Roman" w:hAnsi="Times New Roman" w:cs="Times New Roman"/>
          <w:sz w:val="24"/>
          <w:szCs w:val="24"/>
        </w:rPr>
        <w:noBreakHyphen/>
        <w:t>beta deposition and Tau pathology</w:t>
      </w:r>
      <w:r w:rsidR="001D0439">
        <w:rPr>
          <w:rFonts w:ascii="Times New Roman" w:hAnsi="Times New Roman" w:cs="Times New Roman"/>
          <w:sz w:val="24"/>
          <w:szCs w:val="24"/>
        </w:rPr>
        <w:t xml:space="preserve"> </w:t>
      </w:r>
      <w:r w:rsidRPr="00C7746B">
        <w:rPr>
          <w:rFonts w:ascii="Times New Roman" w:hAnsi="Times New Roman" w:cs="Times New Roman"/>
          <w:sz w:val="24"/>
          <w:szCs w:val="24"/>
        </w:rPr>
        <w:t>provide</w:t>
      </w:r>
      <w:r w:rsidR="001D0439">
        <w:rPr>
          <w:rFonts w:ascii="Times New Roman" w:hAnsi="Times New Roman" w:cs="Times New Roman"/>
          <w:sz w:val="24"/>
          <w:szCs w:val="24"/>
        </w:rPr>
        <w:t>s</w:t>
      </w:r>
      <w:r w:rsidRPr="00C7746B">
        <w:rPr>
          <w:rFonts w:ascii="Times New Roman" w:hAnsi="Times New Roman" w:cs="Times New Roman"/>
          <w:sz w:val="24"/>
          <w:szCs w:val="24"/>
        </w:rPr>
        <w:t xml:space="preserve"> a more accurate assessment of early disease trajectories.</w:t>
      </w:r>
      <w:r w:rsidR="001D0439">
        <w:rPr>
          <w:rFonts w:ascii="Times New Roman" w:hAnsi="Times New Roman" w:cs="Times New Roman"/>
          <w:sz w:val="24"/>
          <w:szCs w:val="24"/>
        </w:rPr>
        <w:t xml:space="preserve"> </w:t>
      </w:r>
      <w:r w:rsidRPr="00C7746B">
        <w:rPr>
          <w:rFonts w:ascii="Times New Roman" w:hAnsi="Times New Roman" w:cs="Times New Roman"/>
          <w:sz w:val="24"/>
          <w:szCs w:val="24"/>
        </w:rPr>
        <w:t>Together, these findings support a more integrated framework for dementia prevention that combines lifestyle-based risk scoring with biologically informed, sex-specific diagnostic approaches. Such a strategy aligns with the broader goals of precision medicine by acknowledging that dementia risk and progression are shaped not only by modifiable lifestyle factors but also by sex-dependent neurobiological mechanisms. Incorporating both dimensions into clinical and research paradigms may improve early detection, refine risk stratification, and ultimately guide more effective prevention strategies tailored to individual patient profiles.</w:t>
      </w:r>
    </w:p>
    <w:p w14:paraId="5A75CB3C" w14:textId="77777777" w:rsidR="001D0439" w:rsidRDefault="001D0439" w:rsidP="00C7746B">
      <w:pPr>
        <w:jc w:val="both"/>
        <w:rPr>
          <w:rFonts w:ascii="Times New Roman" w:hAnsi="Times New Roman" w:cs="Times New Roman"/>
          <w:sz w:val="24"/>
          <w:szCs w:val="24"/>
        </w:rPr>
      </w:pPr>
    </w:p>
    <w:p w14:paraId="241468F9" w14:textId="77777777" w:rsidR="001D0439" w:rsidRPr="00C7746B" w:rsidRDefault="001D0439" w:rsidP="00C7746B">
      <w:pPr>
        <w:jc w:val="both"/>
        <w:rPr>
          <w:rFonts w:ascii="Times New Roman" w:hAnsi="Times New Roman" w:cs="Times New Roman"/>
          <w:sz w:val="24"/>
          <w:szCs w:val="24"/>
        </w:rPr>
      </w:pPr>
    </w:p>
    <w:p w14:paraId="60DB04E1" w14:textId="7B8DFA8E" w:rsidR="009616C0" w:rsidRPr="009616C0" w:rsidRDefault="009616C0" w:rsidP="00E83BAA">
      <w:pPr>
        <w:jc w:val="both"/>
        <w:rPr>
          <w:rFonts w:ascii="Times New Roman" w:hAnsi="Times New Roman" w:cs="Times New Roman"/>
          <w:sz w:val="24"/>
          <w:szCs w:val="24"/>
        </w:rPr>
      </w:pPr>
      <w:r w:rsidRPr="00E644F9">
        <w:rPr>
          <w:rFonts w:ascii="Times New Roman" w:hAnsi="Times New Roman" w:cs="Times New Roman"/>
          <w:b/>
          <w:bCs/>
          <w:sz w:val="24"/>
          <w:szCs w:val="24"/>
        </w:rPr>
        <w:t xml:space="preserve">Keywords: </w:t>
      </w:r>
      <w:r w:rsidRPr="00E644F9">
        <w:rPr>
          <w:rFonts w:ascii="Times New Roman" w:hAnsi="Times New Roman" w:cs="Times New Roman"/>
          <w:sz w:val="24"/>
          <w:szCs w:val="24"/>
        </w:rPr>
        <w:t xml:space="preserve">Dementia Prevention, Brain Care Score, </w:t>
      </w:r>
      <w:r w:rsidR="0011209B">
        <w:rPr>
          <w:rFonts w:ascii="Times New Roman" w:hAnsi="Times New Roman" w:cs="Times New Roman"/>
          <w:sz w:val="24"/>
          <w:szCs w:val="24"/>
        </w:rPr>
        <w:t>Gender</w:t>
      </w:r>
      <w:r w:rsidRPr="00E644F9">
        <w:rPr>
          <w:rFonts w:ascii="Times New Roman" w:hAnsi="Times New Roman" w:cs="Times New Roman"/>
          <w:sz w:val="24"/>
          <w:szCs w:val="24"/>
        </w:rPr>
        <w:t>-Specific Medicine, Alzheimer’s Biomarkers, Menopause, Cognitive Resilience</w:t>
      </w:r>
    </w:p>
    <w:p w14:paraId="1300BAE7" w14:textId="77777777" w:rsidR="00E644F9" w:rsidRDefault="00E644F9" w:rsidP="00E83BAA">
      <w:pPr>
        <w:jc w:val="both"/>
        <w:rPr>
          <w:rFonts w:ascii="Times New Roman" w:hAnsi="Times New Roman" w:cs="Times New Roman"/>
          <w:sz w:val="24"/>
          <w:szCs w:val="24"/>
        </w:rPr>
      </w:pPr>
    </w:p>
    <w:p w14:paraId="3A987DFD" w14:textId="77777777" w:rsidR="00E644F9" w:rsidRDefault="00E644F9" w:rsidP="00E83BAA">
      <w:pPr>
        <w:jc w:val="both"/>
        <w:rPr>
          <w:rFonts w:ascii="Times New Roman" w:hAnsi="Times New Roman" w:cs="Times New Roman"/>
          <w:sz w:val="24"/>
          <w:szCs w:val="24"/>
        </w:rPr>
      </w:pPr>
    </w:p>
    <w:p w14:paraId="6448A0E8" w14:textId="77777777" w:rsidR="00312F14" w:rsidRDefault="00312F14" w:rsidP="00E83BAA">
      <w:pPr>
        <w:jc w:val="both"/>
        <w:rPr>
          <w:rFonts w:ascii="Times New Roman" w:hAnsi="Times New Roman" w:cs="Times New Roman"/>
          <w:sz w:val="24"/>
          <w:szCs w:val="24"/>
        </w:rPr>
      </w:pPr>
    </w:p>
    <w:p w14:paraId="3812CF13" w14:textId="080288D9"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Introduction</w:t>
      </w:r>
    </w:p>
    <w:p w14:paraId="41A5C27C" w14:textId="5623ACD7" w:rsidR="009616C0" w:rsidRPr="009616C0"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The global burden of dementia continues to rise rapidly, with millions of new cases emerging each year across both high-income and low- and middle-income countries. Among neurodegenerative disorders, Alzheimer’s disease and related dementias represent the most prevalent forms, accounting for approximately 60</w:t>
      </w:r>
      <w:r w:rsidR="00E83BAA">
        <w:rPr>
          <w:rFonts w:ascii="Times New Roman" w:hAnsi="Times New Roman" w:cs="Times New Roman"/>
          <w:sz w:val="24"/>
          <w:szCs w:val="24"/>
        </w:rPr>
        <w:t>-</w:t>
      </w:r>
      <w:r w:rsidRPr="009616C0">
        <w:rPr>
          <w:rFonts w:ascii="Times New Roman" w:hAnsi="Times New Roman" w:cs="Times New Roman"/>
          <w:sz w:val="24"/>
          <w:szCs w:val="24"/>
        </w:rPr>
        <w:t>70 % of all dementia cases worldwide</w:t>
      </w:r>
      <w:r w:rsidR="00303D69">
        <w:rPr>
          <w:rFonts w:ascii="Times New Roman" w:hAnsi="Times New Roman" w:cs="Times New Roman"/>
          <w:sz w:val="24"/>
          <w:szCs w:val="24"/>
        </w:rPr>
        <w:t xml:space="preserve"> [1]</w:t>
      </w:r>
      <w:r w:rsidRPr="009616C0">
        <w:rPr>
          <w:rFonts w:ascii="Times New Roman" w:hAnsi="Times New Roman" w:cs="Times New Roman"/>
          <w:sz w:val="24"/>
          <w:szCs w:val="24"/>
        </w:rPr>
        <w:t>.</w:t>
      </w:r>
      <w:r w:rsidR="00303D69">
        <w:rPr>
          <w:rFonts w:ascii="Times New Roman" w:hAnsi="Times New Roman" w:cs="Times New Roman"/>
          <w:sz w:val="24"/>
          <w:szCs w:val="24"/>
        </w:rPr>
        <w:t xml:space="preserve"> </w:t>
      </w:r>
      <w:r w:rsidRPr="009616C0">
        <w:rPr>
          <w:rFonts w:ascii="Times New Roman" w:hAnsi="Times New Roman" w:cs="Times New Roman"/>
          <w:sz w:val="24"/>
          <w:szCs w:val="24"/>
        </w:rPr>
        <w:t xml:space="preserve">Epidemiological studies consistently demonstrate that women bear a disproportionate share of dementia prevalence. Nearly two-thirds of individuals diagnosed with Alzheimer’s disease globally are women, suggesting the involvement of biological as well as sociocultural determinants </w:t>
      </w:r>
      <w:r w:rsidR="00303D69">
        <w:rPr>
          <w:rFonts w:ascii="Times New Roman" w:hAnsi="Times New Roman" w:cs="Times New Roman"/>
          <w:sz w:val="24"/>
          <w:szCs w:val="24"/>
        </w:rPr>
        <w:t>[2]</w:t>
      </w:r>
      <w:r w:rsidRPr="009616C0">
        <w:rPr>
          <w:rFonts w:ascii="Times New Roman" w:hAnsi="Times New Roman" w:cs="Times New Roman"/>
          <w:sz w:val="24"/>
          <w:szCs w:val="24"/>
        </w:rPr>
        <w:t>.</w:t>
      </w:r>
      <w:r w:rsidR="00303D69">
        <w:rPr>
          <w:rFonts w:ascii="Times New Roman" w:hAnsi="Times New Roman" w:cs="Times New Roman"/>
          <w:sz w:val="24"/>
          <w:szCs w:val="24"/>
        </w:rPr>
        <w:t xml:space="preserve"> </w:t>
      </w:r>
      <w:r w:rsidRPr="009616C0">
        <w:rPr>
          <w:rFonts w:ascii="Times New Roman" w:hAnsi="Times New Roman" w:cs="Times New Roman"/>
          <w:sz w:val="24"/>
          <w:szCs w:val="24"/>
        </w:rPr>
        <w:t xml:space="preserve">Several factors contribute to this disparity. Women generally live longer than </w:t>
      </w:r>
      <w:r w:rsidRPr="009616C0">
        <w:rPr>
          <w:rFonts w:ascii="Times New Roman" w:hAnsi="Times New Roman" w:cs="Times New Roman"/>
          <w:sz w:val="24"/>
          <w:szCs w:val="24"/>
        </w:rPr>
        <w:lastRenderedPageBreak/>
        <w:t>men, increasing exposure to age-related neurodegenerative processes. However, longevity alone does not fully explain the difference. Biological mechanisms</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including hormonal transitions during menopause, sex-specific genetic influences, and immune responses</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may influence vulnerability to neuropathology</w:t>
      </w:r>
      <w:r w:rsidR="00303D69">
        <w:rPr>
          <w:rFonts w:ascii="Times New Roman" w:hAnsi="Times New Roman" w:cs="Times New Roman"/>
          <w:sz w:val="24"/>
          <w:szCs w:val="24"/>
        </w:rPr>
        <w:t xml:space="preserve"> [3]</w:t>
      </w:r>
      <w:r w:rsidRPr="009616C0">
        <w:rPr>
          <w:rFonts w:ascii="Times New Roman" w:hAnsi="Times New Roman" w:cs="Times New Roman"/>
          <w:sz w:val="24"/>
          <w:szCs w:val="24"/>
        </w:rPr>
        <w:t>. Simultaneously, sociocultural variables such as education level, healthcare access, and lifestyle behaviors interact with biological variables to shape dementia risk trajectories.</w:t>
      </w:r>
      <w:r w:rsidR="00303D69">
        <w:rPr>
          <w:rFonts w:ascii="Times New Roman" w:hAnsi="Times New Roman" w:cs="Times New Roman"/>
          <w:sz w:val="24"/>
          <w:szCs w:val="24"/>
        </w:rPr>
        <w:t xml:space="preserve"> </w:t>
      </w:r>
      <w:r w:rsidRPr="009616C0">
        <w:rPr>
          <w:rFonts w:ascii="Times New Roman" w:hAnsi="Times New Roman" w:cs="Times New Roman"/>
          <w:sz w:val="24"/>
          <w:szCs w:val="24"/>
        </w:rPr>
        <w:t>Traditional dementia risk prediction and diagnostic models have largely relied on sex-neutral thresholds for cognitive testing and biomarker interpretation. While these models provide population-level guidance, they may fail to capture important sex-specific variations in disease onset and progression</w:t>
      </w:r>
      <w:r w:rsidR="00303D69">
        <w:rPr>
          <w:rFonts w:ascii="Times New Roman" w:hAnsi="Times New Roman" w:cs="Times New Roman"/>
          <w:sz w:val="24"/>
          <w:szCs w:val="24"/>
        </w:rPr>
        <w:t xml:space="preserve"> [4]</w:t>
      </w:r>
      <w:r w:rsidRPr="009616C0">
        <w:rPr>
          <w:rFonts w:ascii="Times New Roman" w:hAnsi="Times New Roman" w:cs="Times New Roman"/>
          <w:sz w:val="24"/>
          <w:szCs w:val="24"/>
        </w:rPr>
        <w:t>. Consequently, women may remain undiagnosed or diagnosed later in the disease course despite harboring similar levels of underlying neuropathology.</w:t>
      </w:r>
      <w:r w:rsidR="00303D69">
        <w:rPr>
          <w:rFonts w:ascii="Times New Roman" w:hAnsi="Times New Roman" w:cs="Times New Roman"/>
          <w:sz w:val="24"/>
          <w:szCs w:val="24"/>
        </w:rPr>
        <w:t xml:space="preserve"> </w:t>
      </w:r>
      <w:r w:rsidRPr="009616C0">
        <w:rPr>
          <w:rFonts w:ascii="Times New Roman" w:hAnsi="Times New Roman" w:cs="Times New Roman"/>
          <w:sz w:val="24"/>
          <w:szCs w:val="24"/>
        </w:rPr>
        <w:t xml:space="preserve">Within this context, the Brain Care Score has emerged as a promising population-level tool designed to quantify modifiable risk factors associated with brain health </w:t>
      </w:r>
      <w:r w:rsidR="00303D69">
        <w:rPr>
          <w:rFonts w:ascii="Times New Roman" w:hAnsi="Times New Roman" w:cs="Times New Roman"/>
          <w:sz w:val="24"/>
          <w:szCs w:val="24"/>
        </w:rPr>
        <w:t>[5]</w:t>
      </w:r>
      <w:r w:rsidRPr="009616C0">
        <w:rPr>
          <w:rFonts w:ascii="Times New Roman" w:hAnsi="Times New Roman" w:cs="Times New Roman"/>
          <w:sz w:val="24"/>
          <w:szCs w:val="24"/>
        </w:rPr>
        <w:t>. This research explores how BCS can be integrated with sex-specific diagnostic frameworks to improve both preventative interventions and early detection strategies.</w:t>
      </w:r>
    </w:p>
    <w:p w14:paraId="3ADE47B2" w14:textId="4158A905" w:rsidR="00303D69" w:rsidRPr="00303D69"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Methodology</w:t>
      </w:r>
    </w:p>
    <w:p w14:paraId="3951DC00" w14:textId="77777777" w:rsidR="001D0439" w:rsidRPr="007E2FB9" w:rsidRDefault="009616C0" w:rsidP="001D0439">
      <w:pPr>
        <w:spacing w:line="276" w:lineRule="auto"/>
        <w:jc w:val="both"/>
        <w:rPr>
          <w:rFonts w:ascii="Times New Roman" w:hAnsi="Times New Roman" w:cs="Times New Roman"/>
          <w:sz w:val="24"/>
          <w:szCs w:val="24"/>
        </w:rPr>
      </w:pPr>
      <w:r w:rsidRPr="009616C0">
        <w:rPr>
          <w:rFonts w:ascii="Times New Roman" w:hAnsi="Times New Roman" w:cs="Times New Roman"/>
          <w:sz w:val="24"/>
          <w:szCs w:val="24"/>
        </w:rPr>
        <w:t>The Brain Care Score is a structured, evidence-based assessment developed to quantify modifiable lifestyle and health factors influencing long-term brain health. The score ranges from 0</w:t>
      </w:r>
      <w:r w:rsidR="00303D69">
        <w:rPr>
          <w:rFonts w:ascii="Times New Roman" w:hAnsi="Times New Roman" w:cs="Times New Roman"/>
          <w:sz w:val="24"/>
          <w:szCs w:val="24"/>
        </w:rPr>
        <w:t>-</w:t>
      </w:r>
      <w:r w:rsidRPr="009616C0">
        <w:rPr>
          <w:rFonts w:ascii="Times New Roman" w:hAnsi="Times New Roman" w:cs="Times New Roman"/>
          <w:sz w:val="24"/>
          <w:szCs w:val="24"/>
        </w:rPr>
        <w:t xml:space="preserve">21 points, with higher scores indicating healthier behaviors and lower risk profiles </w:t>
      </w:r>
      <w:r w:rsidR="00303D69">
        <w:rPr>
          <w:rFonts w:ascii="Times New Roman" w:hAnsi="Times New Roman" w:cs="Times New Roman"/>
          <w:sz w:val="24"/>
          <w:szCs w:val="24"/>
        </w:rPr>
        <w:t>[6]</w:t>
      </w:r>
      <w:r w:rsidRPr="009616C0">
        <w:rPr>
          <w:rFonts w:ascii="Times New Roman" w:hAnsi="Times New Roman" w:cs="Times New Roman"/>
          <w:sz w:val="24"/>
          <w:szCs w:val="24"/>
        </w:rPr>
        <w:t>.</w:t>
      </w:r>
      <w:r w:rsidR="00F053B2">
        <w:rPr>
          <w:rFonts w:ascii="Times New Roman" w:hAnsi="Times New Roman" w:cs="Times New Roman"/>
          <w:sz w:val="24"/>
          <w:szCs w:val="24"/>
        </w:rPr>
        <w:t xml:space="preserve"> </w:t>
      </w:r>
      <w:r w:rsidRPr="009616C0">
        <w:rPr>
          <w:rFonts w:ascii="Times New Roman" w:hAnsi="Times New Roman" w:cs="Times New Roman"/>
          <w:sz w:val="24"/>
          <w:szCs w:val="24"/>
        </w:rPr>
        <w:t>The BCS incorporates evidence from major dementia prevention studies, including the Lancet Commission on Dementia Prevention</w:t>
      </w:r>
      <w:r w:rsidR="00F053B2">
        <w:rPr>
          <w:rFonts w:ascii="Times New Roman" w:hAnsi="Times New Roman" w:cs="Times New Roman"/>
          <w:sz w:val="24"/>
          <w:szCs w:val="24"/>
        </w:rPr>
        <w:t xml:space="preserve"> [7]</w:t>
      </w:r>
      <w:r w:rsidRPr="009616C0">
        <w:rPr>
          <w:rFonts w:ascii="Times New Roman" w:hAnsi="Times New Roman" w:cs="Times New Roman"/>
          <w:sz w:val="24"/>
          <w:szCs w:val="24"/>
        </w:rPr>
        <w:t>, which identified several modifiable risk factors responsible for a significant proportion of dementia cases worldwide.</w:t>
      </w:r>
      <w:r w:rsidR="00F053B2">
        <w:rPr>
          <w:rFonts w:ascii="Times New Roman" w:hAnsi="Times New Roman" w:cs="Times New Roman"/>
          <w:sz w:val="24"/>
          <w:szCs w:val="24"/>
        </w:rPr>
        <w:t xml:space="preserve"> </w:t>
      </w:r>
      <w:r w:rsidRPr="009616C0">
        <w:rPr>
          <w:rFonts w:ascii="Times New Roman" w:hAnsi="Times New Roman" w:cs="Times New Roman"/>
          <w:sz w:val="24"/>
          <w:szCs w:val="24"/>
        </w:rPr>
        <w:t>The assessment consists of 12 questions organized into three domains.</w:t>
      </w:r>
      <w:r w:rsidR="001D0439">
        <w:rPr>
          <w:rFonts w:ascii="Times New Roman" w:hAnsi="Times New Roman" w:cs="Times New Roman"/>
          <w:sz w:val="24"/>
          <w:szCs w:val="24"/>
        </w:rPr>
        <w:t xml:space="preserve"> Hypothetically, a subject gains </w:t>
      </w:r>
      <w:r w:rsidR="001D0439" w:rsidRPr="007E2FB9">
        <w:rPr>
          <w:rFonts w:ascii="Times New Roman" w:hAnsi="Times New Roman" w:cs="Times New Roman"/>
          <w:sz w:val="24"/>
          <w:szCs w:val="24"/>
        </w:rPr>
        <w:t>+3 points</w:t>
      </w:r>
      <w:r w:rsidR="001D0439">
        <w:rPr>
          <w:rFonts w:ascii="Times New Roman" w:hAnsi="Times New Roman" w:cs="Times New Roman"/>
          <w:sz w:val="24"/>
          <w:szCs w:val="24"/>
        </w:rPr>
        <w:t xml:space="preserve"> if c</w:t>
      </w:r>
      <w:r w:rsidR="001D0439" w:rsidRPr="007E2FB9">
        <w:rPr>
          <w:rFonts w:ascii="Times New Roman" w:hAnsi="Times New Roman" w:cs="Times New Roman"/>
          <w:sz w:val="24"/>
          <w:szCs w:val="24"/>
        </w:rPr>
        <w:t>ontrols blood pressure</w:t>
      </w:r>
      <w:r w:rsidR="001D0439">
        <w:rPr>
          <w:rFonts w:ascii="Times New Roman" w:hAnsi="Times New Roman" w:cs="Times New Roman"/>
          <w:sz w:val="24"/>
          <w:szCs w:val="24"/>
        </w:rPr>
        <w:t xml:space="preserve">, </w:t>
      </w:r>
      <w:r w:rsidR="001D0439" w:rsidRPr="007E2FB9">
        <w:rPr>
          <w:rFonts w:ascii="Times New Roman" w:hAnsi="Times New Roman" w:cs="Times New Roman"/>
          <w:sz w:val="24"/>
          <w:szCs w:val="24"/>
        </w:rPr>
        <w:t>gains +1 point</w:t>
      </w:r>
      <w:r w:rsidR="001D0439">
        <w:rPr>
          <w:rFonts w:ascii="Times New Roman" w:hAnsi="Times New Roman" w:cs="Times New Roman"/>
          <w:sz w:val="24"/>
          <w:szCs w:val="24"/>
        </w:rPr>
        <w:t xml:space="preserve"> if s</w:t>
      </w:r>
      <w:r w:rsidR="001D0439" w:rsidRPr="007E2FB9">
        <w:rPr>
          <w:rFonts w:ascii="Times New Roman" w:hAnsi="Times New Roman" w:cs="Times New Roman"/>
          <w:sz w:val="24"/>
          <w:szCs w:val="24"/>
        </w:rPr>
        <w:t>leeps 7 hours regularly</w:t>
      </w:r>
      <w:r w:rsidR="001D0439">
        <w:rPr>
          <w:rFonts w:ascii="Times New Roman" w:hAnsi="Times New Roman" w:cs="Times New Roman"/>
          <w:sz w:val="24"/>
          <w:szCs w:val="24"/>
        </w:rPr>
        <w:t xml:space="preserve"> and </w:t>
      </w:r>
      <w:r w:rsidR="001D0439" w:rsidRPr="007E2FB9">
        <w:rPr>
          <w:rFonts w:ascii="Times New Roman" w:hAnsi="Times New Roman" w:cs="Times New Roman"/>
          <w:sz w:val="24"/>
          <w:szCs w:val="24"/>
        </w:rPr>
        <w:t>gains +1 point</w:t>
      </w:r>
      <w:r w:rsidR="001D0439">
        <w:rPr>
          <w:rFonts w:ascii="Times New Roman" w:hAnsi="Times New Roman" w:cs="Times New Roman"/>
          <w:sz w:val="24"/>
          <w:szCs w:val="24"/>
        </w:rPr>
        <w:t xml:space="preserve"> when i</w:t>
      </w:r>
      <w:r w:rsidR="001D0439" w:rsidRPr="007E2FB9">
        <w:rPr>
          <w:rFonts w:ascii="Times New Roman" w:hAnsi="Times New Roman" w:cs="Times New Roman"/>
          <w:sz w:val="24"/>
          <w:szCs w:val="24"/>
        </w:rPr>
        <w:t>ncreases social engagement</w:t>
      </w:r>
      <w:r w:rsidR="001D0439">
        <w:rPr>
          <w:rFonts w:ascii="Times New Roman" w:hAnsi="Times New Roman" w:cs="Times New Roman"/>
          <w:sz w:val="24"/>
          <w:szCs w:val="24"/>
        </w:rPr>
        <w:t xml:space="preserve">. </w:t>
      </w:r>
    </w:p>
    <w:p w14:paraId="1471B2F6" w14:textId="77777777" w:rsidR="001D0439" w:rsidRDefault="001D0439" w:rsidP="001D0439">
      <w:pPr>
        <w:spacing w:line="276" w:lineRule="auto"/>
        <w:jc w:val="both"/>
        <w:rPr>
          <w:rFonts w:ascii="Times New Roman" w:hAnsi="Times New Roman" w:cs="Times New Roman"/>
          <w:sz w:val="24"/>
          <w:szCs w:val="24"/>
        </w:rPr>
      </w:pPr>
      <w:r w:rsidRPr="007E2FB9">
        <w:rPr>
          <w:rFonts w:ascii="Times New Roman" w:hAnsi="Times New Roman" w:cs="Times New Roman"/>
          <w:sz w:val="24"/>
          <w:szCs w:val="24"/>
        </w:rPr>
        <w:t>Total improvement = +5 points</w:t>
      </w:r>
      <w:r>
        <w:rPr>
          <w:rFonts w:ascii="Times New Roman" w:hAnsi="Times New Roman" w:cs="Times New Roman"/>
          <w:sz w:val="24"/>
          <w:szCs w:val="24"/>
        </w:rPr>
        <w:t xml:space="preserve"> </w:t>
      </w:r>
    </w:p>
    <w:p w14:paraId="68EB3B5E" w14:textId="77777777" w:rsidR="001D0439" w:rsidRPr="007E2FB9" w:rsidRDefault="001D0439" w:rsidP="001D0439">
      <w:pPr>
        <w:spacing w:line="276" w:lineRule="auto"/>
        <w:jc w:val="both"/>
        <w:rPr>
          <w:rFonts w:ascii="Times New Roman" w:hAnsi="Times New Roman" w:cs="Times New Roman"/>
          <w:sz w:val="24"/>
          <w:szCs w:val="24"/>
        </w:rPr>
      </w:pPr>
      <w:r w:rsidRPr="007E2FB9">
        <w:rPr>
          <w:rFonts w:ascii="Times New Roman" w:hAnsi="Times New Roman" w:cs="Times New Roman"/>
          <w:sz w:val="24"/>
          <w:szCs w:val="24"/>
        </w:rPr>
        <w:t>Risk</w:t>
      </w:r>
      <w:r>
        <w:rPr>
          <w:rFonts w:ascii="Times New Roman" w:hAnsi="Times New Roman" w:cs="Times New Roman"/>
          <w:sz w:val="24"/>
          <w:szCs w:val="24"/>
        </w:rPr>
        <w:t xml:space="preserve"> Calculation: </w:t>
      </w:r>
      <w:r w:rsidRPr="007E2FB9">
        <w:rPr>
          <w:rFonts w:ascii="Times New Roman" w:hAnsi="Times New Roman" w:cs="Times New Roman"/>
          <w:sz w:val="24"/>
          <w:szCs w:val="24"/>
        </w:rPr>
        <w:t xml:space="preserve"> 0.90⁵ ≈ 0.59</w:t>
      </w:r>
    </w:p>
    <w:p w14:paraId="17BCF524" w14:textId="0FF3E352" w:rsidR="009616C0" w:rsidRDefault="001D0439" w:rsidP="001D0439">
      <w:pPr>
        <w:spacing w:line="276" w:lineRule="auto"/>
        <w:jc w:val="both"/>
        <w:rPr>
          <w:rFonts w:ascii="Times New Roman" w:hAnsi="Times New Roman" w:cs="Times New Roman"/>
          <w:sz w:val="24"/>
          <w:szCs w:val="24"/>
        </w:rPr>
      </w:pPr>
      <w:r w:rsidRPr="007E2FB9">
        <w:rPr>
          <w:rFonts w:ascii="Times New Roman" w:hAnsi="Times New Roman" w:cs="Times New Roman"/>
          <w:sz w:val="24"/>
          <w:szCs w:val="24"/>
        </w:rPr>
        <w:t>This means about 41% lower risk of major brain outcomes over time.</w:t>
      </w:r>
      <w:r>
        <w:rPr>
          <w:rFonts w:ascii="Times New Roman" w:hAnsi="Times New Roman" w:cs="Times New Roman"/>
          <w:sz w:val="24"/>
          <w:szCs w:val="24"/>
        </w:rPr>
        <w:t xml:space="preserve"> </w:t>
      </w:r>
      <w:r w:rsidR="0020186F">
        <w:rPr>
          <w:rFonts w:ascii="Times New Roman" w:hAnsi="Times New Roman" w:cs="Times New Roman"/>
          <w:sz w:val="24"/>
          <w:szCs w:val="24"/>
        </w:rPr>
        <w:t xml:space="preserve">Figure 1 </w:t>
      </w:r>
      <w:r w:rsidR="0020186F" w:rsidRPr="00C931E1">
        <w:rPr>
          <w:rFonts w:ascii="Times New Roman" w:hAnsi="Times New Roman" w:cs="Times New Roman"/>
          <w:sz w:val="24"/>
          <w:szCs w:val="24"/>
        </w:rPr>
        <w:t>represent</w:t>
      </w:r>
      <w:r w:rsidR="0020186F">
        <w:rPr>
          <w:rFonts w:ascii="Times New Roman" w:hAnsi="Times New Roman" w:cs="Times New Roman"/>
          <w:sz w:val="24"/>
          <w:szCs w:val="24"/>
        </w:rPr>
        <w:t xml:space="preserve">s </w:t>
      </w:r>
      <w:r w:rsidR="0020186F" w:rsidRPr="00C931E1">
        <w:rPr>
          <w:rFonts w:ascii="Times New Roman" w:hAnsi="Times New Roman" w:cs="Times New Roman"/>
          <w:sz w:val="24"/>
          <w:szCs w:val="24"/>
        </w:rPr>
        <w:t>the Brain Care Score (range 0</w:t>
      </w:r>
      <w:r w:rsidR="0020186F">
        <w:rPr>
          <w:rFonts w:ascii="Times New Roman" w:hAnsi="Times New Roman" w:cs="Times New Roman"/>
          <w:sz w:val="24"/>
          <w:szCs w:val="24"/>
        </w:rPr>
        <w:t>-</w:t>
      </w:r>
      <w:r w:rsidR="0020186F" w:rsidRPr="00C931E1">
        <w:rPr>
          <w:rFonts w:ascii="Times New Roman" w:hAnsi="Times New Roman" w:cs="Times New Roman"/>
          <w:sz w:val="24"/>
          <w:szCs w:val="24"/>
        </w:rPr>
        <w:t>21)</w:t>
      </w:r>
      <w:r w:rsidR="0020186F">
        <w:rPr>
          <w:rFonts w:ascii="Times New Roman" w:hAnsi="Times New Roman" w:cs="Times New Roman"/>
          <w:sz w:val="24"/>
          <w:szCs w:val="24"/>
        </w:rPr>
        <w:t xml:space="preserve"> showing </w:t>
      </w:r>
      <w:r w:rsidR="0020186F" w:rsidRPr="00C931E1">
        <w:rPr>
          <w:rFonts w:ascii="Times New Roman" w:hAnsi="Times New Roman" w:cs="Times New Roman"/>
          <w:sz w:val="24"/>
          <w:szCs w:val="24"/>
        </w:rPr>
        <w:t>progressive risk reduction with increasing score.</w:t>
      </w:r>
    </w:p>
    <w:p w14:paraId="2DA2C3CB" w14:textId="4FEFC69C" w:rsidR="0020186F" w:rsidRDefault="00C7746B" w:rsidP="00E83BA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A33AF2" wp14:editId="404649B0">
            <wp:extent cx="4254186" cy="2552700"/>
            <wp:effectExtent l="0" t="0" r="0" b="0"/>
            <wp:docPr id="5853006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00675" name="Picture 585300675"/>
                    <pic:cNvPicPr/>
                  </pic:nvPicPr>
                  <pic:blipFill>
                    <a:blip r:embed="rId5" cstate="print">
                      <a:extLst>
                        <a:ext uri="{BEBA8EAE-BF5A-486C-A8C5-ECC9F3942E4B}">
                          <a14:imgProps xmlns:a14="http://schemas.microsoft.com/office/drawing/2010/main">
                            <a14:imgLayer r:embed="rId6">
                              <a14:imgEffect>
                                <a14:sharpenSoften amount="17000"/>
                              </a14:imgEffect>
                              <a14:imgEffect>
                                <a14:saturation sat="232000"/>
                              </a14:imgEffect>
                            </a14:imgLayer>
                          </a14:imgProps>
                        </a:ext>
                        <a:ext uri="{28A0092B-C50C-407E-A947-70E740481C1C}">
                          <a14:useLocalDpi xmlns:a14="http://schemas.microsoft.com/office/drawing/2010/main" val="0"/>
                        </a:ext>
                      </a:extLst>
                    </a:blip>
                    <a:stretch>
                      <a:fillRect/>
                    </a:stretch>
                  </pic:blipFill>
                  <pic:spPr>
                    <a:xfrm>
                      <a:off x="0" y="0"/>
                      <a:ext cx="4265986" cy="2559780"/>
                    </a:xfrm>
                    <a:prstGeom prst="rect">
                      <a:avLst/>
                    </a:prstGeom>
                  </pic:spPr>
                </pic:pic>
              </a:graphicData>
            </a:graphic>
          </wp:inline>
        </w:drawing>
      </w:r>
    </w:p>
    <w:p w14:paraId="55F3A676" w14:textId="77777777" w:rsidR="00C7746B" w:rsidRDefault="0020186F" w:rsidP="007E2FB9">
      <w:pPr>
        <w:spacing w:line="276" w:lineRule="auto"/>
        <w:jc w:val="both"/>
        <w:rPr>
          <w:rFonts w:ascii="Times New Roman" w:hAnsi="Times New Roman" w:cs="Times New Roman"/>
          <w:sz w:val="24"/>
          <w:szCs w:val="24"/>
        </w:rPr>
      </w:pPr>
      <w:r w:rsidRPr="0020186F">
        <w:rPr>
          <w:rFonts w:ascii="Times New Roman" w:hAnsi="Times New Roman" w:cs="Times New Roman"/>
          <w:sz w:val="24"/>
          <w:szCs w:val="24"/>
        </w:rPr>
        <w:lastRenderedPageBreak/>
        <w:t>Figure 1. Brain Care Score (range 0</w:t>
      </w:r>
      <w:r>
        <w:rPr>
          <w:rFonts w:ascii="Times New Roman" w:hAnsi="Times New Roman" w:cs="Times New Roman"/>
          <w:sz w:val="24"/>
          <w:szCs w:val="24"/>
        </w:rPr>
        <w:t>-</w:t>
      </w:r>
      <w:r w:rsidRPr="0020186F">
        <w:rPr>
          <w:rFonts w:ascii="Times New Roman" w:hAnsi="Times New Roman" w:cs="Times New Roman"/>
          <w:sz w:val="24"/>
          <w:szCs w:val="24"/>
        </w:rPr>
        <w:t>21)</w:t>
      </w:r>
      <w:r>
        <w:rPr>
          <w:rFonts w:ascii="Times New Roman" w:hAnsi="Times New Roman" w:cs="Times New Roman"/>
          <w:sz w:val="24"/>
          <w:szCs w:val="24"/>
        </w:rPr>
        <w:t>. P</w:t>
      </w:r>
      <w:r w:rsidRPr="0020186F">
        <w:rPr>
          <w:rFonts w:ascii="Times New Roman" w:hAnsi="Times New Roman" w:cs="Times New Roman"/>
          <w:sz w:val="24"/>
          <w:szCs w:val="24"/>
        </w:rPr>
        <w:t>rogressive risk reduction with increasing score. Each one-point increase is associated with approximately 9</w:t>
      </w:r>
      <w:r>
        <w:rPr>
          <w:rFonts w:ascii="Times New Roman" w:hAnsi="Times New Roman" w:cs="Times New Roman"/>
          <w:sz w:val="24"/>
          <w:szCs w:val="24"/>
        </w:rPr>
        <w:t>-</w:t>
      </w:r>
      <w:r w:rsidRPr="0020186F">
        <w:rPr>
          <w:rFonts w:ascii="Times New Roman" w:hAnsi="Times New Roman" w:cs="Times New Roman"/>
          <w:sz w:val="24"/>
          <w:szCs w:val="24"/>
        </w:rPr>
        <w:t>11% lower risk of major brain outcomes (dementia, stroke, and depression). The score is derived from 12 modifiable factors grouped into behavioral, psychosocial, and clinical domains.</w:t>
      </w:r>
      <w:r>
        <w:rPr>
          <w:rFonts w:ascii="Times New Roman" w:hAnsi="Times New Roman" w:cs="Times New Roman"/>
          <w:sz w:val="24"/>
          <w:szCs w:val="24"/>
        </w:rPr>
        <w:t xml:space="preserve"> </w:t>
      </w:r>
    </w:p>
    <w:p w14:paraId="47152398" w14:textId="78D39A56" w:rsidR="009616C0" w:rsidRPr="009616C0" w:rsidRDefault="00BE557C" w:rsidP="00E83BAA">
      <w:pPr>
        <w:jc w:val="both"/>
        <w:rPr>
          <w:rFonts w:ascii="Times New Roman" w:hAnsi="Times New Roman" w:cs="Times New Roman"/>
          <w:i/>
          <w:iCs/>
          <w:sz w:val="24"/>
          <w:szCs w:val="24"/>
        </w:rPr>
      </w:pPr>
      <w:r>
        <w:rPr>
          <w:rFonts w:ascii="Times New Roman" w:hAnsi="Times New Roman" w:cs="Times New Roman"/>
          <w:i/>
          <w:iCs/>
          <w:sz w:val="24"/>
          <w:szCs w:val="24"/>
        </w:rPr>
        <w:t xml:space="preserve">Influencing </w:t>
      </w:r>
      <w:r w:rsidR="009616C0" w:rsidRPr="009616C0">
        <w:rPr>
          <w:rFonts w:ascii="Times New Roman" w:hAnsi="Times New Roman" w:cs="Times New Roman"/>
          <w:i/>
          <w:iCs/>
          <w:sz w:val="24"/>
          <w:szCs w:val="24"/>
        </w:rPr>
        <w:t>Factors</w:t>
      </w:r>
    </w:p>
    <w:p w14:paraId="01E2E30D" w14:textId="6AB6DED0" w:rsidR="009616C0" w:rsidRPr="009616C0"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Behavioral factors influencing neurological health include</w:t>
      </w:r>
      <w:r w:rsidR="00F053B2">
        <w:rPr>
          <w:rFonts w:ascii="Times New Roman" w:hAnsi="Times New Roman" w:cs="Times New Roman"/>
          <w:sz w:val="24"/>
          <w:szCs w:val="24"/>
        </w:rPr>
        <w:t xml:space="preserve"> d</w:t>
      </w:r>
      <w:r w:rsidRPr="009616C0">
        <w:rPr>
          <w:rFonts w:ascii="Times New Roman" w:hAnsi="Times New Roman" w:cs="Times New Roman"/>
          <w:sz w:val="24"/>
          <w:szCs w:val="24"/>
        </w:rPr>
        <w:t>iet quality (fruit and vegetable intake)</w:t>
      </w:r>
      <w:r w:rsidR="00F053B2">
        <w:rPr>
          <w:rFonts w:ascii="Times New Roman" w:hAnsi="Times New Roman" w:cs="Times New Roman"/>
          <w:sz w:val="24"/>
          <w:szCs w:val="24"/>
        </w:rPr>
        <w:t>, a</w:t>
      </w:r>
      <w:r w:rsidRPr="009616C0">
        <w:rPr>
          <w:rFonts w:ascii="Times New Roman" w:hAnsi="Times New Roman" w:cs="Times New Roman"/>
          <w:sz w:val="24"/>
          <w:szCs w:val="24"/>
        </w:rPr>
        <w:t>lcohol consumption patterns</w:t>
      </w:r>
      <w:r w:rsidR="00F053B2">
        <w:rPr>
          <w:rFonts w:ascii="Times New Roman" w:hAnsi="Times New Roman" w:cs="Times New Roman"/>
          <w:sz w:val="24"/>
          <w:szCs w:val="24"/>
        </w:rPr>
        <w:t>, s</w:t>
      </w:r>
      <w:r w:rsidRPr="009616C0">
        <w:rPr>
          <w:rFonts w:ascii="Times New Roman" w:hAnsi="Times New Roman" w:cs="Times New Roman"/>
          <w:sz w:val="24"/>
          <w:szCs w:val="24"/>
        </w:rPr>
        <w:t>moking status</w:t>
      </w:r>
      <w:r w:rsidR="00F053B2">
        <w:rPr>
          <w:rFonts w:ascii="Times New Roman" w:hAnsi="Times New Roman" w:cs="Times New Roman"/>
          <w:sz w:val="24"/>
          <w:szCs w:val="24"/>
        </w:rPr>
        <w:t>, a</w:t>
      </w:r>
      <w:r w:rsidRPr="009616C0">
        <w:rPr>
          <w:rFonts w:ascii="Times New Roman" w:hAnsi="Times New Roman" w:cs="Times New Roman"/>
          <w:sz w:val="24"/>
          <w:szCs w:val="24"/>
        </w:rPr>
        <w:t>erobic physical activity (≥150 minutes per week)</w:t>
      </w:r>
      <w:r w:rsidR="00F053B2">
        <w:rPr>
          <w:rFonts w:ascii="Times New Roman" w:hAnsi="Times New Roman" w:cs="Times New Roman"/>
          <w:sz w:val="24"/>
          <w:szCs w:val="24"/>
        </w:rPr>
        <w:t>, and s</w:t>
      </w:r>
      <w:r w:rsidRPr="009616C0">
        <w:rPr>
          <w:rFonts w:ascii="Times New Roman" w:hAnsi="Times New Roman" w:cs="Times New Roman"/>
          <w:sz w:val="24"/>
          <w:szCs w:val="24"/>
        </w:rPr>
        <w:t xml:space="preserve">leep duration </w:t>
      </w:r>
      <w:r w:rsidR="00F053B2">
        <w:rPr>
          <w:rFonts w:ascii="Times New Roman" w:hAnsi="Times New Roman" w:cs="Times New Roman"/>
          <w:sz w:val="24"/>
          <w:szCs w:val="24"/>
        </w:rPr>
        <w:t>&amp;</w:t>
      </w:r>
      <w:r w:rsidRPr="009616C0">
        <w:rPr>
          <w:rFonts w:ascii="Times New Roman" w:hAnsi="Times New Roman" w:cs="Times New Roman"/>
          <w:sz w:val="24"/>
          <w:szCs w:val="24"/>
        </w:rPr>
        <w:t xml:space="preserve"> quality (&gt;7 hours per night)</w:t>
      </w:r>
      <w:r w:rsidR="00F053B2">
        <w:rPr>
          <w:rFonts w:ascii="Times New Roman" w:hAnsi="Times New Roman" w:cs="Times New Roman"/>
          <w:sz w:val="24"/>
          <w:szCs w:val="24"/>
        </w:rPr>
        <w:t xml:space="preserve">. </w:t>
      </w:r>
      <w:r w:rsidRPr="009616C0">
        <w:rPr>
          <w:rFonts w:ascii="Times New Roman" w:hAnsi="Times New Roman" w:cs="Times New Roman"/>
          <w:sz w:val="24"/>
          <w:szCs w:val="24"/>
        </w:rPr>
        <w:t>Lifestyle interventions targeting these factors have been shown to reduce vascular and neurodegenerative disease risk</w:t>
      </w:r>
      <w:r w:rsidR="00F053B2">
        <w:rPr>
          <w:rFonts w:ascii="Times New Roman" w:hAnsi="Times New Roman" w:cs="Times New Roman"/>
          <w:sz w:val="24"/>
          <w:szCs w:val="24"/>
        </w:rPr>
        <w:t xml:space="preserve"> [8]</w:t>
      </w:r>
      <w:r w:rsidRPr="009616C0">
        <w:rPr>
          <w:rFonts w:ascii="Times New Roman" w:hAnsi="Times New Roman" w:cs="Times New Roman"/>
          <w:sz w:val="24"/>
          <w:szCs w:val="24"/>
        </w:rPr>
        <w:t>.</w:t>
      </w:r>
      <w:r w:rsidR="006D35C5">
        <w:rPr>
          <w:rFonts w:ascii="Times New Roman" w:hAnsi="Times New Roman" w:cs="Times New Roman"/>
          <w:sz w:val="24"/>
          <w:szCs w:val="24"/>
        </w:rPr>
        <w:t xml:space="preserve"> </w:t>
      </w:r>
      <w:r w:rsidRPr="009616C0">
        <w:rPr>
          <w:rFonts w:ascii="Times New Roman" w:hAnsi="Times New Roman" w:cs="Times New Roman"/>
          <w:sz w:val="24"/>
          <w:szCs w:val="24"/>
        </w:rPr>
        <w:t>Psychosocial health significantly influences cognitive resilience. This domain evaluates</w:t>
      </w:r>
      <w:r w:rsidR="00F053B2">
        <w:rPr>
          <w:rFonts w:ascii="Times New Roman" w:hAnsi="Times New Roman" w:cs="Times New Roman"/>
          <w:sz w:val="24"/>
          <w:szCs w:val="24"/>
        </w:rPr>
        <w:t xml:space="preserve"> s</w:t>
      </w:r>
      <w:r w:rsidRPr="009616C0">
        <w:rPr>
          <w:rFonts w:ascii="Times New Roman" w:hAnsi="Times New Roman" w:cs="Times New Roman"/>
          <w:sz w:val="24"/>
          <w:szCs w:val="24"/>
        </w:rPr>
        <w:t>tress management</w:t>
      </w:r>
      <w:r w:rsidR="00F053B2">
        <w:rPr>
          <w:rFonts w:ascii="Times New Roman" w:hAnsi="Times New Roman" w:cs="Times New Roman"/>
          <w:sz w:val="24"/>
          <w:szCs w:val="24"/>
        </w:rPr>
        <w:t>, s</w:t>
      </w:r>
      <w:r w:rsidRPr="009616C0">
        <w:rPr>
          <w:rFonts w:ascii="Times New Roman" w:hAnsi="Times New Roman" w:cs="Times New Roman"/>
          <w:sz w:val="24"/>
          <w:szCs w:val="24"/>
        </w:rPr>
        <w:t xml:space="preserve">ocial relationships </w:t>
      </w:r>
      <w:r w:rsidR="00F053B2">
        <w:rPr>
          <w:rFonts w:ascii="Times New Roman" w:hAnsi="Times New Roman" w:cs="Times New Roman"/>
          <w:sz w:val="24"/>
          <w:szCs w:val="24"/>
        </w:rPr>
        <w:t>&amp;</w:t>
      </w:r>
      <w:r w:rsidRPr="009616C0">
        <w:rPr>
          <w:rFonts w:ascii="Times New Roman" w:hAnsi="Times New Roman" w:cs="Times New Roman"/>
          <w:sz w:val="24"/>
          <w:szCs w:val="24"/>
        </w:rPr>
        <w:t xml:space="preserve"> engagement</w:t>
      </w:r>
      <w:r w:rsidR="00F053B2">
        <w:rPr>
          <w:rFonts w:ascii="Times New Roman" w:hAnsi="Times New Roman" w:cs="Times New Roman"/>
          <w:sz w:val="24"/>
          <w:szCs w:val="24"/>
        </w:rPr>
        <w:t>, and s</w:t>
      </w:r>
      <w:r w:rsidRPr="009616C0">
        <w:rPr>
          <w:rFonts w:ascii="Times New Roman" w:hAnsi="Times New Roman" w:cs="Times New Roman"/>
          <w:sz w:val="24"/>
          <w:szCs w:val="24"/>
        </w:rPr>
        <w:t>ense of purpose or meaning in life</w:t>
      </w:r>
      <w:r w:rsidR="00F053B2">
        <w:rPr>
          <w:rFonts w:ascii="Times New Roman" w:hAnsi="Times New Roman" w:cs="Times New Roman"/>
          <w:sz w:val="24"/>
          <w:szCs w:val="24"/>
        </w:rPr>
        <w:t xml:space="preserve">. </w:t>
      </w:r>
      <w:r w:rsidRPr="009616C0">
        <w:rPr>
          <w:rFonts w:ascii="Times New Roman" w:hAnsi="Times New Roman" w:cs="Times New Roman"/>
          <w:sz w:val="24"/>
          <w:szCs w:val="24"/>
        </w:rPr>
        <w:t>Social isolation and chronic stress have been independently associated with increased dementia risk</w:t>
      </w:r>
      <w:r w:rsidR="00F053B2">
        <w:rPr>
          <w:rFonts w:ascii="Times New Roman" w:hAnsi="Times New Roman" w:cs="Times New Roman"/>
          <w:sz w:val="24"/>
          <w:szCs w:val="24"/>
        </w:rPr>
        <w:t xml:space="preserve"> [9]</w:t>
      </w:r>
      <w:r w:rsidRPr="009616C0">
        <w:rPr>
          <w:rFonts w:ascii="Times New Roman" w:hAnsi="Times New Roman" w:cs="Times New Roman"/>
          <w:sz w:val="24"/>
          <w:szCs w:val="24"/>
        </w:rPr>
        <w:t>.</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Clinical indicators of metabolic and cardiovascular health include</w:t>
      </w:r>
      <w:r w:rsidR="00F053B2">
        <w:rPr>
          <w:rFonts w:ascii="Times New Roman" w:hAnsi="Times New Roman" w:cs="Times New Roman"/>
          <w:sz w:val="24"/>
          <w:szCs w:val="24"/>
        </w:rPr>
        <w:t xml:space="preserve"> b</w:t>
      </w:r>
      <w:r w:rsidRPr="009616C0">
        <w:rPr>
          <w:rFonts w:ascii="Times New Roman" w:hAnsi="Times New Roman" w:cs="Times New Roman"/>
          <w:sz w:val="24"/>
          <w:szCs w:val="24"/>
        </w:rPr>
        <w:t>lood pressure</w:t>
      </w:r>
      <w:r w:rsidR="00BE557C">
        <w:rPr>
          <w:rFonts w:ascii="Times New Roman" w:hAnsi="Times New Roman" w:cs="Times New Roman"/>
          <w:sz w:val="24"/>
          <w:szCs w:val="24"/>
        </w:rPr>
        <w:t>, g</w:t>
      </w:r>
      <w:r w:rsidRPr="009616C0">
        <w:rPr>
          <w:rFonts w:ascii="Times New Roman" w:hAnsi="Times New Roman" w:cs="Times New Roman"/>
          <w:sz w:val="24"/>
          <w:szCs w:val="24"/>
        </w:rPr>
        <w:t>lycated h</w:t>
      </w:r>
      <w:r w:rsidR="00793C27">
        <w:rPr>
          <w:rFonts w:ascii="Times New Roman" w:hAnsi="Times New Roman" w:cs="Times New Roman"/>
          <w:sz w:val="24"/>
          <w:szCs w:val="24"/>
        </w:rPr>
        <w:t>a</w:t>
      </w:r>
      <w:r w:rsidRPr="009616C0">
        <w:rPr>
          <w:rFonts w:ascii="Times New Roman" w:hAnsi="Times New Roman" w:cs="Times New Roman"/>
          <w:sz w:val="24"/>
          <w:szCs w:val="24"/>
        </w:rPr>
        <w:t>emoglobin (HbA1c)</w:t>
      </w:r>
      <w:r w:rsidR="00BE557C">
        <w:rPr>
          <w:rFonts w:ascii="Times New Roman" w:hAnsi="Times New Roman" w:cs="Times New Roman"/>
          <w:sz w:val="24"/>
          <w:szCs w:val="24"/>
        </w:rPr>
        <w:t>, c</w:t>
      </w:r>
      <w:r w:rsidRPr="009616C0">
        <w:rPr>
          <w:rFonts w:ascii="Times New Roman" w:hAnsi="Times New Roman" w:cs="Times New Roman"/>
          <w:sz w:val="24"/>
          <w:szCs w:val="24"/>
        </w:rPr>
        <w:t>holesterol levels</w:t>
      </w:r>
      <w:r w:rsidR="00BE557C">
        <w:rPr>
          <w:rFonts w:ascii="Times New Roman" w:hAnsi="Times New Roman" w:cs="Times New Roman"/>
          <w:sz w:val="24"/>
          <w:szCs w:val="24"/>
        </w:rPr>
        <w:t>, and b</w:t>
      </w:r>
      <w:r w:rsidRPr="009616C0">
        <w:rPr>
          <w:rFonts w:ascii="Times New Roman" w:hAnsi="Times New Roman" w:cs="Times New Roman"/>
          <w:sz w:val="24"/>
          <w:szCs w:val="24"/>
        </w:rPr>
        <w:t>ody mass</w:t>
      </w:r>
      <w:r w:rsidR="006D35C5">
        <w:rPr>
          <w:rFonts w:ascii="Times New Roman" w:hAnsi="Times New Roman" w:cs="Times New Roman"/>
          <w:sz w:val="24"/>
          <w:szCs w:val="24"/>
        </w:rPr>
        <w:t xml:space="preserve"> </w:t>
      </w:r>
      <w:r w:rsidRPr="009616C0">
        <w:rPr>
          <w:rFonts w:ascii="Times New Roman" w:hAnsi="Times New Roman" w:cs="Times New Roman"/>
          <w:sz w:val="24"/>
          <w:szCs w:val="24"/>
        </w:rPr>
        <w:t>index (BMI)</w:t>
      </w:r>
      <w:r w:rsidR="00BE557C">
        <w:rPr>
          <w:rFonts w:ascii="Times New Roman" w:hAnsi="Times New Roman" w:cs="Times New Roman"/>
          <w:sz w:val="24"/>
          <w:szCs w:val="24"/>
        </w:rPr>
        <w:t>.</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These vascular</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risk</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factors strongly influence neurodegeneration through mechanisms</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involving</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inflammation, endothelial dysfunction, and impaired cerebral perfusion</w:t>
      </w:r>
      <w:r w:rsidR="00BE557C">
        <w:rPr>
          <w:rFonts w:ascii="Times New Roman" w:hAnsi="Times New Roman" w:cs="Times New Roman"/>
          <w:sz w:val="24"/>
          <w:szCs w:val="24"/>
        </w:rPr>
        <w:t xml:space="preserve"> [10]</w:t>
      </w:r>
      <w:r w:rsidRPr="009616C0">
        <w:rPr>
          <w:rFonts w:ascii="Times New Roman" w:hAnsi="Times New Roman" w:cs="Times New Roman"/>
          <w:sz w:val="24"/>
          <w:szCs w:val="24"/>
        </w:rPr>
        <w:t>.</w:t>
      </w:r>
    </w:p>
    <w:p w14:paraId="73397C8E" w14:textId="4BA1C20F"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 xml:space="preserve">Results </w:t>
      </w:r>
    </w:p>
    <w:p w14:paraId="1A24D285" w14:textId="7817498A" w:rsidR="005B2568"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Population-level analyses</w:t>
      </w:r>
      <w:r w:rsidR="00BE557C">
        <w:rPr>
          <w:rFonts w:ascii="Times New Roman" w:hAnsi="Times New Roman" w:cs="Times New Roman"/>
          <w:sz w:val="24"/>
          <w:szCs w:val="24"/>
        </w:rPr>
        <w:t xml:space="preserve"> </w:t>
      </w:r>
      <w:r w:rsidR="00BE557C" w:rsidRPr="009616C0">
        <w:rPr>
          <w:rFonts w:ascii="Times New Roman" w:hAnsi="Times New Roman" w:cs="Times New Roman"/>
          <w:sz w:val="24"/>
          <w:szCs w:val="24"/>
        </w:rPr>
        <w:t>(N ≈ 200,000)</w:t>
      </w:r>
      <w:r w:rsidRPr="009616C0">
        <w:rPr>
          <w:rFonts w:ascii="Times New Roman" w:hAnsi="Times New Roman" w:cs="Times New Roman"/>
          <w:sz w:val="24"/>
          <w:szCs w:val="24"/>
        </w:rPr>
        <w:t xml:space="preserve"> indicate that the average Brain Care Score across large cohorts is approximately 15.8/21, suggesting moderate adherence to recommended brain-healthy behaviors.</w:t>
      </w:r>
      <w:r w:rsidR="00BE557C">
        <w:rPr>
          <w:rFonts w:ascii="Times New Roman" w:hAnsi="Times New Roman" w:cs="Times New Roman"/>
          <w:sz w:val="24"/>
          <w:szCs w:val="24"/>
        </w:rPr>
        <w:t xml:space="preserve"> </w:t>
      </w:r>
      <w:r w:rsidRPr="009616C0">
        <w:rPr>
          <w:rFonts w:ascii="Times New Roman" w:hAnsi="Times New Roman" w:cs="Times New Roman"/>
          <w:sz w:val="24"/>
          <w:szCs w:val="24"/>
        </w:rPr>
        <w:t>One key observation is the strong association between incremental improvements in BCS and reduced neurological risk. Data indicate that each one-point increase in BCS corresponds to approximately a 9</w:t>
      </w:r>
      <w:r w:rsidR="00BE557C">
        <w:rPr>
          <w:rFonts w:ascii="Times New Roman" w:hAnsi="Times New Roman" w:cs="Times New Roman"/>
          <w:sz w:val="24"/>
          <w:szCs w:val="24"/>
        </w:rPr>
        <w:t>-</w:t>
      </w:r>
      <w:r w:rsidRPr="009616C0">
        <w:rPr>
          <w:rFonts w:ascii="Times New Roman" w:hAnsi="Times New Roman" w:cs="Times New Roman"/>
          <w:sz w:val="24"/>
          <w:szCs w:val="24"/>
        </w:rPr>
        <w:t>11 % reduction in the risk of dementia, stroke, and depression</w:t>
      </w:r>
      <w:r w:rsidR="003E3EAF">
        <w:rPr>
          <w:rFonts w:ascii="Times New Roman" w:hAnsi="Times New Roman" w:cs="Times New Roman"/>
          <w:sz w:val="24"/>
          <w:szCs w:val="24"/>
        </w:rPr>
        <w:t xml:space="preserve"> (figure 1.)</w:t>
      </w:r>
      <w:r w:rsidR="00BE557C">
        <w:rPr>
          <w:rFonts w:ascii="Times New Roman" w:hAnsi="Times New Roman" w:cs="Times New Roman"/>
          <w:sz w:val="24"/>
          <w:szCs w:val="24"/>
        </w:rPr>
        <w:t xml:space="preserve"> [11]</w:t>
      </w:r>
      <w:r w:rsidRPr="009616C0">
        <w:rPr>
          <w:rFonts w:ascii="Times New Roman" w:hAnsi="Times New Roman" w:cs="Times New Roman"/>
          <w:sz w:val="24"/>
          <w:szCs w:val="24"/>
        </w:rPr>
        <w:t>.</w:t>
      </w:r>
      <w:r w:rsidR="0020186F">
        <w:rPr>
          <w:rFonts w:ascii="Times New Roman" w:hAnsi="Times New Roman" w:cs="Times New Roman"/>
          <w:sz w:val="24"/>
          <w:szCs w:val="24"/>
        </w:rPr>
        <w:t xml:space="preserve"> </w:t>
      </w:r>
      <w:r w:rsidRPr="009616C0">
        <w:rPr>
          <w:rFonts w:ascii="Times New Roman" w:hAnsi="Times New Roman" w:cs="Times New Roman"/>
          <w:sz w:val="24"/>
          <w:szCs w:val="24"/>
        </w:rPr>
        <w:t>These findings support the growing consensus that targeting modifiable lifestyle factors may substantially delay or reduce the incidence of neurodegenerative disease</w:t>
      </w:r>
      <w:r w:rsidR="00BE557C">
        <w:rPr>
          <w:rFonts w:ascii="Times New Roman" w:hAnsi="Times New Roman" w:cs="Times New Roman"/>
          <w:sz w:val="24"/>
          <w:szCs w:val="24"/>
        </w:rPr>
        <w:t xml:space="preserve"> [12]</w:t>
      </w:r>
      <w:r w:rsidRPr="009616C0">
        <w:rPr>
          <w:rFonts w:ascii="Times New Roman" w:hAnsi="Times New Roman" w:cs="Times New Roman"/>
          <w:sz w:val="24"/>
          <w:szCs w:val="24"/>
        </w:rPr>
        <w:t>.</w:t>
      </w:r>
      <w:r w:rsidR="006D35C5">
        <w:rPr>
          <w:rFonts w:ascii="Times New Roman" w:hAnsi="Times New Roman" w:cs="Times New Roman"/>
          <w:sz w:val="24"/>
          <w:szCs w:val="24"/>
        </w:rPr>
        <w:t xml:space="preserve"> </w:t>
      </w:r>
      <w:r w:rsidRPr="009616C0">
        <w:rPr>
          <w:rFonts w:ascii="Times New Roman" w:hAnsi="Times New Roman" w:cs="Times New Roman"/>
          <w:sz w:val="24"/>
          <w:szCs w:val="24"/>
        </w:rPr>
        <w:t>Traditional cognitive assessment models often fail to account for sex-specific cognitive differences. Studies demonstrate that women frequently exhibit higher baseline verbal memory performance compared with men, potentially masking early signs of cognitive decline</w:t>
      </w:r>
      <w:r w:rsidR="006D35C5">
        <w:rPr>
          <w:rFonts w:ascii="Times New Roman" w:hAnsi="Times New Roman" w:cs="Times New Roman"/>
          <w:sz w:val="24"/>
          <w:szCs w:val="24"/>
        </w:rPr>
        <w:t xml:space="preserve"> [13]</w:t>
      </w:r>
      <w:r w:rsidRPr="009616C0">
        <w:rPr>
          <w:rFonts w:ascii="Times New Roman" w:hAnsi="Times New Roman" w:cs="Times New Roman"/>
          <w:sz w:val="24"/>
          <w:szCs w:val="24"/>
        </w:rPr>
        <w:t>.</w:t>
      </w:r>
      <w:r w:rsidR="005B2568">
        <w:rPr>
          <w:rFonts w:ascii="Times New Roman" w:hAnsi="Times New Roman" w:cs="Times New Roman"/>
          <w:sz w:val="24"/>
          <w:szCs w:val="24"/>
        </w:rPr>
        <w:t xml:space="preserve"> Table 1 lists </w:t>
      </w:r>
      <w:r w:rsidR="005B2568" w:rsidRPr="005B2568">
        <w:rPr>
          <w:rFonts w:ascii="Times New Roman" w:hAnsi="Times New Roman" w:cs="Times New Roman"/>
          <w:sz w:val="24"/>
          <w:szCs w:val="24"/>
        </w:rPr>
        <w:t>the</w:t>
      </w:r>
      <w:r w:rsidR="005B2568">
        <w:rPr>
          <w:rFonts w:ascii="Times New Roman" w:hAnsi="Times New Roman" w:cs="Times New Roman"/>
          <w:sz w:val="24"/>
          <w:szCs w:val="24"/>
        </w:rPr>
        <w:t xml:space="preserve"> </w:t>
      </w:r>
      <w:r w:rsidR="005B2568" w:rsidRPr="005B2568">
        <w:rPr>
          <w:rFonts w:ascii="Times New Roman" w:hAnsi="Times New Roman" w:cs="Times New Roman"/>
          <w:sz w:val="24"/>
          <w:szCs w:val="24"/>
        </w:rPr>
        <w:t>relationship between modifiable lifestyle factors, sex-specific cognitive markers, and endocrine-driven biological risks</w:t>
      </w:r>
      <w:r w:rsidR="005B2568">
        <w:rPr>
          <w:rFonts w:ascii="Times New Roman" w:hAnsi="Times New Roman" w:cs="Times New Roman"/>
          <w:sz w:val="24"/>
          <w:szCs w:val="24"/>
        </w:rPr>
        <w:t xml:space="preserve">. </w:t>
      </w:r>
    </w:p>
    <w:tbl>
      <w:tblPr>
        <w:tblW w:w="0" w:type="auto"/>
        <w:tblCellSpacing w:w="15" w:type="dxa"/>
        <w:tblCellMar>
          <w:left w:w="0" w:type="dxa"/>
          <w:right w:w="0" w:type="dxa"/>
        </w:tblCellMar>
        <w:tblLook w:val="04A0" w:firstRow="1" w:lastRow="0" w:firstColumn="1" w:lastColumn="0" w:noHBand="0" w:noVBand="1"/>
      </w:tblPr>
      <w:tblGrid>
        <w:gridCol w:w="1892"/>
        <w:gridCol w:w="2048"/>
        <w:gridCol w:w="5076"/>
      </w:tblGrid>
      <w:tr w:rsidR="005B2568" w:rsidRPr="007944AE" w14:paraId="3CB13CA1" w14:textId="77777777" w:rsidTr="0075534C">
        <w:trPr>
          <w:tblHeader/>
          <w:tblCellSpacing w:w="15" w:type="dxa"/>
        </w:trPr>
        <w:tc>
          <w:tcPr>
            <w:tcW w:w="0" w:type="auto"/>
            <w:tcBorders>
              <w:top w:val="single" w:sz="4" w:space="0" w:color="auto"/>
              <w:left w:val="single" w:sz="4" w:space="0" w:color="auto"/>
              <w:bottom w:val="single" w:sz="4" w:space="0" w:color="auto"/>
            </w:tcBorders>
            <w:tcMar>
              <w:top w:w="240" w:type="dxa"/>
              <w:left w:w="0" w:type="dxa"/>
              <w:bottom w:w="240" w:type="dxa"/>
              <w:right w:w="180" w:type="dxa"/>
            </w:tcMar>
            <w:vAlign w:val="center"/>
            <w:hideMark/>
          </w:tcPr>
          <w:p w14:paraId="3FFE2C1D"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b/>
                <w:bCs/>
                <w:sz w:val="20"/>
                <w:szCs w:val="20"/>
              </w:rPr>
              <w:t>Domain</w:t>
            </w:r>
          </w:p>
        </w:tc>
        <w:tc>
          <w:tcPr>
            <w:tcW w:w="0" w:type="auto"/>
            <w:tcBorders>
              <w:top w:val="single" w:sz="4" w:space="0" w:color="auto"/>
              <w:bottom w:val="single" w:sz="4" w:space="0" w:color="auto"/>
            </w:tcBorders>
            <w:tcMar>
              <w:top w:w="240" w:type="dxa"/>
              <w:left w:w="0" w:type="dxa"/>
              <w:bottom w:w="240" w:type="dxa"/>
              <w:right w:w="180" w:type="dxa"/>
            </w:tcMar>
            <w:vAlign w:val="center"/>
            <w:hideMark/>
          </w:tcPr>
          <w:p w14:paraId="14EF34F9"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b/>
                <w:bCs/>
                <w:sz w:val="20"/>
                <w:szCs w:val="20"/>
              </w:rPr>
              <w:t>Key Metrics</w:t>
            </w:r>
          </w:p>
        </w:tc>
        <w:tc>
          <w:tcPr>
            <w:tcW w:w="0" w:type="auto"/>
            <w:tcBorders>
              <w:top w:val="single" w:sz="4" w:space="0" w:color="auto"/>
              <w:bottom w:val="single" w:sz="4" w:space="0" w:color="auto"/>
              <w:right w:val="single" w:sz="4" w:space="0" w:color="auto"/>
            </w:tcBorders>
            <w:tcMar>
              <w:top w:w="240" w:type="dxa"/>
              <w:left w:w="0" w:type="dxa"/>
              <w:bottom w:w="240" w:type="dxa"/>
              <w:right w:w="0" w:type="dxa"/>
            </w:tcMar>
            <w:vAlign w:val="center"/>
            <w:hideMark/>
          </w:tcPr>
          <w:p w14:paraId="37CFDF2B"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b/>
                <w:bCs/>
                <w:sz w:val="20"/>
                <w:szCs w:val="20"/>
              </w:rPr>
              <w:t>Impact on Neurodegeneration</w:t>
            </w:r>
          </w:p>
        </w:tc>
      </w:tr>
      <w:tr w:rsidR="005B2568" w:rsidRPr="007944AE" w14:paraId="73E17D15" w14:textId="77777777" w:rsidTr="0075534C">
        <w:trPr>
          <w:tblCellSpacing w:w="15" w:type="dxa"/>
        </w:trPr>
        <w:tc>
          <w:tcPr>
            <w:tcW w:w="0" w:type="auto"/>
            <w:tcBorders>
              <w:left w:val="single" w:sz="4" w:space="0" w:color="auto"/>
            </w:tcBorders>
            <w:tcMar>
              <w:top w:w="240" w:type="dxa"/>
              <w:left w:w="0" w:type="dxa"/>
              <w:bottom w:w="240" w:type="dxa"/>
              <w:right w:w="180" w:type="dxa"/>
            </w:tcMar>
            <w:vAlign w:val="center"/>
            <w:hideMark/>
          </w:tcPr>
          <w:p w14:paraId="766FB551" w14:textId="77777777" w:rsidR="005B2568" w:rsidRPr="007944AE" w:rsidRDefault="005B2568" w:rsidP="0075534C">
            <w:pPr>
              <w:jc w:val="center"/>
              <w:rPr>
                <w:rFonts w:ascii="Times New Roman" w:hAnsi="Times New Roman" w:cs="Times New Roman"/>
                <w:i/>
                <w:iCs/>
                <w:sz w:val="20"/>
                <w:szCs w:val="20"/>
              </w:rPr>
            </w:pPr>
            <w:r w:rsidRPr="0020186F">
              <w:rPr>
                <w:rFonts w:ascii="Times New Roman" w:hAnsi="Times New Roman" w:cs="Times New Roman"/>
                <w:b/>
                <w:bCs/>
                <w:i/>
                <w:iCs/>
                <w:sz w:val="20"/>
                <w:szCs w:val="20"/>
              </w:rPr>
              <w:t xml:space="preserve"> </w:t>
            </w:r>
            <w:r w:rsidRPr="007944AE">
              <w:rPr>
                <w:rFonts w:ascii="Times New Roman" w:hAnsi="Times New Roman" w:cs="Times New Roman"/>
                <w:b/>
                <w:bCs/>
                <w:i/>
                <w:iCs/>
                <w:sz w:val="20"/>
                <w:szCs w:val="20"/>
              </w:rPr>
              <w:t>BCS (Preventive)</w:t>
            </w:r>
          </w:p>
        </w:tc>
        <w:tc>
          <w:tcPr>
            <w:tcW w:w="0" w:type="auto"/>
            <w:tcMar>
              <w:top w:w="240" w:type="dxa"/>
              <w:left w:w="0" w:type="dxa"/>
              <w:bottom w:w="240" w:type="dxa"/>
              <w:right w:w="180" w:type="dxa"/>
            </w:tcMar>
            <w:vAlign w:val="center"/>
            <w:hideMark/>
          </w:tcPr>
          <w:p w14:paraId="368BD38C"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Diet, Sleep, BP, Social</w:t>
            </w:r>
          </w:p>
        </w:tc>
        <w:tc>
          <w:tcPr>
            <w:tcW w:w="0" w:type="auto"/>
            <w:tcBorders>
              <w:right w:val="single" w:sz="4" w:space="0" w:color="auto"/>
            </w:tcBorders>
            <w:tcMar>
              <w:top w:w="240" w:type="dxa"/>
              <w:left w:w="0" w:type="dxa"/>
              <w:bottom w:w="240" w:type="dxa"/>
              <w:right w:w="0" w:type="dxa"/>
            </w:tcMar>
            <w:vAlign w:val="center"/>
            <w:hideMark/>
          </w:tcPr>
          <w:p w14:paraId="2D3F63B9"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1 point = ~10% risk reduction via reduced inflammation.</w:t>
            </w:r>
          </w:p>
        </w:tc>
      </w:tr>
      <w:tr w:rsidR="005B2568" w:rsidRPr="007944AE" w14:paraId="5515B58C" w14:textId="77777777" w:rsidTr="0020186F">
        <w:trPr>
          <w:tblCellSpacing w:w="15" w:type="dxa"/>
        </w:trPr>
        <w:tc>
          <w:tcPr>
            <w:tcW w:w="0" w:type="auto"/>
            <w:tcBorders>
              <w:top w:val="single" w:sz="4" w:space="0" w:color="auto"/>
              <w:left w:val="single" w:sz="4" w:space="0" w:color="auto"/>
              <w:bottom w:val="single" w:sz="4" w:space="0" w:color="auto"/>
            </w:tcBorders>
            <w:tcMar>
              <w:top w:w="240" w:type="dxa"/>
              <w:left w:w="0" w:type="dxa"/>
              <w:bottom w:w="240" w:type="dxa"/>
              <w:right w:w="180" w:type="dxa"/>
            </w:tcMar>
            <w:vAlign w:val="center"/>
            <w:hideMark/>
          </w:tcPr>
          <w:p w14:paraId="2C887668" w14:textId="77777777" w:rsidR="005B2568" w:rsidRPr="007944AE" w:rsidRDefault="005B2568" w:rsidP="0075534C">
            <w:pPr>
              <w:jc w:val="center"/>
              <w:rPr>
                <w:rFonts w:ascii="Times New Roman" w:hAnsi="Times New Roman" w:cs="Times New Roman"/>
                <w:i/>
                <w:iCs/>
                <w:sz w:val="20"/>
                <w:szCs w:val="20"/>
              </w:rPr>
            </w:pPr>
            <w:r w:rsidRPr="007944AE">
              <w:rPr>
                <w:rFonts w:ascii="Times New Roman" w:hAnsi="Times New Roman" w:cs="Times New Roman"/>
                <w:b/>
                <w:bCs/>
                <w:i/>
                <w:iCs/>
                <w:sz w:val="20"/>
                <w:szCs w:val="20"/>
              </w:rPr>
              <w:t>Cognitive (Diagnostic)</w:t>
            </w:r>
          </w:p>
        </w:tc>
        <w:tc>
          <w:tcPr>
            <w:tcW w:w="0" w:type="auto"/>
            <w:tcBorders>
              <w:top w:val="single" w:sz="4" w:space="0" w:color="auto"/>
              <w:bottom w:val="single" w:sz="4" w:space="0" w:color="auto"/>
            </w:tcBorders>
            <w:tcMar>
              <w:top w:w="240" w:type="dxa"/>
              <w:left w:w="0" w:type="dxa"/>
              <w:bottom w:w="240" w:type="dxa"/>
              <w:right w:w="180" w:type="dxa"/>
            </w:tcMar>
            <w:vAlign w:val="center"/>
            <w:hideMark/>
          </w:tcPr>
          <w:p w14:paraId="0A333D4A"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Verbal Memory</w:t>
            </w:r>
          </w:p>
        </w:tc>
        <w:tc>
          <w:tcPr>
            <w:tcW w:w="0" w:type="auto"/>
            <w:tcBorders>
              <w:top w:val="single" w:sz="4" w:space="0" w:color="auto"/>
              <w:bottom w:val="single" w:sz="4" w:space="0" w:color="auto"/>
              <w:right w:val="single" w:sz="4" w:space="0" w:color="auto"/>
            </w:tcBorders>
            <w:tcMar>
              <w:top w:w="240" w:type="dxa"/>
              <w:left w:w="0" w:type="dxa"/>
              <w:bottom w:w="240" w:type="dxa"/>
              <w:right w:w="0" w:type="dxa"/>
            </w:tcMar>
            <w:vAlign w:val="center"/>
            <w:hideMark/>
          </w:tcPr>
          <w:p w14:paraId="6AC2FAA0"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High baseline in women masks early atrophy; requires sex-specific thresholds.</w:t>
            </w:r>
          </w:p>
        </w:tc>
      </w:tr>
      <w:tr w:rsidR="005B2568" w:rsidRPr="007944AE" w14:paraId="11D62B1B" w14:textId="77777777" w:rsidTr="0075534C">
        <w:trPr>
          <w:tblCellSpacing w:w="15" w:type="dxa"/>
        </w:trPr>
        <w:tc>
          <w:tcPr>
            <w:tcW w:w="0" w:type="auto"/>
            <w:tcBorders>
              <w:left w:val="single" w:sz="4" w:space="0" w:color="auto"/>
              <w:bottom w:val="single" w:sz="4" w:space="0" w:color="auto"/>
            </w:tcBorders>
            <w:tcMar>
              <w:top w:w="240" w:type="dxa"/>
              <w:left w:w="0" w:type="dxa"/>
              <w:bottom w:w="240" w:type="dxa"/>
              <w:right w:w="180" w:type="dxa"/>
            </w:tcMar>
            <w:vAlign w:val="center"/>
            <w:hideMark/>
          </w:tcPr>
          <w:p w14:paraId="3CE2AB81" w14:textId="77777777" w:rsidR="005B2568" w:rsidRPr="007944AE" w:rsidRDefault="005B2568" w:rsidP="0075534C">
            <w:pPr>
              <w:jc w:val="center"/>
              <w:rPr>
                <w:rFonts w:ascii="Times New Roman" w:hAnsi="Times New Roman" w:cs="Times New Roman"/>
                <w:i/>
                <w:iCs/>
                <w:sz w:val="20"/>
                <w:szCs w:val="20"/>
              </w:rPr>
            </w:pPr>
            <w:r w:rsidRPr="007944AE">
              <w:rPr>
                <w:rFonts w:ascii="Times New Roman" w:hAnsi="Times New Roman" w:cs="Times New Roman"/>
                <w:b/>
                <w:bCs/>
                <w:i/>
                <w:iCs/>
                <w:sz w:val="20"/>
                <w:szCs w:val="20"/>
              </w:rPr>
              <w:t>Endocrine (Biological)</w:t>
            </w:r>
          </w:p>
        </w:tc>
        <w:tc>
          <w:tcPr>
            <w:tcW w:w="0" w:type="auto"/>
            <w:tcBorders>
              <w:bottom w:val="single" w:sz="4" w:space="0" w:color="auto"/>
            </w:tcBorders>
            <w:tcMar>
              <w:top w:w="240" w:type="dxa"/>
              <w:left w:w="0" w:type="dxa"/>
              <w:bottom w:w="240" w:type="dxa"/>
              <w:right w:w="180" w:type="dxa"/>
            </w:tcMar>
            <w:vAlign w:val="center"/>
            <w:hideMark/>
          </w:tcPr>
          <w:p w14:paraId="5EDA4010"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Estrogen, Menopausal Age</w:t>
            </w:r>
          </w:p>
        </w:tc>
        <w:tc>
          <w:tcPr>
            <w:tcW w:w="0" w:type="auto"/>
            <w:tcBorders>
              <w:bottom w:val="single" w:sz="4" w:space="0" w:color="auto"/>
              <w:right w:val="single" w:sz="4" w:space="0" w:color="auto"/>
            </w:tcBorders>
            <w:tcMar>
              <w:top w:w="240" w:type="dxa"/>
              <w:left w:w="0" w:type="dxa"/>
              <w:bottom w:w="240" w:type="dxa"/>
              <w:right w:w="0" w:type="dxa"/>
            </w:tcMar>
            <w:vAlign w:val="center"/>
            <w:hideMark/>
          </w:tcPr>
          <w:p w14:paraId="75D89B99"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Early menopause triggers mitochondrial dysfunction and Tau spread.</w:t>
            </w:r>
          </w:p>
        </w:tc>
      </w:tr>
    </w:tbl>
    <w:p w14:paraId="7972B106" w14:textId="119418F2" w:rsidR="005B2568" w:rsidRDefault="005B2568" w:rsidP="00E83BA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sidRPr="005B2568">
        <w:rPr>
          <w:rFonts w:ascii="Times New Roman" w:hAnsi="Times New Roman" w:cs="Times New Roman"/>
          <w:sz w:val="24"/>
          <w:szCs w:val="24"/>
        </w:rPr>
        <w:t>Determinants of Neurodegenerative Risk and Diagnostic Trajectories</w:t>
      </w:r>
      <w:r>
        <w:rPr>
          <w:rFonts w:ascii="Times New Roman" w:hAnsi="Times New Roman" w:cs="Times New Roman"/>
          <w:sz w:val="24"/>
          <w:szCs w:val="24"/>
        </w:rPr>
        <w:t xml:space="preserve">. </w:t>
      </w:r>
    </w:p>
    <w:p w14:paraId="5F221943" w14:textId="77777777" w:rsidR="00E43B22" w:rsidRDefault="009616C0" w:rsidP="00E43B22">
      <w:pPr>
        <w:jc w:val="both"/>
        <w:rPr>
          <w:rFonts w:ascii="Times New Roman" w:hAnsi="Times New Roman" w:cs="Times New Roman"/>
          <w:sz w:val="24"/>
          <w:szCs w:val="24"/>
        </w:rPr>
      </w:pPr>
      <w:r w:rsidRPr="009616C0">
        <w:rPr>
          <w:rFonts w:ascii="Times New Roman" w:hAnsi="Times New Roman" w:cs="Times New Roman"/>
          <w:sz w:val="24"/>
          <w:szCs w:val="24"/>
        </w:rPr>
        <w:t>Research by Erin Sundermann and colleagues showed that women may maintain normal memory test scores despite having similar levels of amyloid pathology as men. This phenomenon reflects cognitive reserve, defined as the brain’s ability to maintain function despite underlying neuropathology.</w:t>
      </w:r>
      <w:r w:rsidR="0020186F">
        <w:rPr>
          <w:rFonts w:ascii="Times New Roman" w:hAnsi="Times New Roman" w:cs="Times New Roman"/>
          <w:sz w:val="24"/>
          <w:szCs w:val="24"/>
        </w:rPr>
        <w:t xml:space="preserve"> Figure 2 </w:t>
      </w:r>
      <w:r w:rsidR="00522BD8">
        <w:rPr>
          <w:rFonts w:ascii="Times New Roman" w:hAnsi="Times New Roman" w:cs="Times New Roman"/>
          <w:sz w:val="24"/>
          <w:szCs w:val="24"/>
        </w:rPr>
        <w:t>depicts the c</w:t>
      </w:r>
      <w:r w:rsidR="00522BD8" w:rsidRPr="00522BD8">
        <w:rPr>
          <w:rFonts w:ascii="Times New Roman" w:hAnsi="Times New Roman" w:cs="Times New Roman"/>
          <w:sz w:val="24"/>
          <w:szCs w:val="24"/>
        </w:rPr>
        <w:t>ognitive reserve masking effect in women</w:t>
      </w:r>
      <w:r w:rsidR="00522BD8">
        <w:rPr>
          <w:rFonts w:ascii="Times New Roman" w:hAnsi="Times New Roman" w:cs="Times New Roman"/>
          <w:sz w:val="24"/>
          <w:szCs w:val="24"/>
        </w:rPr>
        <w:t xml:space="preserve">. </w:t>
      </w:r>
      <w:r w:rsidR="00E43B22">
        <w:rPr>
          <w:rFonts w:ascii="Times New Roman" w:hAnsi="Times New Roman" w:cs="Times New Roman"/>
          <w:sz w:val="24"/>
          <w:szCs w:val="24"/>
        </w:rPr>
        <w:t xml:space="preserve">This shows why </w:t>
      </w:r>
      <w:r w:rsidR="00E43B22" w:rsidRPr="00E43B22">
        <w:rPr>
          <w:rFonts w:ascii="Times New Roman" w:hAnsi="Times New Roman" w:cs="Times New Roman"/>
          <w:sz w:val="24"/>
          <w:szCs w:val="24"/>
        </w:rPr>
        <w:t>women are often diagnosed at a more advanced stage of disease.</w:t>
      </w:r>
    </w:p>
    <w:p w14:paraId="54E1ACEF" w14:textId="3A2FF728" w:rsidR="00522BD8" w:rsidRDefault="00522BD8" w:rsidP="00E83BAA">
      <w:pPr>
        <w:jc w:val="both"/>
        <w:rPr>
          <w:rFonts w:ascii="Times New Roman" w:hAnsi="Times New Roman" w:cs="Times New Roman"/>
          <w:sz w:val="24"/>
          <w:szCs w:val="24"/>
        </w:rPr>
      </w:pPr>
    </w:p>
    <w:p w14:paraId="76DDEE4F" w14:textId="77777777" w:rsidR="001D0439" w:rsidRDefault="00E43B22" w:rsidP="00E83BA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2586EF" wp14:editId="775CB79B">
            <wp:extent cx="4343400" cy="2893515"/>
            <wp:effectExtent l="0" t="0" r="0" b="2540"/>
            <wp:docPr id="1444374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7409" name="Picture 144437409"/>
                    <pic:cNvPicPr/>
                  </pic:nvPicPr>
                  <pic:blipFill>
                    <a:blip r:embed="rId7" cstate="print">
                      <a:extLst>
                        <a:ext uri="{BEBA8EAE-BF5A-486C-A8C5-ECC9F3942E4B}">
                          <a14:imgProps xmlns:a14="http://schemas.microsoft.com/office/drawing/2010/main">
                            <a14:imgLayer r:embed="rId8">
                              <a14:imgEffect>
                                <a14:sharpenSoften amount="-6000"/>
                              </a14:imgEffect>
                              <a14:imgEffect>
                                <a14:saturation sat="184000"/>
                              </a14:imgEffect>
                            </a14:imgLayer>
                          </a14:imgProps>
                        </a:ext>
                        <a:ext uri="{28A0092B-C50C-407E-A947-70E740481C1C}">
                          <a14:useLocalDpi xmlns:a14="http://schemas.microsoft.com/office/drawing/2010/main" val="0"/>
                        </a:ext>
                      </a:extLst>
                    </a:blip>
                    <a:stretch>
                      <a:fillRect/>
                    </a:stretch>
                  </pic:blipFill>
                  <pic:spPr>
                    <a:xfrm>
                      <a:off x="0" y="0"/>
                      <a:ext cx="4368359" cy="2910143"/>
                    </a:xfrm>
                    <a:prstGeom prst="rect">
                      <a:avLst/>
                    </a:prstGeom>
                  </pic:spPr>
                </pic:pic>
              </a:graphicData>
            </a:graphic>
          </wp:inline>
        </w:drawing>
      </w:r>
    </w:p>
    <w:p w14:paraId="4B69EBDA" w14:textId="1E2B1C00" w:rsidR="00522BD8" w:rsidRDefault="00522BD8" w:rsidP="00E83BAA">
      <w:pPr>
        <w:jc w:val="both"/>
        <w:rPr>
          <w:rFonts w:ascii="Times New Roman" w:hAnsi="Times New Roman" w:cs="Times New Roman"/>
          <w:sz w:val="24"/>
          <w:szCs w:val="24"/>
        </w:rPr>
      </w:pPr>
      <w:r>
        <w:rPr>
          <w:rFonts w:ascii="Times New Roman" w:hAnsi="Times New Roman" w:cs="Times New Roman"/>
          <w:sz w:val="24"/>
          <w:szCs w:val="24"/>
        </w:rPr>
        <w:t xml:space="preserve">Figure 2. </w:t>
      </w:r>
      <w:r w:rsidRPr="00522BD8">
        <w:rPr>
          <w:rFonts w:ascii="Times New Roman" w:hAnsi="Times New Roman" w:cs="Times New Roman"/>
          <w:sz w:val="24"/>
          <w:szCs w:val="24"/>
        </w:rPr>
        <w:t>Cognitive reserve masking effect in women.</w:t>
      </w:r>
      <w:r>
        <w:rPr>
          <w:rFonts w:ascii="Times New Roman" w:hAnsi="Times New Roman" w:cs="Times New Roman"/>
          <w:sz w:val="24"/>
          <w:szCs w:val="24"/>
        </w:rPr>
        <w:t xml:space="preserve"> M</w:t>
      </w:r>
      <w:r w:rsidRPr="00522BD8">
        <w:rPr>
          <w:rFonts w:ascii="Times New Roman" w:hAnsi="Times New Roman" w:cs="Times New Roman"/>
          <w:sz w:val="24"/>
          <w:szCs w:val="24"/>
        </w:rPr>
        <w:t>odel showing the relationship between neuropathological burden (amyloid/tau) and memory performance in men and women. Women maintain higher cognitive test performance despite increasing pathology, delaying crossing of the diagnostic threshold. The shaded region represents the “cognitive reserve mask,” where significant pathology may be present despite normal cognitive scores.</w:t>
      </w:r>
      <w:r w:rsidR="00E43B22">
        <w:rPr>
          <w:rFonts w:ascii="Times New Roman" w:hAnsi="Times New Roman" w:cs="Times New Roman"/>
          <w:sz w:val="24"/>
          <w:szCs w:val="24"/>
        </w:rPr>
        <w:t xml:space="preserve"> </w:t>
      </w:r>
    </w:p>
    <w:p w14:paraId="1AB504A1" w14:textId="49590D07" w:rsidR="00046466" w:rsidRDefault="009616C0" w:rsidP="00046466">
      <w:pPr>
        <w:jc w:val="both"/>
        <w:rPr>
          <w:rFonts w:ascii="Times New Roman" w:hAnsi="Times New Roman" w:cs="Times New Roman"/>
          <w:sz w:val="24"/>
          <w:szCs w:val="24"/>
        </w:rPr>
      </w:pPr>
      <w:r w:rsidRPr="009616C0">
        <w:rPr>
          <w:rFonts w:ascii="Times New Roman" w:hAnsi="Times New Roman" w:cs="Times New Roman"/>
          <w:sz w:val="24"/>
          <w:szCs w:val="24"/>
        </w:rPr>
        <w:t>While cognitive reserve may delay symptom onset, it can also contribute to delayed diagnosis. As a result, women may present with more advanced neuropathology at the time of diagnosis.</w:t>
      </w:r>
      <w:r w:rsidR="006D35C5">
        <w:rPr>
          <w:rFonts w:ascii="Times New Roman" w:hAnsi="Times New Roman" w:cs="Times New Roman"/>
          <w:sz w:val="24"/>
          <w:szCs w:val="24"/>
        </w:rPr>
        <w:t xml:space="preserve"> </w:t>
      </w:r>
      <w:r w:rsidRPr="009616C0">
        <w:rPr>
          <w:rFonts w:ascii="Times New Roman" w:hAnsi="Times New Roman" w:cs="Times New Roman"/>
          <w:sz w:val="24"/>
          <w:szCs w:val="24"/>
        </w:rPr>
        <w:t>Studies comparing sex-neutral diagnostic thresholds with sex-specific benchmarks demonstrate that amnestic Mild Cognitive Impairment (aMCI) is significantly underdiagnosed in women when traditional criteria are applied</w:t>
      </w:r>
      <w:r w:rsidR="006D35C5">
        <w:rPr>
          <w:rFonts w:ascii="Times New Roman" w:hAnsi="Times New Roman" w:cs="Times New Roman"/>
          <w:sz w:val="24"/>
          <w:szCs w:val="24"/>
        </w:rPr>
        <w:t xml:space="preserve"> [14]</w:t>
      </w:r>
      <w:r w:rsidRPr="009616C0">
        <w:rPr>
          <w:rFonts w:ascii="Times New Roman" w:hAnsi="Times New Roman" w:cs="Times New Roman"/>
          <w:sz w:val="24"/>
          <w:szCs w:val="24"/>
        </w:rPr>
        <w:t>.</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 xml:space="preserve">Hormonal transitions during menopause represent a major biological determinant of dementia risk in women. Declining </w:t>
      </w:r>
      <w:r w:rsidR="00312F14">
        <w:rPr>
          <w:rFonts w:ascii="Times New Roman" w:hAnsi="Times New Roman" w:cs="Times New Roman"/>
          <w:sz w:val="24"/>
          <w:szCs w:val="24"/>
        </w:rPr>
        <w:t>E</w:t>
      </w:r>
      <w:r w:rsidRPr="009616C0">
        <w:rPr>
          <w:rFonts w:ascii="Times New Roman" w:hAnsi="Times New Roman" w:cs="Times New Roman"/>
          <w:sz w:val="24"/>
          <w:szCs w:val="24"/>
        </w:rPr>
        <w:t>strogen levels affect synaptic plasticity, mitochondrial function, and glucose metabolism in the brain</w:t>
      </w:r>
      <w:r w:rsidR="006D35C5">
        <w:rPr>
          <w:rFonts w:ascii="Times New Roman" w:hAnsi="Times New Roman" w:cs="Times New Roman"/>
          <w:sz w:val="24"/>
          <w:szCs w:val="24"/>
        </w:rPr>
        <w:t xml:space="preserve"> [15]</w:t>
      </w:r>
      <w:r w:rsidRPr="009616C0">
        <w:rPr>
          <w:rFonts w:ascii="Times New Roman" w:hAnsi="Times New Roman" w:cs="Times New Roman"/>
          <w:sz w:val="24"/>
          <w:szCs w:val="24"/>
        </w:rPr>
        <w:t>.</w:t>
      </w:r>
      <w:r w:rsidR="006D35C5">
        <w:rPr>
          <w:rFonts w:ascii="Times New Roman" w:hAnsi="Times New Roman" w:cs="Times New Roman"/>
          <w:sz w:val="24"/>
          <w:szCs w:val="24"/>
        </w:rPr>
        <w:t xml:space="preserve"> </w:t>
      </w:r>
      <w:r w:rsidR="005C0F65">
        <w:rPr>
          <w:rFonts w:ascii="Times New Roman" w:hAnsi="Times New Roman" w:cs="Times New Roman"/>
          <w:sz w:val="24"/>
          <w:szCs w:val="24"/>
        </w:rPr>
        <w:t xml:space="preserve">Lisa Mosconi </w:t>
      </w:r>
      <w:r w:rsidRPr="009616C0">
        <w:rPr>
          <w:rFonts w:ascii="Times New Roman" w:hAnsi="Times New Roman" w:cs="Times New Roman"/>
          <w:sz w:val="24"/>
          <w:szCs w:val="24"/>
        </w:rPr>
        <w:t>and colleagues (202</w:t>
      </w:r>
      <w:r w:rsidR="005C0F65">
        <w:rPr>
          <w:rFonts w:ascii="Times New Roman" w:hAnsi="Times New Roman" w:cs="Times New Roman"/>
          <w:sz w:val="24"/>
          <w:szCs w:val="24"/>
        </w:rPr>
        <w:t>5</w:t>
      </w:r>
      <w:r w:rsidRPr="009616C0">
        <w:rPr>
          <w:rFonts w:ascii="Times New Roman" w:hAnsi="Times New Roman" w:cs="Times New Roman"/>
          <w:sz w:val="24"/>
          <w:szCs w:val="24"/>
        </w:rPr>
        <w:t>) demonstrated that menopausal timing and hormone therapy initiation influence Alzheimer’s disease biomarker trajectories, particularly interactions between amyloid accumulation and entorhinal cortex tau-SUVr</w:t>
      </w:r>
      <w:r w:rsidR="005C0F65">
        <w:rPr>
          <w:rFonts w:ascii="Times New Roman" w:hAnsi="Times New Roman" w:cs="Times New Roman"/>
          <w:sz w:val="24"/>
          <w:szCs w:val="24"/>
        </w:rPr>
        <w:t xml:space="preserve"> [16]</w:t>
      </w:r>
      <w:r w:rsidRPr="009616C0">
        <w:rPr>
          <w:rFonts w:ascii="Times New Roman" w:hAnsi="Times New Roman" w:cs="Times New Roman"/>
          <w:sz w:val="24"/>
          <w:szCs w:val="24"/>
        </w:rPr>
        <w:t>.</w:t>
      </w:r>
      <w:r w:rsidR="00046466">
        <w:rPr>
          <w:rFonts w:ascii="Times New Roman" w:hAnsi="Times New Roman" w:cs="Times New Roman"/>
          <w:sz w:val="24"/>
          <w:szCs w:val="24"/>
        </w:rPr>
        <w:t xml:space="preserve"> Figure 3 illustrates the </w:t>
      </w:r>
      <w:r w:rsidR="00046466" w:rsidRPr="00046466">
        <w:rPr>
          <w:rFonts w:ascii="Times New Roman" w:hAnsi="Times New Roman" w:cs="Times New Roman"/>
          <w:sz w:val="24"/>
          <w:szCs w:val="24"/>
        </w:rPr>
        <w:t>changes in tau deposition (entorhinal cortex Tau-SUVr) across pre-menopause, perimenopause, and post-menopause.</w:t>
      </w:r>
    </w:p>
    <w:p w14:paraId="2E6E6197" w14:textId="727FA60E" w:rsidR="00046466" w:rsidRDefault="00046466" w:rsidP="00046466">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6126D5C" wp14:editId="4AFBB4EA">
            <wp:extent cx="5731510" cy="3365500"/>
            <wp:effectExtent l="0" t="0" r="2540" b="6350"/>
            <wp:docPr id="13140379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37957" name="Picture 1314037957"/>
                    <pic:cNvPicPr/>
                  </pic:nvPicPr>
                  <pic:blipFill>
                    <a:blip r:embed="rId9" cstate="print">
                      <a:extLst>
                        <a:ext uri="{BEBA8EAE-BF5A-486C-A8C5-ECC9F3942E4B}">
                          <a14:imgProps xmlns:a14="http://schemas.microsoft.com/office/drawing/2010/main">
                            <a14:imgLayer r:embed="rId10">
                              <a14:imgEffect>
                                <a14:sharpenSoften amount="9000"/>
                              </a14:imgEffect>
                              <a14:imgEffect>
                                <a14:saturation sat="192000"/>
                              </a14:imgEffect>
                            </a14:imgLayer>
                          </a14:imgProps>
                        </a:ext>
                        <a:ext uri="{28A0092B-C50C-407E-A947-70E740481C1C}">
                          <a14:useLocalDpi xmlns:a14="http://schemas.microsoft.com/office/drawing/2010/main" val="0"/>
                        </a:ext>
                      </a:extLst>
                    </a:blip>
                    <a:stretch>
                      <a:fillRect/>
                    </a:stretch>
                  </pic:blipFill>
                  <pic:spPr>
                    <a:xfrm>
                      <a:off x="0" y="0"/>
                      <a:ext cx="5731510" cy="3365500"/>
                    </a:xfrm>
                    <a:prstGeom prst="rect">
                      <a:avLst/>
                    </a:prstGeom>
                  </pic:spPr>
                </pic:pic>
              </a:graphicData>
            </a:graphic>
          </wp:inline>
        </w:drawing>
      </w:r>
    </w:p>
    <w:p w14:paraId="1D234E04" w14:textId="785596C3" w:rsidR="009616C0" w:rsidRDefault="00046466" w:rsidP="00046466">
      <w:pPr>
        <w:jc w:val="both"/>
        <w:rPr>
          <w:rFonts w:ascii="Times New Roman" w:hAnsi="Times New Roman" w:cs="Times New Roman"/>
          <w:sz w:val="24"/>
          <w:szCs w:val="24"/>
        </w:rPr>
      </w:pPr>
      <w:r>
        <w:rPr>
          <w:rFonts w:ascii="Times New Roman" w:hAnsi="Times New Roman" w:cs="Times New Roman"/>
          <w:sz w:val="24"/>
          <w:szCs w:val="24"/>
        </w:rPr>
        <w:t>Figure 3. H</w:t>
      </w:r>
      <w:r w:rsidRPr="00046466">
        <w:rPr>
          <w:rFonts w:ascii="Times New Roman" w:hAnsi="Times New Roman" w:cs="Times New Roman"/>
          <w:sz w:val="24"/>
          <w:szCs w:val="24"/>
        </w:rPr>
        <w:t>ormonal window and tau accumulation across menopausal transition.</w:t>
      </w:r>
      <w:r>
        <w:rPr>
          <w:rFonts w:ascii="Times New Roman" w:hAnsi="Times New Roman" w:cs="Times New Roman"/>
          <w:sz w:val="24"/>
          <w:szCs w:val="24"/>
        </w:rPr>
        <w:t xml:space="preserve"> C</w:t>
      </w:r>
      <w:r w:rsidRPr="00046466">
        <w:rPr>
          <w:rFonts w:ascii="Times New Roman" w:hAnsi="Times New Roman" w:cs="Times New Roman"/>
          <w:sz w:val="24"/>
          <w:szCs w:val="24"/>
        </w:rPr>
        <w:t>hanges in tau deposition (entorhinal cortex Tau-SUVr) across pre-menopause, perimenopause, and post-menopause</w:t>
      </w:r>
      <w:r>
        <w:rPr>
          <w:rFonts w:ascii="Times New Roman" w:hAnsi="Times New Roman" w:cs="Times New Roman"/>
          <w:sz w:val="24"/>
          <w:szCs w:val="24"/>
        </w:rPr>
        <w:t xml:space="preserve"> are depicted</w:t>
      </w:r>
      <w:r w:rsidRPr="00046466">
        <w:rPr>
          <w:rFonts w:ascii="Times New Roman" w:hAnsi="Times New Roman" w:cs="Times New Roman"/>
          <w:sz w:val="24"/>
          <w:szCs w:val="24"/>
        </w:rPr>
        <w:t xml:space="preserve">. Early menopause (&lt;40 years) is </w:t>
      </w:r>
      <w:r>
        <w:rPr>
          <w:rFonts w:ascii="Times New Roman" w:hAnsi="Times New Roman" w:cs="Times New Roman"/>
          <w:sz w:val="24"/>
          <w:szCs w:val="24"/>
        </w:rPr>
        <w:t>presented</w:t>
      </w:r>
      <w:r w:rsidRPr="00046466">
        <w:rPr>
          <w:rFonts w:ascii="Times New Roman" w:hAnsi="Times New Roman" w:cs="Times New Roman"/>
          <w:sz w:val="24"/>
          <w:szCs w:val="24"/>
        </w:rPr>
        <w:t xml:space="preserve"> as an accelerated inflection point for tau accumulation. The shaded region indicates the proposed “critical window”</w:t>
      </w:r>
      <w:r>
        <w:rPr>
          <w:rFonts w:ascii="Times New Roman" w:hAnsi="Times New Roman" w:cs="Times New Roman"/>
          <w:sz w:val="24"/>
          <w:szCs w:val="24"/>
        </w:rPr>
        <w:t xml:space="preserve">. </w:t>
      </w:r>
    </w:p>
    <w:p w14:paraId="6E74BA01" w14:textId="181B2098" w:rsidR="009616C0" w:rsidRPr="009616C0" w:rsidRDefault="006D35C5" w:rsidP="00E83BAA">
      <w:pPr>
        <w:jc w:val="both"/>
        <w:rPr>
          <w:rFonts w:ascii="Times New Roman" w:hAnsi="Times New Roman" w:cs="Times New Roman"/>
          <w:i/>
          <w:iCs/>
          <w:sz w:val="24"/>
          <w:szCs w:val="24"/>
        </w:rPr>
      </w:pPr>
      <w:r w:rsidRPr="006D35C5">
        <w:rPr>
          <w:rFonts w:ascii="Times New Roman" w:hAnsi="Times New Roman" w:cs="Times New Roman"/>
          <w:i/>
          <w:iCs/>
          <w:sz w:val="24"/>
          <w:szCs w:val="24"/>
        </w:rPr>
        <w:t>Specific V</w:t>
      </w:r>
      <w:r w:rsidR="009616C0" w:rsidRPr="009616C0">
        <w:rPr>
          <w:rFonts w:ascii="Times New Roman" w:hAnsi="Times New Roman" w:cs="Times New Roman"/>
          <w:i/>
          <w:iCs/>
          <w:sz w:val="24"/>
          <w:szCs w:val="24"/>
        </w:rPr>
        <w:t xml:space="preserve">ariables </w:t>
      </w:r>
    </w:p>
    <w:p w14:paraId="75ADF121" w14:textId="77777777" w:rsidR="001D0439"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Early menopause (before age 40) has been associated with increased tau accumulation and elevated Alzheimer’s disease risk</w:t>
      </w:r>
      <w:r w:rsidR="005C0F65">
        <w:rPr>
          <w:rFonts w:ascii="Times New Roman" w:hAnsi="Times New Roman" w:cs="Times New Roman"/>
          <w:sz w:val="24"/>
          <w:szCs w:val="24"/>
        </w:rPr>
        <w:t xml:space="preserve"> [16]</w:t>
      </w:r>
      <w:r w:rsidRPr="009616C0">
        <w:rPr>
          <w:rFonts w:ascii="Times New Roman" w:hAnsi="Times New Roman" w:cs="Times New Roman"/>
          <w:sz w:val="24"/>
          <w:szCs w:val="24"/>
        </w:rPr>
        <w:t>.</w:t>
      </w:r>
      <w:r w:rsidR="006D35C5">
        <w:rPr>
          <w:rFonts w:ascii="Times New Roman" w:hAnsi="Times New Roman" w:cs="Times New Roman"/>
          <w:sz w:val="24"/>
          <w:szCs w:val="24"/>
        </w:rPr>
        <w:t xml:space="preserve"> </w:t>
      </w:r>
      <w:r w:rsidR="005C0F65">
        <w:rPr>
          <w:rFonts w:ascii="Times New Roman" w:hAnsi="Times New Roman" w:cs="Times New Roman"/>
          <w:sz w:val="24"/>
          <w:szCs w:val="24"/>
        </w:rPr>
        <w:t>H</w:t>
      </w:r>
      <w:r w:rsidRPr="009616C0">
        <w:rPr>
          <w:rFonts w:ascii="Times New Roman" w:hAnsi="Times New Roman" w:cs="Times New Roman"/>
          <w:sz w:val="24"/>
          <w:szCs w:val="24"/>
        </w:rPr>
        <w:t>ormon</w:t>
      </w:r>
      <w:r w:rsidR="005C0F65">
        <w:rPr>
          <w:rFonts w:ascii="Times New Roman" w:hAnsi="Times New Roman" w:cs="Times New Roman"/>
          <w:sz w:val="24"/>
          <w:szCs w:val="24"/>
        </w:rPr>
        <w:t>al Imbalance</w:t>
      </w:r>
      <w:r w:rsidRPr="009616C0">
        <w:rPr>
          <w:rFonts w:ascii="Times New Roman" w:hAnsi="Times New Roman" w:cs="Times New Roman"/>
          <w:sz w:val="24"/>
          <w:szCs w:val="24"/>
        </w:rPr>
        <w:t xml:space="preserve"> after menopause is associated with higher tau pathology. These findings highlight the importance of incorporating reproductive history into dementia risk assessment frameworks</w:t>
      </w:r>
      <w:r w:rsidR="004147CD">
        <w:rPr>
          <w:rFonts w:ascii="Times New Roman" w:hAnsi="Times New Roman" w:cs="Times New Roman"/>
          <w:sz w:val="24"/>
          <w:szCs w:val="24"/>
        </w:rPr>
        <w:t xml:space="preserve">. </w:t>
      </w:r>
    </w:p>
    <w:p w14:paraId="55F25F30" w14:textId="6081FC03" w:rsidR="00E644F9" w:rsidRPr="001D0439" w:rsidRDefault="009616C0" w:rsidP="00E83BAA">
      <w:pPr>
        <w:jc w:val="both"/>
        <w:rPr>
          <w:rFonts w:ascii="Times New Roman" w:hAnsi="Times New Roman" w:cs="Times New Roman"/>
          <w:sz w:val="24"/>
          <w:szCs w:val="24"/>
        </w:rPr>
      </w:pPr>
      <w:r w:rsidRPr="009616C0">
        <w:rPr>
          <w:rFonts w:ascii="Times New Roman" w:hAnsi="Times New Roman" w:cs="Times New Roman"/>
          <w:b/>
          <w:bCs/>
          <w:sz w:val="24"/>
          <w:szCs w:val="24"/>
        </w:rPr>
        <w:t>Discussion</w:t>
      </w:r>
    </w:p>
    <w:p w14:paraId="1C258540" w14:textId="4FBBA01D" w:rsidR="00D5330C" w:rsidRPr="009616C0"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This paper proposes a dual-pathway framework describing how lifestyle and biological factors influence cognitive aging.</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Resistance mechanisms prevent or slow the development of neuropathology, including</w:t>
      </w:r>
      <w:r w:rsidR="004147CD">
        <w:rPr>
          <w:rFonts w:ascii="Times New Roman" w:hAnsi="Times New Roman" w:cs="Times New Roman"/>
          <w:sz w:val="24"/>
          <w:szCs w:val="24"/>
        </w:rPr>
        <w:t xml:space="preserve"> a</w:t>
      </w:r>
      <w:r w:rsidRPr="009616C0">
        <w:rPr>
          <w:rFonts w:ascii="Times New Roman" w:hAnsi="Times New Roman" w:cs="Times New Roman"/>
          <w:sz w:val="24"/>
          <w:szCs w:val="24"/>
        </w:rPr>
        <w:t>myloid-beta plaque formation</w:t>
      </w:r>
      <w:r w:rsidR="004147CD">
        <w:rPr>
          <w:rFonts w:ascii="Times New Roman" w:hAnsi="Times New Roman" w:cs="Times New Roman"/>
          <w:sz w:val="24"/>
          <w:szCs w:val="24"/>
        </w:rPr>
        <w:t>, t</w:t>
      </w:r>
      <w:r w:rsidRPr="009616C0">
        <w:rPr>
          <w:rFonts w:ascii="Times New Roman" w:hAnsi="Times New Roman" w:cs="Times New Roman"/>
          <w:sz w:val="24"/>
          <w:szCs w:val="24"/>
        </w:rPr>
        <w:t>au neurofibrillary tangles</w:t>
      </w:r>
      <w:r w:rsidR="004147CD">
        <w:rPr>
          <w:rFonts w:ascii="Times New Roman" w:hAnsi="Times New Roman" w:cs="Times New Roman"/>
          <w:sz w:val="24"/>
          <w:szCs w:val="24"/>
        </w:rPr>
        <w:t xml:space="preserve">, and </w:t>
      </w:r>
      <w:r w:rsidRPr="009616C0">
        <w:rPr>
          <w:rFonts w:ascii="Times New Roman" w:hAnsi="Times New Roman" w:cs="Times New Roman"/>
          <w:sz w:val="24"/>
          <w:szCs w:val="24"/>
        </w:rPr>
        <w:t>TDP-43 protein aggregation</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Lifestyle factors captured by the Brain Care Score, such as physical activity and cardiovascular health, may enhance resistance through anti-inflammatory and vascular protective mechanisms</w:t>
      </w:r>
      <w:r w:rsidR="004147CD">
        <w:rPr>
          <w:rFonts w:ascii="Times New Roman" w:hAnsi="Times New Roman" w:cs="Times New Roman"/>
          <w:sz w:val="24"/>
          <w:szCs w:val="24"/>
        </w:rPr>
        <w:t xml:space="preserve"> [5]</w:t>
      </w:r>
      <w:r w:rsidRPr="009616C0">
        <w:rPr>
          <w:rFonts w:ascii="Times New Roman" w:hAnsi="Times New Roman" w:cs="Times New Roman"/>
          <w:sz w:val="24"/>
          <w:szCs w:val="24"/>
        </w:rPr>
        <w:t>.</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Resilience refers to the brain’s ability to maintain function despite pathology. Mechanisms include</w:t>
      </w:r>
      <w:r w:rsidR="004147CD">
        <w:rPr>
          <w:rFonts w:ascii="Times New Roman" w:hAnsi="Times New Roman" w:cs="Times New Roman"/>
          <w:sz w:val="24"/>
          <w:szCs w:val="24"/>
        </w:rPr>
        <w:t xml:space="preserve"> n</w:t>
      </w:r>
      <w:r w:rsidRPr="009616C0">
        <w:rPr>
          <w:rFonts w:ascii="Times New Roman" w:hAnsi="Times New Roman" w:cs="Times New Roman"/>
          <w:sz w:val="24"/>
          <w:szCs w:val="24"/>
        </w:rPr>
        <w:t>eural network efficiency</w:t>
      </w:r>
      <w:r w:rsidR="004147CD">
        <w:rPr>
          <w:rFonts w:ascii="Times New Roman" w:hAnsi="Times New Roman" w:cs="Times New Roman"/>
          <w:sz w:val="24"/>
          <w:szCs w:val="24"/>
        </w:rPr>
        <w:t>, s</w:t>
      </w:r>
      <w:r w:rsidRPr="009616C0">
        <w:rPr>
          <w:rFonts w:ascii="Times New Roman" w:hAnsi="Times New Roman" w:cs="Times New Roman"/>
          <w:sz w:val="24"/>
          <w:szCs w:val="24"/>
        </w:rPr>
        <w:t>ynaptic plasticity</w:t>
      </w:r>
      <w:r w:rsidR="004147CD">
        <w:rPr>
          <w:rFonts w:ascii="Times New Roman" w:hAnsi="Times New Roman" w:cs="Times New Roman"/>
          <w:sz w:val="24"/>
          <w:szCs w:val="24"/>
        </w:rPr>
        <w:t>, and c</w:t>
      </w:r>
      <w:r w:rsidRPr="009616C0">
        <w:rPr>
          <w:rFonts w:ascii="Times New Roman" w:hAnsi="Times New Roman" w:cs="Times New Roman"/>
          <w:sz w:val="24"/>
          <w:szCs w:val="24"/>
        </w:rPr>
        <w:t>ognitive reserve</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Female-specific factors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including X-chromosome gene expression, pregnancy history, and hormonal transitions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may influence these resilience pathways</w:t>
      </w:r>
      <w:r w:rsidR="004147CD">
        <w:rPr>
          <w:rFonts w:ascii="Times New Roman" w:hAnsi="Times New Roman" w:cs="Times New Roman"/>
          <w:sz w:val="24"/>
          <w:szCs w:val="24"/>
        </w:rPr>
        <w:t xml:space="preserve"> [17]</w:t>
      </w:r>
      <w:r w:rsidRPr="009616C0">
        <w:rPr>
          <w:rFonts w:ascii="Times New Roman" w:hAnsi="Times New Roman" w:cs="Times New Roman"/>
          <w:sz w:val="24"/>
          <w:szCs w:val="24"/>
        </w:rPr>
        <w:t>.</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Understanding how resistance and resilience interact may enable more personalized dementia prevention strategies.</w:t>
      </w:r>
      <w:r w:rsidR="0020186F">
        <w:rPr>
          <w:rFonts w:ascii="Times New Roman" w:hAnsi="Times New Roman" w:cs="Times New Roman"/>
          <w:sz w:val="24"/>
          <w:szCs w:val="24"/>
        </w:rPr>
        <w:t xml:space="preserve"> </w:t>
      </w:r>
      <w:r w:rsidR="00D5330C" w:rsidRPr="00D5330C">
        <w:rPr>
          <w:rFonts w:ascii="Times New Roman" w:hAnsi="Times New Roman" w:cs="Times New Roman"/>
          <w:sz w:val="24"/>
          <w:szCs w:val="24"/>
        </w:rPr>
        <w:t>Recent advances in biomarker and mechanistic research further emphasize the importance of incorporating sex-specific considerations into dementia prevention and clinical research. Blood-based biomarkers</w:t>
      </w:r>
      <w:r w:rsidR="00D5330C">
        <w:rPr>
          <w:rFonts w:ascii="Times New Roman" w:hAnsi="Times New Roman" w:cs="Times New Roman"/>
          <w:sz w:val="24"/>
          <w:szCs w:val="24"/>
        </w:rPr>
        <w:t xml:space="preserve">; </w:t>
      </w:r>
      <w:r w:rsidR="00D5330C" w:rsidRPr="00D5330C">
        <w:rPr>
          <w:rFonts w:ascii="Times New Roman" w:hAnsi="Times New Roman" w:cs="Times New Roman"/>
          <w:sz w:val="24"/>
          <w:szCs w:val="24"/>
        </w:rPr>
        <w:t>including amyloid-beta ratios, phosphorylated tau isoforms, and neurofilament light chain</w:t>
      </w:r>
      <w:r w:rsidR="00D5330C">
        <w:rPr>
          <w:rFonts w:ascii="Times New Roman" w:hAnsi="Times New Roman" w:cs="Times New Roman"/>
          <w:sz w:val="24"/>
          <w:szCs w:val="24"/>
        </w:rPr>
        <w:t xml:space="preserve"> </w:t>
      </w:r>
      <w:r w:rsidR="00D5330C" w:rsidRPr="00D5330C">
        <w:rPr>
          <w:rFonts w:ascii="Times New Roman" w:hAnsi="Times New Roman" w:cs="Times New Roman"/>
          <w:sz w:val="24"/>
          <w:szCs w:val="24"/>
        </w:rPr>
        <w:t xml:space="preserve">have emerged as minimally invasive tools for early detection of neurodegenerative pathology and may provide opportunities for more personalized diagnostic frameworks when interpreted in the context of </w:t>
      </w:r>
      <w:r w:rsidR="00D5330C" w:rsidRPr="00D5330C">
        <w:rPr>
          <w:rFonts w:ascii="Times New Roman" w:hAnsi="Times New Roman" w:cs="Times New Roman"/>
          <w:sz w:val="24"/>
          <w:szCs w:val="24"/>
        </w:rPr>
        <w:lastRenderedPageBreak/>
        <w:t>biological differences between populations</w:t>
      </w:r>
      <w:r w:rsidR="00D5330C">
        <w:rPr>
          <w:rFonts w:ascii="Times New Roman" w:hAnsi="Times New Roman" w:cs="Times New Roman"/>
          <w:sz w:val="24"/>
          <w:szCs w:val="24"/>
        </w:rPr>
        <w:t xml:space="preserve"> [18]</w:t>
      </w:r>
      <w:r w:rsidR="00D5330C" w:rsidRPr="00D5330C">
        <w:rPr>
          <w:rFonts w:ascii="Times New Roman" w:hAnsi="Times New Roman" w:cs="Times New Roman"/>
          <w:sz w:val="24"/>
          <w:szCs w:val="24"/>
        </w:rPr>
        <w:t>. At the molecular level, experimental studies investigating tau pathology have demonstrated how subtle biological variations can substantially influence disease mechanisms. For instance, analyses of induced pluripotent stem cell-derived neurons and MAPT mutant mouse models have revealed a fetal tau bias, highlighting how developmental differences in tau isoform expression alter aggregation dynamics and vulnerability to pathology</w:t>
      </w:r>
      <w:r w:rsidR="00D5330C">
        <w:rPr>
          <w:rFonts w:ascii="Times New Roman" w:hAnsi="Times New Roman" w:cs="Times New Roman"/>
          <w:sz w:val="24"/>
          <w:szCs w:val="24"/>
        </w:rPr>
        <w:t xml:space="preserve"> [19]</w:t>
      </w:r>
      <w:r w:rsidR="00D5330C" w:rsidRPr="00D5330C">
        <w:rPr>
          <w:rFonts w:ascii="Times New Roman" w:hAnsi="Times New Roman" w:cs="Times New Roman"/>
          <w:sz w:val="24"/>
          <w:szCs w:val="24"/>
        </w:rPr>
        <w:t>. This distinction between fetal and adult tau biology illustrates how biological context can significantly influence neurodegenerative processes; by analogy, similar sex-based biological differences may contribute to divergent dementia trajectories between males and females. Consequently, future neuroscience clinical trials must account for such biological heterogeneity, as overlooking sex-specific differences in biomarker profiles, hormonal transitions, and disease progression has been identified as a key contributor to translational failures in neurodegenerative research</w:t>
      </w:r>
      <w:r w:rsidR="00D5330C">
        <w:rPr>
          <w:rFonts w:ascii="Times New Roman" w:hAnsi="Times New Roman" w:cs="Times New Roman"/>
          <w:sz w:val="24"/>
          <w:szCs w:val="24"/>
        </w:rPr>
        <w:t xml:space="preserve"> [20]</w:t>
      </w:r>
      <w:r w:rsidR="00D5330C" w:rsidRPr="00D5330C">
        <w:rPr>
          <w:rFonts w:ascii="Times New Roman" w:hAnsi="Times New Roman" w:cs="Times New Roman"/>
          <w:sz w:val="24"/>
          <w:szCs w:val="24"/>
        </w:rPr>
        <w:t>. Integrating gender-informed biomarker interpretation and stratified clinical trial design may therefore improve the reliability of therapeutic development and enhance the precision of dementia prevention strategies.</w:t>
      </w:r>
    </w:p>
    <w:p w14:paraId="0C23AC30" w14:textId="6472A7B1"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Conclusion</w:t>
      </w:r>
    </w:p>
    <w:p w14:paraId="54A45077" w14:textId="68095B9E" w:rsidR="009616C0"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Reducing the global burden of dementia will require moving beyond generalized public health recommendations toward precision-based prevention strategies.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 xml:space="preserve">The Brain Care Score provides a practical framework for identifying modifiable risk factors and guiding lifestyle interventions that promote brain health. However, its predictive value may be improved when combined with </w:t>
      </w:r>
      <w:r w:rsidR="004147CD">
        <w:rPr>
          <w:rFonts w:ascii="Times New Roman" w:hAnsi="Times New Roman" w:cs="Times New Roman"/>
          <w:sz w:val="24"/>
          <w:szCs w:val="24"/>
        </w:rPr>
        <w:t>gender</w:t>
      </w:r>
      <w:r w:rsidRPr="009616C0">
        <w:rPr>
          <w:rFonts w:ascii="Times New Roman" w:hAnsi="Times New Roman" w:cs="Times New Roman"/>
          <w:sz w:val="24"/>
          <w:szCs w:val="24"/>
        </w:rPr>
        <w:t>-specific diagnostic models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incorporating biomarker interpretation, hormonal history, and cognitive reserve metrics.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Future research should focus on refining BCS algorithms to include female-specific risk modifiers such as reproductive health history, hormone therapy timing, and social connectivity patterns. Such refinements may enhance early detection and prevention strategies for neurodegenerative diseases.</w:t>
      </w:r>
    </w:p>
    <w:p w14:paraId="1523ABD7" w14:textId="4E33F028" w:rsidR="00FC5B32" w:rsidRDefault="00FC5B32" w:rsidP="00E83BAA">
      <w:pPr>
        <w:jc w:val="both"/>
        <w:rPr>
          <w:rFonts w:ascii="Times New Roman" w:hAnsi="Times New Roman" w:cs="Times New Roman"/>
          <w:b/>
          <w:bCs/>
          <w:sz w:val="24"/>
          <w:szCs w:val="24"/>
        </w:rPr>
      </w:pPr>
      <w:r w:rsidRPr="00FC5B32">
        <w:rPr>
          <w:rFonts w:ascii="Times New Roman" w:hAnsi="Times New Roman" w:cs="Times New Roman"/>
          <w:b/>
          <w:bCs/>
          <w:sz w:val="24"/>
          <w:szCs w:val="24"/>
        </w:rPr>
        <w:t xml:space="preserve">List of abbreviations </w:t>
      </w:r>
    </w:p>
    <w:p w14:paraId="79B5AC15" w14:textId="77777777"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BCS: Brain Care Score</w:t>
      </w:r>
    </w:p>
    <w:p w14:paraId="44B203BB" w14:textId="24916AA9"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Aβ:</w:t>
      </w:r>
      <w:r>
        <w:rPr>
          <w:rFonts w:ascii="Times New Roman" w:hAnsi="Times New Roman" w:cs="Times New Roman"/>
          <w:sz w:val="24"/>
          <w:szCs w:val="24"/>
        </w:rPr>
        <w:t xml:space="preserve"> </w:t>
      </w:r>
      <w:r w:rsidRPr="00FC5B32">
        <w:rPr>
          <w:rFonts w:ascii="Times New Roman" w:hAnsi="Times New Roman" w:cs="Times New Roman"/>
          <w:sz w:val="24"/>
          <w:szCs w:val="24"/>
        </w:rPr>
        <w:t>Amyloid-beta, Tau represents Tau protein</w:t>
      </w:r>
    </w:p>
    <w:p w14:paraId="5B8F5F41" w14:textId="1F6B58D0"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SUVr</w:t>
      </w:r>
      <w:r>
        <w:rPr>
          <w:rFonts w:ascii="Times New Roman" w:hAnsi="Times New Roman" w:cs="Times New Roman"/>
          <w:sz w:val="24"/>
          <w:szCs w:val="24"/>
        </w:rPr>
        <w:t xml:space="preserve">: </w:t>
      </w:r>
      <w:r w:rsidRPr="00FC5B32">
        <w:rPr>
          <w:rFonts w:ascii="Times New Roman" w:hAnsi="Times New Roman" w:cs="Times New Roman"/>
          <w:sz w:val="24"/>
          <w:szCs w:val="24"/>
        </w:rPr>
        <w:t>Standardized Uptake Value Ratio</w:t>
      </w:r>
    </w:p>
    <w:p w14:paraId="55B65E9E" w14:textId="743AD384"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HR</w:t>
      </w:r>
      <w:r>
        <w:rPr>
          <w:rFonts w:ascii="Times New Roman" w:hAnsi="Times New Roman" w:cs="Times New Roman"/>
          <w:sz w:val="24"/>
          <w:szCs w:val="24"/>
        </w:rPr>
        <w:t xml:space="preserve">: </w:t>
      </w:r>
      <w:r w:rsidRPr="00FC5B32">
        <w:rPr>
          <w:rFonts w:ascii="Times New Roman" w:hAnsi="Times New Roman" w:cs="Times New Roman"/>
          <w:sz w:val="24"/>
          <w:szCs w:val="24"/>
        </w:rPr>
        <w:t>Hazard Ratio</w:t>
      </w:r>
    </w:p>
    <w:p w14:paraId="58AB62E5" w14:textId="31F428FB" w:rsidR="00FC5B32" w:rsidRDefault="00FC5B32" w:rsidP="00FC5B32">
      <w:pPr>
        <w:rPr>
          <w:rFonts w:ascii="Times New Roman" w:hAnsi="Times New Roman" w:cs="Times New Roman"/>
          <w:sz w:val="24"/>
          <w:szCs w:val="24"/>
        </w:rPr>
      </w:pPr>
      <w:r>
        <w:rPr>
          <w:rFonts w:ascii="Times New Roman" w:hAnsi="Times New Roman" w:cs="Times New Roman"/>
          <w:sz w:val="24"/>
          <w:szCs w:val="24"/>
        </w:rPr>
        <w:t>M</w:t>
      </w:r>
      <w:r w:rsidRPr="00FC5B32">
        <w:rPr>
          <w:rFonts w:ascii="Times New Roman" w:hAnsi="Times New Roman" w:cs="Times New Roman"/>
          <w:sz w:val="24"/>
          <w:szCs w:val="24"/>
        </w:rPr>
        <w:t xml:space="preserve">CI: </w:t>
      </w:r>
      <w:r>
        <w:rPr>
          <w:rFonts w:ascii="Times New Roman" w:hAnsi="Times New Roman" w:cs="Times New Roman"/>
          <w:sz w:val="24"/>
          <w:szCs w:val="24"/>
        </w:rPr>
        <w:t>Minor c</w:t>
      </w:r>
      <w:r w:rsidRPr="00FC5B32">
        <w:rPr>
          <w:rFonts w:ascii="Times New Roman" w:hAnsi="Times New Roman" w:cs="Times New Roman"/>
          <w:sz w:val="24"/>
          <w:szCs w:val="24"/>
        </w:rPr>
        <w:t>ognitive Impairment</w:t>
      </w:r>
    </w:p>
    <w:p w14:paraId="662C5DA1" w14:textId="77777777" w:rsidR="00FC5B32" w:rsidRDefault="00FC5B32" w:rsidP="00FC5B32">
      <w:pPr>
        <w:rPr>
          <w:rFonts w:ascii="Times New Roman" w:hAnsi="Times New Roman" w:cs="Times New Roman"/>
          <w:sz w:val="24"/>
          <w:szCs w:val="24"/>
        </w:rPr>
      </w:pPr>
      <w:r>
        <w:rPr>
          <w:rFonts w:ascii="Times New Roman" w:hAnsi="Times New Roman" w:cs="Times New Roman"/>
          <w:sz w:val="24"/>
          <w:szCs w:val="24"/>
        </w:rPr>
        <w:t xml:space="preserve">AD: </w:t>
      </w:r>
      <w:r w:rsidRPr="00FC5B32">
        <w:rPr>
          <w:rFonts w:ascii="Times New Roman" w:hAnsi="Times New Roman" w:cs="Times New Roman"/>
          <w:sz w:val="24"/>
          <w:szCs w:val="24"/>
        </w:rPr>
        <w:t>Alzheimer's disease AD</w:t>
      </w:r>
    </w:p>
    <w:p w14:paraId="07B71424" w14:textId="6C5254F0"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PET</w:t>
      </w:r>
      <w:r>
        <w:rPr>
          <w:rFonts w:ascii="Times New Roman" w:hAnsi="Times New Roman" w:cs="Times New Roman"/>
          <w:sz w:val="24"/>
          <w:szCs w:val="24"/>
        </w:rPr>
        <w:t xml:space="preserve">: </w:t>
      </w:r>
      <w:r w:rsidRPr="00FC5B32">
        <w:rPr>
          <w:rFonts w:ascii="Times New Roman" w:hAnsi="Times New Roman" w:cs="Times New Roman"/>
          <w:sz w:val="24"/>
          <w:szCs w:val="24"/>
        </w:rPr>
        <w:t>Positron Emission Tomography</w:t>
      </w:r>
    </w:p>
    <w:p w14:paraId="13CE32CD" w14:textId="3DE1C38F"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MRI</w:t>
      </w:r>
      <w:r>
        <w:rPr>
          <w:rFonts w:ascii="Times New Roman" w:hAnsi="Times New Roman" w:cs="Times New Roman"/>
          <w:sz w:val="24"/>
          <w:szCs w:val="24"/>
        </w:rPr>
        <w:t xml:space="preserve">: </w:t>
      </w:r>
      <w:r w:rsidRPr="00FC5B32">
        <w:rPr>
          <w:rFonts w:ascii="Times New Roman" w:hAnsi="Times New Roman" w:cs="Times New Roman"/>
          <w:sz w:val="24"/>
          <w:szCs w:val="24"/>
        </w:rPr>
        <w:t>Magnetic Resonance Imaging</w:t>
      </w:r>
    </w:p>
    <w:p w14:paraId="44567B5C" w14:textId="77777777"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HbA1c</w:t>
      </w:r>
      <w:r>
        <w:rPr>
          <w:rFonts w:ascii="Times New Roman" w:hAnsi="Times New Roman" w:cs="Times New Roman"/>
          <w:sz w:val="24"/>
          <w:szCs w:val="24"/>
        </w:rPr>
        <w:t xml:space="preserve">: </w:t>
      </w:r>
      <w:r w:rsidRPr="00FC5B32">
        <w:rPr>
          <w:rFonts w:ascii="Times New Roman" w:hAnsi="Times New Roman" w:cs="Times New Roman"/>
          <w:sz w:val="24"/>
          <w:szCs w:val="24"/>
        </w:rPr>
        <w:t>Hemoglobin A1c</w:t>
      </w:r>
    </w:p>
    <w:p w14:paraId="6FD840F7" w14:textId="4999D3C3" w:rsidR="00FC5B32" w:rsidRP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BMI</w:t>
      </w:r>
      <w:r>
        <w:rPr>
          <w:rFonts w:ascii="Times New Roman" w:hAnsi="Times New Roman" w:cs="Times New Roman"/>
          <w:sz w:val="24"/>
          <w:szCs w:val="24"/>
        </w:rPr>
        <w:t xml:space="preserve">: </w:t>
      </w:r>
      <w:r w:rsidRPr="00FC5B32">
        <w:rPr>
          <w:rFonts w:ascii="Times New Roman" w:hAnsi="Times New Roman" w:cs="Times New Roman"/>
          <w:sz w:val="24"/>
          <w:szCs w:val="24"/>
        </w:rPr>
        <w:t>Body Mass Index</w:t>
      </w:r>
    </w:p>
    <w:p w14:paraId="462BF539" w14:textId="77777777" w:rsidR="00FC5B32" w:rsidRDefault="00FC5B32" w:rsidP="00E83BAA">
      <w:pPr>
        <w:jc w:val="both"/>
        <w:rPr>
          <w:rFonts w:ascii="Times New Roman" w:hAnsi="Times New Roman" w:cs="Times New Roman"/>
          <w:b/>
          <w:bCs/>
          <w:sz w:val="24"/>
          <w:szCs w:val="24"/>
        </w:rPr>
      </w:pPr>
    </w:p>
    <w:p w14:paraId="16AEF198" w14:textId="158C65D9" w:rsidR="00D2099D" w:rsidRPr="00D2099D" w:rsidRDefault="00D2099D" w:rsidP="00E83BAA">
      <w:pPr>
        <w:jc w:val="both"/>
        <w:rPr>
          <w:rFonts w:ascii="Times New Roman" w:hAnsi="Times New Roman" w:cs="Times New Roman"/>
          <w:b/>
          <w:bCs/>
          <w:sz w:val="24"/>
          <w:szCs w:val="24"/>
        </w:rPr>
      </w:pPr>
      <w:r w:rsidRPr="00D2099D">
        <w:rPr>
          <w:rFonts w:ascii="Times New Roman" w:hAnsi="Times New Roman" w:cs="Times New Roman"/>
          <w:b/>
          <w:bCs/>
          <w:sz w:val="24"/>
          <w:szCs w:val="24"/>
        </w:rPr>
        <w:t>Ethics Statement</w:t>
      </w:r>
    </w:p>
    <w:p w14:paraId="386F1D38" w14:textId="579BFFBE" w:rsidR="00D2099D" w:rsidRPr="009616C0" w:rsidRDefault="00D2099D" w:rsidP="00E83BAA">
      <w:pPr>
        <w:jc w:val="both"/>
        <w:rPr>
          <w:rFonts w:ascii="Times New Roman" w:hAnsi="Times New Roman" w:cs="Times New Roman"/>
          <w:sz w:val="24"/>
          <w:szCs w:val="24"/>
        </w:rPr>
      </w:pPr>
      <w:r w:rsidRPr="00D2099D">
        <w:rPr>
          <w:rFonts w:ascii="Times New Roman" w:hAnsi="Times New Roman" w:cs="Times New Roman"/>
          <w:sz w:val="24"/>
          <w:szCs w:val="24"/>
        </w:rPr>
        <w:lastRenderedPageBreak/>
        <w:t>This article is a conceptual analysis based on previously published studies and does not involve human participants or animal experiments; therefore, ethical approval was not required.</w:t>
      </w:r>
    </w:p>
    <w:p w14:paraId="47D6AFCA" w14:textId="77777777" w:rsidR="00D2099D" w:rsidRPr="00D2099D" w:rsidRDefault="00D2099D" w:rsidP="00D2099D">
      <w:pPr>
        <w:jc w:val="both"/>
        <w:rPr>
          <w:rFonts w:ascii="Times New Roman" w:hAnsi="Times New Roman" w:cs="Times New Roman"/>
          <w:sz w:val="24"/>
          <w:szCs w:val="24"/>
        </w:rPr>
      </w:pPr>
      <w:r w:rsidRPr="00D2099D">
        <w:rPr>
          <w:rFonts w:ascii="Times New Roman" w:hAnsi="Times New Roman" w:cs="Times New Roman"/>
          <w:b/>
          <w:bCs/>
          <w:sz w:val="24"/>
          <w:szCs w:val="24"/>
        </w:rPr>
        <w:t>Conflict of Interest</w:t>
      </w:r>
    </w:p>
    <w:p w14:paraId="1222AB42" w14:textId="77777777" w:rsidR="00D2099D" w:rsidRDefault="00D2099D" w:rsidP="00D2099D">
      <w:pPr>
        <w:jc w:val="both"/>
        <w:rPr>
          <w:rFonts w:ascii="Times New Roman" w:hAnsi="Times New Roman" w:cs="Times New Roman"/>
          <w:sz w:val="24"/>
          <w:szCs w:val="24"/>
        </w:rPr>
      </w:pPr>
      <w:r w:rsidRPr="00D2099D">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6AC3EC8B" w14:textId="25B1F974" w:rsidR="00B8715D" w:rsidRPr="00B8715D" w:rsidRDefault="00B8715D" w:rsidP="00D2099D">
      <w:pPr>
        <w:jc w:val="both"/>
        <w:rPr>
          <w:rFonts w:ascii="Times New Roman" w:hAnsi="Times New Roman" w:cs="Times New Roman"/>
          <w:b/>
          <w:bCs/>
          <w:sz w:val="24"/>
          <w:szCs w:val="24"/>
        </w:rPr>
      </w:pPr>
      <w:r w:rsidRPr="00B8715D">
        <w:rPr>
          <w:rFonts w:ascii="Times New Roman" w:hAnsi="Times New Roman" w:cs="Times New Roman"/>
          <w:b/>
          <w:bCs/>
          <w:sz w:val="24"/>
          <w:szCs w:val="24"/>
        </w:rPr>
        <w:t xml:space="preserve">Author Contributions </w:t>
      </w:r>
    </w:p>
    <w:p w14:paraId="1147EE2F" w14:textId="3D6A87EE" w:rsidR="00B8715D" w:rsidRPr="00B8715D" w:rsidRDefault="00B8715D" w:rsidP="00312F14">
      <w:pPr>
        <w:rPr>
          <w:rFonts w:ascii="Times New Roman" w:hAnsi="Times New Roman" w:cs="Times New Roman"/>
          <w:sz w:val="24"/>
          <w:szCs w:val="24"/>
        </w:rPr>
      </w:pPr>
      <w:r w:rsidRPr="00B8715D">
        <w:rPr>
          <w:rFonts w:ascii="Times New Roman" w:hAnsi="Times New Roman" w:cs="Times New Roman"/>
          <w:sz w:val="24"/>
          <w:szCs w:val="24"/>
        </w:rPr>
        <w:t>A</w:t>
      </w:r>
      <w:r>
        <w:rPr>
          <w:rFonts w:ascii="Times New Roman" w:hAnsi="Times New Roman" w:cs="Times New Roman"/>
          <w:sz w:val="24"/>
          <w:szCs w:val="24"/>
        </w:rPr>
        <w:t>K c</w:t>
      </w:r>
      <w:r w:rsidRPr="00B8715D">
        <w:rPr>
          <w:rFonts w:ascii="Times New Roman" w:hAnsi="Times New Roman" w:cs="Times New Roman"/>
          <w:sz w:val="24"/>
          <w:szCs w:val="24"/>
        </w:rPr>
        <w:t>onceptual</w:t>
      </w:r>
      <w:r>
        <w:rPr>
          <w:rFonts w:ascii="Times New Roman" w:hAnsi="Times New Roman" w:cs="Times New Roman"/>
          <w:sz w:val="24"/>
          <w:szCs w:val="24"/>
        </w:rPr>
        <w:t>ized the research theme</w:t>
      </w:r>
      <w:r w:rsidRPr="00B8715D">
        <w:rPr>
          <w:rFonts w:ascii="Times New Roman" w:hAnsi="Times New Roman" w:cs="Times New Roman"/>
          <w:sz w:val="24"/>
          <w:szCs w:val="24"/>
        </w:rPr>
        <w:t>,</w:t>
      </w:r>
      <w:r>
        <w:rPr>
          <w:rFonts w:ascii="Times New Roman" w:hAnsi="Times New Roman" w:cs="Times New Roman"/>
          <w:sz w:val="24"/>
          <w:szCs w:val="24"/>
        </w:rPr>
        <w:t xml:space="preserve"> carried out</w:t>
      </w:r>
      <w:r w:rsidRPr="00B8715D">
        <w:rPr>
          <w:rFonts w:ascii="Times New Roman" w:hAnsi="Times New Roman" w:cs="Times New Roman"/>
          <w:sz w:val="24"/>
          <w:szCs w:val="24"/>
        </w:rPr>
        <w:t xml:space="preserve"> literature review</w:t>
      </w:r>
      <w:r w:rsidR="00312F14">
        <w:rPr>
          <w:rFonts w:ascii="Times New Roman" w:hAnsi="Times New Roman" w:cs="Times New Roman"/>
          <w:sz w:val="24"/>
          <w:szCs w:val="24"/>
        </w:rPr>
        <w:t xml:space="preserve"> &amp; </w:t>
      </w:r>
      <w:r w:rsidRPr="00B8715D">
        <w:rPr>
          <w:rFonts w:ascii="Times New Roman" w:hAnsi="Times New Roman" w:cs="Times New Roman"/>
          <w:sz w:val="24"/>
          <w:szCs w:val="24"/>
        </w:rPr>
        <w:t>data synthesis</w:t>
      </w:r>
      <w:r w:rsidR="00312F14">
        <w:rPr>
          <w:rFonts w:ascii="Times New Roman" w:hAnsi="Times New Roman" w:cs="Times New Roman"/>
          <w:sz w:val="24"/>
          <w:szCs w:val="24"/>
        </w:rPr>
        <w:t xml:space="preserve">, </w:t>
      </w:r>
      <w:r w:rsidR="00312F14" w:rsidRPr="00B8715D">
        <w:rPr>
          <w:rFonts w:ascii="Times New Roman" w:hAnsi="Times New Roman" w:cs="Times New Roman"/>
          <w:sz w:val="24"/>
          <w:szCs w:val="24"/>
        </w:rPr>
        <w:t>validat</w:t>
      </w:r>
      <w:r w:rsidR="00312F14">
        <w:rPr>
          <w:rFonts w:ascii="Times New Roman" w:hAnsi="Times New Roman" w:cs="Times New Roman"/>
          <w:sz w:val="24"/>
          <w:szCs w:val="24"/>
        </w:rPr>
        <w:t xml:space="preserve">ed the </w:t>
      </w:r>
      <w:r w:rsidR="00312F14" w:rsidRPr="00B8715D">
        <w:rPr>
          <w:rFonts w:ascii="Times New Roman" w:hAnsi="Times New Roman" w:cs="Times New Roman"/>
          <w:sz w:val="24"/>
          <w:szCs w:val="24"/>
        </w:rPr>
        <w:t>scientifi</w:t>
      </w:r>
      <w:r w:rsidR="00312F14">
        <w:rPr>
          <w:rFonts w:ascii="Times New Roman" w:hAnsi="Times New Roman" w:cs="Times New Roman"/>
          <w:sz w:val="24"/>
          <w:szCs w:val="24"/>
        </w:rPr>
        <w:t>c statistics</w:t>
      </w:r>
      <w:r>
        <w:rPr>
          <w:rFonts w:ascii="Times New Roman" w:hAnsi="Times New Roman" w:cs="Times New Roman"/>
          <w:sz w:val="24"/>
          <w:szCs w:val="24"/>
        </w:rPr>
        <w:t xml:space="preserve"> and wrote the entire manuscript</w:t>
      </w:r>
      <w:r w:rsidRPr="00B8715D">
        <w:rPr>
          <w:rFonts w:ascii="Times New Roman" w:hAnsi="Times New Roman" w:cs="Times New Roman"/>
          <w:sz w:val="24"/>
          <w:szCs w:val="24"/>
        </w:rPr>
        <w:t>.</w:t>
      </w:r>
      <w:r>
        <w:rPr>
          <w:rFonts w:ascii="Times New Roman" w:hAnsi="Times New Roman" w:cs="Times New Roman"/>
          <w:sz w:val="24"/>
          <w:szCs w:val="24"/>
        </w:rPr>
        <w:t xml:space="preserve"> </w:t>
      </w:r>
      <w:r w:rsidRPr="00B8715D">
        <w:rPr>
          <w:rFonts w:ascii="Times New Roman" w:hAnsi="Times New Roman" w:cs="Times New Roman"/>
          <w:sz w:val="24"/>
          <w:szCs w:val="24"/>
        </w:rPr>
        <w:t>R</w:t>
      </w:r>
      <w:r>
        <w:rPr>
          <w:rFonts w:ascii="Times New Roman" w:hAnsi="Times New Roman" w:cs="Times New Roman"/>
          <w:sz w:val="24"/>
          <w:szCs w:val="24"/>
        </w:rPr>
        <w:t xml:space="preserve">M supervised </w:t>
      </w:r>
      <w:r w:rsidRPr="00B8715D">
        <w:rPr>
          <w:rFonts w:ascii="Times New Roman" w:hAnsi="Times New Roman" w:cs="Times New Roman"/>
          <w:sz w:val="24"/>
          <w:szCs w:val="24"/>
        </w:rPr>
        <w:t>data curation,</w:t>
      </w:r>
      <w:r w:rsidR="00312F14">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B8715D">
        <w:rPr>
          <w:rFonts w:ascii="Times New Roman" w:hAnsi="Times New Roman" w:cs="Times New Roman"/>
          <w:sz w:val="24"/>
          <w:szCs w:val="24"/>
        </w:rPr>
        <w:t>review</w:t>
      </w:r>
      <w:r>
        <w:rPr>
          <w:rFonts w:ascii="Times New Roman" w:hAnsi="Times New Roman" w:cs="Times New Roman"/>
          <w:sz w:val="24"/>
          <w:szCs w:val="24"/>
        </w:rPr>
        <w:t>ed the manuscript for errors</w:t>
      </w:r>
      <w:r w:rsidRPr="00B8715D">
        <w:rPr>
          <w:rFonts w:ascii="Times New Roman" w:hAnsi="Times New Roman" w:cs="Times New Roman"/>
          <w:sz w:val="24"/>
          <w:szCs w:val="24"/>
        </w:rPr>
        <w:t>.</w:t>
      </w:r>
      <w:r w:rsidR="00312F14">
        <w:rPr>
          <w:rFonts w:ascii="Times New Roman" w:hAnsi="Times New Roman" w:cs="Times New Roman"/>
          <w:sz w:val="24"/>
          <w:szCs w:val="24"/>
        </w:rPr>
        <w:t xml:space="preserve"> </w:t>
      </w:r>
      <w:r w:rsidRPr="00B8715D">
        <w:rPr>
          <w:rFonts w:ascii="Times New Roman" w:hAnsi="Times New Roman" w:cs="Times New Roman"/>
          <w:sz w:val="24"/>
          <w:szCs w:val="24"/>
        </w:rPr>
        <w:t>S</w:t>
      </w:r>
      <w:r w:rsidR="00312F14">
        <w:rPr>
          <w:rFonts w:ascii="Times New Roman" w:hAnsi="Times New Roman" w:cs="Times New Roman"/>
          <w:sz w:val="24"/>
          <w:szCs w:val="24"/>
        </w:rPr>
        <w:t>K i</w:t>
      </w:r>
      <w:r w:rsidRPr="00B8715D">
        <w:rPr>
          <w:rFonts w:ascii="Times New Roman" w:hAnsi="Times New Roman" w:cs="Times New Roman"/>
          <w:sz w:val="24"/>
          <w:szCs w:val="24"/>
        </w:rPr>
        <w:t>nterpret</w:t>
      </w:r>
      <w:r w:rsidR="00312F14">
        <w:rPr>
          <w:rFonts w:ascii="Times New Roman" w:hAnsi="Times New Roman" w:cs="Times New Roman"/>
          <w:sz w:val="24"/>
          <w:szCs w:val="24"/>
        </w:rPr>
        <w:t xml:space="preserve">ed </w:t>
      </w:r>
      <w:r w:rsidRPr="00B8715D">
        <w:rPr>
          <w:rFonts w:ascii="Times New Roman" w:hAnsi="Times New Roman" w:cs="Times New Roman"/>
          <w:sz w:val="24"/>
          <w:szCs w:val="24"/>
        </w:rPr>
        <w:t>pharmacological and biomarker-related evidence.</w:t>
      </w:r>
      <w:r w:rsidR="00312F14">
        <w:rPr>
          <w:rFonts w:ascii="Times New Roman" w:hAnsi="Times New Roman" w:cs="Times New Roman"/>
          <w:sz w:val="24"/>
          <w:szCs w:val="24"/>
        </w:rPr>
        <w:t xml:space="preserve"> </w:t>
      </w:r>
      <w:r w:rsidRPr="00B8715D">
        <w:rPr>
          <w:rFonts w:ascii="Times New Roman" w:hAnsi="Times New Roman" w:cs="Times New Roman"/>
          <w:sz w:val="24"/>
          <w:szCs w:val="24"/>
        </w:rPr>
        <w:t>U</w:t>
      </w:r>
      <w:r w:rsidR="00312F14">
        <w:rPr>
          <w:rFonts w:ascii="Times New Roman" w:hAnsi="Times New Roman" w:cs="Times New Roman"/>
          <w:sz w:val="24"/>
          <w:szCs w:val="24"/>
        </w:rPr>
        <w:t>B contributed with m</w:t>
      </w:r>
      <w:r w:rsidRPr="00B8715D">
        <w:rPr>
          <w:rFonts w:ascii="Times New Roman" w:hAnsi="Times New Roman" w:cs="Times New Roman"/>
          <w:sz w:val="24"/>
          <w:szCs w:val="24"/>
        </w:rPr>
        <w:t>ethodological input</w:t>
      </w:r>
      <w:r w:rsidR="00312F14">
        <w:rPr>
          <w:rFonts w:ascii="Times New Roman" w:hAnsi="Times New Roman" w:cs="Times New Roman"/>
          <w:sz w:val="24"/>
          <w:szCs w:val="24"/>
        </w:rPr>
        <w:t>s</w:t>
      </w:r>
      <w:r w:rsidRPr="00B8715D">
        <w:rPr>
          <w:rFonts w:ascii="Times New Roman" w:hAnsi="Times New Roman" w:cs="Times New Roman"/>
          <w:sz w:val="24"/>
          <w:szCs w:val="24"/>
        </w:rPr>
        <w:t>,</w:t>
      </w:r>
      <w:r w:rsidR="00312F14">
        <w:rPr>
          <w:rFonts w:ascii="Times New Roman" w:hAnsi="Times New Roman" w:cs="Times New Roman"/>
          <w:sz w:val="24"/>
          <w:szCs w:val="24"/>
        </w:rPr>
        <w:t xml:space="preserve"> </w:t>
      </w:r>
      <w:r w:rsidRPr="00B8715D">
        <w:rPr>
          <w:rFonts w:ascii="Times New Roman" w:hAnsi="Times New Roman" w:cs="Times New Roman"/>
          <w:sz w:val="24"/>
          <w:szCs w:val="24"/>
        </w:rPr>
        <w:t>and</w:t>
      </w:r>
      <w:r w:rsidR="00312F14">
        <w:rPr>
          <w:rFonts w:ascii="Times New Roman" w:hAnsi="Times New Roman" w:cs="Times New Roman"/>
          <w:sz w:val="24"/>
          <w:szCs w:val="24"/>
        </w:rPr>
        <w:t xml:space="preserve"> proofread the</w:t>
      </w:r>
      <w:r w:rsidRPr="00B8715D">
        <w:rPr>
          <w:rFonts w:ascii="Times New Roman" w:hAnsi="Times New Roman" w:cs="Times New Roman"/>
          <w:sz w:val="24"/>
          <w:szCs w:val="24"/>
        </w:rPr>
        <w:t xml:space="preserve"> manuscript.</w:t>
      </w:r>
      <w:r>
        <w:rPr>
          <w:rFonts w:ascii="Times New Roman" w:hAnsi="Times New Roman" w:cs="Times New Roman"/>
          <w:sz w:val="24"/>
          <w:szCs w:val="24"/>
        </w:rPr>
        <w:t xml:space="preserve"> </w:t>
      </w:r>
      <w:r w:rsidRPr="00B8715D">
        <w:rPr>
          <w:rFonts w:ascii="Times New Roman" w:hAnsi="Times New Roman" w:cs="Times New Roman"/>
          <w:sz w:val="24"/>
          <w:szCs w:val="24"/>
        </w:rPr>
        <w:t>All authors read and approved the final version of the manuscript.</w:t>
      </w:r>
    </w:p>
    <w:p w14:paraId="1FD11E74" w14:textId="77777777" w:rsidR="00B8715D" w:rsidRPr="00B8715D" w:rsidRDefault="00B8715D" w:rsidP="00B8715D">
      <w:pPr>
        <w:jc w:val="both"/>
        <w:rPr>
          <w:rFonts w:ascii="Times New Roman" w:hAnsi="Times New Roman" w:cs="Times New Roman"/>
          <w:b/>
          <w:bCs/>
          <w:sz w:val="24"/>
          <w:szCs w:val="24"/>
        </w:rPr>
      </w:pPr>
      <w:r w:rsidRPr="00B8715D">
        <w:rPr>
          <w:rFonts w:ascii="Times New Roman" w:hAnsi="Times New Roman" w:cs="Times New Roman"/>
          <w:b/>
          <w:bCs/>
          <w:sz w:val="24"/>
          <w:szCs w:val="24"/>
        </w:rPr>
        <w:t>Acknowledgements</w:t>
      </w:r>
    </w:p>
    <w:p w14:paraId="348A15EB" w14:textId="7116853E" w:rsidR="00B8715D" w:rsidRPr="00B8715D" w:rsidRDefault="00312F14" w:rsidP="00B8715D">
      <w:pPr>
        <w:jc w:val="both"/>
        <w:rPr>
          <w:rFonts w:ascii="Times New Roman" w:hAnsi="Times New Roman" w:cs="Times New Roman"/>
          <w:sz w:val="24"/>
          <w:szCs w:val="24"/>
        </w:rPr>
      </w:pPr>
      <w:r>
        <w:rPr>
          <w:rFonts w:ascii="Times New Roman" w:hAnsi="Times New Roman" w:cs="Times New Roman"/>
          <w:sz w:val="24"/>
          <w:szCs w:val="24"/>
        </w:rPr>
        <w:t xml:space="preserve">Aditi Kaushik </w:t>
      </w:r>
      <w:r w:rsidR="00B8715D" w:rsidRPr="00B8715D">
        <w:rPr>
          <w:rFonts w:ascii="Times New Roman" w:hAnsi="Times New Roman" w:cs="Times New Roman"/>
          <w:sz w:val="24"/>
          <w:szCs w:val="24"/>
        </w:rPr>
        <w:t>acknowledge</w:t>
      </w:r>
      <w:r>
        <w:rPr>
          <w:rFonts w:ascii="Times New Roman" w:hAnsi="Times New Roman" w:cs="Times New Roman"/>
          <w:sz w:val="24"/>
          <w:szCs w:val="24"/>
        </w:rPr>
        <w:t xml:space="preserve">s </w:t>
      </w:r>
      <w:r w:rsidR="00B8715D" w:rsidRPr="00B8715D">
        <w:rPr>
          <w:rFonts w:ascii="Times New Roman" w:hAnsi="Times New Roman" w:cs="Times New Roman"/>
          <w:sz w:val="24"/>
          <w:szCs w:val="24"/>
        </w:rPr>
        <w:t>the institutional support provided by NIILM University, Kaithal; Atam Institute, OSGU, Hisar; and Ram Gopal College of Pharmacy, Gurugram, for facilitating the academic environment necessary for the completion of this work.</w:t>
      </w:r>
    </w:p>
    <w:p w14:paraId="1A76BD7C" w14:textId="77777777" w:rsidR="00976025" w:rsidRDefault="00976025" w:rsidP="00E83BAA">
      <w:pPr>
        <w:jc w:val="both"/>
        <w:rPr>
          <w:rFonts w:ascii="Times New Roman" w:hAnsi="Times New Roman" w:cs="Times New Roman"/>
          <w:sz w:val="24"/>
          <w:szCs w:val="24"/>
        </w:rPr>
      </w:pPr>
    </w:p>
    <w:p w14:paraId="75FFF5B1" w14:textId="31DA302B"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R</w:t>
      </w:r>
      <w:r w:rsidR="00312F14">
        <w:rPr>
          <w:rFonts w:ascii="Times New Roman" w:hAnsi="Times New Roman" w:cs="Times New Roman"/>
          <w:b/>
          <w:bCs/>
          <w:sz w:val="24"/>
          <w:szCs w:val="24"/>
        </w:rPr>
        <w:t>EFERENCES</w:t>
      </w:r>
    </w:p>
    <w:p w14:paraId="61880AF6" w14:textId="393ADBA8" w:rsidR="00303D69" w:rsidRDefault="00303D69" w:rsidP="00E83BAA">
      <w:pPr>
        <w:pStyle w:val="ListParagraph"/>
        <w:numPr>
          <w:ilvl w:val="0"/>
          <w:numId w:val="6"/>
        </w:numPr>
        <w:rPr>
          <w:rFonts w:ascii="Times New Roman" w:hAnsi="Times New Roman" w:cs="Times New Roman"/>
          <w:sz w:val="24"/>
          <w:szCs w:val="24"/>
        </w:rPr>
      </w:pPr>
      <w:r w:rsidRPr="00303D69">
        <w:rPr>
          <w:rFonts w:ascii="Times New Roman" w:hAnsi="Times New Roman" w:cs="Times New Roman"/>
          <w:sz w:val="24"/>
          <w:szCs w:val="24"/>
        </w:rPr>
        <w:t xml:space="preserve">National Institutes of Health. (2025). </w:t>
      </w:r>
      <w:r w:rsidRPr="00303D69">
        <w:rPr>
          <w:rFonts w:ascii="Times New Roman" w:hAnsi="Times New Roman" w:cs="Times New Roman"/>
          <w:i/>
          <w:iCs/>
          <w:sz w:val="24"/>
          <w:szCs w:val="24"/>
        </w:rPr>
        <w:t>2025 NIH Alzheimer’s disease and related dementias research progress report: Advances and achievements</w:t>
      </w:r>
      <w:r w:rsidRPr="00303D69">
        <w:rPr>
          <w:rFonts w:ascii="Times New Roman" w:hAnsi="Times New Roman" w:cs="Times New Roman"/>
          <w:sz w:val="24"/>
          <w:szCs w:val="24"/>
        </w:rPr>
        <w:t xml:space="preserve">. U.S. Department of Health and Human Services, National Institute on Aging. </w:t>
      </w:r>
      <w:hyperlink r:id="rId11" w:tgtFrame="_blank" w:history="1">
        <w:r w:rsidRPr="00303D69">
          <w:rPr>
            <w:rStyle w:val="Hyperlink"/>
            <w:rFonts w:ascii="Times New Roman" w:hAnsi="Times New Roman" w:cs="Times New Roman"/>
            <w:sz w:val="24"/>
            <w:szCs w:val="24"/>
          </w:rPr>
          <w:t>https://dictionary.cambridge.org/dictionary/english/report</w:t>
        </w:r>
      </w:hyperlink>
    </w:p>
    <w:p w14:paraId="2AB30799" w14:textId="51A49574" w:rsidR="00303D69" w:rsidRDefault="00303D69" w:rsidP="00E83BAA">
      <w:pPr>
        <w:pStyle w:val="NormalWeb"/>
        <w:numPr>
          <w:ilvl w:val="0"/>
          <w:numId w:val="6"/>
        </w:numPr>
      </w:pPr>
      <w:r>
        <w:t xml:space="preserve">Moutinho, S. (2025). Women twice as likely to develop Alzheimer’s disease as men — but scientists do not know why. </w:t>
      </w:r>
      <w:r>
        <w:rPr>
          <w:i/>
          <w:iCs/>
        </w:rPr>
        <w:t>Nature Medicine</w:t>
      </w:r>
      <w:r>
        <w:t xml:space="preserve">, </w:t>
      </w:r>
      <w:r>
        <w:rPr>
          <w:i/>
          <w:iCs/>
        </w:rPr>
        <w:t>31</w:t>
      </w:r>
      <w:r>
        <w:t xml:space="preserve">(3), 704-707. </w:t>
      </w:r>
      <w:hyperlink r:id="rId12" w:tgtFrame="_blank" w:history="1">
        <w:r>
          <w:rPr>
            <w:rStyle w:val="Hyperlink"/>
            <w:rFonts w:eastAsiaTheme="majorEastAsia"/>
          </w:rPr>
          <w:t>https://doi.org/10.1038/s41591-025-03564-3</w:t>
        </w:r>
      </w:hyperlink>
    </w:p>
    <w:p w14:paraId="666F002F" w14:textId="1E7F5ECE" w:rsidR="00303D69" w:rsidRDefault="00303D69" w:rsidP="00E83BAA">
      <w:pPr>
        <w:pStyle w:val="ListParagraph"/>
        <w:numPr>
          <w:ilvl w:val="0"/>
          <w:numId w:val="6"/>
        </w:numPr>
        <w:rPr>
          <w:rFonts w:ascii="Times New Roman" w:hAnsi="Times New Roman" w:cs="Times New Roman"/>
          <w:sz w:val="24"/>
          <w:szCs w:val="24"/>
        </w:rPr>
      </w:pPr>
      <w:r w:rsidRPr="00303D69">
        <w:rPr>
          <w:rFonts w:ascii="Times New Roman" w:hAnsi="Times New Roman" w:cs="Times New Roman"/>
          <w:sz w:val="24"/>
          <w:szCs w:val="24"/>
        </w:rPr>
        <w:t xml:space="preserve">Mervosh, N., &amp; Devi, G. (2025). Estrogen, menopause, and Alzheimer’s disease: Understanding the link to cognitive decline in women. </w:t>
      </w:r>
      <w:r w:rsidRPr="00303D69">
        <w:rPr>
          <w:rFonts w:ascii="Times New Roman" w:hAnsi="Times New Roman" w:cs="Times New Roman"/>
          <w:i/>
          <w:iCs/>
          <w:sz w:val="24"/>
          <w:szCs w:val="24"/>
        </w:rPr>
        <w:t>Frontiers in Molecular Biosciences</w:t>
      </w:r>
      <w:r w:rsidRPr="00303D69">
        <w:rPr>
          <w:rFonts w:ascii="Times New Roman" w:hAnsi="Times New Roman" w:cs="Times New Roman"/>
          <w:sz w:val="24"/>
          <w:szCs w:val="24"/>
        </w:rPr>
        <w:t xml:space="preserve">, </w:t>
      </w:r>
      <w:r w:rsidRPr="00303D69">
        <w:rPr>
          <w:rFonts w:ascii="Times New Roman" w:hAnsi="Times New Roman" w:cs="Times New Roman"/>
          <w:i/>
          <w:iCs/>
          <w:sz w:val="24"/>
          <w:szCs w:val="24"/>
        </w:rPr>
        <w:t>12</w:t>
      </w:r>
      <w:r w:rsidRPr="00303D69">
        <w:rPr>
          <w:rFonts w:ascii="Times New Roman" w:hAnsi="Times New Roman" w:cs="Times New Roman"/>
          <w:sz w:val="24"/>
          <w:szCs w:val="24"/>
        </w:rPr>
        <w:t xml:space="preserve">, Article 1634302. </w:t>
      </w:r>
      <w:hyperlink r:id="rId13" w:tgtFrame="_blank" w:history="1">
        <w:r w:rsidRPr="00303D69">
          <w:rPr>
            <w:rStyle w:val="Hyperlink"/>
            <w:rFonts w:ascii="Times New Roman" w:hAnsi="Times New Roman" w:cs="Times New Roman"/>
            <w:sz w:val="24"/>
            <w:szCs w:val="24"/>
          </w:rPr>
          <w:t>https://doi.org/10.3389/fmolb.2025.1634302</w:t>
        </w:r>
      </w:hyperlink>
    </w:p>
    <w:p w14:paraId="37476AEC" w14:textId="20953493" w:rsidR="00303D69" w:rsidRDefault="00303D69" w:rsidP="00E83BAA">
      <w:pPr>
        <w:pStyle w:val="ListParagraph"/>
        <w:numPr>
          <w:ilvl w:val="0"/>
          <w:numId w:val="6"/>
        </w:numPr>
        <w:rPr>
          <w:rFonts w:ascii="Times New Roman" w:hAnsi="Times New Roman" w:cs="Times New Roman"/>
          <w:sz w:val="24"/>
          <w:szCs w:val="24"/>
        </w:rPr>
      </w:pPr>
      <w:r w:rsidRPr="00303D69">
        <w:rPr>
          <w:rFonts w:ascii="Times New Roman" w:hAnsi="Times New Roman" w:cs="Times New Roman"/>
          <w:sz w:val="24"/>
          <w:szCs w:val="24"/>
        </w:rPr>
        <w:t>Sofonea, M. T., Cauchemez, S., &amp; Boëlle, P. Y. (2022). Epidemic models: why and how to use them. </w:t>
      </w:r>
      <w:r w:rsidRPr="00303D69">
        <w:rPr>
          <w:rFonts w:ascii="Times New Roman" w:hAnsi="Times New Roman" w:cs="Times New Roman"/>
          <w:i/>
          <w:iCs/>
          <w:sz w:val="24"/>
          <w:szCs w:val="24"/>
        </w:rPr>
        <w:t>Anaesthesia, critical care &amp; pain medicine</w:t>
      </w:r>
      <w:r w:rsidRPr="00303D69">
        <w:rPr>
          <w:rFonts w:ascii="Times New Roman" w:hAnsi="Times New Roman" w:cs="Times New Roman"/>
          <w:sz w:val="24"/>
          <w:szCs w:val="24"/>
        </w:rPr>
        <w:t>, </w:t>
      </w:r>
      <w:r w:rsidRPr="00303D69">
        <w:rPr>
          <w:rFonts w:ascii="Times New Roman" w:hAnsi="Times New Roman" w:cs="Times New Roman"/>
          <w:i/>
          <w:iCs/>
          <w:sz w:val="24"/>
          <w:szCs w:val="24"/>
        </w:rPr>
        <w:t>41</w:t>
      </w:r>
      <w:r w:rsidRPr="00303D69">
        <w:rPr>
          <w:rFonts w:ascii="Times New Roman" w:hAnsi="Times New Roman" w:cs="Times New Roman"/>
          <w:sz w:val="24"/>
          <w:szCs w:val="24"/>
        </w:rPr>
        <w:t xml:space="preserve">(2), 101048. </w:t>
      </w:r>
      <w:hyperlink r:id="rId14" w:history="1">
        <w:r w:rsidRPr="00FA077A">
          <w:rPr>
            <w:rStyle w:val="Hyperlink"/>
            <w:rFonts w:ascii="Times New Roman" w:hAnsi="Times New Roman" w:cs="Times New Roman"/>
            <w:sz w:val="24"/>
            <w:szCs w:val="24"/>
          </w:rPr>
          <w:t>https://doi.org/10.1016/j.accpm.2022.101048</w:t>
        </w:r>
      </w:hyperlink>
    </w:p>
    <w:p w14:paraId="5E25310D" w14:textId="4E978A6E" w:rsidR="00303D69" w:rsidRDefault="00303D69" w:rsidP="00E83BAA">
      <w:pPr>
        <w:pStyle w:val="ListParagraph"/>
        <w:numPr>
          <w:ilvl w:val="0"/>
          <w:numId w:val="6"/>
        </w:numPr>
        <w:rPr>
          <w:rFonts w:ascii="Times New Roman" w:hAnsi="Times New Roman" w:cs="Times New Roman"/>
          <w:sz w:val="24"/>
          <w:szCs w:val="24"/>
        </w:rPr>
      </w:pPr>
      <w:r w:rsidRPr="00303D69">
        <w:rPr>
          <w:rFonts w:ascii="Times New Roman" w:hAnsi="Times New Roman" w:cs="Times New Roman"/>
          <w:sz w:val="24"/>
          <w:szCs w:val="24"/>
        </w:rPr>
        <w:t xml:space="preserve">Schiloski, K., Taylor, M., &amp; Lachman, M. (2024). Use </w:t>
      </w:r>
      <w:r>
        <w:rPr>
          <w:rFonts w:ascii="Times New Roman" w:hAnsi="Times New Roman" w:cs="Times New Roman"/>
          <w:sz w:val="24"/>
          <w:szCs w:val="24"/>
        </w:rPr>
        <w:t>o</w:t>
      </w:r>
      <w:r w:rsidRPr="00303D69">
        <w:rPr>
          <w:rFonts w:ascii="Times New Roman" w:hAnsi="Times New Roman" w:cs="Times New Roman"/>
          <w:sz w:val="24"/>
          <w:szCs w:val="24"/>
        </w:rPr>
        <w:t xml:space="preserve">f </w:t>
      </w:r>
      <w:r>
        <w:rPr>
          <w:rFonts w:ascii="Times New Roman" w:hAnsi="Times New Roman" w:cs="Times New Roman"/>
          <w:sz w:val="24"/>
          <w:szCs w:val="24"/>
        </w:rPr>
        <w:t>a</w:t>
      </w:r>
      <w:r w:rsidRPr="00303D69">
        <w:rPr>
          <w:rFonts w:ascii="Times New Roman" w:hAnsi="Times New Roman" w:cs="Times New Roman"/>
          <w:sz w:val="24"/>
          <w:szCs w:val="24"/>
        </w:rPr>
        <w:t xml:space="preserve"> Brain Care Score </w:t>
      </w:r>
      <w:r>
        <w:rPr>
          <w:rFonts w:ascii="Times New Roman" w:hAnsi="Times New Roman" w:cs="Times New Roman"/>
          <w:sz w:val="24"/>
          <w:szCs w:val="24"/>
        </w:rPr>
        <w:t>t</w:t>
      </w:r>
      <w:r w:rsidRPr="00303D69">
        <w:rPr>
          <w:rFonts w:ascii="Times New Roman" w:hAnsi="Times New Roman" w:cs="Times New Roman"/>
          <w:sz w:val="24"/>
          <w:szCs w:val="24"/>
        </w:rPr>
        <w:t xml:space="preserve">o </w:t>
      </w:r>
      <w:r>
        <w:rPr>
          <w:rFonts w:ascii="Times New Roman" w:hAnsi="Times New Roman" w:cs="Times New Roman"/>
          <w:sz w:val="24"/>
          <w:szCs w:val="24"/>
        </w:rPr>
        <w:t>i</w:t>
      </w:r>
      <w:r w:rsidRPr="00303D69">
        <w:rPr>
          <w:rFonts w:ascii="Times New Roman" w:hAnsi="Times New Roman" w:cs="Times New Roman"/>
          <w:sz w:val="24"/>
          <w:szCs w:val="24"/>
        </w:rPr>
        <w:t xml:space="preserve">dentify </w:t>
      </w:r>
      <w:r>
        <w:rPr>
          <w:rFonts w:ascii="Times New Roman" w:hAnsi="Times New Roman" w:cs="Times New Roman"/>
          <w:sz w:val="24"/>
          <w:szCs w:val="24"/>
        </w:rPr>
        <w:t>r</w:t>
      </w:r>
      <w:r w:rsidRPr="00303D69">
        <w:rPr>
          <w:rFonts w:ascii="Times New Roman" w:hAnsi="Times New Roman" w:cs="Times New Roman"/>
          <w:sz w:val="24"/>
          <w:szCs w:val="24"/>
        </w:rPr>
        <w:t xml:space="preserve">isk </w:t>
      </w:r>
      <w:r>
        <w:rPr>
          <w:rFonts w:ascii="Times New Roman" w:hAnsi="Times New Roman" w:cs="Times New Roman"/>
          <w:sz w:val="24"/>
          <w:szCs w:val="24"/>
        </w:rPr>
        <w:t>a</w:t>
      </w:r>
      <w:r w:rsidRPr="00303D69">
        <w:rPr>
          <w:rFonts w:ascii="Times New Roman" w:hAnsi="Times New Roman" w:cs="Times New Roman"/>
          <w:sz w:val="24"/>
          <w:szCs w:val="24"/>
        </w:rPr>
        <w:t xml:space="preserve">nd Protective Factors </w:t>
      </w:r>
      <w:r>
        <w:rPr>
          <w:rFonts w:ascii="Times New Roman" w:hAnsi="Times New Roman" w:cs="Times New Roman"/>
          <w:sz w:val="24"/>
          <w:szCs w:val="24"/>
        </w:rPr>
        <w:t>f</w:t>
      </w:r>
      <w:r w:rsidRPr="00303D69">
        <w:rPr>
          <w:rFonts w:ascii="Times New Roman" w:hAnsi="Times New Roman" w:cs="Times New Roman"/>
          <w:sz w:val="24"/>
          <w:szCs w:val="24"/>
        </w:rPr>
        <w:t xml:space="preserve">or </w:t>
      </w:r>
      <w:r>
        <w:rPr>
          <w:rFonts w:ascii="Times New Roman" w:hAnsi="Times New Roman" w:cs="Times New Roman"/>
          <w:sz w:val="24"/>
          <w:szCs w:val="24"/>
        </w:rPr>
        <w:t>m</w:t>
      </w:r>
      <w:r w:rsidRPr="00303D69">
        <w:rPr>
          <w:rFonts w:ascii="Times New Roman" w:hAnsi="Times New Roman" w:cs="Times New Roman"/>
          <w:sz w:val="24"/>
          <w:szCs w:val="24"/>
        </w:rPr>
        <w:t xml:space="preserve">aintaining </w:t>
      </w:r>
      <w:r>
        <w:rPr>
          <w:rFonts w:ascii="Times New Roman" w:hAnsi="Times New Roman" w:cs="Times New Roman"/>
          <w:sz w:val="24"/>
          <w:szCs w:val="24"/>
        </w:rPr>
        <w:t>c</w:t>
      </w:r>
      <w:r w:rsidRPr="00303D69">
        <w:rPr>
          <w:rFonts w:ascii="Times New Roman" w:hAnsi="Times New Roman" w:cs="Times New Roman"/>
          <w:sz w:val="24"/>
          <w:szCs w:val="24"/>
        </w:rPr>
        <w:t xml:space="preserve">ognition </w:t>
      </w:r>
      <w:r w:rsidR="004147CD">
        <w:rPr>
          <w:rFonts w:ascii="Times New Roman" w:hAnsi="Times New Roman" w:cs="Times New Roman"/>
          <w:sz w:val="24"/>
          <w:szCs w:val="24"/>
        </w:rPr>
        <w:t>a</w:t>
      </w:r>
      <w:r w:rsidRPr="00303D69">
        <w:rPr>
          <w:rFonts w:ascii="Times New Roman" w:hAnsi="Times New Roman" w:cs="Times New Roman"/>
          <w:sz w:val="24"/>
          <w:szCs w:val="24"/>
        </w:rPr>
        <w:t xml:space="preserve">nd </w:t>
      </w:r>
      <w:r>
        <w:rPr>
          <w:rFonts w:ascii="Times New Roman" w:hAnsi="Times New Roman" w:cs="Times New Roman"/>
          <w:sz w:val="24"/>
          <w:szCs w:val="24"/>
        </w:rPr>
        <w:t>h</w:t>
      </w:r>
      <w:r w:rsidRPr="00303D69">
        <w:rPr>
          <w:rFonts w:ascii="Times New Roman" w:hAnsi="Times New Roman" w:cs="Times New Roman"/>
          <w:sz w:val="24"/>
          <w:szCs w:val="24"/>
        </w:rPr>
        <w:t xml:space="preserve">ealth </w:t>
      </w:r>
      <w:r>
        <w:rPr>
          <w:rFonts w:ascii="Times New Roman" w:hAnsi="Times New Roman" w:cs="Times New Roman"/>
          <w:sz w:val="24"/>
          <w:szCs w:val="24"/>
        </w:rPr>
        <w:t>i</w:t>
      </w:r>
      <w:r w:rsidRPr="00303D69">
        <w:rPr>
          <w:rFonts w:ascii="Times New Roman" w:hAnsi="Times New Roman" w:cs="Times New Roman"/>
          <w:sz w:val="24"/>
          <w:szCs w:val="24"/>
        </w:rPr>
        <w:t xml:space="preserve">n </w:t>
      </w:r>
      <w:r>
        <w:rPr>
          <w:rFonts w:ascii="Times New Roman" w:hAnsi="Times New Roman" w:cs="Times New Roman"/>
          <w:sz w:val="24"/>
          <w:szCs w:val="24"/>
        </w:rPr>
        <w:t>l</w:t>
      </w:r>
      <w:r w:rsidRPr="00303D69">
        <w:rPr>
          <w:rFonts w:ascii="Times New Roman" w:hAnsi="Times New Roman" w:cs="Times New Roman"/>
          <w:sz w:val="24"/>
          <w:szCs w:val="24"/>
        </w:rPr>
        <w:t xml:space="preserve">ater </w:t>
      </w:r>
      <w:r>
        <w:rPr>
          <w:rFonts w:ascii="Times New Roman" w:hAnsi="Times New Roman" w:cs="Times New Roman"/>
          <w:sz w:val="24"/>
          <w:szCs w:val="24"/>
        </w:rPr>
        <w:t>l</w:t>
      </w:r>
      <w:r w:rsidRPr="00303D69">
        <w:rPr>
          <w:rFonts w:ascii="Times New Roman" w:hAnsi="Times New Roman" w:cs="Times New Roman"/>
          <w:sz w:val="24"/>
          <w:szCs w:val="24"/>
        </w:rPr>
        <w:t>ife. </w:t>
      </w:r>
      <w:r w:rsidRPr="00303D69">
        <w:rPr>
          <w:rFonts w:ascii="Times New Roman" w:hAnsi="Times New Roman" w:cs="Times New Roman"/>
          <w:i/>
          <w:iCs/>
          <w:sz w:val="24"/>
          <w:szCs w:val="24"/>
        </w:rPr>
        <w:t>Innovation in Aging</w:t>
      </w:r>
      <w:r w:rsidRPr="00303D69">
        <w:rPr>
          <w:rFonts w:ascii="Times New Roman" w:hAnsi="Times New Roman" w:cs="Times New Roman"/>
          <w:sz w:val="24"/>
          <w:szCs w:val="24"/>
        </w:rPr>
        <w:t>, </w:t>
      </w:r>
      <w:r w:rsidRPr="00303D69">
        <w:rPr>
          <w:rFonts w:ascii="Times New Roman" w:hAnsi="Times New Roman" w:cs="Times New Roman"/>
          <w:i/>
          <w:iCs/>
          <w:sz w:val="24"/>
          <w:szCs w:val="24"/>
        </w:rPr>
        <w:t>8</w:t>
      </w:r>
      <w:r w:rsidRPr="00303D69">
        <w:rPr>
          <w:rFonts w:ascii="Times New Roman" w:hAnsi="Times New Roman" w:cs="Times New Roman"/>
          <w:sz w:val="24"/>
          <w:szCs w:val="24"/>
        </w:rPr>
        <w:t xml:space="preserve">(Suppl 1), 947. </w:t>
      </w:r>
      <w:hyperlink r:id="rId15" w:history="1">
        <w:r w:rsidRPr="00FA077A">
          <w:rPr>
            <w:rStyle w:val="Hyperlink"/>
            <w:rFonts w:ascii="Times New Roman" w:hAnsi="Times New Roman" w:cs="Times New Roman"/>
            <w:sz w:val="24"/>
            <w:szCs w:val="24"/>
          </w:rPr>
          <w:t>https://doi.org/10.1093/geroni/igae098.3054</w:t>
        </w:r>
      </w:hyperlink>
    </w:p>
    <w:p w14:paraId="6136A4E2" w14:textId="54C7C5B9" w:rsidR="00303D69" w:rsidRDefault="00F053B2" w:rsidP="00E83BAA">
      <w:pPr>
        <w:pStyle w:val="ListParagraph"/>
        <w:numPr>
          <w:ilvl w:val="0"/>
          <w:numId w:val="6"/>
        </w:numPr>
        <w:rPr>
          <w:rFonts w:ascii="Times New Roman" w:hAnsi="Times New Roman" w:cs="Times New Roman"/>
          <w:sz w:val="24"/>
          <w:szCs w:val="24"/>
        </w:rPr>
      </w:pPr>
      <w:r w:rsidRPr="00F053B2">
        <w:rPr>
          <w:rFonts w:ascii="Times New Roman" w:hAnsi="Times New Roman" w:cs="Times New Roman"/>
          <w:sz w:val="24"/>
          <w:szCs w:val="24"/>
        </w:rPr>
        <w:t xml:space="preserve">Corliss, J. (2024, November 1). </w:t>
      </w:r>
      <w:r w:rsidRPr="00F053B2">
        <w:rPr>
          <w:rFonts w:ascii="Times New Roman" w:hAnsi="Times New Roman" w:cs="Times New Roman"/>
          <w:i/>
          <w:iCs/>
          <w:sz w:val="24"/>
          <w:szCs w:val="24"/>
        </w:rPr>
        <w:t>What's your Brain Care Score?</w:t>
      </w:r>
      <w:r w:rsidRPr="00F053B2">
        <w:rPr>
          <w:rFonts w:ascii="Times New Roman" w:hAnsi="Times New Roman" w:cs="Times New Roman"/>
          <w:sz w:val="24"/>
          <w:szCs w:val="24"/>
        </w:rPr>
        <w:t xml:space="preserve"> Harvard Health Publishing. </w:t>
      </w:r>
      <w:hyperlink r:id="rId16" w:tgtFrame="_blank" w:history="1">
        <w:r w:rsidRPr="00F053B2">
          <w:rPr>
            <w:rStyle w:val="Hyperlink"/>
            <w:rFonts w:ascii="Times New Roman" w:hAnsi="Times New Roman" w:cs="Times New Roman"/>
            <w:sz w:val="24"/>
            <w:szCs w:val="24"/>
          </w:rPr>
          <w:t>https://www.health.harvard.edu/heart-health/whats-your-brain-care-score</w:t>
        </w:r>
      </w:hyperlink>
    </w:p>
    <w:p w14:paraId="0E6DF5DC" w14:textId="746A5381" w:rsidR="00F053B2" w:rsidRDefault="00F053B2" w:rsidP="00E83BAA">
      <w:pPr>
        <w:pStyle w:val="ListParagraph"/>
        <w:numPr>
          <w:ilvl w:val="0"/>
          <w:numId w:val="6"/>
        </w:numPr>
        <w:rPr>
          <w:rFonts w:ascii="Times New Roman" w:hAnsi="Times New Roman" w:cs="Times New Roman"/>
          <w:sz w:val="24"/>
          <w:szCs w:val="24"/>
        </w:rPr>
      </w:pPr>
      <w:r w:rsidRPr="00F053B2">
        <w:rPr>
          <w:rFonts w:ascii="Times New Roman" w:hAnsi="Times New Roman" w:cs="Times New Roman"/>
          <w:sz w:val="24"/>
          <w:szCs w:val="24"/>
        </w:rPr>
        <w:t xml:space="preserve">Livingston, G., Huntley, J., Liu, K. Y., Costafreda, S. G., Selbæk, G., Alladi, S., Ames, D., Banerjee, S., Burns, A., Brayne, C., Fox, N. C., Ferri, C. P., Gitlin, L. N., Howard, R., Kales, H. C., Kivimäki, M., Larson, E. B., Nakasujja, N., Rockwood, K., Samus, Q., … Mukadam, N. (2024). Dementia prevention, intervention, and care: 2024 report </w:t>
      </w:r>
      <w:r w:rsidRPr="00F053B2">
        <w:rPr>
          <w:rFonts w:ascii="Times New Roman" w:hAnsi="Times New Roman" w:cs="Times New Roman"/>
          <w:sz w:val="24"/>
          <w:szCs w:val="24"/>
        </w:rPr>
        <w:lastRenderedPageBreak/>
        <w:t>of the Lancet standing Commission. </w:t>
      </w:r>
      <w:r w:rsidRPr="00F053B2">
        <w:rPr>
          <w:rFonts w:ascii="Times New Roman" w:hAnsi="Times New Roman" w:cs="Times New Roman"/>
          <w:i/>
          <w:iCs/>
          <w:sz w:val="24"/>
          <w:szCs w:val="24"/>
        </w:rPr>
        <w:t>Lancet (London, England)</w:t>
      </w:r>
      <w:r w:rsidRPr="00F053B2">
        <w:rPr>
          <w:rFonts w:ascii="Times New Roman" w:hAnsi="Times New Roman" w:cs="Times New Roman"/>
          <w:sz w:val="24"/>
          <w:szCs w:val="24"/>
        </w:rPr>
        <w:t>, </w:t>
      </w:r>
      <w:r w:rsidRPr="00F053B2">
        <w:rPr>
          <w:rFonts w:ascii="Times New Roman" w:hAnsi="Times New Roman" w:cs="Times New Roman"/>
          <w:i/>
          <w:iCs/>
          <w:sz w:val="24"/>
          <w:szCs w:val="24"/>
        </w:rPr>
        <w:t>404</w:t>
      </w:r>
      <w:r w:rsidRPr="00F053B2">
        <w:rPr>
          <w:rFonts w:ascii="Times New Roman" w:hAnsi="Times New Roman" w:cs="Times New Roman"/>
          <w:sz w:val="24"/>
          <w:szCs w:val="24"/>
        </w:rPr>
        <w:t>(10452), 572</w:t>
      </w:r>
      <w:r>
        <w:rPr>
          <w:rFonts w:ascii="Times New Roman" w:hAnsi="Times New Roman" w:cs="Times New Roman"/>
          <w:sz w:val="24"/>
          <w:szCs w:val="24"/>
        </w:rPr>
        <w:t>-</w:t>
      </w:r>
      <w:r w:rsidRPr="00F053B2">
        <w:rPr>
          <w:rFonts w:ascii="Times New Roman" w:hAnsi="Times New Roman" w:cs="Times New Roman"/>
          <w:sz w:val="24"/>
          <w:szCs w:val="24"/>
        </w:rPr>
        <w:t xml:space="preserve">628. </w:t>
      </w:r>
      <w:hyperlink r:id="rId17" w:history="1">
        <w:r w:rsidRPr="00FA077A">
          <w:rPr>
            <w:rStyle w:val="Hyperlink"/>
            <w:rFonts w:ascii="Times New Roman" w:hAnsi="Times New Roman" w:cs="Times New Roman"/>
            <w:sz w:val="24"/>
            <w:szCs w:val="24"/>
          </w:rPr>
          <w:t>https://doi.org/10.1016/S0140-6736(24)01296-0</w:t>
        </w:r>
      </w:hyperlink>
    </w:p>
    <w:p w14:paraId="3B17685A" w14:textId="0C0A7BB4" w:rsidR="00F053B2" w:rsidRDefault="00F053B2" w:rsidP="00E83BAA">
      <w:pPr>
        <w:pStyle w:val="ListParagraph"/>
        <w:numPr>
          <w:ilvl w:val="0"/>
          <w:numId w:val="6"/>
        </w:numPr>
        <w:rPr>
          <w:rFonts w:ascii="Times New Roman" w:hAnsi="Times New Roman" w:cs="Times New Roman"/>
          <w:sz w:val="24"/>
          <w:szCs w:val="24"/>
        </w:rPr>
      </w:pPr>
      <w:r w:rsidRPr="00F053B2">
        <w:rPr>
          <w:rFonts w:ascii="Times New Roman" w:hAnsi="Times New Roman" w:cs="Times New Roman"/>
          <w:sz w:val="24"/>
          <w:szCs w:val="24"/>
        </w:rPr>
        <w:t>Granero, R., &amp; Guillazo-Blanch, G. (2025). Nutrition and Dietary Patterns: Effects on Brain Function. </w:t>
      </w:r>
      <w:r w:rsidRPr="00F053B2">
        <w:rPr>
          <w:rFonts w:ascii="Times New Roman" w:hAnsi="Times New Roman" w:cs="Times New Roman"/>
          <w:i/>
          <w:iCs/>
          <w:sz w:val="24"/>
          <w:szCs w:val="24"/>
        </w:rPr>
        <w:t>Nutrients</w:t>
      </w:r>
      <w:r w:rsidRPr="00F053B2">
        <w:rPr>
          <w:rFonts w:ascii="Times New Roman" w:hAnsi="Times New Roman" w:cs="Times New Roman"/>
          <w:sz w:val="24"/>
          <w:szCs w:val="24"/>
        </w:rPr>
        <w:t>, </w:t>
      </w:r>
      <w:r w:rsidRPr="00F053B2">
        <w:rPr>
          <w:rFonts w:ascii="Times New Roman" w:hAnsi="Times New Roman" w:cs="Times New Roman"/>
          <w:i/>
          <w:iCs/>
          <w:sz w:val="24"/>
          <w:szCs w:val="24"/>
        </w:rPr>
        <w:t>17</w:t>
      </w:r>
      <w:r w:rsidRPr="00F053B2">
        <w:rPr>
          <w:rFonts w:ascii="Times New Roman" w:hAnsi="Times New Roman" w:cs="Times New Roman"/>
          <w:sz w:val="24"/>
          <w:szCs w:val="24"/>
        </w:rPr>
        <w:t xml:space="preserve">(7), 1169. </w:t>
      </w:r>
      <w:hyperlink r:id="rId18" w:history="1">
        <w:r w:rsidRPr="00FA077A">
          <w:rPr>
            <w:rStyle w:val="Hyperlink"/>
            <w:rFonts w:ascii="Times New Roman" w:hAnsi="Times New Roman" w:cs="Times New Roman"/>
            <w:sz w:val="24"/>
            <w:szCs w:val="24"/>
          </w:rPr>
          <w:t>https://doi.org/10.3390/nu17071169</w:t>
        </w:r>
      </w:hyperlink>
    </w:p>
    <w:p w14:paraId="6B1A8F64" w14:textId="679E781D" w:rsidR="00F053B2" w:rsidRDefault="00F053B2" w:rsidP="00E83BAA">
      <w:pPr>
        <w:pStyle w:val="ListParagraph"/>
        <w:numPr>
          <w:ilvl w:val="0"/>
          <w:numId w:val="6"/>
        </w:numPr>
        <w:rPr>
          <w:rFonts w:ascii="Times New Roman" w:hAnsi="Times New Roman" w:cs="Times New Roman"/>
          <w:sz w:val="24"/>
          <w:szCs w:val="24"/>
        </w:rPr>
      </w:pPr>
      <w:r w:rsidRPr="00F053B2">
        <w:rPr>
          <w:rFonts w:ascii="Times New Roman" w:hAnsi="Times New Roman" w:cs="Times New Roman"/>
          <w:sz w:val="24"/>
          <w:szCs w:val="24"/>
        </w:rPr>
        <w:t xml:space="preserve">Bartlett, L., Fair, H., Bindoff, A., &amp; others. (2025). Loneliness and social isolation correlate with multiple modifiable risk factors for chronic diseases including dementia. </w:t>
      </w:r>
      <w:r w:rsidRPr="00F053B2">
        <w:rPr>
          <w:rFonts w:ascii="Times New Roman" w:hAnsi="Times New Roman" w:cs="Times New Roman"/>
          <w:i/>
          <w:iCs/>
          <w:sz w:val="24"/>
          <w:szCs w:val="24"/>
        </w:rPr>
        <w:t>Journal of Public Health (Berl.)</w:t>
      </w:r>
      <w:r w:rsidRPr="00F053B2">
        <w:rPr>
          <w:rFonts w:ascii="Times New Roman" w:hAnsi="Times New Roman" w:cs="Times New Roman"/>
          <w:sz w:val="24"/>
          <w:szCs w:val="24"/>
        </w:rPr>
        <w:t xml:space="preserve">. Advance online publication. </w:t>
      </w:r>
      <w:hyperlink r:id="rId19" w:tgtFrame="_blank" w:history="1">
        <w:r w:rsidRPr="00F053B2">
          <w:rPr>
            <w:rStyle w:val="Hyperlink"/>
            <w:rFonts w:ascii="Times New Roman" w:hAnsi="Times New Roman" w:cs="Times New Roman"/>
            <w:sz w:val="24"/>
            <w:szCs w:val="24"/>
          </w:rPr>
          <w:t>https://doi.org/10.1007/s10389-025-02412-5</w:t>
        </w:r>
      </w:hyperlink>
    </w:p>
    <w:p w14:paraId="268CF8DE" w14:textId="4B0D7E2E" w:rsidR="00F053B2" w:rsidRDefault="00BE557C" w:rsidP="00E83BAA">
      <w:pPr>
        <w:pStyle w:val="ListParagraph"/>
        <w:numPr>
          <w:ilvl w:val="0"/>
          <w:numId w:val="6"/>
        </w:numPr>
        <w:rPr>
          <w:rFonts w:ascii="Times New Roman" w:hAnsi="Times New Roman" w:cs="Times New Roman"/>
          <w:sz w:val="24"/>
          <w:szCs w:val="24"/>
        </w:rPr>
      </w:pPr>
      <w:r w:rsidRPr="00BE557C">
        <w:rPr>
          <w:rFonts w:ascii="Times New Roman" w:hAnsi="Times New Roman" w:cs="Times New Roman"/>
          <w:sz w:val="24"/>
          <w:szCs w:val="24"/>
        </w:rPr>
        <w:t>Yang, H.-M. (2025). Vascular Dementia: From Pathophysiology to Therapeutic Frontiers. </w:t>
      </w:r>
      <w:r w:rsidRPr="00BE557C">
        <w:rPr>
          <w:rFonts w:ascii="Times New Roman" w:hAnsi="Times New Roman" w:cs="Times New Roman"/>
          <w:i/>
          <w:iCs/>
          <w:sz w:val="24"/>
          <w:szCs w:val="24"/>
        </w:rPr>
        <w:t>Journal of Clinical Medicine</w:t>
      </w:r>
      <w:r w:rsidRPr="00BE557C">
        <w:rPr>
          <w:rFonts w:ascii="Times New Roman" w:hAnsi="Times New Roman" w:cs="Times New Roman"/>
          <w:sz w:val="24"/>
          <w:szCs w:val="24"/>
        </w:rPr>
        <w:t>, </w:t>
      </w:r>
      <w:r w:rsidRPr="00BE557C">
        <w:rPr>
          <w:rFonts w:ascii="Times New Roman" w:hAnsi="Times New Roman" w:cs="Times New Roman"/>
          <w:i/>
          <w:iCs/>
          <w:sz w:val="24"/>
          <w:szCs w:val="24"/>
        </w:rPr>
        <w:t>14</w:t>
      </w:r>
      <w:r w:rsidRPr="00BE557C">
        <w:rPr>
          <w:rFonts w:ascii="Times New Roman" w:hAnsi="Times New Roman" w:cs="Times New Roman"/>
          <w:sz w:val="24"/>
          <w:szCs w:val="24"/>
        </w:rPr>
        <w:t xml:space="preserve">(18), 6611. </w:t>
      </w:r>
      <w:hyperlink r:id="rId20" w:history="1">
        <w:r w:rsidRPr="00FA077A">
          <w:rPr>
            <w:rStyle w:val="Hyperlink"/>
            <w:rFonts w:ascii="Times New Roman" w:hAnsi="Times New Roman" w:cs="Times New Roman"/>
            <w:sz w:val="24"/>
            <w:szCs w:val="24"/>
          </w:rPr>
          <w:t>https://doi.org/10.3390/jcm14186611</w:t>
        </w:r>
      </w:hyperlink>
    </w:p>
    <w:p w14:paraId="7AA8CB3E" w14:textId="72D12D7E" w:rsidR="00BE557C" w:rsidRDefault="00BE557C" w:rsidP="00E83BAA">
      <w:pPr>
        <w:pStyle w:val="ListParagraph"/>
        <w:numPr>
          <w:ilvl w:val="0"/>
          <w:numId w:val="6"/>
        </w:numPr>
        <w:rPr>
          <w:rFonts w:ascii="Times New Roman" w:hAnsi="Times New Roman" w:cs="Times New Roman"/>
          <w:sz w:val="24"/>
          <w:szCs w:val="24"/>
        </w:rPr>
      </w:pPr>
      <w:r w:rsidRPr="00BE557C">
        <w:rPr>
          <w:rFonts w:ascii="Times New Roman" w:hAnsi="Times New Roman" w:cs="Times New Roman"/>
          <w:sz w:val="24"/>
          <w:szCs w:val="24"/>
        </w:rPr>
        <w:t xml:space="preserve">MGH Communications. (2023, December 1). </w:t>
      </w:r>
      <w:r w:rsidRPr="00BE557C">
        <w:rPr>
          <w:rFonts w:ascii="Times New Roman" w:hAnsi="Times New Roman" w:cs="Times New Roman"/>
          <w:i/>
          <w:iCs/>
          <w:sz w:val="24"/>
          <w:szCs w:val="24"/>
        </w:rPr>
        <w:t>Brain Care Score reveals risk of dementia, stroke</w:t>
      </w:r>
      <w:r w:rsidRPr="00BE557C">
        <w:rPr>
          <w:rFonts w:ascii="Times New Roman" w:hAnsi="Times New Roman" w:cs="Times New Roman"/>
          <w:sz w:val="24"/>
          <w:szCs w:val="24"/>
        </w:rPr>
        <w:t xml:space="preserve">. The Harvard Gazette. </w:t>
      </w:r>
      <w:hyperlink r:id="rId21" w:tgtFrame="_blank" w:history="1">
        <w:r w:rsidRPr="00BE557C">
          <w:rPr>
            <w:rStyle w:val="Hyperlink"/>
            <w:rFonts w:ascii="Times New Roman" w:hAnsi="Times New Roman" w:cs="Times New Roman"/>
            <w:sz w:val="24"/>
            <w:szCs w:val="24"/>
          </w:rPr>
          <w:t>https://news.harvard.edu/gazette/story/2023/12/brain-care-score-reveals-risk-of-dementia-stroke/</w:t>
        </w:r>
      </w:hyperlink>
    </w:p>
    <w:p w14:paraId="3BCE907D" w14:textId="4BDB9CC6" w:rsidR="00BE557C" w:rsidRDefault="00BE557C" w:rsidP="00E83BAA">
      <w:pPr>
        <w:pStyle w:val="ListParagraph"/>
        <w:numPr>
          <w:ilvl w:val="0"/>
          <w:numId w:val="6"/>
        </w:numPr>
        <w:rPr>
          <w:rFonts w:ascii="Times New Roman" w:hAnsi="Times New Roman" w:cs="Times New Roman"/>
          <w:sz w:val="24"/>
          <w:szCs w:val="24"/>
        </w:rPr>
      </w:pPr>
      <w:r w:rsidRPr="00BE557C">
        <w:rPr>
          <w:rFonts w:ascii="Times New Roman" w:hAnsi="Times New Roman" w:cs="Times New Roman"/>
          <w:sz w:val="24"/>
          <w:szCs w:val="24"/>
        </w:rPr>
        <w:t>Liu, X., Etxeberria, U., &amp; Ruiz-Canela, M. (2023). Editorial: Nutrition and neurodegenerative diseases: insights and perspectives on prevention strategies. </w:t>
      </w:r>
      <w:r w:rsidRPr="00BE557C">
        <w:rPr>
          <w:rFonts w:ascii="Times New Roman" w:hAnsi="Times New Roman" w:cs="Times New Roman"/>
          <w:i/>
          <w:iCs/>
          <w:sz w:val="24"/>
          <w:szCs w:val="24"/>
        </w:rPr>
        <w:t>Frontiers in nutrition</w:t>
      </w:r>
      <w:r w:rsidRPr="00BE557C">
        <w:rPr>
          <w:rFonts w:ascii="Times New Roman" w:hAnsi="Times New Roman" w:cs="Times New Roman"/>
          <w:sz w:val="24"/>
          <w:szCs w:val="24"/>
        </w:rPr>
        <w:t>, </w:t>
      </w:r>
      <w:r w:rsidRPr="00BE557C">
        <w:rPr>
          <w:rFonts w:ascii="Times New Roman" w:hAnsi="Times New Roman" w:cs="Times New Roman"/>
          <w:i/>
          <w:iCs/>
          <w:sz w:val="24"/>
          <w:szCs w:val="24"/>
        </w:rPr>
        <w:t>10</w:t>
      </w:r>
      <w:r w:rsidRPr="00BE557C">
        <w:rPr>
          <w:rFonts w:ascii="Times New Roman" w:hAnsi="Times New Roman" w:cs="Times New Roman"/>
          <w:sz w:val="24"/>
          <w:szCs w:val="24"/>
        </w:rPr>
        <w:t xml:space="preserve">, 1272338. </w:t>
      </w:r>
      <w:hyperlink r:id="rId22" w:history="1">
        <w:r w:rsidRPr="00FA077A">
          <w:rPr>
            <w:rStyle w:val="Hyperlink"/>
            <w:rFonts w:ascii="Times New Roman" w:hAnsi="Times New Roman" w:cs="Times New Roman"/>
            <w:sz w:val="24"/>
            <w:szCs w:val="24"/>
          </w:rPr>
          <w:t>https://doi.org/10.3389/fnut.2023.1272338</w:t>
        </w:r>
      </w:hyperlink>
      <w:r w:rsidRPr="00BE557C">
        <w:rPr>
          <w:rFonts w:ascii="Times New Roman" w:hAnsi="Times New Roman" w:cs="Times New Roman"/>
          <w:sz w:val="24"/>
          <w:szCs w:val="24"/>
        </w:rPr>
        <w:t xml:space="preserve"> </w:t>
      </w:r>
    </w:p>
    <w:p w14:paraId="27910CCD" w14:textId="4FD7FD61" w:rsidR="00BE557C" w:rsidRDefault="006D35C5" w:rsidP="00E83BAA">
      <w:pPr>
        <w:pStyle w:val="ListParagraph"/>
        <w:numPr>
          <w:ilvl w:val="0"/>
          <w:numId w:val="6"/>
        </w:numPr>
        <w:rPr>
          <w:rFonts w:ascii="Times New Roman" w:hAnsi="Times New Roman" w:cs="Times New Roman"/>
          <w:sz w:val="24"/>
          <w:szCs w:val="24"/>
        </w:rPr>
      </w:pPr>
      <w:r w:rsidRPr="006D35C5">
        <w:rPr>
          <w:rFonts w:ascii="Times New Roman" w:hAnsi="Times New Roman" w:cs="Times New Roman"/>
          <w:sz w:val="24"/>
          <w:szCs w:val="24"/>
        </w:rPr>
        <w:t xml:space="preserve">Novozhilova, S., Fonov, V., Shafie, N., Klein, D., Villeneuve, S., &amp; Collins, D. L. (2025). </w:t>
      </w:r>
      <w:r w:rsidRPr="006D35C5">
        <w:rPr>
          <w:rFonts w:ascii="Times New Roman" w:hAnsi="Times New Roman" w:cs="Times New Roman"/>
          <w:i/>
          <w:iCs/>
          <w:sz w:val="24"/>
          <w:szCs w:val="24"/>
        </w:rPr>
        <w:t>The role of verbal memory in masking Alzheimer’s disease symptoms in women</w:t>
      </w:r>
      <w:r w:rsidRPr="006D35C5">
        <w:rPr>
          <w:rFonts w:ascii="Times New Roman" w:hAnsi="Times New Roman" w:cs="Times New Roman"/>
          <w:sz w:val="24"/>
          <w:szCs w:val="24"/>
        </w:rPr>
        <w:t xml:space="preserve"> [Preprint]. medRxiv. </w:t>
      </w:r>
      <w:hyperlink r:id="rId23" w:tgtFrame="_blank" w:history="1">
        <w:r w:rsidRPr="006D35C5">
          <w:rPr>
            <w:rStyle w:val="Hyperlink"/>
            <w:rFonts w:ascii="Times New Roman" w:hAnsi="Times New Roman" w:cs="Times New Roman"/>
            <w:sz w:val="24"/>
            <w:szCs w:val="24"/>
          </w:rPr>
          <w:t>https://doi.org/10.1101/2025.11.07.25339777</w:t>
        </w:r>
      </w:hyperlink>
    </w:p>
    <w:p w14:paraId="447FBDDC" w14:textId="4DD20118" w:rsidR="006D35C5" w:rsidRDefault="006D35C5" w:rsidP="00E83BAA">
      <w:pPr>
        <w:pStyle w:val="ListParagraph"/>
        <w:numPr>
          <w:ilvl w:val="0"/>
          <w:numId w:val="6"/>
        </w:numPr>
        <w:rPr>
          <w:rFonts w:ascii="Times New Roman" w:hAnsi="Times New Roman" w:cs="Times New Roman"/>
          <w:sz w:val="24"/>
          <w:szCs w:val="24"/>
        </w:rPr>
      </w:pPr>
      <w:r w:rsidRPr="006D35C5">
        <w:rPr>
          <w:rFonts w:ascii="Times New Roman" w:hAnsi="Times New Roman" w:cs="Times New Roman"/>
          <w:sz w:val="24"/>
          <w:szCs w:val="24"/>
        </w:rPr>
        <w:t>Sundermann, E. E., Maki, P. M., Rubin, L. H., Lipton, R. B., Landau, S., Biegon, A., &amp; Alzheimer's Disease Neuroimaging Initiative (2016). Female advantage in verbal memory: Evidence of sex-specific cognitive reserve. </w:t>
      </w:r>
      <w:r w:rsidRPr="006D35C5">
        <w:rPr>
          <w:rFonts w:ascii="Times New Roman" w:hAnsi="Times New Roman" w:cs="Times New Roman"/>
          <w:i/>
          <w:iCs/>
          <w:sz w:val="24"/>
          <w:szCs w:val="24"/>
        </w:rPr>
        <w:t>Neurology</w:t>
      </w:r>
      <w:r w:rsidRPr="006D35C5">
        <w:rPr>
          <w:rFonts w:ascii="Times New Roman" w:hAnsi="Times New Roman" w:cs="Times New Roman"/>
          <w:sz w:val="24"/>
          <w:szCs w:val="24"/>
        </w:rPr>
        <w:t>, </w:t>
      </w:r>
      <w:r w:rsidRPr="006D35C5">
        <w:rPr>
          <w:rFonts w:ascii="Times New Roman" w:hAnsi="Times New Roman" w:cs="Times New Roman"/>
          <w:i/>
          <w:iCs/>
          <w:sz w:val="24"/>
          <w:szCs w:val="24"/>
        </w:rPr>
        <w:t>87</w:t>
      </w:r>
      <w:r w:rsidRPr="006D35C5">
        <w:rPr>
          <w:rFonts w:ascii="Times New Roman" w:hAnsi="Times New Roman" w:cs="Times New Roman"/>
          <w:sz w:val="24"/>
          <w:szCs w:val="24"/>
        </w:rPr>
        <w:t>(18), 1916</w:t>
      </w:r>
      <w:r>
        <w:rPr>
          <w:rFonts w:ascii="Times New Roman" w:hAnsi="Times New Roman" w:cs="Times New Roman"/>
          <w:sz w:val="24"/>
          <w:szCs w:val="24"/>
        </w:rPr>
        <w:t>-</w:t>
      </w:r>
      <w:r w:rsidRPr="006D35C5">
        <w:rPr>
          <w:rFonts w:ascii="Times New Roman" w:hAnsi="Times New Roman" w:cs="Times New Roman"/>
          <w:sz w:val="24"/>
          <w:szCs w:val="24"/>
        </w:rPr>
        <w:t xml:space="preserve">1924. </w:t>
      </w:r>
      <w:hyperlink r:id="rId24" w:history="1">
        <w:r w:rsidRPr="00FA077A">
          <w:rPr>
            <w:rStyle w:val="Hyperlink"/>
            <w:rFonts w:ascii="Times New Roman" w:hAnsi="Times New Roman" w:cs="Times New Roman"/>
            <w:sz w:val="24"/>
            <w:szCs w:val="24"/>
          </w:rPr>
          <w:t>https://doi.org/10.1212/WNL.0000000000003288</w:t>
        </w:r>
      </w:hyperlink>
    </w:p>
    <w:p w14:paraId="4F88105B" w14:textId="58E2BD65" w:rsidR="006D35C5" w:rsidRDefault="006D35C5" w:rsidP="00E83BAA">
      <w:pPr>
        <w:pStyle w:val="ListParagraph"/>
        <w:numPr>
          <w:ilvl w:val="0"/>
          <w:numId w:val="6"/>
        </w:numPr>
        <w:rPr>
          <w:rFonts w:ascii="Times New Roman" w:hAnsi="Times New Roman" w:cs="Times New Roman"/>
          <w:sz w:val="24"/>
          <w:szCs w:val="24"/>
        </w:rPr>
      </w:pPr>
      <w:r w:rsidRPr="006D35C5">
        <w:rPr>
          <w:rFonts w:ascii="Times New Roman" w:hAnsi="Times New Roman" w:cs="Times New Roman"/>
          <w:sz w:val="24"/>
          <w:szCs w:val="24"/>
        </w:rPr>
        <w:t>Zhao, W., Hou, Y., Song, X., Wang, L., Zhang, F., Zhang, H., Yu, H., &amp; Zhou, Y. (2021). Estrogen Deficiency Induces Mitochondrial Damage Prior to Emergence of Cognitive Deficits in a Postmenopausal Mouse Model. </w:t>
      </w:r>
      <w:r w:rsidRPr="006D35C5">
        <w:rPr>
          <w:rFonts w:ascii="Times New Roman" w:hAnsi="Times New Roman" w:cs="Times New Roman"/>
          <w:i/>
          <w:iCs/>
          <w:sz w:val="24"/>
          <w:szCs w:val="24"/>
        </w:rPr>
        <w:t>Frontiers in aging neuroscience</w:t>
      </w:r>
      <w:r w:rsidRPr="006D35C5">
        <w:rPr>
          <w:rFonts w:ascii="Times New Roman" w:hAnsi="Times New Roman" w:cs="Times New Roman"/>
          <w:sz w:val="24"/>
          <w:szCs w:val="24"/>
        </w:rPr>
        <w:t>, </w:t>
      </w:r>
      <w:r w:rsidRPr="006D35C5">
        <w:rPr>
          <w:rFonts w:ascii="Times New Roman" w:hAnsi="Times New Roman" w:cs="Times New Roman"/>
          <w:i/>
          <w:iCs/>
          <w:sz w:val="24"/>
          <w:szCs w:val="24"/>
        </w:rPr>
        <w:t>13</w:t>
      </w:r>
      <w:r w:rsidRPr="006D35C5">
        <w:rPr>
          <w:rFonts w:ascii="Times New Roman" w:hAnsi="Times New Roman" w:cs="Times New Roman"/>
          <w:sz w:val="24"/>
          <w:szCs w:val="24"/>
        </w:rPr>
        <w:t xml:space="preserve">, 713819. </w:t>
      </w:r>
      <w:hyperlink r:id="rId25" w:history="1">
        <w:r w:rsidRPr="00FA077A">
          <w:rPr>
            <w:rStyle w:val="Hyperlink"/>
            <w:rFonts w:ascii="Times New Roman" w:hAnsi="Times New Roman" w:cs="Times New Roman"/>
            <w:sz w:val="24"/>
            <w:szCs w:val="24"/>
          </w:rPr>
          <w:t>https://doi.org/10.3389/fnagi.2021.713819</w:t>
        </w:r>
      </w:hyperlink>
    </w:p>
    <w:p w14:paraId="48D7CD60" w14:textId="3BAD10A0" w:rsidR="006D35C5" w:rsidRDefault="005C0F65" w:rsidP="00E83BAA">
      <w:pPr>
        <w:pStyle w:val="ListParagraph"/>
        <w:numPr>
          <w:ilvl w:val="0"/>
          <w:numId w:val="6"/>
        </w:numPr>
        <w:rPr>
          <w:rFonts w:ascii="Times New Roman" w:hAnsi="Times New Roman" w:cs="Times New Roman"/>
          <w:sz w:val="24"/>
          <w:szCs w:val="24"/>
        </w:rPr>
      </w:pPr>
      <w:r w:rsidRPr="005C0F65">
        <w:rPr>
          <w:rFonts w:ascii="Times New Roman" w:hAnsi="Times New Roman" w:cs="Times New Roman"/>
          <w:sz w:val="24"/>
          <w:szCs w:val="24"/>
        </w:rPr>
        <w:t>Mosconi, L., Nerattini, M., Williams, S., &amp; Fink, M. (2025). New Horizons in Menopause, Menopausal Hormone Therapy, and Alzheimer's Disease: Current Insights and Future Directions. </w:t>
      </w:r>
      <w:r w:rsidRPr="005C0F65">
        <w:rPr>
          <w:rFonts w:ascii="Times New Roman" w:hAnsi="Times New Roman" w:cs="Times New Roman"/>
          <w:i/>
          <w:iCs/>
          <w:sz w:val="24"/>
          <w:szCs w:val="24"/>
        </w:rPr>
        <w:t>The Journal of clinical endocrinology and metabolism</w:t>
      </w:r>
      <w:r w:rsidRPr="005C0F65">
        <w:rPr>
          <w:rFonts w:ascii="Times New Roman" w:hAnsi="Times New Roman" w:cs="Times New Roman"/>
          <w:sz w:val="24"/>
          <w:szCs w:val="24"/>
        </w:rPr>
        <w:t>, </w:t>
      </w:r>
      <w:r w:rsidRPr="005C0F65">
        <w:rPr>
          <w:rFonts w:ascii="Times New Roman" w:hAnsi="Times New Roman" w:cs="Times New Roman"/>
          <w:i/>
          <w:iCs/>
          <w:sz w:val="24"/>
          <w:szCs w:val="24"/>
        </w:rPr>
        <w:t>110</w:t>
      </w:r>
      <w:r w:rsidRPr="005C0F65">
        <w:rPr>
          <w:rFonts w:ascii="Times New Roman" w:hAnsi="Times New Roman" w:cs="Times New Roman"/>
          <w:sz w:val="24"/>
          <w:szCs w:val="24"/>
        </w:rPr>
        <w:t>(4), 911</w:t>
      </w:r>
      <w:r>
        <w:rPr>
          <w:rFonts w:ascii="Times New Roman" w:hAnsi="Times New Roman" w:cs="Times New Roman"/>
          <w:sz w:val="24"/>
          <w:szCs w:val="24"/>
        </w:rPr>
        <w:t>-</w:t>
      </w:r>
      <w:r w:rsidRPr="005C0F65">
        <w:rPr>
          <w:rFonts w:ascii="Times New Roman" w:hAnsi="Times New Roman" w:cs="Times New Roman"/>
          <w:sz w:val="24"/>
          <w:szCs w:val="24"/>
        </w:rPr>
        <w:t xml:space="preserve">921. </w:t>
      </w:r>
      <w:hyperlink r:id="rId26" w:history="1">
        <w:r w:rsidRPr="00FA077A">
          <w:rPr>
            <w:rStyle w:val="Hyperlink"/>
            <w:rFonts w:ascii="Times New Roman" w:hAnsi="Times New Roman" w:cs="Times New Roman"/>
            <w:sz w:val="24"/>
            <w:szCs w:val="24"/>
          </w:rPr>
          <w:t>https://doi.org/10.1210/clinem/dgaf026</w:t>
        </w:r>
      </w:hyperlink>
    </w:p>
    <w:p w14:paraId="60491AD2" w14:textId="5B28B7CE" w:rsidR="005C0F65" w:rsidRDefault="004147CD" w:rsidP="00E83BAA">
      <w:pPr>
        <w:pStyle w:val="ListParagraph"/>
        <w:numPr>
          <w:ilvl w:val="0"/>
          <w:numId w:val="6"/>
        </w:numPr>
        <w:rPr>
          <w:rFonts w:ascii="Times New Roman" w:hAnsi="Times New Roman" w:cs="Times New Roman"/>
          <w:sz w:val="24"/>
          <w:szCs w:val="24"/>
        </w:rPr>
      </w:pPr>
      <w:r w:rsidRPr="004147CD">
        <w:rPr>
          <w:rFonts w:ascii="Times New Roman" w:hAnsi="Times New Roman" w:cs="Times New Roman"/>
          <w:sz w:val="24"/>
          <w:szCs w:val="24"/>
        </w:rPr>
        <w:t xml:space="preserve">Lafta, M. S., Mwinyi, J., Affatato, O., Rukh, G., Dang, J., Andersson, G., &amp; Schiöth, H. B. (2024). Exploring sex differences: Insights into gene expression, neuroanatomy, neurochemistry, cognition, and pathology. </w:t>
      </w:r>
      <w:r w:rsidRPr="004147CD">
        <w:rPr>
          <w:rFonts w:ascii="Times New Roman" w:hAnsi="Times New Roman" w:cs="Times New Roman"/>
          <w:i/>
          <w:iCs/>
          <w:sz w:val="24"/>
          <w:szCs w:val="24"/>
        </w:rPr>
        <w:t>Frontiers in Neuroscience</w:t>
      </w:r>
      <w:r w:rsidRPr="004147CD">
        <w:rPr>
          <w:rFonts w:ascii="Times New Roman" w:hAnsi="Times New Roman" w:cs="Times New Roman"/>
          <w:sz w:val="24"/>
          <w:szCs w:val="24"/>
        </w:rPr>
        <w:t xml:space="preserve">, </w:t>
      </w:r>
      <w:r w:rsidRPr="004147CD">
        <w:rPr>
          <w:rFonts w:ascii="Times New Roman" w:hAnsi="Times New Roman" w:cs="Times New Roman"/>
          <w:i/>
          <w:iCs/>
          <w:sz w:val="24"/>
          <w:szCs w:val="24"/>
        </w:rPr>
        <w:t>18</w:t>
      </w:r>
      <w:r w:rsidRPr="004147CD">
        <w:rPr>
          <w:rFonts w:ascii="Times New Roman" w:hAnsi="Times New Roman" w:cs="Times New Roman"/>
          <w:sz w:val="24"/>
          <w:szCs w:val="24"/>
        </w:rPr>
        <w:t>, Article 1340108.</w:t>
      </w:r>
    </w:p>
    <w:p w14:paraId="191AD82B" w14:textId="7E96A0B1" w:rsidR="00D5330C" w:rsidRDefault="00D5330C" w:rsidP="00E83BAA">
      <w:pPr>
        <w:pStyle w:val="ListParagraph"/>
        <w:numPr>
          <w:ilvl w:val="0"/>
          <w:numId w:val="6"/>
        </w:numPr>
        <w:rPr>
          <w:rFonts w:ascii="Times New Roman" w:hAnsi="Times New Roman" w:cs="Times New Roman"/>
          <w:sz w:val="24"/>
          <w:szCs w:val="24"/>
        </w:rPr>
      </w:pPr>
      <w:r w:rsidRPr="00D5330C">
        <w:rPr>
          <w:rFonts w:ascii="Times New Roman" w:hAnsi="Times New Roman" w:cs="Times New Roman"/>
          <w:sz w:val="24"/>
          <w:szCs w:val="24"/>
        </w:rPr>
        <w:t xml:space="preserve">Mandal, P. K., Maroon, J. C., Garg, A., Arora, N. K., Bansal, R., Kaushik, A., Samkaria, A., Kumaran, G., &amp; Arora, Y. (2023). Blood biomarkers in Alzheimer’s disease. </w:t>
      </w:r>
      <w:r w:rsidRPr="00D5330C">
        <w:rPr>
          <w:rFonts w:ascii="Times New Roman" w:hAnsi="Times New Roman" w:cs="Times New Roman"/>
          <w:i/>
          <w:iCs/>
          <w:sz w:val="24"/>
          <w:szCs w:val="24"/>
        </w:rPr>
        <w:t>ACS Chemical Neuroscience</w:t>
      </w:r>
      <w:r w:rsidRPr="00D5330C">
        <w:rPr>
          <w:rFonts w:ascii="Times New Roman" w:hAnsi="Times New Roman" w:cs="Times New Roman"/>
          <w:sz w:val="24"/>
          <w:szCs w:val="24"/>
        </w:rPr>
        <w:t xml:space="preserve">, </w:t>
      </w:r>
      <w:r w:rsidRPr="00D5330C">
        <w:rPr>
          <w:rFonts w:ascii="Times New Roman" w:hAnsi="Times New Roman" w:cs="Times New Roman"/>
          <w:i/>
          <w:iCs/>
          <w:sz w:val="24"/>
          <w:szCs w:val="24"/>
        </w:rPr>
        <w:t>14</w:t>
      </w:r>
      <w:r w:rsidRPr="00D5330C">
        <w:rPr>
          <w:rFonts w:ascii="Times New Roman" w:hAnsi="Times New Roman" w:cs="Times New Roman"/>
          <w:sz w:val="24"/>
          <w:szCs w:val="24"/>
        </w:rPr>
        <w:t>(22), 3975</w:t>
      </w:r>
      <w:r>
        <w:rPr>
          <w:rFonts w:ascii="Times New Roman" w:hAnsi="Times New Roman" w:cs="Times New Roman"/>
          <w:sz w:val="24"/>
          <w:szCs w:val="24"/>
        </w:rPr>
        <w:t>-</w:t>
      </w:r>
      <w:r w:rsidRPr="00D5330C">
        <w:rPr>
          <w:rFonts w:ascii="Times New Roman" w:hAnsi="Times New Roman" w:cs="Times New Roman"/>
          <w:sz w:val="24"/>
          <w:szCs w:val="24"/>
        </w:rPr>
        <w:t xml:space="preserve">3978. </w:t>
      </w:r>
      <w:hyperlink r:id="rId27" w:tgtFrame="_blank" w:history="1">
        <w:r w:rsidRPr="00D5330C">
          <w:rPr>
            <w:rStyle w:val="Hyperlink"/>
            <w:rFonts w:ascii="Times New Roman" w:hAnsi="Times New Roman" w:cs="Times New Roman"/>
            <w:sz w:val="24"/>
            <w:szCs w:val="24"/>
          </w:rPr>
          <w:t>https://doi.org/10.1021/acschemneuro.3c00641</w:t>
        </w:r>
      </w:hyperlink>
    </w:p>
    <w:p w14:paraId="55F1C89A" w14:textId="007F2D66" w:rsidR="00D5330C" w:rsidRDefault="00D5330C" w:rsidP="00E83BAA">
      <w:pPr>
        <w:pStyle w:val="ListParagraph"/>
        <w:numPr>
          <w:ilvl w:val="0"/>
          <w:numId w:val="6"/>
        </w:numPr>
        <w:rPr>
          <w:rFonts w:ascii="Times New Roman" w:hAnsi="Times New Roman" w:cs="Times New Roman"/>
          <w:sz w:val="24"/>
          <w:szCs w:val="24"/>
        </w:rPr>
      </w:pPr>
      <w:r w:rsidRPr="00D5330C">
        <w:rPr>
          <w:rFonts w:ascii="Times New Roman" w:hAnsi="Times New Roman" w:cs="Times New Roman"/>
          <w:sz w:val="24"/>
          <w:szCs w:val="24"/>
        </w:rPr>
        <w:t xml:space="preserve">Kaushik, A., Mor, R., Kaura, S., Kaushik, A., &amp; Sharma, S. (2025). Fetal tau bias in iPSC-derived neurons, MAPT mutant mouse models and molecular mechanisms assessment for integrative analysis of tau pathology. </w:t>
      </w:r>
      <w:r w:rsidRPr="00D5330C">
        <w:rPr>
          <w:rFonts w:ascii="Times New Roman" w:hAnsi="Times New Roman" w:cs="Times New Roman"/>
          <w:i/>
          <w:iCs/>
          <w:sz w:val="24"/>
          <w:szCs w:val="24"/>
        </w:rPr>
        <w:t xml:space="preserve">International Journal of </w:t>
      </w:r>
      <w:r w:rsidRPr="00D5330C">
        <w:rPr>
          <w:rFonts w:ascii="Times New Roman" w:hAnsi="Times New Roman" w:cs="Times New Roman"/>
          <w:i/>
          <w:iCs/>
          <w:sz w:val="24"/>
          <w:szCs w:val="24"/>
        </w:rPr>
        <w:lastRenderedPageBreak/>
        <w:t>Research and Scientific Innovation</w:t>
      </w:r>
      <w:r w:rsidRPr="00D5330C">
        <w:rPr>
          <w:rFonts w:ascii="Times New Roman" w:hAnsi="Times New Roman" w:cs="Times New Roman"/>
          <w:sz w:val="24"/>
          <w:szCs w:val="24"/>
        </w:rPr>
        <w:t xml:space="preserve">, </w:t>
      </w:r>
      <w:r w:rsidRPr="00D5330C">
        <w:rPr>
          <w:rFonts w:ascii="Times New Roman" w:hAnsi="Times New Roman" w:cs="Times New Roman"/>
          <w:i/>
          <w:iCs/>
          <w:sz w:val="24"/>
          <w:szCs w:val="24"/>
        </w:rPr>
        <w:t>12</w:t>
      </w:r>
      <w:r w:rsidRPr="00D5330C">
        <w:rPr>
          <w:rFonts w:ascii="Times New Roman" w:hAnsi="Times New Roman" w:cs="Times New Roman"/>
          <w:sz w:val="24"/>
          <w:szCs w:val="24"/>
        </w:rPr>
        <w:t xml:space="preserve">(11). </w:t>
      </w:r>
      <w:hyperlink r:id="rId28" w:tgtFrame="_blank" w:history="1">
        <w:r w:rsidRPr="00D5330C">
          <w:rPr>
            <w:rStyle w:val="Hyperlink"/>
            <w:rFonts w:ascii="Times New Roman" w:hAnsi="Times New Roman" w:cs="Times New Roman"/>
            <w:sz w:val="24"/>
            <w:szCs w:val="24"/>
          </w:rPr>
          <w:t>https://doi.org/10.51244/IJRSI.2025.12110120</w:t>
        </w:r>
      </w:hyperlink>
    </w:p>
    <w:p w14:paraId="0019E69A" w14:textId="7EA2ECD2" w:rsidR="00D5330C" w:rsidRDefault="00E83BAA" w:rsidP="00E83BAA">
      <w:pPr>
        <w:pStyle w:val="ListParagraph"/>
        <w:numPr>
          <w:ilvl w:val="0"/>
          <w:numId w:val="6"/>
        </w:numPr>
        <w:rPr>
          <w:rFonts w:ascii="Times New Roman" w:hAnsi="Times New Roman" w:cs="Times New Roman"/>
          <w:sz w:val="24"/>
          <w:szCs w:val="24"/>
        </w:rPr>
      </w:pPr>
      <w:r w:rsidRPr="00E83BAA">
        <w:rPr>
          <w:rFonts w:ascii="Times New Roman" w:hAnsi="Times New Roman" w:cs="Times New Roman"/>
          <w:sz w:val="24"/>
          <w:szCs w:val="24"/>
        </w:rPr>
        <w:t xml:space="preserve">Kaushik, A., Bhardwaj, U., &amp; Kaura, S. (2026). Systemic failures in human neuroscience trials and how to fix them. </w:t>
      </w:r>
      <w:r w:rsidRPr="00E83BAA">
        <w:rPr>
          <w:rFonts w:ascii="Times New Roman" w:hAnsi="Times New Roman" w:cs="Times New Roman"/>
          <w:i/>
          <w:iCs/>
          <w:sz w:val="24"/>
          <w:szCs w:val="24"/>
        </w:rPr>
        <w:t>International Journal of Research and Scientific Innovation</w:t>
      </w:r>
      <w:r w:rsidRPr="00E83BAA">
        <w:rPr>
          <w:rFonts w:ascii="Times New Roman" w:hAnsi="Times New Roman" w:cs="Times New Roman"/>
          <w:sz w:val="24"/>
          <w:szCs w:val="24"/>
        </w:rPr>
        <w:t xml:space="preserve">, </w:t>
      </w:r>
      <w:r w:rsidRPr="00E83BAA">
        <w:rPr>
          <w:rFonts w:ascii="Times New Roman" w:hAnsi="Times New Roman" w:cs="Times New Roman"/>
          <w:i/>
          <w:iCs/>
          <w:sz w:val="24"/>
          <w:szCs w:val="24"/>
        </w:rPr>
        <w:t>13</w:t>
      </w:r>
      <w:r w:rsidRPr="00E83BAA">
        <w:rPr>
          <w:rFonts w:ascii="Times New Roman" w:hAnsi="Times New Roman" w:cs="Times New Roman"/>
          <w:sz w:val="24"/>
          <w:szCs w:val="24"/>
        </w:rPr>
        <w:t xml:space="preserve">(1). </w:t>
      </w:r>
      <w:hyperlink r:id="rId29" w:tgtFrame="_blank" w:history="1">
        <w:r w:rsidRPr="00E83BAA">
          <w:rPr>
            <w:rStyle w:val="Hyperlink"/>
            <w:rFonts w:ascii="Times New Roman" w:hAnsi="Times New Roman" w:cs="Times New Roman"/>
            <w:sz w:val="24"/>
            <w:szCs w:val="24"/>
          </w:rPr>
          <w:t>https://doi.org/10.51244/IJRSI.2026.13010155</w:t>
        </w:r>
      </w:hyperlink>
    </w:p>
    <w:p w14:paraId="4A145E06" w14:textId="77777777" w:rsidR="00E83BAA" w:rsidRDefault="00E83BAA" w:rsidP="00E83BAA">
      <w:pPr>
        <w:pStyle w:val="ListParagraph"/>
        <w:jc w:val="both"/>
        <w:rPr>
          <w:rFonts w:ascii="Times New Roman" w:hAnsi="Times New Roman" w:cs="Times New Roman"/>
          <w:sz w:val="24"/>
          <w:szCs w:val="24"/>
        </w:rPr>
      </w:pPr>
    </w:p>
    <w:sectPr w:rsidR="00E83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B98"/>
    <w:multiLevelType w:val="multilevel"/>
    <w:tmpl w:val="3F06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689C"/>
    <w:multiLevelType w:val="multilevel"/>
    <w:tmpl w:val="FCD2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46983"/>
    <w:multiLevelType w:val="multilevel"/>
    <w:tmpl w:val="30E2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4459D"/>
    <w:multiLevelType w:val="multilevel"/>
    <w:tmpl w:val="9E34C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D5379"/>
    <w:multiLevelType w:val="hybridMultilevel"/>
    <w:tmpl w:val="1F64A2F4"/>
    <w:lvl w:ilvl="0" w:tplc="83E42F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4B79CD"/>
    <w:multiLevelType w:val="multilevel"/>
    <w:tmpl w:val="0AA4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8297A"/>
    <w:multiLevelType w:val="hybridMultilevel"/>
    <w:tmpl w:val="8028F9B8"/>
    <w:lvl w:ilvl="0" w:tplc="B448AEFE">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8868814">
    <w:abstractNumId w:val="0"/>
  </w:num>
  <w:num w:numId="2" w16cid:durableId="1767769015">
    <w:abstractNumId w:val="2"/>
  </w:num>
  <w:num w:numId="3" w16cid:durableId="1308971346">
    <w:abstractNumId w:val="3"/>
  </w:num>
  <w:num w:numId="4" w16cid:durableId="344527112">
    <w:abstractNumId w:val="1"/>
  </w:num>
  <w:num w:numId="5" w16cid:durableId="1041979211">
    <w:abstractNumId w:val="4"/>
  </w:num>
  <w:num w:numId="6" w16cid:durableId="1616863345">
    <w:abstractNumId w:val="6"/>
  </w:num>
  <w:num w:numId="7" w16cid:durableId="1254050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7"/>
    <w:rsid w:val="00046466"/>
    <w:rsid w:val="0011209B"/>
    <w:rsid w:val="001922F0"/>
    <w:rsid w:val="001D0439"/>
    <w:rsid w:val="0020186F"/>
    <w:rsid w:val="002104D0"/>
    <w:rsid w:val="00273BF8"/>
    <w:rsid w:val="00303D69"/>
    <w:rsid w:val="00312F14"/>
    <w:rsid w:val="00386F48"/>
    <w:rsid w:val="003B1BF7"/>
    <w:rsid w:val="003D252F"/>
    <w:rsid w:val="003E3EAF"/>
    <w:rsid w:val="004147CD"/>
    <w:rsid w:val="00492E68"/>
    <w:rsid w:val="00522BD8"/>
    <w:rsid w:val="005B2568"/>
    <w:rsid w:val="005C0F65"/>
    <w:rsid w:val="006D35C5"/>
    <w:rsid w:val="00721125"/>
    <w:rsid w:val="00793C27"/>
    <w:rsid w:val="007944AE"/>
    <w:rsid w:val="007E2FB9"/>
    <w:rsid w:val="00803E6A"/>
    <w:rsid w:val="00925AEF"/>
    <w:rsid w:val="009616C0"/>
    <w:rsid w:val="00976025"/>
    <w:rsid w:val="00A30987"/>
    <w:rsid w:val="00B8715D"/>
    <w:rsid w:val="00BE557C"/>
    <w:rsid w:val="00C7746B"/>
    <w:rsid w:val="00C931E1"/>
    <w:rsid w:val="00D2099D"/>
    <w:rsid w:val="00D5330C"/>
    <w:rsid w:val="00D56575"/>
    <w:rsid w:val="00E43B22"/>
    <w:rsid w:val="00E644F9"/>
    <w:rsid w:val="00E65F3D"/>
    <w:rsid w:val="00E83BAA"/>
    <w:rsid w:val="00F053B2"/>
    <w:rsid w:val="00FC5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1ABD"/>
  <w15:chartTrackingRefBased/>
  <w15:docId w15:val="{866E1327-3BD0-475C-8B19-C12743FB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1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1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BF7"/>
    <w:rPr>
      <w:rFonts w:eastAsiaTheme="majorEastAsia" w:cstheme="majorBidi"/>
      <w:color w:val="272727" w:themeColor="text1" w:themeTint="D8"/>
    </w:rPr>
  </w:style>
  <w:style w:type="paragraph" w:styleId="Title">
    <w:name w:val="Title"/>
    <w:basedOn w:val="Normal"/>
    <w:next w:val="Normal"/>
    <w:link w:val="TitleChar"/>
    <w:uiPriority w:val="10"/>
    <w:qFormat/>
    <w:rsid w:val="003B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BF7"/>
    <w:pPr>
      <w:spacing w:before="160"/>
      <w:jc w:val="center"/>
    </w:pPr>
    <w:rPr>
      <w:i/>
      <w:iCs/>
      <w:color w:val="404040" w:themeColor="text1" w:themeTint="BF"/>
    </w:rPr>
  </w:style>
  <w:style w:type="character" w:customStyle="1" w:styleId="QuoteChar">
    <w:name w:val="Quote Char"/>
    <w:basedOn w:val="DefaultParagraphFont"/>
    <w:link w:val="Quote"/>
    <w:uiPriority w:val="29"/>
    <w:rsid w:val="003B1BF7"/>
    <w:rPr>
      <w:i/>
      <w:iCs/>
      <w:color w:val="404040" w:themeColor="text1" w:themeTint="BF"/>
    </w:rPr>
  </w:style>
  <w:style w:type="paragraph" w:styleId="ListParagraph">
    <w:name w:val="List Paragraph"/>
    <w:basedOn w:val="Normal"/>
    <w:uiPriority w:val="34"/>
    <w:qFormat/>
    <w:rsid w:val="003B1BF7"/>
    <w:pPr>
      <w:ind w:left="720"/>
      <w:contextualSpacing/>
    </w:pPr>
  </w:style>
  <w:style w:type="character" w:styleId="IntenseEmphasis">
    <w:name w:val="Intense Emphasis"/>
    <w:basedOn w:val="DefaultParagraphFont"/>
    <w:uiPriority w:val="21"/>
    <w:qFormat/>
    <w:rsid w:val="003B1BF7"/>
    <w:rPr>
      <w:i/>
      <w:iCs/>
      <w:color w:val="2F5496" w:themeColor="accent1" w:themeShade="BF"/>
    </w:rPr>
  </w:style>
  <w:style w:type="paragraph" w:styleId="IntenseQuote">
    <w:name w:val="Intense Quote"/>
    <w:basedOn w:val="Normal"/>
    <w:next w:val="Normal"/>
    <w:link w:val="IntenseQuoteChar"/>
    <w:uiPriority w:val="30"/>
    <w:qFormat/>
    <w:rsid w:val="003B1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BF7"/>
    <w:rPr>
      <w:i/>
      <w:iCs/>
      <w:color w:val="2F5496" w:themeColor="accent1" w:themeShade="BF"/>
    </w:rPr>
  </w:style>
  <w:style w:type="character" w:styleId="IntenseReference">
    <w:name w:val="Intense Reference"/>
    <w:basedOn w:val="DefaultParagraphFont"/>
    <w:uiPriority w:val="32"/>
    <w:qFormat/>
    <w:rsid w:val="003B1BF7"/>
    <w:rPr>
      <w:b/>
      <w:bCs/>
      <w:smallCaps/>
      <w:color w:val="2F5496" w:themeColor="accent1" w:themeShade="BF"/>
      <w:spacing w:val="5"/>
    </w:rPr>
  </w:style>
  <w:style w:type="character" w:styleId="Hyperlink">
    <w:name w:val="Hyperlink"/>
    <w:basedOn w:val="DefaultParagraphFont"/>
    <w:uiPriority w:val="99"/>
    <w:unhideWhenUsed/>
    <w:rsid w:val="00303D69"/>
    <w:rPr>
      <w:color w:val="0563C1" w:themeColor="hyperlink"/>
      <w:u w:val="single"/>
    </w:rPr>
  </w:style>
  <w:style w:type="character" w:styleId="UnresolvedMention">
    <w:name w:val="Unresolved Mention"/>
    <w:basedOn w:val="DefaultParagraphFont"/>
    <w:uiPriority w:val="99"/>
    <w:semiHidden/>
    <w:unhideWhenUsed/>
    <w:rsid w:val="00303D69"/>
    <w:rPr>
      <w:color w:val="605E5C"/>
      <w:shd w:val="clear" w:color="auto" w:fill="E1DFDD"/>
    </w:rPr>
  </w:style>
  <w:style w:type="paragraph" w:styleId="NormalWeb">
    <w:name w:val="Normal (Web)"/>
    <w:basedOn w:val="Normal"/>
    <w:uiPriority w:val="99"/>
    <w:semiHidden/>
    <w:unhideWhenUsed/>
    <w:rsid w:val="00303D6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s://www.google.com/search?q=https://doi.org/10.3389/fmolb.2025.1634302" TargetMode="External"/><Relationship Id="rId18" Type="http://schemas.openxmlformats.org/officeDocument/2006/relationships/hyperlink" Target="https://doi.org/10.3390/nu17071169" TargetMode="External"/><Relationship Id="rId26" Type="http://schemas.openxmlformats.org/officeDocument/2006/relationships/hyperlink" Target="https://doi.org/10.1210/clinem/dgaf026" TargetMode="External"/><Relationship Id="rId3" Type="http://schemas.openxmlformats.org/officeDocument/2006/relationships/settings" Target="settings.xml"/><Relationship Id="rId21" Type="http://schemas.openxmlformats.org/officeDocument/2006/relationships/hyperlink" Target="https://news.harvard.edu/gazette/story/2023/12/brain-care-score-reveals-risk-of-dementia-stroke/" TargetMode="External"/><Relationship Id="rId7" Type="http://schemas.openxmlformats.org/officeDocument/2006/relationships/image" Target="media/image2.png"/><Relationship Id="rId12" Type="http://schemas.openxmlformats.org/officeDocument/2006/relationships/hyperlink" Target="https://doi.org/10.1038/s41591-025-03564-3" TargetMode="External"/><Relationship Id="rId17" Type="http://schemas.openxmlformats.org/officeDocument/2006/relationships/hyperlink" Target="https://doi.org/10.1016/S0140-6736(24)01296-0" TargetMode="External"/><Relationship Id="rId25" Type="http://schemas.openxmlformats.org/officeDocument/2006/relationships/hyperlink" Target="https://doi.org/10.3389/fnagi.2021.713819" TargetMode="External"/><Relationship Id="rId2" Type="http://schemas.openxmlformats.org/officeDocument/2006/relationships/styles" Target="styles.xml"/><Relationship Id="rId16" Type="http://schemas.openxmlformats.org/officeDocument/2006/relationships/hyperlink" Target="https://www.health.harvard.edu/heart-health/whats-your-brain-care-score" TargetMode="External"/><Relationship Id="rId20" Type="http://schemas.openxmlformats.org/officeDocument/2006/relationships/hyperlink" Target="https://doi.org/10.3390/jcm14186611" TargetMode="External"/><Relationship Id="rId29" Type="http://schemas.openxmlformats.org/officeDocument/2006/relationships/hyperlink" Target="https://doi.org/10.51244/IJRSI.2026.13010155"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ictionary.cambridge.org/dictionary/english/report" TargetMode="External"/><Relationship Id="rId24" Type="http://schemas.openxmlformats.org/officeDocument/2006/relationships/hyperlink" Target="https://doi.org/10.1212/WNL.0000000000003288" TargetMode="External"/><Relationship Id="rId5" Type="http://schemas.openxmlformats.org/officeDocument/2006/relationships/image" Target="media/image1.png"/><Relationship Id="rId15" Type="http://schemas.openxmlformats.org/officeDocument/2006/relationships/hyperlink" Target="https://doi.org/10.1093/geroni/igae098.3054" TargetMode="External"/><Relationship Id="rId23" Type="http://schemas.openxmlformats.org/officeDocument/2006/relationships/hyperlink" Target="https://doi.org/10.1101/2025.11.07.25339777" TargetMode="External"/><Relationship Id="rId28" Type="http://schemas.openxmlformats.org/officeDocument/2006/relationships/hyperlink" Target="https://doi.org/10.51244/IJRSI.2025.12110120" TargetMode="External"/><Relationship Id="rId10" Type="http://schemas.microsoft.com/office/2007/relationships/hdphoto" Target="media/hdphoto3.wdp"/><Relationship Id="rId19" Type="http://schemas.openxmlformats.org/officeDocument/2006/relationships/hyperlink" Target="https://doi.org/10.1007/s10389-025-02412-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accpm.2022.101048" TargetMode="External"/><Relationship Id="rId22" Type="http://schemas.openxmlformats.org/officeDocument/2006/relationships/hyperlink" Target="https://doi.org/10.3389/fnut.2023.1272338" TargetMode="External"/><Relationship Id="rId27" Type="http://schemas.openxmlformats.org/officeDocument/2006/relationships/hyperlink" Target="https://doi.org/10.1021/acschemneuro.3c0064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9</Pages>
  <Words>3296</Words>
  <Characters>18791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Kaushik</dc:creator>
  <cp:keywords/>
  <dc:description/>
  <cp:lastModifiedBy>theaisha1707@gmail.com</cp:lastModifiedBy>
  <cp:revision>13</cp:revision>
  <dcterms:created xsi:type="dcterms:W3CDTF">2026-02-25T11:26:00Z</dcterms:created>
  <dcterms:modified xsi:type="dcterms:W3CDTF">2026-03-10T06:39:00Z</dcterms:modified>
</cp:coreProperties>
</file>