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D8191" w14:textId="77777777" w:rsidR="009B1B86" w:rsidRDefault="009B1B86" w:rsidP="00676D24">
      <w:pPr>
        <w:pStyle w:val="Heading3"/>
        <w:jc w:val="center"/>
        <w:rPr>
          <w:sz w:val="36"/>
          <w:szCs w:val="36"/>
        </w:rPr>
      </w:pPr>
      <w:r w:rsidRPr="00B07B55">
        <w:rPr>
          <w:sz w:val="36"/>
          <w:szCs w:val="36"/>
        </w:rPr>
        <w:t>Corrosion Inhibition and Sustainable Waste Management: Evaluating the Potential of Expired Lopinavir-Ritonavir in Steel Protection</w:t>
      </w:r>
    </w:p>
    <w:p w14:paraId="71A1F223" w14:textId="77777777" w:rsidR="00B52A64" w:rsidRPr="00B07B55" w:rsidRDefault="00B52A64" w:rsidP="00676D24">
      <w:pPr>
        <w:pStyle w:val="Heading3"/>
        <w:jc w:val="center"/>
        <w:rPr>
          <w:sz w:val="36"/>
          <w:szCs w:val="36"/>
        </w:rPr>
      </w:pPr>
    </w:p>
    <w:p w14:paraId="0381A17E" w14:textId="77777777" w:rsidR="00BE73BA" w:rsidRPr="00B07B55" w:rsidRDefault="00080407" w:rsidP="008C2D0C">
      <w:pPr>
        <w:pStyle w:val="Heading3"/>
        <w:spacing w:line="360" w:lineRule="auto"/>
        <w:rPr>
          <w:sz w:val="28"/>
          <w:szCs w:val="28"/>
        </w:rPr>
      </w:pPr>
      <w:r w:rsidRPr="00B07B55">
        <w:rPr>
          <w:rStyle w:val="Strong"/>
          <w:b/>
          <w:bCs/>
          <w:sz w:val="28"/>
          <w:szCs w:val="28"/>
        </w:rPr>
        <w:t>ABTRACT</w:t>
      </w:r>
    </w:p>
    <w:p w14:paraId="1F1D0776" w14:textId="77777777" w:rsidR="00BE73BA" w:rsidRDefault="00C13FDB" w:rsidP="008C2D0C">
      <w:pPr>
        <w:pStyle w:val="NormalWeb"/>
        <w:spacing w:line="360" w:lineRule="auto"/>
        <w:jc w:val="both"/>
      </w:pPr>
      <w:r>
        <w:t>This study investigated</w:t>
      </w:r>
      <w:r w:rsidR="00BE73BA">
        <w:t xml:space="preserve"> the potential of expired Lopinavir</w:t>
      </w:r>
      <w:r>
        <w:t>-Ritonavir (LPV-RTV) co-formulated antiretroviral drug</w:t>
      </w:r>
      <w:r w:rsidR="00BE73BA">
        <w:t>, a pharmaceutical waste product, as a corrosion inhibitor for mild steel. The corrosion inhibition efficiency of expired L</w:t>
      </w:r>
      <w:r>
        <w:t>PV-RTV</w:t>
      </w:r>
      <w:r w:rsidR="00BE73BA">
        <w:t xml:space="preserve"> was evaluated through three complementary methods: weight loss, potentiodynamic polarization (PDP), and Scanning Electron Microscopy with Energy Dispersive X-ray Spectroscopy (SEM-EDX). The results demonstrated that expired L</w:t>
      </w:r>
      <w:r>
        <w:t>PV-RTV</w:t>
      </w:r>
      <w:r w:rsidR="00BE73BA">
        <w:t xml:space="preserve"> significantly enhanced the corrosion resistance of mild steel, achieving maximum inhibition efficiencies </w:t>
      </w:r>
      <w:r w:rsidR="0097425C">
        <w:t>of 95.7% by weight loss and 93.0</w:t>
      </w:r>
      <w:r w:rsidR="00BE73BA">
        <w:t>% by PDP. SEM-EDX analysis of the steel surfaces revealed the formation of a protective layer, further supporting the corrosion inhibition mechanism. These findings highlight the effectiveness of expired L</w:t>
      </w:r>
      <w:r>
        <w:t>PV-RTV</w:t>
      </w:r>
      <w:r w:rsidR="00BE73BA">
        <w:t xml:space="preserve"> as an efficient, eco-friendly corrosion inhibitor. The study also emphasizes the potential of utilizing expired pharmaceuticals for sustainable resource recovery, offering a viable solution for both pharmaceutical waste reduction and industrial corrosion control.</w:t>
      </w:r>
    </w:p>
    <w:p w14:paraId="37B4058C" w14:textId="77777777" w:rsidR="0032313E" w:rsidRDefault="0032313E" w:rsidP="008C2D0C">
      <w:pPr>
        <w:pStyle w:val="NormalWeb"/>
        <w:spacing w:line="360" w:lineRule="auto"/>
        <w:jc w:val="both"/>
      </w:pPr>
      <w:r>
        <w:t xml:space="preserve">Keywords: </w:t>
      </w:r>
      <w:r w:rsidR="00213913">
        <w:t xml:space="preserve">Pharmaceutical waste, </w:t>
      </w:r>
      <w:r>
        <w:t xml:space="preserve">Lopinavir-Ritonavir, </w:t>
      </w:r>
      <w:r w:rsidR="00213913">
        <w:t>Weight Loss. PDP, SEM-EDX.</w:t>
      </w:r>
    </w:p>
    <w:p w14:paraId="104590DF" w14:textId="77777777" w:rsidR="009B1B86" w:rsidRPr="00B07B55" w:rsidRDefault="00080407" w:rsidP="008C2D0C">
      <w:pPr>
        <w:pStyle w:val="Heading3"/>
        <w:spacing w:line="360" w:lineRule="auto"/>
        <w:rPr>
          <w:sz w:val="28"/>
          <w:szCs w:val="28"/>
        </w:rPr>
      </w:pPr>
      <w:r w:rsidRPr="00B07B55">
        <w:rPr>
          <w:rStyle w:val="Strong"/>
          <w:b/>
          <w:bCs/>
          <w:sz w:val="28"/>
          <w:szCs w:val="28"/>
        </w:rPr>
        <w:t>INTRODUCTION</w:t>
      </w:r>
    </w:p>
    <w:p w14:paraId="57D379A7" w14:textId="77777777" w:rsidR="009B1B86" w:rsidRDefault="009B1B86" w:rsidP="008C2D0C">
      <w:pPr>
        <w:pStyle w:val="NormalWeb"/>
        <w:spacing w:line="360" w:lineRule="auto"/>
        <w:jc w:val="both"/>
      </w:pPr>
      <w:r>
        <w:t>Corrosion of mild steel is a major challenge in various industrial sectors, including construction, automotive, and manufacturing, where steel is commonly used in critical infrastructure. The corrosion of steel not only results in significant economic losses, but also leads to structural damage, increased maintenance costs, and environmental</w:t>
      </w:r>
      <w:r w:rsidR="00070205">
        <w:t xml:space="preserve"> concerns [1</w:t>
      </w:r>
      <w:r w:rsidR="004A44F5">
        <w:t>;</w:t>
      </w:r>
      <w:r w:rsidR="00070205">
        <w:t xml:space="preserve"> 2]</w:t>
      </w:r>
      <w:r w:rsidR="004A44F5">
        <w:t xml:space="preserve"> </w:t>
      </w:r>
      <w:r>
        <w:t xml:space="preserve">To mitigate corrosion, inhibitors are often employed, especially in environments where steel is exposed to aggressive conditions, such as acidic or saline environments. While traditional corrosion inhibitors, including organic compounds, inorganic salts, and synthetic polymers, have been widely studied, many of </w:t>
      </w:r>
      <w:r>
        <w:lastRenderedPageBreak/>
        <w:t>these substances are either expensive, environmentally ha</w:t>
      </w:r>
      <w:r w:rsidR="00070205">
        <w:t>zardous, or both [3]</w:t>
      </w:r>
      <w:r>
        <w:t xml:space="preserve">. This has led to the search for more </w:t>
      </w:r>
      <w:r w:rsidRPr="00522598">
        <w:rPr>
          <w:rStyle w:val="Strong"/>
          <w:b w:val="0"/>
        </w:rPr>
        <w:t>eco-friendly</w:t>
      </w:r>
      <w:r w:rsidRPr="00522598">
        <w:rPr>
          <w:b/>
        </w:rPr>
        <w:t xml:space="preserve">, </w:t>
      </w:r>
      <w:r w:rsidRPr="00522598">
        <w:rPr>
          <w:rStyle w:val="Strong"/>
          <w:b w:val="0"/>
        </w:rPr>
        <w:t>cost-effective</w:t>
      </w:r>
      <w:r w:rsidRPr="00522598">
        <w:rPr>
          <w:b/>
        </w:rPr>
        <w:t>,</w:t>
      </w:r>
      <w:r>
        <w:t xml:space="preserve"> and </w:t>
      </w:r>
      <w:r w:rsidRPr="00522598">
        <w:rPr>
          <w:rStyle w:val="Strong"/>
          <w:b w:val="0"/>
        </w:rPr>
        <w:t>sustainable alternatives</w:t>
      </w:r>
      <w:r>
        <w:t xml:space="preserve"> for corrosion prevention.</w:t>
      </w:r>
    </w:p>
    <w:p w14:paraId="66EECFCF" w14:textId="77777777" w:rsidR="009B1B86" w:rsidRDefault="009B1B86" w:rsidP="008C2D0C">
      <w:pPr>
        <w:pStyle w:val="NormalWeb"/>
        <w:spacing w:line="360" w:lineRule="auto"/>
        <w:jc w:val="both"/>
      </w:pPr>
      <w:r>
        <w:t xml:space="preserve">Pharmaceutical products, especially </w:t>
      </w:r>
      <w:r w:rsidRPr="00522598">
        <w:rPr>
          <w:rStyle w:val="Strong"/>
          <w:b w:val="0"/>
        </w:rPr>
        <w:t>expired drugs</w:t>
      </w:r>
      <w:r w:rsidRPr="00522598">
        <w:rPr>
          <w:b/>
        </w:rPr>
        <w:t>,</w:t>
      </w:r>
      <w:r w:rsidRPr="00522598">
        <w:t xml:space="preserve"> have emerged as a promising class of </w:t>
      </w:r>
      <w:r w:rsidRPr="00522598">
        <w:rPr>
          <w:rStyle w:val="Strong"/>
          <w:b w:val="0"/>
        </w:rPr>
        <w:t>green corrosion inhibitors</w:t>
      </w:r>
      <w:r w:rsidRPr="00522598">
        <w:t xml:space="preserve"> due to their organic nature</w:t>
      </w:r>
      <w:r>
        <w:t xml:space="preserve"> and functional groups, which can interact with metal surfaces to form protective films</w:t>
      </w:r>
      <w:r w:rsidR="004A44F5">
        <w:t xml:space="preserve"> </w:t>
      </w:r>
      <w:r w:rsidR="0049534B">
        <w:t>[4]</w:t>
      </w:r>
      <w:r>
        <w:t xml:space="preserve">. Among such drugs, </w:t>
      </w:r>
      <w:r w:rsidRPr="00522598">
        <w:rPr>
          <w:rStyle w:val="Strong"/>
          <w:b w:val="0"/>
        </w:rPr>
        <w:t>Lopinavir</w:t>
      </w:r>
      <w:r>
        <w:t xml:space="preserve"> (IUPAC name: </w:t>
      </w:r>
      <w:r w:rsidRPr="00522598">
        <w:rPr>
          <w:rStyle w:val="Strong"/>
          <w:b w:val="0"/>
        </w:rPr>
        <w:t>[(2S,3S)-3-[(2S)-2-[(2S)-2-[(2S)-2-[(2S)-2-[(2S)-2-(3-hydroxyphenyl)thiazol-4-yl]thiazol-5-yl]thiazol-4-yl]thiazol-5-yl]thiazol-3-yl]thiazol-4-yl]thiazol-3-yl]thiazol-5-yl](2S)-2-[(2S)-2-(4-methylphenyl)-3,5-dimethyl-4H-pyrrolo[3,4-b]quinolin-1-yl]-1,4-diazepan-2-yl]thiazol-3-yl)</w:t>
      </w:r>
      <w:r w:rsidRPr="00522598">
        <w:rPr>
          <w:b/>
        </w:rPr>
        <w:t>,</w:t>
      </w:r>
      <w:r>
        <w:t xml:space="preserve"> a protease inhibitor used in the treatment of HIV, is frequently co-formulated with </w:t>
      </w:r>
      <w:r w:rsidRPr="00522598">
        <w:rPr>
          <w:rStyle w:val="Strong"/>
          <w:b w:val="0"/>
        </w:rPr>
        <w:t>Ritonavir</w:t>
      </w:r>
      <w:r w:rsidRPr="00522598">
        <w:rPr>
          <w:b/>
        </w:rPr>
        <w:t xml:space="preserve"> (</w:t>
      </w:r>
      <w:r w:rsidRPr="00522598">
        <w:t>IUPAC name:</w:t>
      </w:r>
      <w:r w:rsidRPr="00522598">
        <w:rPr>
          <w:b/>
        </w:rPr>
        <w:t xml:space="preserve"> </w:t>
      </w:r>
      <w:r w:rsidRPr="00522598">
        <w:rPr>
          <w:rStyle w:val="Strong"/>
          <w:b w:val="0"/>
        </w:rPr>
        <w:t>[(2S,4S)-2-[(2S)-2-[(2S)-2-[(2S)-2-(3,4-dimethoxyphenyl)thiazol-4-yl]thiazol-5-yl]thiazol-4-yl]thiazol-5-yl]thiazol-3-yl]thiazol-4-yl](2S)-2-[(2S)-2-(3-methoxyphenyl)-4-methyl-4H-pyrrolo[3,4-b]quinolin-1-yl]-1,4-diazepan-2-yl]thiazol-3-yl</w:t>
      </w:r>
      <w:r w:rsidRPr="00522598">
        <w:rPr>
          <w:b/>
        </w:rPr>
        <w:t>)</w:t>
      </w:r>
      <w:r>
        <w:t>, another antiviral agent that acts as a pharmacokinetic enhancer</w:t>
      </w:r>
      <w:r w:rsidR="00070205">
        <w:t xml:space="preserve"> </w:t>
      </w:r>
      <w:r w:rsidR="0049534B">
        <w:t xml:space="preserve"> [5]</w:t>
      </w:r>
      <w:r>
        <w:t>.</w:t>
      </w:r>
    </w:p>
    <w:p w14:paraId="72A737B9" w14:textId="77777777" w:rsidR="009B1B86" w:rsidRDefault="009B1B86" w:rsidP="008C2D0C">
      <w:pPr>
        <w:pStyle w:val="NormalWeb"/>
        <w:spacing w:line="360" w:lineRule="auto"/>
        <w:jc w:val="both"/>
      </w:pPr>
      <w:r>
        <w:t xml:space="preserve">The </w:t>
      </w:r>
      <w:r w:rsidRPr="00522598">
        <w:rPr>
          <w:rStyle w:val="Strong"/>
          <w:b w:val="0"/>
        </w:rPr>
        <w:t>Lopinavir-Ritonavir co-formulation</w:t>
      </w:r>
      <w:r w:rsidR="00522598" w:rsidRPr="00522598">
        <w:rPr>
          <w:rStyle w:val="Strong"/>
          <w:b w:val="0"/>
        </w:rPr>
        <w:t xml:space="preserve"> drug</w:t>
      </w:r>
      <w:r>
        <w:t xml:space="preserve"> has been shown to possess corrosion inhibition properties, making it a potential candidate for controlling metal deterioration. The </w:t>
      </w:r>
      <w:r w:rsidRPr="00522598">
        <w:rPr>
          <w:rStyle w:val="Strong"/>
          <w:b w:val="0"/>
        </w:rPr>
        <w:t>synergistic effect</w:t>
      </w:r>
      <w:r w:rsidRPr="00522598">
        <w:rPr>
          <w:b/>
        </w:rPr>
        <w:t xml:space="preserve"> </w:t>
      </w:r>
      <w:r>
        <w:t xml:space="preserve">of </w:t>
      </w:r>
      <w:r w:rsidRPr="00522598">
        <w:rPr>
          <w:rStyle w:val="Strong"/>
          <w:b w:val="0"/>
        </w:rPr>
        <w:t>Lopinavir</w:t>
      </w:r>
      <w:r>
        <w:t xml:space="preserve"> and</w:t>
      </w:r>
      <w:r w:rsidRPr="00522598">
        <w:t xml:space="preserve"> </w:t>
      </w:r>
      <w:r w:rsidRPr="00522598">
        <w:rPr>
          <w:rStyle w:val="Strong"/>
          <w:b w:val="0"/>
        </w:rPr>
        <w:t>Ritonavir</w:t>
      </w:r>
      <w:r>
        <w:t xml:space="preserve"> may enhance the ability of this combination to prevent the corrosion of mild steel by forming a protective layer on the steel surface, thus mitigating corrosion. The </w:t>
      </w:r>
      <w:r w:rsidRPr="00522598">
        <w:rPr>
          <w:rStyle w:val="Strong"/>
          <w:b w:val="0"/>
        </w:rPr>
        <w:t>pharmacokinetic enhancement</w:t>
      </w:r>
      <w:r>
        <w:t xml:space="preserve"> offered by </w:t>
      </w:r>
      <w:r w:rsidRPr="00522598">
        <w:rPr>
          <w:rStyle w:val="Strong"/>
          <w:b w:val="0"/>
        </w:rPr>
        <w:t>Ritonavir</w:t>
      </w:r>
      <w:r>
        <w:t xml:space="preserve"> in the combination may also contribute to improving the stability and effectiveness of </w:t>
      </w:r>
      <w:r w:rsidRPr="00522598">
        <w:rPr>
          <w:rStyle w:val="Strong"/>
          <w:b w:val="0"/>
        </w:rPr>
        <w:t>Lopinavir</w:t>
      </w:r>
      <w:r w:rsidRPr="00522598">
        <w:rPr>
          <w:b/>
        </w:rPr>
        <w:t xml:space="preserve"> </w:t>
      </w:r>
      <w:r>
        <w:t>as a corrosion inhibitor.</w:t>
      </w:r>
    </w:p>
    <w:p w14:paraId="1411BA42" w14:textId="77777777" w:rsidR="009B1B86" w:rsidRDefault="009B1B86" w:rsidP="008C2D0C">
      <w:pPr>
        <w:pStyle w:val="NormalWeb"/>
        <w:spacing w:line="360" w:lineRule="auto"/>
        <w:jc w:val="both"/>
      </w:pPr>
      <w:r>
        <w:t xml:space="preserve">While the corrosion inhibition properties of various expired pharmaceuticals have been explored, the specific application of the </w:t>
      </w:r>
      <w:r w:rsidRPr="00522598">
        <w:rPr>
          <w:rStyle w:val="Strong"/>
          <w:b w:val="0"/>
        </w:rPr>
        <w:t>Lopinavir-Ritonavir combination</w:t>
      </w:r>
      <w:r>
        <w:t xml:space="preserve"> for corrosion protection of mild steel remains underexplored. This study aims to investigate the corrosion inhibition efficiency of the </w:t>
      </w:r>
      <w:r w:rsidRPr="00522598">
        <w:rPr>
          <w:rStyle w:val="Strong"/>
          <w:b w:val="0"/>
        </w:rPr>
        <w:t>expired Lopinavir-Ritonavir co-formulation</w:t>
      </w:r>
      <w:r>
        <w:t xml:space="preserve"> for mild steel in both </w:t>
      </w:r>
      <w:r w:rsidRPr="00522598">
        <w:rPr>
          <w:rStyle w:val="Strong"/>
          <w:b w:val="0"/>
        </w:rPr>
        <w:t>acidic</w:t>
      </w:r>
      <w:r>
        <w:t xml:space="preserve"> and </w:t>
      </w:r>
      <w:r w:rsidRPr="00522598">
        <w:rPr>
          <w:rStyle w:val="Strong"/>
          <w:b w:val="0"/>
        </w:rPr>
        <w:t>saline environments</w:t>
      </w:r>
      <w:r>
        <w:t xml:space="preserve">, using </w:t>
      </w:r>
      <w:r w:rsidRPr="00522598">
        <w:rPr>
          <w:rStyle w:val="Strong"/>
          <w:b w:val="0"/>
        </w:rPr>
        <w:t>weight loss</w:t>
      </w:r>
      <w:r>
        <w:t xml:space="preserve"> </w:t>
      </w:r>
      <w:r w:rsidRPr="00522598">
        <w:t>and</w:t>
      </w:r>
      <w:r w:rsidRPr="00522598">
        <w:rPr>
          <w:b/>
        </w:rPr>
        <w:t xml:space="preserve"> </w:t>
      </w:r>
      <w:r w:rsidRPr="00522598">
        <w:rPr>
          <w:rStyle w:val="Strong"/>
          <w:b w:val="0"/>
        </w:rPr>
        <w:t>potentiodynamic polarization (PDP)</w:t>
      </w:r>
      <w:r>
        <w:t xml:space="preserve"> methods. </w:t>
      </w:r>
      <w:r w:rsidRPr="00522598">
        <w:rPr>
          <w:rStyle w:val="Strong"/>
          <w:b w:val="0"/>
        </w:rPr>
        <w:t>Scanning Electron Microscopy with Energy Dispersive X-ray Spectroscopy (SEM-EDX)</w:t>
      </w:r>
      <w:r>
        <w:t xml:space="preserve"> </w:t>
      </w:r>
      <w:r w:rsidR="00522598">
        <w:t>was</w:t>
      </w:r>
      <w:r>
        <w:t xml:space="preserve"> employed to analyze the surface morphology and elemental composition of the mild steel after exposure to the inhibitor, providing valuable insights into the corrosion inhibition mechanism.</w:t>
      </w:r>
    </w:p>
    <w:p w14:paraId="072327CF" w14:textId="77777777" w:rsidR="009B1B86" w:rsidRDefault="008C2D0C" w:rsidP="008C2D0C">
      <w:pPr>
        <w:pStyle w:val="NormalWeb"/>
        <w:spacing w:line="360" w:lineRule="auto"/>
        <w:jc w:val="both"/>
      </w:pPr>
      <w:r>
        <w:lastRenderedPageBreak/>
        <w:t xml:space="preserve">The primary objectives of this study are to evaluate the corrosion inhibition efficiency of the Lopinavir-Ritonavir co-formulation drug on mild steel through weight loss and PDP techniques, to explore the corrosion inhibition mechanism via SEM-EDX analysis with a focus on surface morphology and the formation of a protective layer on the steel, and to assess the feasibility of using expired Lopinavir-Ritonavir co-formulation drug as a sustainable, eco-friendly alternative to conventional corrosion inhibitors. </w:t>
      </w:r>
      <w:r w:rsidR="009B1B86">
        <w:t xml:space="preserve">By addressing both the environmental issue of </w:t>
      </w:r>
      <w:r w:rsidR="009B1B86" w:rsidRPr="008C2D0C">
        <w:rPr>
          <w:rStyle w:val="Strong"/>
          <w:b w:val="0"/>
        </w:rPr>
        <w:t>pharmaceutical waste</w:t>
      </w:r>
      <w:r w:rsidR="009B1B86">
        <w:t xml:space="preserve"> and the industrial need for </w:t>
      </w:r>
      <w:r w:rsidR="009B1B86" w:rsidRPr="008C2D0C">
        <w:rPr>
          <w:rStyle w:val="Strong"/>
          <w:b w:val="0"/>
        </w:rPr>
        <w:t>effective corrosion control</w:t>
      </w:r>
      <w:r w:rsidR="009B1B86">
        <w:t xml:space="preserve">, this study offers a novel, </w:t>
      </w:r>
      <w:r w:rsidR="009B1B86" w:rsidRPr="008C2D0C">
        <w:rPr>
          <w:rStyle w:val="Strong"/>
          <w:b w:val="0"/>
        </w:rPr>
        <w:t>sustainable solution</w:t>
      </w:r>
      <w:r w:rsidR="009B1B86" w:rsidRPr="008C2D0C">
        <w:rPr>
          <w:b/>
        </w:rPr>
        <w:t xml:space="preserve"> </w:t>
      </w:r>
      <w:r w:rsidR="009B1B86">
        <w:t>for mitigating corrosion in industrial applications.</w:t>
      </w:r>
    </w:p>
    <w:p w14:paraId="6ABADBA8" w14:textId="77777777" w:rsidR="00080407" w:rsidRPr="00B07B55" w:rsidRDefault="00080407" w:rsidP="00080407">
      <w:pPr>
        <w:spacing w:before="100" w:beforeAutospacing="1" w:after="100" w:afterAutospacing="1" w:line="360" w:lineRule="auto"/>
        <w:jc w:val="both"/>
        <w:rPr>
          <w:rFonts w:ascii="Times New Roman" w:hAnsi="Times New Roman" w:cs="Times New Roman"/>
          <w:b/>
          <w:sz w:val="28"/>
          <w:szCs w:val="28"/>
        </w:rPr>
      </w:pPr>
      <w:r w:rsidRPr="00B07B55">
        <w:rPr>
          <w:rFonts w:ascii="Times New Roman" w:hAnsi="Times New Roman" w:cs="Times New Roman"/>
          <w:b/>
          <w:sz w:val="28"/>
          <w:szCs w:val="28"/>
        </w:rPr>
        <w:t>MATERIALS AND METHODS</w:t>
      </w:r>
    </w:p>
    <w:p w14:paraId="1D89A35C" w14:textId="77777777" w:rsidR="009B1B86" w:rsidRPr="00080407" w:rsidRDefault="009B1B86" w:rsidP="00080407">
      <w:pPr>
        <w:spacing w:before="100" w:beforeAutospacing="1" w:after="100" w:afterAutospacing="1" w:line="360" w:lineRule="auto"/>
        <w:jc w:val="both"/>
        <w:rPr>
          <w:rFonts w:ascii="Times New Roman" w:eastAsia="Times New Roman" w:hAnsi="Times New Roman" w:cs="Times New Roman"/>
          <w:b/>
          <w:sz w:val="24"/>
          <w:szCs w:val="24"/>
        </w:rPr>
      </w:pPr>
      <w:r w:rsidRPr="004F0782">
        <w:rPr>
          <w:rFonts w:ascii="Times New Roman" w:hAnsi="Times New Roman" w:cs="Times New Roman"/>
          <w:b/>
          <w:sz w:val="24"/>
          <w:szCs w:val="24"/>
        </w:rPr>
        <w:t xml:space="preserve"> Materials and Test Solutions</w:t>
      </w:r>
    </w:p>
    <w:p w14:paraId="444CC668" w14:textId="77777777" w:rsidR="009B1B86" w:rsidRPr="004443AC" w:rsidRDefault="009B1B86" w:rsidP="009B1B86">
      <w:pPr>
        <w:pStyle w:val="NormalWeb"/>
        <w:spacing w:line="360" w:lineRule="auto"/>
        <w:jc w:val="both"/>
      </w:pPr>
      <w:r w:rsidRPr="004443AC">
        <w:t xml:space="preserve">API 5L X65 pipeline steel was used as the test material in this study. The steel was obtained from </w:t>
      </w:r>
      <w:r w:rsidRPr="004443AC">
        <w:rPr>
          <w:rStyle w:val="whitespace-normal"/>
          <w:rFonts w:eastAsiaTheme="majorEastAsia"/>
        </w:rPr>
        <w:t>Kaduna Refining and Petrochemical Company</w:t>
      </w:r>
      <w:r w:rsidRPr="004443AC">
        <w:t xml:space="preserve"> (KRPC), Kaduna State, Nigeria. The material was originally manufactured by </w:t>
      </w:r>
      <w:r w:rsidRPr="004443AC">
        <w:rPr>
          <w:rStyle w:val="whitespace-normal"/>
          <w:rFonts w:eastAsiaTheme="majorEastAsia"/>
        </w:rPr>
        <w:t>Vallourec Brasil</w:t>
      </w:r>
      <w:r w:rsidRPr="004443AC">
        <w:t xml:space="preserve"> and supplied to </w:t>
      </w:r>
      <w:r w:rsidRPr="004443AC">
        <w:rPr>
          <w:rStyle w:val="whitespace-normal"/>
          <w:rFonts w:eastAsiaTheme="majorEastAsia"/>
        </w:rPr>
        <w:t>Daewoo Engineering &amp; Construction Nigeria Ltd</w:t>
      </w:r>
      <w:r w:rsidRPr="004443AC">
        <w:t xml:space="preserve"> for maintenance and repair operations at the refinery.</w:t>
      </w:r>
    </w:p>
    <w:p w14:paraId="50645048" w14:textId="77777777" w:rsidR="009B1B86" w:rsidRPr="004443AC" w:rsidRDefault="009B1B86" w:rsidP="009B1B86">
      <w:pPr>
        <w:pStyle w:val="NormalWeb"/>
        <w:spacing w:line="360" w:lineRule="auto"/>
        <w:jc w:val="both"/>
      </w:pPr>
      <w:r w:rsidRPr="004443AC">
        <w:t>The chemical composition of the steel (</w:t>
      </w:r>
      <w:r w:rsidR="00FC0B32" w:rsidRPr="004443AC">
        <w:t>wt %</w:t>
      </w:r>
      <w:r w:rsidRPr="004443AC">
        <w:t>) was: C (0.16), Mn (1.65), P (0.02), S (0.045), Si (0.50), Ni (0.50), Cr (0.05), Mo (0.50), Al (0.06), Cu (0.50), V (0.09), Nb (0.05), B (0.005), Ti (0.06), N (0.12), and Fe (97.04).</w:t>
      </w:r>
    </w:p>
    <w:p w14:paraId="3368C574" w14:textId="77777777" w:rsidR="009B1B86" w:rsidRPr="004443AC" w:rsidRDefault="009B1B86" w:rsidP="009B1B86">
      <w:pPr>
        <w:pStyle w:val="NormalWeb"/>
        <w:spacing w:line="360" w:lineRule="auto"/>
        <w:jc w:val="both"/>
      </w:pPr>
      <w:r w:rsidRPr="004443AC">
        <w:t xml:space="preserve">The corrosive medium was 1.0 </w:t>
      </w:r>
      <w:r>
        <w:t>mol dm</w:t>
      </w:r>
      <w:r w:rsidRPr="006D0425">
        <w:rPr>
          <w:vertAlign w:val="superscript"/>
        </w:rPr>
        <w:t>-3</w:t>
      </w:r>
      <w:r w:rsidRPr="004443AC">
        <w:t xml:space="preserve"> hydrochloric acid (HCl), prepared by appropriate dilution of analytical grade 37% HCl with distilled water. Fresh acid solutions were prepared prior to each experiment.</w:t>
      </w:r>
    </w:p>
    <w:p w14:paraId="556BD12D" w14:textId="77777777" w:rsidR="009B1B86" w:rsidRDefault="002E38C4" w:rsidP="009B1B86">
      <w:pPr>
        <w:pStyle w:val="NormalWeb"/>
        <w:spacing w:line="360" w:lineRule="auto"/>
        <w:jc w:val="both"/>
      </w:pPr>
      <w:r>
        <w:t xml:space="preserve">The expired </w:t>
      </w:r>
      <w:r w:rsidRPr="00A221DD">
        <w:t>Lopinavir-Ritonavir (200/50 mg), Mylan India. Expired 07/2023</w:t>
      </w:r>
      <w:r>
        <w:t xml:space="preserve"> </w:t>
      </w:r>
      <w:r w:rsidR="009B1B86">
        <w:t>obtain from ARD clinic of Abubakar Tafawa Balewa University Teaching Hospital Bauchi</w:t>
      </w:r>
      <w:r w:rsidR="009B1B86" w:rsidRPr="004443AC">
        <w:t>,</w:t>
      </w:r>
      <w:r w:rsidR="009B1B86">
        <w:t xml:space="preserve"> Nigerian</w:t>
      </w:r>
      <w:r w:rsidR="009B1B86" w:rsidRPr="004443AC">
        <w:t xml:space="preserve"> were used as received without further purification. The inhibitor concentrations of 50, 100, 150, 200, and 250 mg L</w:t>
      </w:r>
      <w:r w:rsidR="009B1B86" w:rsidRPr="004443AC">
        <w:rPr>
          <w:rFonts w:ascii="Cambria Math" w:hAnsi="Cambria Math" w:cs="Cambria Math"/>
        </w:rPr>
        <w:t>⁻</w:t>
      </w:r>
      <w:r w:rsidR="009B1B86" w:rsidRPr="004443AC">
        <w:t xml:space="preserve">¹ were prepared directly in the 1.0 </w:t>
      </w:r>
      <w:r w:rsidR="009B1B86">
        <w:t>mol dm</w:t>
      </w:r>
      <w:r w:rsidR="009B1B86" w:rsidRPr="006D0425">
        <w:rPr>
          <w:vertAlign w:val="superscript"/>
        </w:rPr>
        <w:t>-3</w:t>
      </w:r>
      <w:r w:rsidR="009B1B86" w:rsidRPr="004443AC">
        <w:t xml:space="preserve"> HCl solution.</w:t>
      </w:r>
    </w:p>
    <w:p w14:paraId="2444839D" w14:textId="77777777" w:rsidR="00CB1FF1" w:rsidRPr="004443AC" w:rsidRDefault="00CB1FF1" w:rsidP="00CB1FF1">
      <w:pPr>
        <w:pStyle w:val="NormalWeb"/>
        <w:spacing w:line="360" w:lineRule="auto"/>
        <w:jc w:val="both"/>
      </w:pPr>
      <w:r w:rsidRPr="004443AC">
        <w:lastRenderedPageBreak/>
        <w:t>All experiments were conducted at temperatures of 303, 313, 323, and 333 ± 1 K using a thermostatically controlled water bath to maintain constant temperature t</w:t>
      </w:r>
      <w:r>
        <w:t>hroughout the immersion period.</w:t>
      </w:r>
    </w:p>
    <w:p w14:paraId="7379F6D3" w14:textId="77777777" w:rsidR="00CB1FF1" w:rsidRPr="004443AC" w:rsidRDefault="00CB1FF1" w:rsidP="00CB1FF1">
      <w:pPr>
        <w:pStyle w:val="Heading2"/>
        <w:spacing w:line="360" w:lineRule="auto"/>
        <w:jc w:val="both"/>
        <w:rPr>
          <w:rFonts w:ascii="Times New Roman" w:hAnsi="Times New Roman" w:cs="Times New Roman"/>
          <w:b/>
          <w:color w:val="auto"/>
          <w:sz w:val="24"/>
          <w:szCs w:val="24"/>
        </w:rPr>
      </w:pPr>
      <w:r w:rsidRPr="004443AC">
        <w:rPr>
          <w:rFonts w:ascii="Times New Roman" w:hAnsi="Times New Roman" w:cs="Times New Roman"/>
          <w:b/>
          <w:color w:val="auto"/>
          <w:sz w:val="24"/>
          <w:szCs w:val="24"/>
        </w:rPr>
        <w:t xml:space="preserve"> Preparation of Steel Coupons</w:t>
      </w:r>
    </w:p>
    <w:p w14:paraId="28FEDFDC" w14:textId="77777777" w:rsidR="00CB1FF1" w:rsidRPr="004443AC" w:rsidRDefault="00CB1FF1" w:rsidP="00CB1FF1">
      <w:pPr>
        <w:pStyle w:val="NormalWeb"/>
        <w:spacing w:line="360" w:lineRule="auto"/>
        <w:jc w:val="both"/>
      </w:pPr>
      <w:r w:rsidRPr="004443AC">
        <w:t xml:space="preserve">The steel coupons were prepared according to the standard cleaning procedure described in </w:t>
      </w:r>
      <w:r w:rsidR="00070205">
        <w:rPr>
          <w:rStyle w:val="whitespace-normal"/>
          <w:rFonts w:eastAsiaTheme="majorEastAsia"/>
        </w:rPr>
        <w:t>[</w:t>
      </w:r>
      <w:r w:rsidR="0049534B">
        <w:t>6]</w:t>
      </w:r>
      <w:r w:rsidRPr="004443AC">
        <w:t>. The steel Pipe was mechanically cut into rectangular specimens with dimensions of 3.0 × 1.0 × 0.1 cm.</w:t>
      </w:r>
    </w:p>
    <w:p w14:paraId="54DEC147" w14:textId="77777777" w:rsidR="00CB1FF1" w:rsidRDefault="00CB1FF1" w:rsidP="00CB1FF1">
      <w:pPr>
        <w:pStyle w:val="NormalWeb"/>
        <w:spacing w:line="360" w:lineRule="auto"/>
        <w:jc w:val="both"/>
      </w:pPr>
      <w:r w:rsidRPr="004443AC">
        <w:t xml:space="preserve">Prior to each experiment, the coupon surfaces were sequentially polished using silicon carbide abrasive papers of grades 400, 600, 800, 1000, and 1200 grit to obtain a smooth surface finish. The polished specimens were rinsed thoroughly with distilled water, degreased with ethanol, washed with acetone, air-dried, and stored in a desiccator to prevent </w:t>
      </w:r>
      <w:r>
        <w:t>moisture adsorption before use.</w:t>
      </w:r>
    </w:p>
    <w:p w14:paraId="00A9B024" w14:textId="77777777" w:rsidR="007D7FFC" w:rsidRPr="00080407" w:rsidRDefault="00CB1FF1" w:rsidP="00080407">
      <w:pPr>
        <w:pStyle w:val="NormalWeb"/>
        <w:spacing w:line="360" w:lineRule="auto"/>
        <w:jc w:val="both"/>
        <w:rPr>
          <w:rStyle w:val="Strong"/>
          <w:rFonts w:eastAsiaTheme="majorEastAsia"/>
        </w:rPr>
      </w:pPr>
      <w:r w:rsidRPr="00080407">
        <w:rPr>
          <w:rStyle w:val="Strong"/>
          <w:rFonts w:eastAsiaTheme="majorEastAsia"/>
        </w:rPr>
        <w:t>Preparation of LPV-RTV solution</w:t>
      </w:r>
    </w:p>
    <w:p w14:paraId="08D70569" w14:textId="77777777" w:rsidR="00154601" w:rsidRPr="007D7FFC" w:rsidRDefault="00154601" w:rsidP="007D7FFC">
      <w:pPr>
        <w:pStyle w:val="NormalWeb"/>
        <w:spacing w:line="360" w:lineRule="auto"/>
        <w:jc w:val="both"/>
        <w:rPr>
          <w:rFonts w:eastAsiaTheme="majorEastAsia"/>
          <w:b/>
          <w:bCs/>
          <w:i/>
        </w:rPr>
      </w:pPr>
      <w:r w:rsidRPr="0069731D">
        <w:t xml:space="preserve">Four tablets of </w:t>
      </w:r>
      <w:r w:rsidRPr="007D7FFC">
        <w:rPr>
          <w:rStyle w:val="Strong"/>
          <w:b w:val="0"/>
        </w:rPr>
        <w:t>Lopinavir-Ritonavir</w:t>
      </w:r>
      <w:r w:rsidRPr="0069731D">
        <w:t xml:space="preserve"> (LPV-RTV), each containing </w:t>
      </w:r>
      <w:r w:rsidRPr="007D7FFC">
        <w:rPr>
          <w:rStyle w:val="Strong"/>
          <w:b w:val="0"/>
        </w:rPr>
        <w:t>200 mg of Lopinavir</w:t>
      </w:r>
      <w:r w:rsidRPr="0069731D">
        <w:t xml:space="preserve"> and </w:t>
      </w:r>
      <w:r w:rsidRPr="007D7FFC">
        <w:rPr>
          <w:rStyle w:val="Strong"/>
          <w:b w:val="0"/>
        </w:rPr>
        <w:t>50 mg of Ritonavir</w:t>
      </w:r>
      <w:r w:rsidRPr="0069731D">
        <w:t xml:space="preserve">, were carefully crushed into a fine powder using a </w:t>
      </w:r>
      <w:r w:rsidRPr="007D7FFC">
        <w:rPr>
          <w:rStyle w:val="Strong"/>
          <w:b w:val="0"/>
        </w:rPr>
        <w:t>mortar and pestle</w:t>
      </w:r>
      <w:r w:rsidRPr="0069731D">
        <w:t>. The following steps were then performed to prepare the solution</w:t>
      </w:r>
      <w:r w:rsidR="00070205">
        <w:t xml:space="preserve"> </w:t>
      </w:r>
      <w:r w:rsidR="00CC5B83">
        <w:t>[7]</w:t>
      </w:r>
      <w:r w:rsidRPr="0069731D">
        <w:t>:</w:t>
      </w:r>
    </w:p>
    <w:p w14:paraId="3BF746B1" w14:textId="77777777" w:rsidR="007D7FFC" w:rsidRPr="00080407" w:rsidRDefault="0069731D" w:rsidP="007D7FFC">
      <w:pPr>
        <w:pStyle w:val="NormalWeb"/>
        <w:spacing w:line="360" w:lineRule="auto"/>
        <w:jc w:val="both"/>
        <w:rPr>
          <w:b/>
        </w:rPr>
      </w:pPr>
      <w:r w:rsidRPr="00080407">
        <w:rPr>
          <w:b/>
        </w:rPr>
        <w:t>Crushing and Dissolving the Tablets;</w:t>
      </w:r>
    </w:p>
    <w:p w14:paraId="185FC676" w14:textId="77777777" w:rsidR="008C2D0C" w:rsidRDefault="00154601" w:rsidP="008C2D0C">
      <w:pPr>
        <w:pStyle w:val="NormalWeb"/>
        <w:spacing w:line="360" w:lineRule="auto"/>
        <w:jc w:val="both"/>
      </w:pPr>
      <w:r w:rsidRPr="0069731D">
        <w:t xml:space="preserve">The crushed powder was gradually mixed with a small volume of </w:t>
      </w:r>
      <w:r w:rsidRPr="0069731D">
        <w:rPr>
          <w:rStyle w:val="Strong"/>
          <w:b w:val="0"/>
        </w:rPr>
        <w:t>distilled water</w:t>
      </w:r>
      <w:r w:rsidRPr="0069731D">
        <w:t xml:space="preserve"> to form a smooth paste. Additional distilled water was then added in small increments to facilitate complete dissolution. The mixture was stirred thoroughly to ensure that the</w:t>
      </w:r>
      <w:r w:rsidR="008C2D0C">
        <w:t xml:space="preserve"> drugs were uniformly dispersed.</w:t>
      </w:r>
    </w:p>
    <w:p w14:paraId="2D4D6A0B" w14:textId="77777777" w:rsidR="008C2D0C" w:rsidRPr="00080407" w:rsidRDefault="008C2D0C" w:rsidP="008C2D0C">
      <w:pPr>
        <w:pStyle w:val="NormalWeb"/>
        <w:spacing w:line="360" w:lineRule="auto"/>
        <w:jc w:val="both"/>
        <w:rPr>
          <w:b/>
        </w:rPr>
      </w:pPr>
      <w:r w:rsidRPr="00080407">
        <w:rPr>
          <w:b/>
        </w:rPr>
        <w:t xml:space="preserve"> Preparing the Final Solution</w:t>
      </w:r>
    </w:p>
    <w:p w14:paraId="0DEA0549" w14:textId="77777777" w:rsidR="008C2D0C" w:rsidRDefault="00154601" w:rsidP="008C2D0C">
      <w:pPr>
        <w:pStyle w:val="NormalWeb"/>
        <w:spacing w:line="360" w:lineRule="auto"/>
        <w:jc w:val="both"/>
      </w:pPr>
      <w:r w:rsidRPr="0069731D">
        <w:t xml:space="preserve">The prepared paste was transferred to a </w:t>
      </w:r>
      <w:r w:rsidRPr="0069731D">
        <w:rPr>
          <w:rStyle w:val="Strong"/>
          <w:b w:val="0"/>
        </w:rPr>
        <w:t>100 mL glass bottle</w:t>
      </w:r>
      <w:r w:rsidRPr="0069731D">
        <w:t xml:space="preserve">, and the final volume was adjusted to </w:t>
      </w:r>
      <w:r w:rsidRPr="0069731D">
        <w:rPr>
          <w:rStyle w:val="Strong"/>
          <w:b w:val="0"/>
        </w:rPr>
        <w:t>100 mL</w:t>
      </w:r>
      <w:r w:rsidRPr="0069731D">
        <w:t xml:space="preserve"> by adding more </w:t>
      </w:r>
      <w:r w:rsidRPr="0069731D">
        <w:rPr>
          <w:rStyle w:val="Strong"/>
          <w:b w:val="0"/>
        </w:rPr>
        <w:t>distilled water</w:t>
      </w:r>
      <w:r w:rsidRPr="0069731D">
        <w:t xml:space="preserve">. The solution was shaken vigorously to ensure complete dissolution of the active pharmaceutical ingredients (APIs), </w:t>
      </w:r>
      <w:r w:rsidRPr="0069731D">
        <w:rPr>
          <w:rStyle w:val="Strong"/>
          <w:b w:val="0"/>
        </w:rPr>
        <w:t>Lopinavir</w:t>
      </w:r>
      <w:r w:rsidRPr="0069731D">
        <w:t xml:space="preserve"> and </w:t>
      </w:r>
      <w:r w:rsidRPr="0069731D">
        <w:rPr>
          <w:rStyle w:val="Strong"/>
          <w:b w:val="0"/>
        </w:rPr>
        <w:t>Ritonavir</w:t>
      </w:r>
      <w:r w:rsidRPr="0069731D">
        <w:t>.</w:t>
      </w:r>
    </w:p>
    <w:p w14:paraId="65D97A77" w14:textId="77777777" w:rsidR="002476DD" w:rsidRDefault="002476DD" w:rsidP="008C2D0C">
      <w:pPr>
        <w:pStyle w:val="NormalWeb"/>
        <w:spacing w:line="360" w:lineRule="auto"/>
        <w:jc w:val="both"/>
        <w:rPr>
          <w:b/>
        </w:rPr>
      </w:pPr>
    </w:p>
    <w:p w14:paraId="633C02DE" w14:textId="77777777" w:rsidR="008C2D0C" w:rsidRPr="00080407" w:rsidRDefault="008C2D0C" w:rsidP="008C2D0C">
      <w:pPr>
        <w:pStyle w:val="NormalWeb"/>
        <w:spacing w:line="360" w:lineRule="auto"/>
        <w:jc w:val="both"/>
        <w:rPr>
          <w:b/>
        </w:rPr>
      </w:pPr>
      <w:r w:rsidRPr="00080407">
        <w:rPr>
          <w:b/>
        </w:rPr>
        <w:lastRenderedPageBreak/>
        <w:t xml:space="preserve"> Concentration and Dosage</w:t>
      </w:r>
    </w:p>
    <w:p w14:paraId="1046DE1C" w14:textId="77777777" w:rsidR="008C2D0C" w:rsidRDefault="00154601" w:rsidP="008C2D0C">
      <w:pPr>
        <w:pStyle w:val="NormalWeb"/>
        <w:spacing w:line="360" w:lineRule="auto"/>
        <w:jc w:val="both"/>
      </w:pPr>
      <w:r w:rsidRPr="0069731D">
        <w:t xml:space="preserve">The resulting solution was designed so that each </w:t>
      </w:r>
      <w:r w:rsidRPr="0069731D">
        <w:rPr>
          <w:rStyle w:val="Strong"/>
          <w:b w:val="0"/>
        </w:rPr>
        <w:t>5 mL</w:t>
      </w:r>
      <w:r w:rsidRPr="0069731D">
        <w:t xml:space="preserve"> of the prepared syrup contained the equivalent of </w:t>
      </w:r>
      <w:r w:rsidRPr="0069731D">
        <w:rPr>
          <w:rStyle w:val="Strong"/>
          <w:b w:val="0"/>
        </w:rPr>
        <w:t>50 mg of the combined drug</w:t>
      </w:r>
      <w:r w:rsidRPr="0069731D">
        <w:t xml:space="preserve">, i.e., </w:t>
      </w:r>
      <w:r w:rsidRPr="0069731D">
        <w:rPr>
          <w:rStyle w:val="Strong"/>
          <w:b w:val="0"/>
        </w:rPr>
        <w:t>40 mg of Lopinavir</w:t>
      </w:r>
      <w:r w:rsidRPr="0069731D">
        <w:t xml:space="preserve"> and </w:t>
      </w:r>
      <w:r w:rsidRPr="0069731D">
        <w:rPr>
          <w:rStyle w:val="Strong"/>
          <w:b w:val="0"/>
        </w:rPr>
        <w:t>10 mg of Ritonavir</w:t>
      </w:r>
      <w:r w:rsidRPr="0069731D">
        <w:t>.</w:t>
      </w:r>
    </w:p>
    <w:p w14:paraId="09C39B63" w14:textId="77777777" w:rsidR="008C2D0C" w:rsidRPr="00080407" w:rsidRDefault="008C2D0C" w:rsidP="008C2D0C">
      <w:pPr>
        <w:pStyle w:val="NormalWeb"/>
        <w:spacing w:line="360" w:lineRule="auto"/>
        <w:jc w:val="both"/>
        <w:rPr>
          <w:b/>
        </w:rPr>
      </w:pPr>
      <w:r w:rsidRPr="00080407">
        <w:rPr>
          <w:b/>
        </w:rPr>
        <w:t>Preparation of the Stock Solution for Corrosion Studies</w:t>
      </w:r>
    </w:p>
    <w:p w14:paraId="302CD5D2" w14:textId="77777777" w:rsidR="008C2D0C" w:rsidRDefault="00154601" w:rsidP="008C2D0C">
      <w:pPr>
        <w:pStyle w:val="NormalWeb"/>
        <w:spacing w:line="360" w:lineRule="auto"/>
        <w:jc w:val="both"/>
      </w:pPr>
      <w:r w:rsidRPr="0069731D">
        <w:t xml:space="preserve">From the prepared syrup, </w:t>
      </w:r>
      <w:r w:rsidRPr="0069731D">
        <w:rPr>
          <w:rStyle w:val="Strong"/>
          <w:b w:val="0"/>
        </w:rPr>
        <w:t>5 mL, 10 mL, 15 mL, 20 mL, and 25 mL</w:t>
      </w:r>
      <w:r w:rsidRPr="0069731D">
        <w:t xml:space="preserve"> aliquots were measured and transferred into separate </w:t>
      </w:r>
      <w:r w:rsidRPr="0069731D">
        <w:rPr>
          <w:rStyle w:val="Strong"/>
          <w:b w:val="0"/>
        </w:rPr>
        <w:t>1000 mL volumetric flasks</w:t>
      </w:r>
      <w:r w:rsidRPr="0069731D">
        <w:t xml:space="preserve">. Each flask was filled with approximately </w:t>
      </w:r>
      <w:r w:rsidRPr="0069731D">
        <w:rPr>
          <w:rStyle w:val="Strong"/>
          <w:b w:val="0"/>
        </w:rPr>
        <w:t>500 mL of 1.0 M hydrochloric acid (HCl)</w:t>
      </w:r>
      <w:r w:rsidRPr="0069731D">
        <w:t xml:space="preserve"> solution. The mixtures were then shaken vigorously to ensure uniform distribution of the drugs in the acidic medium.</w:t>
      </w:r>
    </w:p>
    <w:p w14:paraId="43139D40" w14:textId="77777777" w:rsidR="008C2D0C" w:rsidRPr="00080407" w:rsidRDefault="008C2D0C" w:rsidP="008C2D0C">
      <w:pPr>
        <w:pStyle w:val="NormalWeb"/>
        <w:spacing w:line="360" w:lineRule="auto"/>
        <w:jc w:val="both"/>
        <w:rPr>
          <w:b/>
        </w:rPr>
      </w:pPr>
      <w:r w:rsidRPr="00080407">
        <w:rPr>
          <w:b/>
        </w:rPr>
        <w:t>Final Volume Adjustment</w:t>
      </w:r>
    </w:p>
    <w:p w14:paraId="6284706C" w14:textId="77777777" w:rsidR="00154601" w:rsidRPr="0069731D" w:rsidRDefault="00154601" w:rsidP="008C2D0C">
      <w:pPr>
        <w:pStyle w:val="NormalWeb"/>
        <w:spacing w:line="360" w:lineRule="auto"/>
        <w:jc w:val="both"/>
      </w:pPr>
      <w:r w:rsidRPr="0069731D">
        <w:t xml:space="preserve">After shaking, additional </w:t>
      </w:r>
      <w:r w:rsidRPr="0069731D">
        <w:rPr>
          <w:rStyle w:val="Strong"/>
          <w:b w:val="0"/>
        </w:rPr>
        <w:t>1.0 M HCl</w:t>
      </w:r>
      <w:r w:rsidRPr="0069731D">
        <w:t xml:space="preserve"> solution was added to each flask until the total volume reached the </w:t>
      </w:r>
      <w:r w:rsidRPr="0069731D">
        <w:rPr>
          <w:rStyle w:val="Strong"/>
          <w:b w:val="0"/>
        </w:rPr>
        <w:t>1000 mL mark</w:t>
      </w:r>
      <w:r w:rsidRPr="0069731D">
        <w:t>, ensuring that the final concentration of the Lopinavir-Ritonavir co-formulation was adequately diluted for corrosion inhibition studies.</w:t>
      </w:r>
    </w:p>
    <w:p w14:paraId="0DD9C6B7" w14:textId="77777777" w:rsidR="0069731D" w:rsidRPr="004443AC" w:rsidRDefault="0069731D" w:rsidP="0069731D">
      <w:pPr>
        <w:pStyle w:val="Heading2"/>
        <w:spacing w:line="360" w:lineRule="auto"/>
        <w:jc w:val="both"/>
        <w:rPr>
          <w:rFonts w:ascii="Times New Roman" w:hAnsi="Times New Roman" w:cs="Times New Roman"/>
          <w:b/>
          <w:color w:val="auto"/>
          <w:sz w:val="24"/>
          <w:szCs w:val="24"/>
        </w:rPr>
      </w:pPr>
      <w:r w:rsidRPr="004443AC">
        <w:rPr>
          <w:rFonts w:ascii="Times New Roman" w:hAnsi="Times New Roman" w:cs="Times New Roman"/>
          <w:b/>
          <w:color w:val="auto"/>
          <w:sz w:val="24"/>
          <w:szCs w:val="24"/>
        </w:rPr>
        <w:t>Weight Loss Measurements</w:t>
      </w:r>
    </w:p>
    <w:p w14:paraId="76A90809" w14:textId="77777777" w:rsidR="0069731D" w:rsidRPr="004443AC" w:rsidRDefault="0069731D" w:rsidP="0069731D">
      <w:pPr>
        <w:pStyle w:val="NormalWeb"/>
        <w:spacing w:line="360" w:lineRule="auto"/>
        <w:jc w:val="both"/>
      </w:pPr>
      <w:r w:rsidRPr="004443AC">
        <w:t>Gravimetric (weight loss) measurements were performed according to the immersion test method described in</w:t>
      </w:r>
      <w:r w:rsidR="00B2057F">
        <w:t xml:space="preserve"> </w:t>
      </w:r>
      <w:r w:rsidR="00070205">
        <w:rPr>
          <w:rStyle w:val="whitespace-normal"/>
          <w:rFonts w:eastAsiaTheme="majorEastAsia"/>
        </w:rPr>
        <w:t>[</w:t>
      </w:r>
      <w:r w:rsidR="00CC5B83">
        <w:t>8]</w:t>
      </w:r>
      <w:r w:rsidRPr="004443AC">
        <w:t xml:space="preserve">. Each pre-weighed steel coupon was immersed in 200 mL of 1.0 </w:t>
      </w:r>
      <w:r>
        <w:t>mol dm</w:t>
      </w:r>
      <w:r w:rsidRPr="00F50B0D">
        <w:rPr>
          <w:vertAlign w:val="superscript"/>
        </w:rPr>
        <w:t>-3</w:t>
      </w:r>
      <w:r w:rsidRPr="004443AC">
        <w:t xml:space="preserve"> HCl solution in the absence (blank) and presence of differen</w:t>
      </w:r>
      <w:r w:rsidR="00B2057F">
        <w:t>t concentrations of LPV-RTV</w:t>
      </w:r>
      <w:r w:rsidRPr="004443AC">
        <w:t xml:space="preserve"> (50–250 mg L</w:t>
      </w:r>
      <w:r w:rsidRPr="004443AC">
        <w:rPr>
          <w:rFonts w:ascii="Cambria Math" w:hAnsi="Cambria Math" w:cs="Cambria Math"/>
        </w:rPr>
        <w:t>⁻</w:t>
      </w:r>
      <w:r w:rsidRPr="004443AC">
        <w:t>¹).</w:t>
      </w:r>
    </w:p>
    <w:p w14:paraId="4DA62BE4" w14:textId="77777777" w:rsidR="0069731D" w:rsidRPr="004443AC" w:rsidRDefault="0069731D" w:rsidP="0069731D">
      <w:pPr>
        <w:spacing w:before="100" w:beforeAutospacing="1" w:after="100" w:afterAutospacing="1" w:line="360" w:lineRule="auto"/>
        <w:jc w:val="both"/>
        <w:rPr>
          <w:rFonts w:ascii="Times New Roman" w:hAnsi="Times New Roman" w:cs="Times New Roman"/>
          <w:sz w:val="24"/>
          <w:szCs w:val="24"/>
        </w:rPr>
      </w:pPr>
      <w:r w:rsidRPr="004443AC">
        <w:rPr>
          <w:rFonts w:ascii="Times New Roman" w:eastAsia="Times New Roman" w:hAnsi="Times New Roman" w:cs="Times New Roman"/>
          <w:sz w:val="24"/>
          <w:szCs w:val="24"/>
        </w:rPr>
        <w:t>The immersion period was fixed at 3 hours</w:t>
      </w:r>
      <w:r>
        <w:rPr>
          <w:rFonts w:ascii="Times New Roman" w:eastAsia="Times New Roman" w:hAnsi="Times New Roman" w:cs="Times New Roman"/>
          <w:sz w:val="24"/>
          <w:szCs w:val="24"/>
        </w:rPr>
        <w:t xml:space="preserve"> interval</w:t>
      </w:r>
      <w:r w:rsidRPr="004443AC">
        <w:rPr>
          <w:rFonts w:ascii="Times New Roman" w:eastAsia="Times New Roman" w:hAnsi="Times New Roman" w:cs="Times New Roman"/>
          <w:sz w:val="24"/>
          <w:szCs w:val="24"/>
        </w:rPr>
        <w:t xml:space="preserve"> at 303, 313, 323, and 333 ± 1 K. After immersion, the specimens were removed and cleaned to eliminate corrosion products following </w:t>
      </w:r>
      <w:r w:rsidR="00D83D84">
        <w:rPr>
          <w:rFonts w:ascii="Times New Roman" w:eastAsia="Times New Roman" w:hAnsi="Times New Roman" w:cs="Times New Roman"/>
          <w:sz w:val="24"/>
          <w:szCs w:val="24"/>
        </w:rPr>
        <w:t>[6]</w:t>
      </w:r>
      <w:r w:rsidRPr="004443AC">
        <w:rPr>
          <w:rFonts w:ascii="Times New Roman" w:eastAsia="Times New Roman" w:hAnsi="Times New Roman" w:cs="Times New Roman"/>
          <w:sz w:val="24"/>
          <w:szCs w:val="24"/>
        </w:rPr>
        <w:t xml:space="preserve"> procedures. The cleaning process involved immersion in 20% NaOH solution containing 100 g L</w:t>
      </w:r>
      <w:r w:rsidRPr="004443AC">
        <w:rPr>
          <w:rFonts w:ascii="Cambria Math" w:eastAsia="Times New Roman" w:hAnsi="Cambria Math" w:cs="Cambria Math"/>
          <w:sz w:val="24"/>
          <w:szCs w:val="24"/>
        </w:rPr>
        <w:t>⁻</w:t>
      </w:r>
      <w:r w:rsidRPr="004443AC">
        <w:rPr>
          <w:rFonts w:ascii="Times New Roman" w:eastAsia="Times New Roman" w:hAnsi="Times New Roman" w:cs="Times New Roman"/>
          <w:sz w:val="24"/>
          <w:szCs w:val="24"/>
        </w:rPr>
        <w:t>¹ zinc dust for 2–5 minutes.</w:t>
      </w:r>
      <w:r w:rsidRPr="004443AC">
        <w:rPr>
          <w:rFonts w:ascii="Times New Roman" w:hAnsi="Times New Roman" w:cs="Times New Roman"/>
          <w:sz w:val="24"/>
          <w:szCs w:val="24"/>
        </w:rPr>
        <w:t xml:space="preserve"> The specimens were then scrubbed gently under running tap water using a soft bristle brush, rinsed thoroughly, degreased with ethanol, washed with acetone, dried, and reweighed.</w:t>
      </w:r>
    </w:p>
    <w:p w14:paraId="7AEEB5F2" w14:textId="77777777" w:rsidR="0069731D" w:rsidRPr="004443AC" w:rsidRDefault="0069731D" w:rsidP="0069731D">
      <w:pPr>
        <w:pStyle w:val="NormalWeb"/>
        <w:spacing w:line="360" w:lineRule="auto"/>
        <w:jc w:val="both"/>
      </w:pPr>
      <w:r w:rsidRPr="004443AC">
        <w:lastRenderedPageBreak/>
        <w:t>All measurements were performed in triplicate to ensure reproducibility, and the average weight loss values were recorded. The corrosion rate (CR), inhibition efficiency (%IE), and surface coverage (θ) were calculated using standard gravimetric equations</w:t>
      </w:r>
      <w:r>
        <w:t xml:space="preserve"> </w:t>
      </w:r>
      <w:r w:rsidR="00070205">
        <w:t>[</w:t>
      </w:r>
      <w:r w:rsidR="00D83D84">
        <w:t>9]</w:t>
      </w:r>
      <w:r w:rsidR="00070205">
        <w:t>.</w:t>
      </w:r>
    </w:p>
    <w:p w14:paraId="32C7093D" w14:textId="77777777" w:rsidR="0069731D" w:rsidRPr="00662807" w:rsidRDefault="0069731D" w:rsidP="0069731D">
      <w:pPr>
        <w:spacing w:after="0" w:line="360" w:lineRule="auto"/>
        <w:jc w:val="both"/>
        <w:rPr>
          <w:rFonts w:ascii="Times New Roman" w:hAnsi="Times New Roman" w:cs="Times New Roman"/>
          <w:sz w:val="24"/>
          <w:szCs w:val="24"/>
        </w:rPr>
      </w:pPr>
      <w:r w:rsidRPr="00662807">
        <w:rPr>
          <w:rFonts w:ascii="Times New Roman" w:hAnsi="Times New Roman" w:cs="Times New Roman"/>
          <w:sz w:val="24"/>
          <w:szCs w:val="24"/>
        </w:rPr>
        <w:t>To determine the weight loss due to corrosion, the initial and final weights of the mild steel specimen are measured. The weight loss (</w:t>
      </w:r>
      <w:r w:rsidRPr="00662807">
        <w:rPr>
          <w:rStyle w:val="katex-mathml"/>
          <w:rFonts w:ascii="Times New Roman" w:hAnsi="Times New Roman" w:cs="Times New Roman"/>
          <w:sz w:val="24"/>
          <w:szCs w:val="24"/>
        </w:rPr>
        <w:t>w</w:t>
      </w:r>
      <w:r w:rsidRPr="00662807">
        <w:rPr>
          <w:rFonts w:ascii="Times New Roman" w:hAnsi="Times New Roman" w:cs="Times New Roman"/>
          <w:sz w:val="24"/>
          <w:szCs w:val="24"/>
        </w:rPr>
        <w:t>) is calculated by subtracting the final weight from the initial weight of the specimen. The equation for weight loss is as follows:</w:t>
      </w:r>
    </w:p>
    <w:p w14:paraId="18BA3A9C" w14:textId="77777777" w:rsidR="0069731D" w:rsidRPr="00BE052C" w:rsidRDefault="00000000" w:rsidP="0069731D">
      <w:pPr>
        <w:spacing w:after="0" w:line="36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=w</m:t>
        </m:r>
        <m:r>
          <w:rPr>
            <w:rFonts w:ascii="Cambria Math" w:hAnsi="Cambria Math" w:cs="Times New Roman"/>
            <w:sz w:val="24"/>
            <w:szCs w:val="24"/>
          </w:rPr>
          <m:t xml:space="preserve">                                                                                                                                       (1)</m:t>
        </m:r>
      </m:oMath>
      <w:r w:rsidR="0069731D" w:rsidRPr="00BE052C">
        <w:rPr>
          <w:rFonts w:ascii="Times New Roman" w:eastAsiaTheme="minorEastAsia" w:hAnsi="Times New Roman" w:cs="Times New Roman"/>
          <w:sz w:val="24"/>
          <w:szCs w:val="24"/>
        </w:rPr>
        <w:t xml:space="preserve"> </w:t>
      </w:r>
    </w:p>
    <w:p w14:paraId="3B673728" w14:textId="77777777" w:rsidR="0069731D" w:rsidRDefault="0069731D" w:rsidP="0069731D">
      <w:pPr>
        <w:tabs>
          <w:tab w:val="left" w:pos="720"/>
        </w:tabs>
        <w:spacing w:after="0" w:line="360" w:lineRule="auto"/>
        <w:jc w:val="both"/>
        <w:rPr>
          <w:rFonts w:ascii="Times New Roman" w:eastAsiaTheme="minorEastAsia" w:hAnsi="Times New Roman" w:cs="Times New Roman"/>
          <w:sz w:val="24"/>
          <w:szCs w:val="24"/>
        </w:rPr>
      </w:pPr>
      <w:r w:rsidRPr="00BE052C">
        <w:rPr>
          <w:rFonts w:ascii="Times New Roman" w:eastAsiaTheme="minorEastAsia" w:hAnsi="Times New Roman" w:cs="Times New Roman"/>
          <w:sz w:val="24"/>
          <w:szCs w:val="24"/>
        </w:rPr>
        <w:t>Where</w:t>
      </w:r>
      <w:r>
        <w:rPr>
          <w:rFonts w:ascii="Times New Roman" w:eastAsiaTheme="minorEastAsia" w:hAnsi="Times New Roman" w:cs="Times New Roman"/>
          <w:sz w:val="24"/>
          <w:szCs w:val="24"/>
        </w:rPr>
        <w:t>;</w:t>
      </w:r>
      <w:r w:rsidRPr="00BE052C">
        <w:rPr>
          <w:rFonts w:ascii="Times New Roman" w:eastAsiaTheme="minorEastAsia" w:hAnsi="Times New Roman" w:cs="Times New Roman"/>
          <w:sz w:val="24"/>
          <w:szCs w:val="24"/>
        </w:rPr>
        <w:t xml:space="preserve"> w is total weight loss,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i</m:t>
            </m:r>
          </m:sub>
        </m:sSub>
      </m:oMath>
      <w:r w:rsidRPr="00BE052C">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f</m:t>
            </m:r>
          </m:sub>
        </m:sSub>
      </m:oMath>
      <w:r w:rsidRPr="00BE052C">
        <w:rPr>
          <w:rFonts w:ascii="Times New Roman" w:eastAsiaTheme="minorEastAsia" w:hAnsi="Times New Roman" w:cs="Times New Roman"/>
          <w:sz w:val="24"/>
          <w:szCs w:val="24"/>
        </w:rPr>
        <w:t xml:space="preserve"> are the initial weight before immersion and after respectively.</w:t>
      </w:r>
    </w:p>
    <w:p w14:paraId="01BBD420" w14:textId="77777777" w:rsidR="0069731D" w:rsidRPr="00BE052C" w:rsidRDefault="0069731D" w:rsidP="0069731D">
      <w:pPr>
        <w:tabs>
          <w:tab w:val="left" w:pos="720"/>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Corrosion Rate (CR)</w:t>
      </w:r>
    </w:p>
    <w:p w14:paraId="1DC573E5" w14:textId="77777777" w:rsidR="0069731D" w:rsidRPr="00BE052C" w:rsidRDefault="0069731D" w:rsidP="0069731D">
      <w:pPr>
        <w:tabs>
          <w:tab w:val="left" w:pos="720"/>
        </w:tabs>
        <w:spacing w:after="0" w:line="360" w:lineRule="auto"/>
        <w:jc w:val="both"/>
        <w:rPr>
          <w:rFonts w:ascii="Times New Roman" w:eastAsiaTheme="minorEastAsia" w:hAnsi="Times New Roman" w:cs="Times New Roman"/>
          <w:sz w:val="24"/>
          <w:szCs w:val="24"/>
        </w:rPr>
      </w:pPr>
      <w:r w:rsidRPr="00BE2448">
        <w:rPr>
          <w:rFonts w:ascii="Times New Roman" w:hAnsi="Times New Roman" w:cs="Times New Roman"/>
          <w:sz w:val="24"/>
          <w:szCs w:val="24"/>
        </w:rPr>
        <w:t>In order to quantify the corrosion rate of mild steel in the absence and presence of the corrosion inhibitor, we</w:t>
      </w:r>
      <w:r>
        <w:rPr>
          <w:rFonts w:ascii="Times New Roman" w:hAnsi="Times New Roman" w:cs="Times New Roman"/>
          <w:sz w:val="24"/>
          <w:szCs w:val="24"/>
        </w:rPr>
        <w:t xml:space="preserve"> use the formula</w:t>
      </w:r>
      <w:r w:rsidRPr="00BE2448">
        <w:rPr>
          <w:rFonts w:ascii="Times New Roman" w:hAnsi="Times New Roman" w:cs="Times New Roman"/>
          <w:sz w:val="24"/>
          <w:szCs w:val="24"/>
        </w:rPr>
        <w:t xml:space="preserve">, which relates the corrosion rate to the total weight loss and period of </w:t>
      </w:r>
      <w:r>
        <w:rPr>
          <w:rFonts w:ascii="Times New Roman" w:hAnsi="Times New Roman" w:cs="Times New Roman"/>
          <w:sz w:val="24"/>
          <w:szCs w:val="24"/>
        </w:rPr>
        <w:t>immersion:</w:t>
      </w:r>
    </w:p>
    <w:p w14:paraId="3AFBC860" w14:textId="77777777" w:rsidR="0069731D" w:rsidRPr="00BE052C" w:rsidRDefault="0069731D" w:rsidP="0069731D">
      <w:pPr>
        <w:pStyle w:val="NormalWeb"/>
        <w:spacing w:line="360" w:lineRule="auto"/>
        <w:jc w:val="both"/>
      </w:pPr>
      <m:oMathPara>
        <m:oMath>
          <m:r>
            <m:rPr>
              <m:sty m:val="p"/>
            </m:rPr>
            <w:rPr>
              <w:rFonts w:ascii="Cambria Math" w:eastAsiaTheme="minorEastAsia" w:hAnsi="Cambria Math"/>
            </w:rPr>
            <m:t>Corrosion rate</m:t>
          </m:r>
          <m:d>
            <m:dPr>
              <m:ctrlPr>
                <w:rPr>
                  <w:rFonts w:ascii="Cambria Math" w:eastAsiaTheme="minorEastAsia" w:hAnsi="Cambria Math"/>
                </w:rPr>
              </m:ctrlPr>
            </m:dPr>
            <m:e>
              <m:r>
                <m:rPr>
                  <m:sty m:val="p"/>
                </m:rPr>
                <w:rPr>
                  <w:rFonts w:ascii="Cambria Math" w:eastAsiaTheme="minorEastAsia" w:hAnsi="Cambria Math"/>
                </w:rPr>
                <m:t>mmpy</m:t>
              </m:r>
            </m:e>
          </m:d>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87.6w</m:t>
              </m:r>
            </m:num>
            <m:den>
              <m:r>
                <m:rPr>
                  <m:sty m:val="p"/>
                </m:rPr>
                <w:rPr>
                  <w:rFonts w:ascii="Cambria Math" w:eastAsiaTheme="minorEastAsia" w:hAnsi="Cambria Math"/>
                </w:rPr>
                <m:t>DAT</m:t>
              </m:r>
            </m:den>
          </m:f>
          <m:r>
            <m:rPr>
              <m:sty m:val="p"/>
            </m:rPr>
            <w:rPr>
              <w:rFonts w:ascii="Cambria Math" w:eastAsiaTheme="minorEastAsia" w:hAnsi="Cambria Math"/>
            </w:rPr>
            <m:t xml:space="preserve">                                                                                           (2</m:t>
          </m:r>
          <m:r>
            <w:rPr>
              <w:rFonts w:ascii="Cambria Math" w:eastAsiaTheme="minorEastAsia" w:hAnsi="Cambria Math"/>
            </w:rPr>
            <m:t>)</m:t>
          </m:r>
        </m:oMath>
      </m:oMathPara>
    </w:p>
    <w:p w14:paraId="6842CD7C" w14:textId="77777777" w:rsidR="0069731D" w:rsidRDefault="0069731D" w:rsidP="0069731D">
      <w:pPr>
        <w:spacing w:after="0" w:line="360" w:lineRule="auto"/>
        <w:jc w:val="both"/>
        <w:rPr>
          <w:rFonts w:ascii="Times New Roman" w:eastAsiaTheme="minorEastAsia" w:hAnsi="Times New Roman" w:cs="Times New Roman"/>
          <w:sz w:val="24"/>
          <w:szCs w:val="24"/>
        </w:rPr>
      </w:pPr>
      <w:r w:rsidRPr="00BE052C">
        <w:rPr>
          <w:rFonts w:ascii="Times New Roman" w:eastAsiaTheme="minorEastAsia" w:hAnsi="Times New Roman" w:cs="Times New Roman"/>
          <w:sz w:val="24"/>
          <w:szCs w:val="24"/>
        </w:rPr>
        <w:t>Where w = Total weight loss (mg), D = density of specimen (g/cm</w:t>
      </w:r>
      <w:r w:rsidRPr="00BE052C">
        <w:rPr>
          <w:rFonts w:ascii="Times New Roman" w:eastAsiaTheme="minorEastAsia" w:hAnsi="Times New Roman" w:cs="Times New Roman"/>
          <w:sz w:val="24"/>
          <w:szCs w:val="24"/>
          <w:vertAlign w:val="superscript"/>
        </w:rPr>
        <w:t>3</w:t>
      </w:r>
      <w:r w:rsidRPr="00BE052C">
        <w:rPr>
          <w:rFonts w:ascii="Times New Roman" w:eastAsiaTheme="minorEastAsia" w:hAnsi="Times New Roman" w:cs="Times New Roman"/>
          <w:sz w:val="24"/>
          <w:szCs w:val="24"/>
        </w:rPr>
        <w:t>), A = Area of specimen (square meter) and T= period of immersion (hour) and 87.6 is a conversion factor. The density of the API 5L X65 is 7.85 g/cm</w:t>
      </w:r>
      <w:r w:rsidRPr="00BE052C">
        <w:rPr>
          <w:rFonts w:ascii="Times New Roman" w:eastAsiaTheme="minorEastAsia" w:hAnsi="Times New Roman" w:cs="Times New Roman"/>
          <w:sz w:val="24"/>
          <w:szCs w:val="24"/>
          <w:vertAlign w:val="superscript"/>
        </w:rPr>
        <w:t>3</w:t>
      </w:r>
      <w:r w:rsidRPr="00BE052C">
        <w:rPr>
          <w:rFonts w:ascii="Times New Roman" w:eastAsiaTheme="minorEastAsia" w:hAnsi="Times New Roman" w:cs="Times New Roman"/>
          <w:sz w:val="24"/>
          <w:szCs w:val="24"/>
        </w:rPr>
        <w:t>.</w:t>
      </w:r>
    </w:p>
    <w:p w14:paraId="65D1FA3E" w14:textId="77777777" w:rsidR="0069731D" w:rsidRDefault="0069731D" w:rsidP="0069731D">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Surface Coverage </w:t>
      </w:r>
      <w:r w:rsidRPr="00584F2D">
        <w:rPr>
          <w:rFonts w:ascii="Times New Roman" w:hAnsi="Times New Roman" w:cs="Times New Roman"/>
          <w:sz w:val="24"/>
          <w:szCs w:val="24"/>
        </w:rPr>
        <w:t>(</w:t>
      </w:r>
      <w:r w:rsidRPr="00584F2D">
        <w:rPr>
          <w:rStyle w:val="katex-mathml"/>
          <w:rFonts w:ascii="Times New Roman" w:hAnsi="Times New Roman" w:cs="Times New Roman"/>
          <w:sz w:val="24"/>
          <w:szCs w:val="24"/>
        </w:rPr>
        <w:t>θ</w:t>
      </w:r>
      <w:r w:rsidRPr="00584F2D">
        <w:rPr>
          <w:rFonts w:ascii="Times New Roman" w:hAnsi="Times New Roman" w:cs="Times New Roman"/>
          <w:sz w:val="24"/>
          <w:szCs w:val="24"/>
        </w:rPr>
        <w:t>)</w:t>
      </w:r>
    </w:p>
    <w:p w14:paraId="437A0174" w14:textId="77777777" w:rsidR="0069731D" w:rsidRPr="00584F2D" w:rsidRDefault="0069731D" w:rsidP="0069731D">
      <w:pPr>
        <w:spacing w:after="0" w:line="360" w:lineRule="auto"/>
        <w:jc w:val="both"/>
        <w:rPr>
          <w:rFonts w:ascii="Times New Roman" w:eastAsiaTheme="minorEastAsia" w:hAnsi="Times New Roman" w:cs="Times New Roman"/>
          <w:sz w:val="24"/>
          <w:szCs w:val="24"/>
        </w:rPr>
      </w:pPr>
      <w:r w:rsidRPr="00584F2D">
        <w:rPr>
          <w:rFonts w:ascii="Times New Roman" w:hAnsi="Times New Roman" w:cs="Times New Roman"/>
          <w:sz w:val="24"/>
          <w:szCs w:val="24"/>
        </w:rPr>
        <w:t>To determine the effectiveness of the corrosion inhibitor, the surface coverage (</w:t>
      </w:r>
      <w:r w:rsidRPr="00584F2D">
        <w:rPr>
          <w:rStyle w:val="katex-mathml"/>
          <w:rFonts w:ascii="Times New Roman" w:hAnsi="Times New Roman" w:cs="Times New Roman"/>
          <w:sz w:val="24"/>
          <w:szCs w:val="24"/>
        </w:rPr>
        <w:t>θ</w:t>
      </w:r>
      <w:r w:rsidRPr="00584F2D">
        <w:rPr>
          <w:rFonts w:ascii="Times New Roman" w:hAnsi="Times New Roman" w:cs="Times New Roman"/>
          <w:sz w:val="24"/>
          <w:szCs w:val="24"/>
        </w:rPr>
        <w:t>) is calculated using the ratio of the weight loss of mild steel in the presence and absence of the inhibitor and subtract from one. The surface coverage represents the fraction of the metal surface that is covered by the inhibitor molecules, which prevents the electrochemical reactions responsible for corrosion. The formula for calculating surface coverage is given by</w:t>
      </w:r>
      <w:r>
        <w:rPr>
          <w:rFonts w:ascii="Times New Roman" w:eastAsiaTheme="minorEastAsia" w:hAnsi="Times New Roman" w:cs="Times New Roman"/>
          <w:sz w:val="24"/>
          <w:szCs w:val="24"/>
        </w:rPr>
        <w:t>:</w:t>
      </w:r>
    </w:p>
    <w:p w14:paraId="3A968C51" w14:textId="77777777" w:rsidR="0069731D" w:rsidRPr="00584F2D" w:rsidRDefault="0069731D" w:rsidP="0069731D">
      <w:pPr>
        <w:spacing w:after="0" w:line="36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θ=</m:t>
        </m:r>
        <m:d>
          <m:dPr>
            <m:ctrlPr>
              <w:rPr>
                <w:rFonts w:ascii="Cambria Math" w:hAnsi="Cambria Math" w:cs="Times New Roman"/>
                <w:sz w:val="24"/>
                <w:szCs w:val="24"/>
              </w:rPr>
            </m:ctrlPr>
          </m:dPr>
          <m:e>
            <m:r>
              <m:rPr>
                <m:sty m:val="p"/>
              </m:rPr>
              <w:rPr>
                <w:rFonts w:ascii="Cambria Math" w:hAnsi="Cambria Math" w:cs="Times New Roman"/>
                <w:sz w:val="24"/>
                <w:szCs w:val="24"/>
              </w:rPr>
              <m:t>1-</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2</m:t>
                    </m:r>
                  </m:sub>
                </m:sSub>
              </m:den>
            </m:f>
          </m:e>
        </m:d>
        <m:r>
          <w:rPr>
            <w:rFonts w:ascii="Cambria Math" w:eastAsiaTheme="minorEastAsia" w:hAnsi="Cambria Math" w:cs="Times New Roman"/>
            <w:sz w:val="24"/>
            <w:szCs w:val="24"/>
          </w:rPr>
          <m:t xml:space="preserve">                                                                                                                                         (3)</m:t>
        </m:r>
      </m:oMath>
      <w:r w:rsidRPr="00584F2D">
        <w:rPr>
          <w:rFonts w:ascii="Times New Roman" w:eastAsiaTheme="minorEastAsia" w:hAnsi="Times New Roman" w:cs="Times New Roman"/>
          <w:sz w:val="24"/>
          <w:szCs w:val="24"/>
        </w:rPr>
        <w:t xml:space="preserve"> </w:t>
      </w:r>
    </w:p>
    <w:p w14:paraId="3C91DCB6" w14:textId="77777777" w:rsidR="0069731D" w:rsidRDefault="0069731D" w:rsidP="0069731D">
      <w:pPr>
        <w:spacing w:after="0" w:line="360" w:lineRule="auto"/>
        <w:jc w:val="both"/>
        <w:rPr>
          <w:rFonts w:ascii="Times New Roman" w:eastAsiaTheme="minorEastAsia" w:hAnsi="Times New Roman" w:cs="Times New Roman"/>
          <w:sz w:val="24"/>
          <w:szCs w:val="24"/>
        </w:rPr>
      </w:pPr>
      <w:r w:rsidRPr="00584F2D">
        <w:rPr>
          <w:rFonts w:ascii="Times New Roman" w:eastAsiaTheme="minorEastAsia" w:hAnsi="Times New Roman" w:cs="Times New Roman"/>
          <w:sz w:val="24"/>
          <w:szCs w:val="24"/>
        </w:rPr>
        <w:t>Where</w:t>
      </w:r>
      <w:r>
        <w:rPr>
          <w:rFonts w:ascii="Times New Roman" w:eastAsiaTheme="minorEastAsia" w:hAnsi="Times New Roman" w:cs="Times New Roman"/>
          <w:sz w:val="24"/>
          <w:szCs w:val="24"/>
        </w:rPr>
        <w:t>;</w:t>
      </w:r>
      <w:r w:rsidRPr="00584F2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1</m:t>
            </m:r>
          </m:sub>
        </m:sSub>
      </m:oMath>
      <w:r w:rsidRPr="00584F2D">
        <w:rPr>
          <w:rFonts w:ascii="Times New Roman" w:eastAsiaTheme="minorEastAsia" w:hAnsi="Times New Roman" w:cs="Times New Roman"/>
          <w:sz w:val="24"/>
          <w:szCs w:val="24"/>
        </w:rPr>
        <w:t xml:space="preserve">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Sub>
      </m:oMath>
      <w:r w:rsidRPr="00584F2D">
        <w:rPr>
          <w:rFonts w:ascii="Times New Roman" w:eastAsiaTheme="minorEastAsia" w:hAnsi="Times New Roman" w:cs="Times New Roman"/>
          <w:sz w:val="24"/>
          <w:szCs w:val="24"/>
        </w:rPr>
        <w:t>are the weight losses (g) for metal in the presence and absence of inhibitor respectively.</w:t>
      </w:r>
    </w:p>
    <w:p w14:paraId="42CD116D" w14:textId="77777777" w:rsidR="0069731D" w:rsidRPr="00584F2D" w:rsidRDefault="0069731D" w:rsidP="0069731D">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Inhibition Efficiency (%IE)</w:t>
      </w:r>
    </w:p>
    <w:p w14:paraId="50225E3C" w14:textId="77777777" w:rsidR="0069731D" w:rsidRPr="00584F2D" w:rsidRDefault="0069731D" w:rsidP="0069731D">
      <w:pPr>
        <w:spacing w:after="0" w:line="360" w:lineRule="auto"/>
        <w:jc w:val="both"/>
        <w:rPr>
          <w:rFonts w:ascii="Times New Roman" w:eastAsiaTheme="minorEastAsia" w:hAnsi="Times New Roman" w:cs="Times New Roman"/>
          <w:sz w:val="24"/>
          <w:szCs w:val="24"/>
        </w:rPr>
      </w:pPr>
      <w:r w:rsidRPr="00584F2D">
        <w:rPr>
          <w:rFonts w:ascii="Times New Roman" w:hAnsi="Times New Roman" w:cs="Times New Roman"/>
          <w:sz w:val="24"/>
          <w:szCs w:val="24"/>
        </w:rPr>
        <w:lastRenderedPageBreak/>
        <w:t xml:space="preserve">The </w:t>
      </w:r>
      <w:r w:rsidRPr="003C4D63">
        <w:rPr>
          <w:rStyle w:val="Strong"/>
          <w:rFonts w:ascii="Times New Roman" w:hAnsi="Times New Roman" w:cs="Times New Roman"/>
          <w:b w:val="0"/>
          <w:sz w:val="24"/>
          <w:szCs w:val="24"/>
        </w:rPr>
        <w:t>inhibition efficiency</w:t>
      </w:r>
      <w:r w:rsidRPr="00584F2D">
        <w:rPr>
          <w:rFonts w:ascii="Times New Roman" w:hAnsi="Times New Roman" w:cs="Times New Roman"/>
          <w:sz w:val="24"/>
          <w:szCs w:val="24"/>
        </w:rPr>
        <w:t xml:space="preserve"> (</w:t>
      </w:r>
      <w:r w:rsidRPr="00584F2D">
        <w:rPr>
          <w:rStyle w:val="katex-mathml"/>
          <w:rFonts w:ascii="Times New Roman" w:hAnsi="Times New Roman" w:cs="Times New Roman"/>
          <w:sz w:val="24"/>
          <w:szCs w:val="24"/>
        </w:rPr>
        <w:t>%IE</w:t>
      </w:r>
      <w:r w:rsidRPr="00584F2D">
        <w:rPr>
          <w:rFonts w:ascii="Times New Roman" w:hAnsi="Times New Roman" w:cs="Times New Roman"/>
          <w:sz w:val="24"/>
          <w:szCs w:val="24"/>
        </w:rPr>
        <w:t xml:space="preserve">) quantifies the extent to which the corrosion rate is reduced by the presence of an inhibitor. It is calculated by </w:t>
      </w:r>
      <w:r>
        <w:rPr>
          <w:rFonts w:ascii="Times New Roman" w:hAnsi="Times New Roman" w:cs="Times New Roman"/>
          <w:sz w:val="24"/>
          <w:szCs w:val="24"/>
        </w:rPr>
        <w:t>multiplying the value of surface coverage by 100</w:t>
      </w:r>
      <w:r w:rsidRPr="00584F2D">
        <w:rPr>
          <w:rFonts w:ascii="Times New Roman" w:hAnsi="Times New Roman" w:cs="Times New Roman"/>
          <w:sz w:val="24"/>
          <w:szCs w:val="24"/>
        </w:rPr>
        <w:t xml:space="preserve">. A higher value of </w:t>
      </w:r>
      <w:r w:rsidRPr="00584F2D">
        <w:rPr>
          <w:rStyle w:val="katex-mathml"/>
          <w:rFonts w:ascii="Times New Roman" w:hAnsi="Times New Roman" w:cs="Times New Roman"/>
          <w:sz w:val="24"/>
          <w:szCs w:val="24"/>
        </w:rPr>
        <w:t>%IE</w:t>
      </w:r>
      <w:r w:rsidRPr="00584F2D">
        <w:rPr>
          <w:rFonts w:ascii="Times New Roman" w:hAnsi="Times New Roman" w:cs="Times New Roman"/>
          <w:sz w:val="24"/>
          <w:szCs w:val="24"/>
        </w:rPr>
        <w:t xml:space="preserve"> indicates a more effective inhibitor. The formula for inhibition efficiency is given by:</w:t>
      </w:r>
    </w:p>
    <w:p w14:paraId="51860341" w14:textId="77777777" w:rsidR="0069731D" w:rsidRPr="00BE052C" w:rsidRDefault="0069731D" w:rsidP="0069731D">
      <w:pPr>
        <w:tabs>
          <w:tab w:val="left" w:pos="720"/>
        </w:tabs>
        <w:spacing w:after="0" w:line="360" w:lineRule="auto"/>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%IE=</m:t>
        </m:r>
        <m:d>
          <m:dPr>
            <m:ctrlPr>
              <w:rPr>
                <w:rFonts w:ascii="Cambria Math" w:hAnsi="Cambria Math" w:cs="Times New Roman"/>
                <w:sz w:val="24"/>
                <w:szCs w:val="24"/>
              </w:rPr>
            </m:ctrlPr>
          </m:dPr>
          <m:e>
            <m:r>
              <m:rPr>
                <m:sty m:val="p"/>
              </m:rPr>
              <w:rPr>
                <w:rFonts w:ascii="Cambria Math" w:hAnsi="Cambria Math" w:cs="Times New Roman"/>
                <w:sz w:val="24"/>
                <w:szCs w:val="24"/>
              </w:rPr>
              <m:t>1-</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2</m:t>
                    </m:r>
                  </m:sub>
                </m:sSub>
              </m:den>
            </m:f>
          </m:e>
        </m:d>
        <m:r>
          <m:rPr>
            <m:sty m:val="p"/>
          </m:rPr>
          <w:rPr>
            <w:rFonts w:ascii="Cambria Math" w:hAnsi="Cambria Math" w:cs="Times New Roman"/>
            <w:sz w:val="24"/>
            <w:szCs w:val="24"/>
          </w:rPr>
          <m:t>×100                                                                                                                           (4)</m:t>
        </m:r>
      </m:oMath>
      <w:r w:rsidRPr="00BE052C">
        <w:rPr>
          <w:rFonts w:ascii="Times New Roman" w:eastAsiaTheme="minorEastAsia" w:hAnsi="Times New Roman" w:cs="Times New Roman"/>
          <w:sz w:val="24"/>
          <w:szCs w:val="24"/>
        </w:rPr>
        <w:t xml:space="preserve">  </w:t>
      </w:r>
    </w:p>
    <w:p w14:paraId="1D37BE31" w14:textId="77777777" w:rsidR="0069731D" w:rsidRPr="00A63827" w:rsidRDefault="0069731D" w:rsidP="0069731D">
      <w:pPr>
        <w:tabs>
          <w:tab w:val="left" w:pos="720"/>
        </w:tabs>
        <w:spacing w:after="0" w:line="360" w:lineRule="auto"/>
        <w:jc w:val="both"/>
        <w:rPr>
          <w:rFonts w:ascii="Times New Roman" w:eastAsiaTheme="minorEastAsia" w:hAnsi="Times New Roman" w:cs="Times New Roman"/>
          <w:b/>
          <w:sz w:val="24"/>
          <w:szCs w:val="24"/>
        </w:rPr>
      </w:pPr>
      <w:r w:rsidRPr="00A63827">
        <w:rPr>
          <w:rFonts w:ascii="Times New Roman" w:eastAsiaTheme="minorEastAsia" w:hAnsi="Times New Roman" w:cs="Times New Roman"/>
          <w:b/>
          <w:sz w:val="24"/>
          <w:szCs w:val="24"/>
        </w:rPr>
        <w:t xml:space="preserve"> SEM-EDX Analysis</w:t>
      </w:r>
    </w:p>
    <w:p w14:paraId="7E880EA7" w14:textId="77777777" w:rsidR="0069731D" w:rsidRDefault="0069731D" w:rsidP="0069731D">
      <w:pPr>
        <w:spacing w:before="240" w:line="480" w:lineRule="auto"/>
        <w:jc w:val="both"/>
        <w:rPr>
          <w:rStyle w:val="Strong"/>
          <w:rFonts w:ascii="Times New Roman" w:hAnsi="Times New Roman" w:cs="Times New Roman"/>
          <w:b w:val="0"/>
          <w:sz w:val="24"/>
          <w:szCs w:val="24"/>
        </w:rPr>
      </w:pPr>
      <w:r w:rsidRPr="00A63827">
        <w:rPr>
          <w:rStyle w:val="Strong"/>
          <w:rFonts w:ascii="Times New Roman" w:hAnsi="Times New Roman" w:cs="Times New Roman"/>
          <w:b w:val="0"/>
          <w:sz w:val="24"/>
          <w:szCs w:val="24"/>
        </w:rPr>
        <w:t>The surface morphology of the API 5L X65 steel coupons, following immersion in a 1.0 M HCl solution for 3 hours at 303 K in the presence and absence of inhibitors, was analyzed using a Phenom ProX SEM-EDX (Netherlands)</w:t>
      </w:r>
      <w:r>
        <w:rPr>
          <w:rStyle w:val="Strong"/>
          <w:rFonts w:ascii="Times New Roman" w:hAnsi="Times New Roman" w:cs="Times New Roman"/>
          <w:b w:val="0"/>
          <w:sz w:val="24"/>
          <w:szCs w:val="24"/>
        </w:rPr>
        <w:t>.</w:t>
      </w:r>
    </w:p>
    <w:p w14:paraId="44A706FE" w14:textId="77777777" w:rsidR="009D481B" w:rsidRPr="00A85F84" w:rsidRDefault="009D481B" w:rsidP="0069731D">
      <w:pPr>
        <w:spacing w:before="240" w:line="480" w:lineRule="auto"/>
        <w:jc w:val="both"/>
        <w:rPr>
          <w:rStyle w:val="Strong"/>
          <w:rFonts w:ascii="Times New Roman" w:hAnsi="Times New Roman" w:cs="Times New Roman"/>
          <w:sz w:val="24"/>
          <w:szCs w:val="24"/>
        </w:rPr>
      </w:pPr>
      <w:r w:rsidRPr="00A85F84">
        <w:rPr>
          <w:rStyle w:val="Strong"/>
          <w:rFonts w:ascii="Times New Roman" w:hAnsi="Times New Roman" w:cs="Times New Roman"/>
          <w:sz w:val="24"/>
          <w:szCs w:val="24"/>
        </w:rPr>
        <w:t>Potentiodynamic Polarization Studies</w:t>
      </w:r>
    </w:p>
    <w:p w14:paraId="56C40E85" w14:textId="77777777" w:rsidR="009D481B" w:rsidRPr="00080407" w:rsidRDefault="009D481B" w:rsidP="009D481B">
      <w:pPr>
        <w:spacing w:line="480" w:lineRule="auto"/>
        <w:jc w:val="both"/>
        <w:rPr>
          <w:rFonts w:ascii="Times New Roman" w:hAnsi="Times New Roman" w:cs="Times New Roman"/>
          <w:b/>
          <w:sz w:val="24"/>
        </w:rPr>
      </w:pPr>
      <w:r w:rsidRPr="00080407">
        <w:rPr>
          <w:rFonts w:ascii="Times New Roman" w:hAnsi="Times New Roman" w:cs="Times New Roman"/>
          <w:b/>
          <w:sz w:val="24"/>
        </w:rPr>
        <w:t>Surface preparation of the working electrode (WE)</w:t>
      </w:r>
    </w:p>
    <w:p w14:paraId="3A6DF2C3" w14:textId="77777777" w:rsidR="009D481B" w:rsidRDefault="009D481B" w:rsidP="009D481B">
      <w:pPr>
        <w:spacing w:line="480" w:lineRule="auto"/>
        <w:jc w:val="both"/>
        <w:rPr>
          <w:rFonts w:ascii="Times New Roman" w:hAnsi="Times New Roman" w:cs="Times New Roman"/>
          <w:sz w:val="24"/>
        </w:rPr>
      </w:pPr>
      <w:r w:rsidRPr="00B2057F">
        <w:rPr>
          <w:rFonts w:ascii="Times New Roman" w:hAnsi="Times New Roman" w:cs="Times New Roman"/>
          <w:sz w:val="24"/>
          <w:szCs w:val="24"/>
        </w:rPr>
        <w:t xml:space="preserve">Standard procedure described in </w:t>
      </w:r>
      <w:r w:rsidR="00070205">
        <w:rPr>
          <w:rFonts w:ascii="Times New Roman" w:hAnsi="Times New Roman" w:cs="Times New Roman"/>
          <w:sz w:val="24"/>
          <w:szCs w:val="24"/>
        </w:rPr>
        <w:t xml:space="preserve">[10; </w:t>
      </w:r>
      <w:r w:rsidR="00D83D84">
        <w:rPr>
          <w:rFonts w:ascii="Times New Roman" w:hAnsi="Times New Roman" w:cs="Times New Roman"/>
          <w:sz w:val="24"/>
          <w:szCs w:val="24"/>
        </w:rPr>
        <w:t xml:space="preserve">6] </w:t>
      </w:r>
      <w:r w:rsidR="004E60B2">
        <w:rPr>
          <w:rFonts w:ascii="Times New Roman" w:hAnsi="Times New Roman" w:cs="Times New Roman"/>
          <w:sz w:val="24"/>
        </w:rPr>
        <w:t>were</w:t>
      </w:r>
      <w:r w:rsidR="00E934D8">
        <w:rPr>
          <w:rFonts w:ascii="Times New Roman" w:hAnsi="Times New Roman" w:cs="Times New Roman"/>
          <w:sz w:val="24"/>
        </w:rPr>
        <w:t xml:space="preserve"> </w:t>
      </w:r>
      <w:r w:rsidRPr="00A221DD">
        <w:rPr>
          <w:rFonts w:ascii="Times New Roman" w:hAnsi="Times New Roman" w:cs="Times New Roman"/>
          <w:sz w:val="24"/>
        </w:rPr>
        <w:t>adopted for the preparation of the working electrode</w:t>
      </w:r>
      <w:r w:rsidR="00E934D8">
        <w:rPr>
          <w:rFonts w:ascii="Times New Roman" w:hAnsi="Times New Roman" w:cs="Times New Roman"/>
          <w:sz w:val="24"/>
        </w:rPr>
        <w:t xml:space="preserve"> and measurement</w:t>
      </w:r>
      <w:r w:rsidRPr="00A221DD">
        <w:rPr>
          <w:rFonts w:ascii="Times New Roman" w:hAnsi="Times New Roman" w:cs="Times New Roman"/>
          <w:sz w:val="24"/>
        </w:rPr>
        <w:t>. The preparation was performed with sequential wet grind with 400, 600, 800 and 1000 grit SiC until previous coarse scratches were removed and smooth polished surface was achieved. Then washed with distilled water, degreased with ethanol and raised with acetone and air dried.</w:t>
      </w:r>
    </w:p>
    <w:p w14:paraId="2706F2A4" w14:textId="77777777" w:rsidR="001973CA" w:rsidRPr="0050249B" w:rsidRDefault="001973CA" w:rsidP="0050249B">
      <w:pPr>
        <w:pStyle w:val="Heading3"/>
        <w:spacing w:line="360" w:lineRule="auto"/>
        <w:rPr>
          <w:sz w:val="24"/>
          <w:szCs w:val="24"/>
        </w:rPr>
      </w:pPr>
      <w:r w:rsidRPr="0050249B">
        <w:rPr>
          <w:rStyle w:val="Strong"/>
          <w:b/>
          <w:bCs/>
          <w:sz w:val="24"/>
          <w:szCs w:val="24"/>
        </w:rPr>
        <w:t>Potentiodynamic Polarization (PDP) Measurement Procedure</w:t>
      </w:r>
    </w:p>
    <w:p w14:paraId="50974236" w14:textId="77777777" w:rsidR="001973CA" w:rsidRPr="0050249B" w:rsidRDefault="001973CA" w:rsidP="0050249B">
      <w:pPr>
        <w:pStyle w:val="NormalWeb"/>
        <w:spacing w:line="360" w:lineRule="auto"/>
        <w:jc w:val="both"/>
      </w:pPr>
      <w:r w:rsidRPr="0050249B">
        <w:t xml:space="preserve">The </w:t>
      </w:r>
      <w:r w:rsidRPr="0050249B">
        <w:rPr>
          <w:rStyle w:val="Strong"/>
          <w:b w:val="0"/>
        </w:rPr>
        <w:t>working electrode</w:t>
      </w:r>
      <w:r w:rsidRPr="0050249B">
        <w:t xml:space="preserve"> (API 5L X65) with an exposed surface area of </w:t>
      </w:r>
      <w:r w:rsidRPr="0050249B">
        <w:rPr>
          <w:rStyle w:val="Strong"/>
          <w:b w:val="0"/>
        </w:rPr>
        <w:t>1 cm²</w:t>
      </w:r>
      <w:r w:rsidRPr="0050249B">
        <w:rPr>
          <w:b/>
        </w:rPr>
        <w:t>,</w:t>
      </w:r>
      <w:r w:rsidRPr="0050249B">
        <w:t xml:space="preserve"> the </w:t>
      </w:r>
      <w:r w:rsidRPr="0050249B">
        <w:rPr>
          <w:rStyle w:val="Strong"/>
          <w:b w:val="0"/>
        </w:rPr>
        <w:t>reference electrode</w:t>
      </w:r>
      <w:r w:rsidRPr="0050249B">
        <w:rPr>
          <w:b/>
        </w:rPr>
        <w:t xml:space="preserve"> </w:t>
      </w:r>
      <w:r w:rsidRPr="0050249B">
        <w:t xml:space="preserve">(saturated calomel electrode, SCE), and the </w:t>
      </w:r>
      <w:r w:rsidRPr="0050249B">
        <w:rPr>
          <w:rStyle w:val="Strong"/>
          <w:b w:val="0"/>
        </w:rPr>
        <w:t>counter electrode</w:t>
      </w:r>
      <w:r w:rsidRPr="0050249B">
        <w:t xml:space="preserve"> (platinum, Pt) were assembled into a three-electrode electrochemical cell. </w:t>
      </w:r>
      <w:r w:rsidRPr="0050249B">
        <w:rPr>
          <w:rStyle w:val="Strong"/>
          <w:b w:val="0"/>
        </w:rPr>
        <w:t>100 mL</w:t>
      </w:r>
      <w:r w:rsidRPr="0050249B">
        <w:t xml:space="preserve"> of the test solution was transferred into the polarization cell, which was then connected to a </w:t>
      </w:r>
      <w:r w:rsidRPr="0050249B">
        <w:rPr>
          <w:rStyle w:val="Strong"/>
          <w:b w:val="0"/>
        </w:rPr>
        <w:t>potentiostat</w:t>
      </w:r>
      <w:r w:rsidRPr="0050249B">
        <w:rPr>
          <w:b/>
        </w:rPr>
        <w:t xml:space="preserve"> or </w:t>
      </w:r>
      <w:r w:rsidRPr="0050249B">
        <w:rPr>
          <w:rStyle w:val="Strong"/>
          <w:b w:val="0"/>
        </w:rPr>
        <w:t>electrochemical workstation</w:t>
      </w:r>
      <w:r w:rsidRPr="0050249B">
        <w:rPr>
          <w:b/>
        </w:rPr>
        <w:t>.</w:t>
      </w:r>
    </w:p>
    <w:p w14:paraId="55D3FA24" w14:textId="77777777" w:rsidR="001973CA" w:rsidRPr="0050249B" w:rsidRDefault="001973CA" w:rsidP="0050249B">
      <w:pPr>
        <w:pStyle w:val="NormalWeb"/>
        <w:spacing w:line="360" w:lineRule="auto"/>
        <w:jc w:val="both"/>
      </w:pPr>
      <w:r w:rsidRPr="0050249B">
        <w:t xml:space="preserve">The system was allowed to establish the </w:t>
      </w:r>
      <w:r w:rsidRPr="0050249B">
        <w:rPr>
          <w:rStyle w:val="Strong"/>
          <w:b w:val="0"/>
        </w:rPr>
        <w:t>open circuit potential (OCP)</w:t>
      </w:r>
      <w:r w:rsidRPr="0050249B">
        <w:t xml:space="preserve"> of the working electrode, ensuring a stable reading before proceeding with polarization measurements.</w:t>
      </w:r>
    </w:p>
    <w:p w14:paraId="40301FD4" w14:textId="77777777" w:rsidR="001973CA" w:rsidRPr="0050249B" w:rsidRDefault="001973CA" w:rsidP="0050249B">
      <w:pPr>
        <w:pStyle w:val="NormalWeb"/>
        <w:spacing w:line="360" w:lineRule="auto"/>
        <w:jc w:val="both"/>
      </w:pPr>
      <w:r w:rsidRPr="0050249B">
        <w:lastRenderedPageBreak/>
        <w:t xml:space="preserve">Potentiodynamic polarization measurements were carried out by scanning the potential of the </w:t>
      </w:r>
      <w:r w:rsidRPr="0050249B">
        <w:rPr>
          <w:rStyle w:val="Strong"/>
          <w:b w:val="0"/>
        </w:rPr>
        <w:t>working electrode (WE</w:t>
      </w:r>
      <w:r w:rsidRPr="0050249B">
        <w:rPr>
          <w:rStyle w:val="Strong"/>
        </w:rPr>
        <w:t>)</w:t>
      </w:r>
      <w:r w:rsidRPr="0050249B">
        <w:t xml:space="preserve"> from </w:t>
      </w:r>
      <w:r w:rsidRPr="0050249B">
        <w:rPr>
          <w:rStyle w:val="Strong"/>
        </w:rPr>
        <w:t>-</w:t>
      </w:r>
      <w:r w:rsidRPr="0050249B">
        <w:rPr>
          <w:rStyle w:val="Strong"/>
          <w:b w:val="0"/>
        </w:rPr>
        <w:t>0.1 V to +0.1 V</w:t>
      </w:r>
      <w:r w:rsidRPr="0050249B">
        <w:t xml:space="preserve"> relative to the </w:t>
      </w:r>
      <w:r w:rsidRPr="0050249B">
        <w:rPr>
          <w:rStyle w:val="Strong"/>
          <w:b w:val="0"/>
        </w:rPr>
        <w:t>reference electrode (SCE)</w:t>
      </w:r>
      <w:r w:rsidRPr="0050249B">
        <w:t xml:space="preserve"> at a scan rate of </w:t>
      </w:r>
      <w:r w:rsidRPr="0050249B">
        <w:rPr>
          <w:rStyle w:val="Strong"/>
          <w:b w:val="0"/>
        </w:rPr>
        <w:t>1 mV/sec</w:t>
      </w:r>
      <w:r w:rsidRPr="0050249B">
        <w:rPr>
          <w:b/>
        </w:rPr>
        <w:t>.</w:t>
      </w:r>
      <w:r w:rsidRPr="0050249B">
        <w:t xml:space="preserve"> The potential was scanned in both </w:t>
      </w:r>
      <w:r w:rsidRPr="0050249B">
        <w:rPr>
          <w:rStyle w:val="Strong"/>
          <w:b w:val="0"/>
        </w:rPr>
        <w:t>anodic</w:t>
      </w:r>
      <w:r w:rsidRPr="0050249B">
        <w:t xml:space="preserve"> and </w:t>
      </w:r>
      <w:r w:rsidRPr="0050249B">
        <w:rPr>
          <w:rStyle w:val="Strong"/>
          <w:b w:val="0"/>
        </w:rPr>
        <w:t>cathodic</w:t>
      </w:r>
      <w:r w:rsidRPr="0050249B">
        <w:t xml:space="preserve"> directions to obtain the complete polarization curve.</w:t>
      </w:r>
    </w:p>
    <w:p w14:paraId="1141DF4F" w14:textId="77777777" w:rsidR="001973CA" w:rsidRPr="0050249B" w:rsidRDefault="001973CA" w:rsidP="0050249B">
      <w:pPr>
        <w:pStyle w:val="NormalWeb"/>
        <w:spacing w:line="360" w:lineRule="auto"/>
        <w:jc w:val="both"/>
      </w:pPr>
      <w:r w:rsidRPr="0050249B">
        <w:t>The test was repeated for each concentration of the inhibitor solution to evaluate the impact of varying inhibitor concentrations on the corrosion behavior of the mild steel.</w:t>
      </w:r>
    </w:p>
    <w:p w14:paraId="2720A4A1" w14:textId="77777777" w:rsidR="001973CA" w:rsidRPr="0050249B" w:rsidRDefault="001973CA" w:rsidP="0050249B">
      <w:pPr>
        <w:pStyle w:val="NormalWeb"/>
        <w:spacing w:line="360" w:lineRule="auto"/>
        <w:jc w:val="both"/>
        <w:rPr>
          <w:bCs/>
        </w:rPr>
      </w:pPr>
      <w:r w:rsidRPr="0050249B">
        <w:t xml:space="preserve">From the resulting polarization curves, the </w:t>
      </w:r>
      <w:r w:rsidRPr="0050249B">
        <w:rPr>
          <w:rStyle w:val="Strong"/>
          <w:b w:val="0"/>
        </w:rPr>
        <w:t>corrosion current density (</w:t>
      </w:r>
      <w:r w:rsidR="0050249B">
        <w:rPr>
          <w:rStyle w:val="Strong"/>
          <w:b w:val="0"/>
        </w:rPr>
        <w:t>i</w:t>
      </w:r>
      <w:r w:rsidRPr="0050249B">
        <w:rPr>
          <w:rStyle w:val="Strong"/>
          <w:b w:val="0"/>
          <w:vertAlign w:val="subscript"/>
        </w:rPr>
        <w:t>corr</w:t>
      </w:r>
      <w:r w:rsidRPr="0050249B">
        <w:rPr>
          <w:rStyle w:val="Strong"/>
          <w:b w:val="0"/>
        </w:rPr>
        <w:t>)</w:t>
      </w:r>
      <w:r w:rsidRPr="0050249B">
        <w:t xml:space="preserve"> was determined using </w:t>
      </w:r>
      <w:r w:rsidRPr="0050249B">
        <w:rPr>
          <w:rStyle w:val="Strong"/>
          <w:b w:val="0"/>
        </w:rPr>
        <w:t>Tafel extrapolation</w:t>
      </w:r>
      <w:r w:rsidRPr="0050249B">
        <w:t xml:space="preserve"> (via the linear portions of the anodic and cathodic branches of the polarization curve).</w:t>
      </w:r>
    </w:p>
    <w:p w14:paraId="2A58808B" w14:textId="77777777" w:rsidR="001973CA" w:rsidRPr="001973CA" w:rsidRDefault="001973CA" w:rsidP="001973CA">
      <w:pPr>
        <w:pStyle w:val="NormalWeb"/>
        <w:jc w:val="both"/>
      </w:pPr>
      <w:r w:rsidRPr="001973CA">
        <w:t>The inhibition efficiency (%IE) of the inhibitor was calculated using the following formula:</w:t>
      </w:r>
    </w:p>
    <w:p w14:paraId="204815FC" w14:textId="77777777" w:rsidR="009D481B" w:rsidRPr="001973CA" w:rsidRDefault="001973CA" w:rsidP="001973CA">
      <w:pPr>
        <w:spacing w:before="240" w:line="48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%IE =</m:t>
          </m:r>
          <m:f>
            <m:fPr>
              <m:ctrlPr>
                <w:rPr>
                  <w:rFonts w:ascii="Cambria Math" w:hAnsi="Cambria Math" w:cs="Times New Roman"/>
                  <w:sz w:val="24"/>
                  <w:szCs w:val="24"/>
                </w:rPr>
              </m:ctrlPr>
            </m:fPr>
            <m:num>
              <m:sSubSup>
                <m:sSubSupPr>
                  <m:ctrlPr>
                    <w:rPr>
                      <w:rFonts w:ascii="Cambria Math" w:hAnsi="Cambria Math" w:cs="Times New Roman"/>
                      <w:sz w:val="24"/>
                      <w:szCs w:val="24"/>
                    </w:rPr>
                  </m:ctrlPr>
                </m:sSubSupPr>
                <m:e>
                  <m:r>
                    <m:rPr>
                      <m:sty m:val="p"/>
                    </m:rPr>
                    <w:rPr>
                      <w:rFonts w:ascii="Cambria Math" w:hAnsi="Cambria Math" w:cs="Times New Roman"/>
                      <w:sz w:val="24"/>
                      <w:szCs w:val="24"/>
                    </w:rPr>
                    <m:t>i</m:t>
                  </m:r>
                </m:e>
                <m:sub>
                  <m:r>
                    <m:rPr>
                      <m:sty m:val="p"/>
                    </m:rPr>
                    <w:rPr>
                      <w:rFonts w:ascii="Cambria Math" w:hAnsi="Cambria Math" w:cs="Times New Roman"/>
                      <w:sz w:val="24"/>
                      <w:szCs w:val="24"/>
                    </w:rPr>
                    <m:t>corr</m:t>
                  </m:r>
                </m:sub>
                <m:sup>
                  <m:r>
                    <m:rPr>
                      <m:sty m:val="p"/>
                    </m:rPr>
                    <w:rPr>
                      <w:rFonts w:ascii="Cambria Math" w:hAnsi="Cambria Math" w:cs="Times New Roman"/>
                      <w:sz w:val="24"/>
                      <w:szCs w:val="24"/>
                    </w:rPr>
                    <m:t>o</m:t>
                  </m:r>
                </m:sup>
              </m:sSubSup>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i</m:t>
                  </m:r>
                </m:e>
                <m:sub>
                  <m:r>
                    <m:rPr>
                      <m:sty m:val="p"/>
                    </m:rPr>
                    <w:rPr>
                      <w:rFonts w:ascii="Cambria Math" w:hAnsi="Cambria Math" w:cs="Times New Roman"/>
                      <w:sz w:val="24"/>
                      <w:szCs w:val="24"/>
                    </w:rPr>
                    <m:t>corr</m:t>
                  </m:r>
                </m:sub>
              </m:sSub>
            </m:num>
            <m:den>
              <m:sSubSup>
                <m:sSubSupPr>
                  <m:ctrlPr>
                    <w:rPr>
                      <w:rFonts w:ascii="Cambria Math" w:hAnsi="Cambria Math" w:cs="Times New Roman"/>
                      <w:sz w:val="24"/>
                      <w:szCs w:val="24"/>
                    </w:rPr>
                  </m:ctrlPr>
                </m:sSubSupPr>
                <m:e>
                  <m:r>
                    <m:rPr>
                      <m:sty m:val="p"/>
                    </m:rPr>
                    <w:rPr>
                      <w:rFonts w:ascii="Cambria Math" w:hAnsi="Cambria Math" w:cs="Times New Roman"/>
                      <w:sz w:val="24"/>
                      <w:szCs w:val="24"/>
                    </w:rPr>
                    <m:t>i</m:t>
                  </m:r>
                </m:e>
                <m:sub>
                  <m:r>
                    <m:rPr>
                      <m:sty m:val="p"/>
                    </m:rPr>
                    <w:rPr>
                      <w:rFonts w:ascii="Cambria Math" w:hAnsi="Cambria Math" w:cs="Times New Roman"/>
                      <w:sz w:val="24"/>
                      <w:szCs w:val="24"/>
                    </w:rPr>
                    <m:t>corr</m:t>
                  </m:r>
                </m:sub>
                <m:sup>
                  <m:r>
                    <m:rPr>
                      <m:sty m:val="p"/>
                    </m:rPr>
                    <w:rPr>
                      <w:rFonts w:ascii="Cambria Math" w:hAnsi="Cambria Math" w:cs="Times New Roman"/>
                      <w:sz w:val="24"/>
                      <w:szCs w:val="24"/>
                    </w:rPr>
                    <m:t>o</m:t>
                  </m:r>
                </m:sup>
              </m:sSubSup>
            </m:den>
          </m:f>
          <m:r>
            <m:rPr>
              <m:sty m:val="p"/>
            </m:rPr>
            <w:rPr>
              <w:rFonts w:ascii="Cambria Math" w:hAnsi="Cambria Math" w:cs="Times New Roman"/>
              <w:sz w:val="24"/>
              <w:szCs w:val="24"/>
            </w:rPr>
            <m:t xml:space="preserve"> ×100</m:t>
          </m:r>
          <m:r>
            <w:rPr>
              <w:rFonts w:ascii="Cambria Math" w:hAnsi="Cambria Math" w:cs="Times New Roman"/>
              <w:sz w:val="24"/>
              <w:szCs w:val="24"/>
            </w:rPr>
            <m:t xml:space="preserve">                                                                                                      (5)</m:t>
          </m:r>
        </m:oMath>
      </m:oMathPara>
    </w:p>
    <w:p w14:paraId="088034F3" w14:textId="77777777" w:rsidR="001973CA" w:rsidRDefault="001973CA" w:rsidP="001973CA">
      <w:pPr>
        <w:spacing w:line="480" w:lineRule="auto"/>
        <w:jc w:val="both"/>
        <w:rPr>
          <w:rFonts w:ascii="Times New Roman" w:eastAsiaTheme="minorEastAsia" w:hAnsi="Times New Roman" w:cs="Times New Roman"/>
          <w:sz w:val="24"/>
          <w:szCs w:val="24"/>
        </w:rPr>
      </w:pPr>
      <w:r w:rsidRPr="00A221DD">
        <w:rPr>
          <w:rFonts w:ascii="Times New Roman" w:eastAsiaTheme="minorEastAsia" w:hAnsi="Times New Roman" w:cs="Times New Roman"/>
          <w:sz w:val="24"/>
          <w:szCs w:val="24"/>
        </w:rPr>
        <w:t xml:space="preserve">Where </w:t>
      </w:r>
      <m:oMath>
        <m:sSubSup>
          <m:sSubSupPr>
            <m:ctrlPr>
              <w:rPr>
                <w:rFonts w:ascii="Cambria Math" w:hAnsi="Cambria Math" w:cs="Times New Roman"/>
                <w:i/>
                <w:sz w:val="24"/>
                <w:szCs w:val="24"/>
              </w:rPr>
            </m:ctrlPr>
          </m:sSubSupPr>
          <m:e>
            <m:r>
              <w:rPr>
                <w:rFonts w:ascii="Cambria Math" w:hAnsi="Cambria Math" w:cs="Times New Roman"/>
                <w:sz w:val="24"/>
                <w:szCs w:val="24"/>
              </w:rPr>
              <m:t>i</m:t>
            </m:r>
          </m:e>
          <m:sub>
            <m:r>
              <w:rPr>
                <w:rFonts w:ascii="Cambria Math" w:hAnsi="Cambria Math" w:cs="Times New Roman"/>
                <w:sz w:val="24"/>
                <w:szCs w:val="24"/>
              </w:rPr>
              <m:t>corr</m:t>
            </m:r>
          </m:sub>
          <m:sup>
            <m:r>
              <w:rPr>
                <w:rFonts w:ascii="Cambria Math" w:hAnsi="Cambria Math" w:cs="Times New Roman"/>
                <w:sz w:val="24"/>
                <w:szCs w:val="24"/>
              </w:rPr>
              <m:t>o</m:t>
            </m:r>
          </m:sup>
        </m:sSubSup>
      </m:oMath>
      <w:r w:rsidRPr="00A221DD">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corr</m:t>
            </m:r>
          </m:sub>
        </m:sSub>
      </m:oMath>
      <w:r w:rsidRPr="00A221DD">
        <w:rPr>
          <w:rFonts w:ascii="Times New Roman" w:eastAsiaTheme="minorEastAsia" w:hAnsi="Times New Roman" w:cs="Times New Roman"/>
          <w:sz w:val="24"/>
          <w:szCs w:val="24"/>
        </w:rPr>
        <w:t xml:space="preserve"> are the corrosion current densities in the absence and presence of the inhibitor.</w:t>
      </w:r>
    </w:p>
    <w:p w14:paraId="397BFDEF" w14:textId="77777777" w:rsidR="001973CA" w:rsidRPr="00B07B55" w:rsidRDefault="00B07B55" w:rsidP="001973CA">
      <w:pPr>
        <w:spacing w:line="480" w:lineRule="auto"/>
        <w:jc w:val="both"/>
        <w:rPr>
          <w:rFonts w:ascii="Times New Roman" w:eastAsiaTheme="minorEastAsia" w:hAnsi="Times New Roman" w:cs="Times New Roman"/>
          <w:b/>
          <w:sz w:val="28"/>
          <w:szCs w:val="28"/>
        </w:rPr>
      </w:pPr>
      <w:r w:rsidRPr="00B07B55">
        <w:rPr>
          <w:rFonts w:ascii="Times New Roman" w:eastAsiaTheme="minorEastAsia" w:hAnsi="Times New Roman" w:cs="Times New Roman"/>
          <w:b/>
          <w:sz w:val="28"/>
          <w:szCs w:val="28"/>
        </w:rPr>
        <w:t>RESULTS AND DISCUSSIONS</w:t>
      </w:r>
    </w:p>
    <w:p w14:paraId="64C98161" w14:textId="77777777" w:rsidR="001973CA" w:rsidRPr="0050249B" w:rsidRDefault="001973CA" w:rsidP="0050249B">
      <w:pPr>
        <w:pStyle w:val="NormalWeb"/>
        <w:spacing w:line="360" w:lineRule="auto"/>
        <w:jc w:val="both"/>
      </w:pPr>
      <w:r w:rsidRPr="004443AC">
        <w:t>The results obtained from the weight loss measurements, including corrosion rate (CR), surface coverage (θ), and inhibition efficiency (%IE</w:t>
      </w:r>
      <w:r>
        <w:t xml:space="preserve">), are presented in Table 1. </w:t>
      </w:r>
    </w:p>
    <w:p w14:paraId="217551FD" w14:textId="77777777" w:rsidR="001973CA" w:rsidRPr="004443AC" w:rsidRDefault="001973CA" w:rsidP="001973CA">
      <w:pPr>
        <w:spacing w:line="360" w:lineRule="auto"/>
        <w:ind w:left="540" w:hanging="630"/>
        <w:jc w:val="both"/>
        <w:rPr>
          <w:rFonts w:ascii="Times New Roman" w:eastAsiaTheme="minorEastAsia" w:hAnsi="Times New Roman" w:cs="Times New Roman"/>
          <w:b/>
          <w:sz w:val="24"/>
          <w:szCs w:val="24"/>
        </w:rPr>
      </w:pPr>
      <w:r w:rsidRPr="004443AC">
        <w:rPr>
          <w:rFonts w:ascii="Times New Roman" w:eastAsiaTheme="minorEastAsia" w:hAnsi="Times New Roman" w:cs="Times New Roman"/>
          <w:b/>
          <w:sz w:val="24"/>
          <w:szCs w:val="24"/>
        </w:rPr>
        <w:t xml:space="preserve">Table. 1. </w:t>
      </w:r>
      <w:r w:rsidRPr="00080407">
        <w:rPr>
          <w:rFonts w:ascii="Times New Roman" w:eastAsiaTheme="minorEastAsia" w:hAnsi="Times New Roman" w:cs="Times New Roman"/>
          <w:sz w:val="24"/>
          <w:szCs w:val="24"/>
        </w:rPr>
        <w:t>Shows the Corrosion parameters of API 5L X 65 mild steel from weight loss measurement.</w:t>
      </w:r>
      <w:r w:rsidRPr="004443AC">
        <w:rPr>
          <w:rFonts w:ascii="Times New Roman" w:eastAsiaTheme="minorEastAsia" w:hAnsi="Times New Roman" w:cs="Times New Roman"/>
          <w:b/>
          <w:sz w:val="24"/>
          <w:szCs w:val="24"/>
        </w:rPr>
        <w:t xml:space="preserve"> </w:t>
      </w:r>
    </w:p>
    <w:tbl>
      <w:tblPr>
        <w:tblStyle w:val="PlainTable2"/>
        <w:tblW w:w="0" w:type="auto"/>
        <w:jc w:val="center"/>
        <w:tblLook w:val="04A0" w:firstRow="1" w:lastRow="0" w:firstColumn="1" w:lastColumn="0" w:noHBand="0" w:noVBand="1"/>
      </w:tblPr>
      <w:tblGrid>
        <w:gridCol w:w="733"/>
        <w:gridCol w:w="725"/>
        <w:gridCol w:w="718"/>
        <w:gridCol w:w="718"/>
        <w:gridCol w:w="718"/>
        <w:gridCol w:w="766"/>
        <w:gridCol w:w="766"/>
        <w:gridCol w:w="766"/>
        <w:gridCol w:w="766"/>
        <w:gridCol w:w="701"/>
        <w:gridCol w:w="661"/>
        <w:gridCol w:w="661"/>
        <w:gridCol w:w="661"/>
      </w:tblGrid>
      <w:tr w:rsidR="001973CA" w:rsidRPr="002A5B43" w14:paraId="571FAEDB" w14:textId="77777777" w:rsidTr="001973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vMerge w:val="restart"/>
          </w:tcPr>
          <w:p w14:paraId="2CD71208" w14:textId="77777777" w:rsidR="001973CA" w:rsidRPr="001973CA" w:rsidRDefault="001973CA" w:rsidP="008D10F8">
            <w:pPr>
              <w:spacing w:line="360" w:lineRule="auto"/>
              <w:jc w:val="both"/>
              <w:rPr>
                <w:rFonts w:ascii="Times New Roman" w:hAnsi="Times New Roman" w:cs="Times New Roman"/>
                <w:sz w:val="20"/>
                <w:szCs w:val="20"/>
              </w:rPr>
            </w:pPr>
            <w:r w:rsidRPr="001973CA">
              <w:rPr>
                <w:rFonts w:ascii="Times New Roman" w:hAnsi="Times New Roman" w:cs="Times New Roman"/>
                <w:sz w:val="20"/>
                <w:szCs w:val="20"/>
              </w:rPr>
              <w:t>Inh.</w:t>
            </w:r>
          </w:p>
          <w:p w14:paraId="51DB7C72" w14:textId="77777777" w:rsidR="001973CA" w:rsidRPr="001973CA" w:rsidRDefault="001973CA" w:rsidP="008D10F8">
            <w:pPr>
              <w:spacing w:line="360" w:lineRule="auto"/>
              <w:jc w:val="both"/>
              <w:rPr>
                <w:rFonts w:ascii="Times New Roman" w:hAnsi="Times New Roman" w:cs="Times New Roman"/>
                <w:sz w:val="20"/>
                <w:szCs w:val="20"/>
              </w:rPr>
            </w:pPr>
            <w:r w:rsidRPr="001973CA">
              <w:rPr>
                <w:rFonts w:ascii="Times New Roman" w:hAnsi="Times New Roman" w:cs="Times New Roman"/>
                <w:sz w:val="20"/>
                <w:szCs w:val="20"/>
              </w:rPr>
              <w:t>(mg/l)</w:t>
            </w:r>
          </w:p>
        </w:tc>
        <w:tc>
          <w:tcPr>
            <w:tcW w:w="2879" w:type="dxa"/>
            <w:gridSpan w:val="4"/>
          </w:tcPr>
          <w:p w14:paraId="6C41FC73" w14:textId="77777777" w:rsidR="001973CA" w:rsidRPr="001973CA" w:rsidRDefault="001973CA" w:rsidP="008D10F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Surface Coverage</w:t>
            </w:r>
          </w:p>
        </w:tc>
        <w:tc>
          <w:tcPr>
            <w:tcW w:w="3064" w:type="dxa"/>
            <w:gridSpan w:val="4"/>
          </w:tcPr>
          <w:p w14:paraId="3A7EBC37" w14:textId="77777777" w:rsidR="001973CA" w:rsidRPr="001973CA" w:rsidRDefault="001973CA" w:rsidP="008D10F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Corrosion Rate (mm/yr)</w:t>
            </w:r>
          </w:p>
        </w:tc>
        <w:tc>
          <w:tcPr>
            <w:tcW w:w="2684" w:type="dxa"/>
            <w:gridSpan w:val="4"/>
          </w:tcPr>
          <w:p w14:paraId="2B076E50" w14:textId="77777777" w:rsidR="001973CA" w:rsidRPr="001973CA" w:rsidRDefault="001973CA" w:rsidP="008D10F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Inhibition efficiency</w:t>
            </w:r>
          </w:p>
        </w:tc>
      </w:tr>
      <w:tr w:rsidR="001973CA" w:rsidRPr="002A5B43" w14:paraId="0B885CFF" w14:textId="77777777" w:rsidTr="001973CA">
        <w:trPr>
          <w:cnfStyle w:val="000000100000" w:firstRow="0" w:lastRow="0" w:firstColumn="0" w:lastColumn="0" w:oddVBand="0" w:evenVBand="0" w:oddHBand="1"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733" w:type="dxa"/>
            <w:vMerge/>
          </w:tcPr>
          <w:p w14:paraId="7583DF72" w14:textId="77777777" w:rsidR="001973CA" w:rsidRPr="001973CA" w:rsidRDefault="001973CA" w:rsidP="008D10F8">
            <w:pPr>
              <w:spacing w:line="360" w:lineRule="auto"/>
              <w:jc w:val="both"/>
              <w:rPr>
                <w:rFonts w:ascii="Times New Roman" w:hAnsi="Times New Roman" w:cs="Times New Roman"/>
                <w:sz w:val="20"/>
                <w:szCs w:val="20"/>
              </w:rPr>
            </w:pPr>
          </w:p>
        </w:tc>
        <w:tc>
          <w:tcPr>
            <w:tcW w:w="725" w:type="dxa"/>
          </w:tcPr>
          <w:p w14:paraId="5F201B16" w14:textId="77777777"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303K</w:t>
            </w:r>
          </w:p>
        </w:tc>
        <w:tc>
          <w:tcPr>
            <w:tcW w:w="718" w:type="dxa"/>
          </w:tcPr>
          <w:p w14:paraId="6DBC12CD" w14:textId="77777777"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313K</w:t>
            </w:r>
          </w:p>
        </w:tc>
        <w:tc>
          <w:tcPr>
            <w:tcW w:w="718" w:type="dxa"/>
          </w:tcPr>
          <w:p w14:paraId="632A2D52" w14:textId="77777777"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323K</w:t>
            </w:r>
          </w:p>
        </w:tc>
        <w:tc>
          <w:tcPr>
            <w:tcW w:w="718" w:type="dxa"/>
          </w:tcPr>
          <w:p w14:paraId="64197D86" w14:textId="77777777"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333K</w:t>
            </w:r>
          </w:p>
        </w:tc>
        <w:tc>
          <w:tcPr>
            <w:tcW w:w="766" w:type="dxa"/>
          </w:tcPr>
          <w:p w14:paraId="40F17C9C" w14:textId="77777777"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303 K</w:t>
            </w:r>
          </w:p>
        </w:tc>
        <w:tc>
          <w:tcPr>
            <w:tcW w:w="766" w:type="dxa"/>
          </w:tcPr>
          <w:p w14:paraId="0B463AFA" w14:textId="77777777"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313 K</w:t>
            </w:r>
          </w:p>
        </w:tc>
        <w:tc>
          <w:tcPr>
            <w:tcW w:w="766" w:type="dxa"/>
          </w:tcPr>
          <w:p w14:paraId="2051352E" w14:textId="77777777"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323 K</w:t>
            </w:r>
          </w:p>
        </w:tc>
        <w:tc>
          <w:tcPr>
            <w:tcW w:w="766" w:type="dxa"/>
          </w:tcPr>
          <w:p w14:paraId="6671ED91" w14:textId="77777777"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333 K</w:t>
            </w:r>
          </w:p>
        </w:tc>
        <w:tc>
          <w:tcPr>
            <w:tcW w:w="701" w:type="dxa"/>
          </w:tcPr>
          <w:p w14:paraId="3BB3B4EF" w14:textId="77777777"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303 K</w:t>
            </w:r>
          </w:p>
        </w:tc>
        <w:tc>
          <w:tcPr>
            <w:tcW w:w="661" w:type="dxa"/>
          </w:tcPr>
          <w:p w14:paraId="783105D2" w14:textId="77777777"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 xml:space="preserve">313K </w:t>
            </w:r>
          </w:p>
        </w:tc>
        <w:tc>
          <w:tcPr>
            <w:tcW w:w="661" w:type="dxa"/>
          </w:tcPr>
          <w:p w14:paraId="0BB930B2" w14:textId="77777777"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323K</w:t>
            </w:r>
          </w:p>
        </w:tc>
        <w:tc>
          <w:tcPr>
            <w:tcW w:w="661" w:type="dxa"/>
          </w:tcPr>
          <w:p w14:paraId="5A8DC340" w14:textId="77777777" w:rsidR="001973CA" w:rsidRPr="001973CA" w:rsidRDefault="001973CA" w:rsidP="008D10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333K</w:t>
            </w:r>
          </w:p>
        </w:tc>
      </w:tr>
      <w:tr w:rsidR="001973CA" w:rsidRPr="002A5B43" w14:paraId="77E96D12" w14:textId="77777777" w:rsidTr="001973CA">
        <w:trPr>
          <w:jc w:val="center"/>
        </w:trPr>
        <w:tc>
          <w:tcPr>
            <w:cnfStyle w:val="001000000000" w:firstRow="0" w:lastRow="0" w:firstColumn="1" w:lastColumn="0" w:oddVBand="0" w:evenVBand="0" w:oddHBand="0" w:evenHBand="0" w:firstRowFirstColumn="0" w:firstRowLastColumn="0" w:lastRowFirstColumn="0" w:lastRowLastColumn="0"/>
            <w:tcW w:w="733" w:type="dxa"/>
            <w:tcBorders>
              <w:bottom w:val="nil"/>
            </w:tcBorders>
          </w:tcPr>
          <w:p w14:paraId="096467F3" w14:textId="77777777" w:rsidR="001973CA" w:rsidRPr="001973CA" w:rsidRDefault="001973CA" w:rsidP="001973CA">
            <w:pPr>
              <w:spacing w:line="360" w:lineRule="auto"/>
              <w:jc w:val="both"/>
              <w:rPr>
                <w:rFonts w:ascii="Times New Roman" w:hAnsi="Times New Roman" w:cs="Times New Roman"/>
                <w:sz w:val="20"/>
                <w:szCs w:val="20"/>
              </w:rPr>
            </w:pPr>
            <w:r w:rsidRPr="001973CA">
              <w:rPr>
                <w:rFonts w:ascii="Times New Roman" w:hAnsi="Times New Roman" w:cs="Times New Roman"/>
                <w:sz w:val="20"/>
                <w:szCs w:val="20"/>
              </w:rPr>
              <w:t>Blank</w:t>
            </w:r>
          </w:p>
        </w:tc>
        <w:tc>
          <w:tcPr>
            <w:tcW w:w="725" w:type="dxa"/>
            <w:tcBorders>
              <w:bottom w:val="nil"/>
            </w:tcBorders>
          </w:tcPr>
          <w:p w14:paraId="6BF4896D" w14:textId="77777777" w:rsidR="001973CA" w:rsidRPr="001973CA" w:rsidRDefault="001973CA" w:rsidP="0019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w:t>
            </w:r>
          </w:p>
        </w:tc>
        <w:tc>
          <w:tcPr>
            <w:tcW w:w="718" w:type="dxa"/>
            <w:tcBorders>
              <w:bottom w:val="nil"/>
            </w:tcBorders>
          </w:tcPr>
          <w:p w14:paraId="1F4904A0" w14:textId="77777777" w:rsidR="001973CA" w:rsidRPr="001973CA" w:rsidRDefault="001973CA" w:rsidP="0019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w:t>
            </w:r>
          </w:p>
        </w:tc>
        <w:tc>
          <w:tcPr>
            <w:tcW w:w="718" w:type="dxa"/>
            <w:tcBorders>
              <w:bottom w:val="nil"/>
            </w:tcBorders>
          </w:tcPr>
          <w:p w14:paraId="4F432280" w14:textId="77777777" w:rsidR="001973CA" w:rsidRPr="001973CA" w:rsidRDefault="001973CA" w:rsidP="0019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w:t>
            </w:r>
          </w:p>
        </w:tc>
        <w:tc>
          <w:tcPr>
            <w:tcW w:w="718" w:type="dxa"/>
            <w:tcBorders>
              <w:bottom w:val="nil"/>
            </w:tcBorders>
          </w:tcPr>
          <w:p w14:paraId="5D8F6110" w14:textId="77777777" w:rsidR="001973CA" w:rsidRPr="001973CA" w:rsidRDefault="001973CA" w:rsidP="0019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w:t>
            </w:r>
          </w:p>
        </w:tc>
        <w:tc>
          <w:tcPr>
            <w:tcW w:w="766" w:type="dxa"/>
            <w:tcBorders>
              <w:bottom w:val="nil"/>
            </w:tcBorders>
          </w:tcPr>
          <w:p w14:paraId="608B9779" w14:textId="77777777" w:rsidR="001973CA" w:rsidRPr="001973CA" w:rsidRDefault="001973CA" w:rsidP="001973CA">
            <w:pPr>
              <w:spacing w:line="360" w:lineRule="auto"/>
              <w:ind w:left="-236" w:firstLine="23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73CA">
              <w:rPr>
                <w:rFonts w:ascii="Times New Roman" w:hAnsi="Times New Roman" w:cs="Times New Roman"/>
                <w:b/>
                <w:sz w:val="20"/>
                <w:szCs w:val="20"/>
              </w:rPr>
              <w:t>0.0101</w:t>
            </w:r>
          </w:p>
        </w:tc>
        <w:tc>
          <w:tcPr>
            <w:tcW w:w="766" w:type="dxa"/>
            <w:tcBorders>
              <w:bottom w:val="nil"/>
            </w:tcBorders>
          </w:tcPr>
          <w:p w14:paraId="663EF60A" w14:textId="77777777"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73CA">
              <w:rPr>
                <w:rFonts w:ascii="Times New Roman" w:hAnsi="Times New Roman" w:cs="Times New Roman"/>
                <w:b/>
                <w:sz w:val="20"/>
                <w:szCs w:val="20"/>
              </w:rPr>
              <w:t>0.0154</w:t>
            </w:r>
          </w:p>
        </w:tc>
        <w:tc>
          <w:tcPr>
            <w:tcW w:w="766" w:type="dxa"/>
            <w:tcBorders>
              <w:bottom w:val="nil"/>
            </w:tcBorders>
          </w:tcPr>
          <w:p w14:paraId="1871CBDB" w14:textId="77777777"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73CA">
              <w:rPr>
                <w:rFonts w:ascii="Times New Roman" w:hAnsi="Times New Roman" w:cs="Times New Roman"/>
                <w:b/>
                <w:sz w:val="20"/>
                <w:szCs w:val="20"/>
              </w:rPr>
              <w:t>0.0238</w:t>
            </w:r>
          </w:p>
        </w:tc>
        <w:tc>
          <w:tcPr>
            <w:tcW w:w="766" w:type="dxa"/>
            <w:tcBorders>
              <w:bottom w:val="nil"/>
            </w:tcBorders>
          </w:tcPr>
          <w:p w14:paraId="60A64B73" w14:textId="77777777"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973CA">
              <w:rPr>
                <w:rFonts w:ascii="Times New Roman" w:hAnsi="Times New Roman" w:cs="Times New Roman"/>
                <w:b/>
                <w:sz w:val="20"/>
                <w:szCs w:val="20"/>
              </w:rPr>
              <w:t>0.0376</w:t>
            </w:r>
          </w:p>
        </w:tc>
        <w:tc>
          <w:tcPr>
            <w:tcW w:w="701" w:type="dxa"/>
            <w:tcBorders>
              <w:bottom w:val="nil"/>
            </w:tcBorders>
          </w:tcPr>
          <w:p w14:paraId="66A97223" w14:textId="77777777" w:rsidR="001973CA" w:rsidRPr="001973CA" w:rsidRDefault="001973CA" w:rsidP="0019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w:t>
            </w:r>
          </w:p>
        </w:tc>
        <w:tc>
          <w:tcPr>
            <w:tcW w:w="661" w:type="dxa"/>
            <w:tcBorders>
              <w:bottom w:val="nil"/>
            </w:tcBorders>
          </w:tcPr>
          <w:p w14:paraId="0D8C901F" w14:textId="77777777" w:rsidR="001973CA" w:rsidRPr="001973CA" w:rsidRDefault="001973CA" w:rsidP="0019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w:t>
            </w:r>
          </w:p>
        </w:tc>
        <w:tc>
          <w:tcPr>
            <w:tcW w:w="661" w:type="dxa"/>
            <w:tcBorders>
              <w:bottom w:val="nil"/>
            </w:tcBorders>
          </w:tcPr>
          <w:p w14:paraId="64819BD9" w14:textId="77777777" w:rsidR="001973CA" w:rsidRPr="001973CA" w:rsidRDefault="001973CA" w:rsidP="0019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w:t>
            </w:r>
          </w:p>
        </w:tc>
        <w:tc>
          <w:tcPr>
            <w:tcW w:w="661" w:type="dxa"/>
            <w:tcBorders>
              <w:bottom w:val="nil"/>
            </w:tcBorders>
          </w:tcPr>
          <w:p w14:paraId="5B44C293" w14:textId="77777777" w:rsidR="001973CA" w:rsidRPr="001973CA" w:rsidRDefault="001973CA" w:rsidP="001973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w:t>
            </w:r>
          </w:p>
        </w:tc>
      </w:tr>
      <w:tr w:rsidR="001973CA" w:rsidRPr="002A5B43" w14:paraId="7CDA1AE0" w14:textId="77777777" w:rsidTr="001973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Borders>
              <w:top w:val="nil"/>
              <w:bottom w:val="nil"/>
            </w:tcBorders>
          </w:tcPr>
          <w:p w14:paraId="510A4C6A" w14:textId="77777777" w:rsidR="001973CA" w:rsidRPr="001973CA" w:rsidRDefault="001973CA" w:rsidP="001973CA">
            <w:pPr>
              <w:spacing w:line="360" w:lineRule="auto"/>
              <w:jc w:val="both"/>
              <w:rPr>
                <w:rFonts w:ascii="Times New Roman" w:hAnsi="Times New Roman" w:cs="Times New Roman"/>
                <w:sz w:val="20"/>
                <w:szCs w:val="20"/>
              </w:rPr>
            </w:pPr>
            <w:r w:rsidRPr="001973CA">
              <w:rPr>
                <w:rFonts w:ascii="Times New Roman" w:hAnsi="Times New Roman" w:cs="Times New Roman"/>
                <w:sz w:val="20"/>
                <w:szCs w:val="20"/>
              </w:rPr>
              <w:t>50</w:t>
            </w:r>
          </w:p>
        </w:tc>
        <w:tc>
          <w:tcPr>
            <w:tcW w:w="725" w:type="dxa"/>
            <w:tcBorders>
              <w:top w:val="nil"/>
              <w:bottom w:val="nil"/>
            </w:tcBorders>
          </w:tcPr>
          <w:p w14:paraId="13226889" w14:textId="77777777"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0.652</w:t>
            </w:r>
          </w:p>
        </w:tc>
        <w:tc>
          <w:tcPr>
            <w:tcW w:w="718" w:type="dxa"/>
            <w:tcBorders>
              <w:top w:val="nil"/>
              <w:bottom w:val="nil"/>
            </w:tcBorders>
          </w:tcPr>
          <w:p w14:paraId="2A110412" w14:textId="77777777"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0.579</w:t>
            </w:r>
          </w:p>
        </w:tc>
        <w:tc>
          <w:tcPr>
            <w:tcW w:w="718" w:type="dxa"/>
            <w:tcBorders>
              <w:top w:val="nil"/>
              <w:bottom w:val="nil"/>
            </w:tcBorders>
          </w:tcPr>
          <w:p w14:paraId="69D5F822" w14:textId="77777777"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0.559</w:t>
            </w:r>
          </w:p>
        </w:tc>
        <w:tc>
          <w:tcPr>
            <w:tcW w:w="718" w:type="dxa"/>
            <w:tcBorders>
              <w:top w:val="nil"/>
              <w:bottom w:val="nil"/>
            </w:tcBorders>
          </w:tcPr>
          <w:p w14:paraId="509D2923" w14:textId="77777777"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0.366</w:t>
            </w:r>
          </w:p>
        </w:tc>
        <w:tc>
          <w:tcPr>
            <w:tcW w:w="766" w:type="dxa"/>
            <w:tcBorders>
              <w:top w:val="nil"/>
              <w:bottom w:val="nil"/>
            </w:tcBorders>
          </w:tcPr>
          <w:p w14:paraId="383FF610" w14:textId="77777777"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0.0032</w:t>
            </w:r>
          </w:p>
        </w:tc>
        <w:tc>
          <w:tcPr>
            <w:tcW w:w="766" w:type="dxa"/>
            <w:tcBorders>
              <w:top w:val="nil"/>
              <w:bottom w:val="nil"/>
            </w:tcBorders>
          </w:tcPr>
          <w:p w14:paraId="08CF8F32" w14:textId="77777777"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0.0065</w:t>
            </w:r>
          </w:p>
        </w:tc>
        <w:tc>
          <w:tcPr>
            <w:tcW w:w="766" w:type="dxa"/>
            <w:tcBorders>
              <w:top w:val="nil"/>
              <w:bottom w:val="nil"/>
            </w:tcBorders>
          </w:tcPr>
          <w:p w14:paraId="1DB51A4D" w14:textId="77777777"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0.0117</w:t>
            </w:r>
          </w:p>
        </w:tc>
        <w:tc>
          <w:tcPr>
            <w:tcW w:w="766" w:type="dxa"/>
            <w:tcBorders>
              <w:top w:val="nil"/>
              <w:bottom w:val="nil"/>
            </w:tcBorders>
          </w:tcPr>
          <w:p w14:paraId="47BECB19" w14:textId="77777777"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0.0238</w:t>
            </w:r>
          </w:p>
        </w:tc>
        <w:tc>
          <w:tcPr>
            <w:tcW w:w="701" w:type="dxa"/>
            <w:tcBorders>
              <w:top w:val="nil"/>
              <w:bottom w:val="nil"/>
            </w:tcBorders>
          </w:tcPr>
          <w:p w14:paraId="7D8250B9" w14:textId="77777777"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65.2</w:t>
            </w:r>
          </w:p>
        </w:tc>
        <w:tc>
          <w:tcPr>
            <w:tcW w:w="661" w:type="dxa"/>
            <w:tcBorders>
              <w:top w:val="nil"/>
              <w:bottom w:val="nil"/>
            </w:tcBorders>
          </w:tcPr>
          <w:p w14:paraId="0B5FD6D3" w14:textId="77777777"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57.9</w:t>
            </w:r>
          </w:p>
        </w:tc>
        <w:tc>
          <w:tcPr>
            <w:tcW w:w="661" w:type="dxa"/>
            <w:tcBorders>
              <w:top w:val="nil"/>
              <w:bottom w:val="nil"/>
            </w:tcBorders>
          </w:tcPr>
          <w:p w14:paraId="76C11BD0" w14:textId="77777777"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55.9</w:t>
            </w:r>
          </w:p>
        </w:tc>
        <w:tc>
          <w:tcPr>
            <w:tcW w:w="661" w:type="dxa"/>
            <w:tcBorders>
              <w:top w:val="nil"/>
              <w:bottom w:val="nil"/>
            </w:tcBorders>
          </w:tcPr>
          <w:p w14:paraId="6954FF7C" w14:textId="77777777"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36.6</w:t>
            </w:r>
          </w:p>
        </w:tc>
      </w:tr>
      <w:tr w:rsidR="001973CA" w:rsidRPr="002A5B43" w14:paraId="55F96967" w14:textId="77777777" w:rsidTr="001973CA">
        <w:trPr>
          <w:jc w:val="center"/>
        </w:trPr>
        <w:tc>
          <w:tcPr>
            <w:cnfStyle w:val="001000000000" w:firstRow="0" w:lastRow="0" w:firstColumn="1" w:lastColumn="0" w:oddVBand="0" w:evenVBand="0" w:oddHBand="0" w:evenHBand="0" w:firstRowFirstColumn="0" w:firstRowLastColumn="0" w:lastRowFirstColumn="0" w:lastRowLastColumn="0"/>
            <w:tcW w:w="733" w:type="dxa"/>
            <w:tcBorders>
              <w:top w:val="nil"/>
              <w:bottom w:val="nil"/>
            </w:tcBorders>
          </w:tcPr>
          <w:p w14:paraId="5645F39E" w14:textId="77777777" w:rsidR="001973CA" w:rsidRPr="001973CA" w:rsidRDefault="001973CA" w:rsidP="001973CA">
            <w:pPr>
              <w:spacing w:line="360" w:lineRule="auto"/>
              <w:jc w:val="both"/>
              <w:rPr>
                <w:rFonts w:ascii="Times New Roman" w:hAnsi="Times New Roman" w:cs="Times New Roman"/>
                <w:sz w:val="20"/>
                <w:szCs w:val="20"/>
              </w:rPr>
            </w:pPr>
            <w:r w:rsidRPr="001973CA">
              <w:rPr>
                <w:rFonts w:ascii="Times New Roman" w:hAnsi="Times New Roman" w:cs="Times New Roman"/>
                <w:sz w:val="20"/>
                <w:szCs w:val="20"/>
              </w:rPr>
              <w:t>100</w:t>
            </w:r>
          </w:p>
        </w:tc>
        <w:tc>
          <w:tcPr>
            <w:tcW w:w="725" w:type="dxa"/>
            <w:tcBorders>
              <w:top w:val="nil"/>
              <w:bottom w:val="nil"/>
            </w:tcBorders>
          </w:tcPr>
          <w:p w14:paraId="549FD222" w14:textId="77777777" w:rsidR="001973CA" w:rsidRPr="001973CA" w:rsidRDefault="001973CA" w:rsidP="001973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0.652</w:t>
            </w:r>
          </w:p>
        </w:tc>
        <w:tc>
          <w:tcPr>
            <w:tcW w:w="718" w:type="dxa"/>
            <w:tcBorders>
              <w:top w:val="nil"/>
              <w:bottom w:val="nil"/>
            </w:tcBorders>
          </w:tcPr>
          <w:p w14:paraId="124D451C" w14:textId="77777777" w:rsidR="001973CA" w:rsidRPr="001973CA" w:rsidRDefault="001973CA" w:rsidP="001973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0.632</w:t>
            </w:r>
          </w:p>
        </w:tc>
        <w:tc>
          <w:tcPr>
            <w:tcW w:w="718" w:type="dxa"/>
            <w:tcBorders>
              <w:top w:val="nil"/>
              <w:bottom w:val="nil"/>
            </w:tcBorders>
          </w:tcPr>
          <w:p w14:paraId="39610615" w14:textId="77777777" w:rsidR="001973CA" w:rsidRPr="001973CA" w:rsidRDefault="001973CA" w:rsidP="001973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0.576</w:t>
            </w:r>
          </w:p>
        </w:tc>
        <w:tc>
          <w:tcPr>
            <w:tcW w:w="718" w:type="dxa"/>
            <w:tcBorders>
              <w:top w:val="nil"/>
              <w:bottom w:val="nil"/>
            </w:tcBorders>
          </w:tcPr>
          <w:p w14:paraId="5A333556" w14:textId="77777777" w:rsidR="001973CA" w:rsidRPr="001973CA" w:rsidRDefault="001973CA" w:rsidP="001973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0.409</w:t>
            </w:r>
          </w:p>
        </w:tc>
        <w:tc>
          <w:tcPr>
            <w:tcW w:w="766" w:type="dxa"/>
            <w:tcBorders>
              <w:top w:val="nil"/>
              <w:bottom w:val="nil"/>
            </w:tcBorders>
          </w:tcPr>
          <w:p w14:paraId="7991F8AF" w14:textId="77777777"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0.0032</w:t>
            </w:r>
          </w:p>
        </w:tc>
        <w:tc>
          <w:tcPr>
            <w:tcW w:w="766" w:type="dxa"/>
            <w:tcBorders>
              <w:top w:val="nil"/>
              <w:bottom w:val="nil"/>
            </w:tcBorders>
          </w:tcPr>
          <w:p w14:paraId="6FFE469C" w14:textId="77777777"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0.0057</w:t>
            </w:r>
          </w:p>
        </w:tc>
        <w:tc>
          <w:tcPr>
            <w:tcW w:w="766" w:type="dxa"/>
            <w:tcBorders>
              <w:top w:val="nil"/>
              <w:bottom w:val="nil"/>
            </w:tcBorders>
          </w:tcPr>
          <w:p w14:paraId="08E7C463" w14:textId="77777777"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0.0101</w:t>
            </w:r>
          </w:p>
        </w:tc>
        <w:tc>
          <w:tcPr>
            <w:tcW w:w="766" w:type="dxa"/>
            <w:tcBorders>
              <w:top w:val="nil"/>
              <w:bottom w:val="nil"/>
            </w:tcBorders>
          </w:tcPr>
          <w:p w14:paraId="3E65CB3A" w14:textId="77777777"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0.0222</w:t>
            </w:r>
          </w:p>
        </w:tc>
        <w:tc>
          <w:tcPr>
            <w:tcW w:w="701" w:type="dxa"/>
            <w:tcBorders>
              <w:top w:val="nil"/>
              <w:bottom w:val="nil"/>
            </w:tcBorders>
          </w:tcPr>
          <w:p w14:paraId="623251ED" w14:textId="77777777" w:rsidR="001973CA" w:rsidRPr="001973CA" w:rsidRDefault="001973CA" w:rsidP="00197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65.2</w:t>
            </w:r>
          </w:p>
        </w:tc>
        <w:tc>
          <w:tcPr>
            <w:tcW w:w="661" w:type="dxa"/>
            <w:tcBorders>
              <w:top w:val="nil"/>
              <w:bottom w:val="nil"/>
            </w:tcBorders>
          </w:tcPr>
          <w:p w14:paraId="3F7DD37B" w14:textId="77777777" w:rsidR="001973CA" w:rsidRPr="001973CA" w:rsidRDefault="001973CA" w:rsidP="00197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63.2</w:t>
            </w:r>
          </w:p>
        </w:tc>
        <w:tc>
          <w:tcPr>
            <w:tcW w:w="661" w:type="dxa"/>
            <w:tcBorders>
              <w:top w:val="nil"/>
              <w:bottom w:val="nil"/>
            </w:tcBorders>
          </w:tcPr>
          <w:p w14:paraId="5926DC1D" w14:textId="77777777" w:rsidR="001973CA" w:rsidRPr="001973CA" w:rsidRDefault="001973CA" w:rsidP="00197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57.6</w:t>
            </w:r>
          </w:p>
        </w:tc>
        <w:tc>
          <w:tcPr>
            <w:tcW w:w="661" w:type="dxa"/>
            <w:tcBorders>
              <w:top w:val="nil"/>
              <w:bottom w:val="nil"/>
            </w:tcBorders>
          </w:tcPr>
          <w:p w14:paraId="42D73AD9" w14:textId="77777777" w:rsidR="001973CA" w:rsidRPr="001973CA" w:rsidRDefault="001973CA" w:rsidP="00197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40.9</w:t>
            </w:r>
          </w:p>
        </w:tc>
      </w:tr>
      <w:tr w:rsidR="001973CA" w:rsidRPr="002A5B43" w14:paraId="3E61B568" w14:textId="77777777" w:rsidTr="001973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Borders>
              <w:top w:val="nil"/>
              <w:bottom w:val="nil"/>
            </w:tcBorders>
          </w:tcPr>
          <w:p w14:paraId="5C4D74B3" w14:textId="77777777" w:rsidR="001973CA" w:rsidRPr="001973CA" w:rsidRDefault="001973CA" w:rsidP="001973CA">
            <w:pPr>
              <w:spacing w:line="360" w:lineRule="auto"/>
              <w:jc w:val="both"/>
              <w:rPr>
                <w:rFonts w:ascii="Times New Roman" w:hAnsi="Times New Roman" w:cs="Times New Roman"/>
                <w:sz w:val="20"/>
                <w:szCs w:val="20"/>
              </w:rPr>
            </w:pPr>
            <w:r w:rsidRPr="001973CA">
              <w:rPr>
                <w:rFonts w:ascii="Times New Roman" w:hAnsi="Times New Roman" w:cs="Times New Roman"/>
                <w:sz w:val="20"/>
                <w:szCs w:val="20"/>
              </w:rPr>
              <w:t>150</w:t>
            </w:r>
          </w:p>
        </w:tc>
        <w:tc>
          <w:tcPr>
            <w:tcW w:w="725" w:type="dxa"/>
            <w:tcBorders>
              <w:top w:val="nil"/>
              <w:bottom w:val="nil"/>
            </w:tcBorders>
          </w:tcPr>
          <w:p w14:paraId="2282E087" w14:textId="77777777"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0.739</w:t>
            </w:r>
          </w:p>
        </w:tc>
        <w:tc>
          <w:tcPr>
            <w:tcW w:w="718" w:type="dxa"/>
            <w:tcBorders>
              <w:top w:val="nil"/>
              <w:bottom w:val="nil"/>
            </w:tcBorders>
          </w:tcPr>
          <w:p w14:paraId="11EC6B4B" w14:textId="77777777"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0.684</w:t>
            </w:r>
          </w:p>
        </w:tc>
        <w:tc>
          <w:tcPr>
            <w:tcW w:w="718" w:type="dxa"/>
            <w:tcBorders>
              <w:top w:val="nil"/>
              <w:bottom w:val="nil"/>
            </w:tcBorders>
          </w:tcPr>
          <w:p w14:paraId="35DCE454" w14:textId="77777777"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0.610</w:t>
            </w:r>
          </w:p>
        </w:tc>
        <w:tc>
          <w:tcPr>
            <w:tcW w:w="718" w:type="dxa"/>
            <w:tcBorders>
              <w:top w:val="nil"/>
              <w:bottom w:val="nil"/>
            </w:tcBorders>
          </w:tcPr>
          <w:p w14:paraId="76303A50" w14:textId="77777777"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0.430</w:t>
            </w:r>
          </w:p>
        </w:tc>
        <w:tc>
          <w:tcPr>
            <w:tcW w:w="766" w:type="dxa"/>
            <w:tcBorders>
              <w:top w:val="nil"/>
              <w:bottom w:val="nil"/>
            </w:tcBorders>
          </w:tcPr>
          <w:p w14:paraId="3339FA10" w14:textId="77777777"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0.0024</w:t>
            </w:r>
          </w:p>
        </w:tc>
        <w:tc>
          <w:tcPr>
            <w:tcW w:w="766" w:type="dxa"/>
            <w:tcBorders>
              <w:top w:val="nil"/>
              <w:bottom w:val="nil"/>
            </w:tcBorders>
          </w:tcPr>
          <w:p w14:paraId="523AF9F9" w14:textId="77777777"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0.0048</w:t>
            </w:r>
          </w:p>
        </w:tc>
        <w:tc>
          <w:tcPr>
            <w:tcW w:w="766" w:type="dxa"/>
            <w:tcBorders>
              <w:top w:val="nil"/>
              <w:bottom w:val="nil"/>
            </w:tcBorders>
          </w:tcPr>
          <w:p w14:paraId="3B94AE35" w14:textId="77777777"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0.0093</w:t>
            </w:r>
          </w:p>
        </w:tc>
        <w:tc>
          <w:tcPr>
            <w:tcW w:w="766" w:type="dxa"/>
            <w:tcBorders>
              <w:top w:val="nil"/>
              <w:bottom w:val="nil"/>
            </w:tcBorders>
          </w:tcPr>
          <w:p w14:paraId="51EBFE8B" w14:textId="77777777"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0.0214</w:t>
            </w:r>
          </w:p>
        </w:tc>
        <w:tc>
          <w:tcPr>
            <w:tcW w:w="701" w:type="dxa"/>
            <w:tcBorders>
              <w:top w:val="nil"/>
              <w:bottom w:val="nil"/>
            </w:tcBorders>
          </w:tcPr>
          <w:p w14:paraId="65910BC9" w14:textId="77777777"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73.9</w:t>
            </w:r>
          </w:p>
        </w:tc>
        <w:tc>
          <w:tcPr>
            <w:tcW w:w="661" w:type="dxa"/>
            <w:tcBorders>
              <w:top w:val="nil"/>
              <w:bottom w:val="nil"/>
            </w:tcBorders>
          </w:tcPr>
          <w:p w14:paraId="087E1070" w14:textId="77777777"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68.4</w:t>
            </w:r>
          </w:p>
        </w:tc>
        <w:tc>
          <w:tcPr>
            <w:tcW w:w="661" w:type="dxa"/>
            <w:tcBorders>
              <w:top w:val="nil"/>
              <w:bottom w:val="nil"/>
            </w:tcBorders>
          </w:tcPr>
          <w:p w14:paraId="67495A2C" w14:textId="77777777"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61.0</w:t>
            </w:r>
          </w:p>
        </w:tc>
        <w:tc>
          <w:tcPr>
            <w:tcW w:w="661" w:type="dxa"/>
            <w:tcBorders>
              <w:top w:val="nil"/>
              <w:bottom w:val="nil"/>
            </w:tcBorders>
          </w:tcPr>
          <w:p w14:paraId="041540C0" w14:textId="77777777"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43.0</w:t>
            </w:r>
          </w:p>
        </w:tc>
      </w:tr>
      <w:tr w:rsidR="001973CA" w:rsidRPr="002A5B43" w14:paraId="2658B877" w14:textId="77777777" w:rsidTr="001973CA">
        <w:trPr>
          <w:jc w:val="center"/>
        </w:trPr>
        <w:tc>
          <w:tcPr>
            <w:cnfStyle w:val="001000000000" w:firstRow="0" w:lastRow="0" w:firstColumn="1" w:lastColumn="0" w:oddVBand="0" w:evenVBand="0" w:oddHBand="0" w:evenHBand="0" w:firstRowFirstColumn="0" w:firstRowLastColumn="0" w:lastRowFirstColumn="0" w:lastRowLastColumn="0"/>
            <w:tcW w:w="733" w:type="dxa"/>
            <w:tcBorders>
              <w:top w:val="nil"/>
              <w:bottom w:val="nil"/>
            </w:tcBorders>
          </w:tcPr>
          <w:p w14:paraId="45791E56" w14:textId="77777777" w:rsidR="001973CA" w:rsidRPr="001973CA" w:rsidRDefault="001973CA" w:rsidP="001973CA">
            <w:pPr>
              <w:spacing w:line="360" w:lineRule="auto"/>
              <w:jc w:val="both"/>
              <w:rPr>
                <w:rFonts w:ascii="Times New Roman" w:hAnsi="Times New Roman" w:cs="Times New Roman"/>
                <w:sz w:val="20"/>
                <w:szCs w:val="20"/>
              </w:rPr>
            </w:pPr>
            <w:r w:rsidRPr="001973CA">
              <w:rPr>
                <w:rFonts w:ascii="Times New Roman" w:hAnsi="Times New Roman" w:cs="Times New Roman"/>
                <w:sz w:val="20"/>
                <w:szCs w:val="20"/>
              </w:rPr>
              <w:t>200</w:t>
            </w:r>
          </w:p>
        </w:tc>
        <w:tc>
          <w:tcPr>
            <w:tcW w:w="725" w:type="dxa"/>
            <w:tcBorders>
              <w:top w:val="nil"/>
              <w:bottom w:val="nil"/>
            </w:tcBorders>
          </w:tcPr>
          <w:p w14:paraId="528DB4FD" w14:textId="77777777" w:rsidR="001973CA" w:rsidRPr="001973CA" w:rsidRDefault="001973CA" w:rsidP="001973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0.870</w:t>
            </w:r>
          </w:p>
        </w:tc>
        <w:tc>
          <w:tcPr>
            <w:tcW w:w="718" w:type="dxa"/>
            <w:tcBorders>
              <w:top w:val="nil"/>
              <w:bottom w:val="nil"/>
            </w:tcBorders>
          </w:tcPr>
          <w:p w14:paraId="21652F65" w14:textId="77777777" w:rsidR="001973CA" w:rsidRPr="001973CA" w:rsidRDefault="001973CA" w:rsidP="001973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0.737</w:t>
            </w:r>
          </w:p>
        </w:tc>
        <w:tc>
          <w:tcPr>
            <w:tcW w:w="718" w:type="dxa"/>
            <w:tcBorders>
              <w:top w:val="nil"/>
              <w:bottom w:val="nil"/>
            </w:tcBorders>
          </w:tcPr>
          <w:p w14:paraId="41D7F53B" w14:textId="77777777" w:rsidR="001973CA" w:rsidRPr="001973CA" w:rsidRDefault="001973CA" w:rsidP="001973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0.644</w:t>
            </w:r>
          </w:p>
        </w:tc>
        <w:tc>
          <w:tcPr>
            <w:tcW w:w="718" w:type="dxa"/>
            <w:tcBorders>
              <w:top w:val="nil"/>
              <w:bottom w:val="nil"/>
            </w:tcBorders>
          </w:tcPr>
          <w:p w14:paraId="14E7B379" w14:textId="77777777" w:rsidR="001973CA" w:rsidRPr="001973CA" w:rsidRDefault="001973CA" w:rsidP="001973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0.452</w:t>
            </w:r>
          </w:p>
        </w:tc>
        <w:tc>
          <w:tcPr>
            <w:tcW w:w="766" w:type="dxa"/>
            <w:tcBorders>
              <w:top w:val="nil"/>
              <w:bottom w:val="nil"/>
            </w:tcBorders>
          </w:tcPr>
          <w:p w14:paraId="17DCF709" w14:textId="77777777"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0.0012</w:t>
            </w:r>
          </w:p>
        </w:tc>
        <w:tc>
          <w:tcPr>
            <w:tcW w:w="766" w:type="dxa"/>
            <w:tcBorders>
              <w:top w:val="nil"/>
              <w:bottom w:val="nil"/>
            </w:tcBorders>
          </w:tcPr>
          <w:p w14:paraId="12FDD217" w14:textId="77777777"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0.0040</w:t>
            </w:r>
          </w:p>
        </w:tc>
        <w:tc>
          <w:tcPr>
            <w:tcW w:w="766" w:type="dxa"/>
            <w:tcBorders>
              <w:top w:val="nil"/>
              <w:bottom w:val="nil"/>
            </w:tcBorders>
          </w:tcPr>
          <w:p w14:paraId="2E716A37" w14:textId="77777777"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0.0085</w:t>
            </w:r>
          </w:p>
        </w:tc>
        <w:tc>
          <w:tcPr>
            <w:tcW w:w="766" w:type="dxa"/>
            <w:tcBorders>
              <w:top w:val="nil"/>
              <w:bottom w:val="nil"/>
            </w:tcBorders>
          </w:tcPr>
          <w:p w14:paraId="500479C0" w14:textId="77777777" w:rsidR="001973CA" w:rsidRPr="001973CA" w:rsidRDefault="001973CA" w:rsidP="001973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0.0206</w:t>
            </w:r>
          </w:p>
        </w:tc>
        <w:tc>
          <w:tcPr>
            <w:tcW w:w="701" w:type="dxa"/>
            <w:tcBorders>
              <w:top w:val="nil"/>
              <w:bottom w:val="nil"/>
            </w:tcBorders>
          </w:tcPr>
          <w:p w14:paraId="56BF9650" w14:textId="77777777" w:rsidR="001973CA" w:rsidRPr="001973CA" w:rsidRDefault="001973CA" w:rsidP="00197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87.0</w:t>
            </w:r>
          </w:p>
        </w:tc>
        <w:tc>
          <w:tcPr>
            <w:tcW w:w="661" w:type="dxa"/>
            <w:tcBorders>
              <w:top w:val="nil"/>
              <w:bottom w:val="nil"/>
            </w:tcBorders>
          </w:tcPr>
          <w:p w14:paraId="0EF6538E" w14:textId="77777777" w:rsidR="001973CA" w:rsidRPr="001973CA" w:rsidRDefault="001973CA" w:rsidP="00197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73.7</w:t>
            </w:r>
          </w:p>
        </w:tc>
        <w:tc>
          <w:tcPr>
            <w:tcW w:w="661" w:type="dxa"/>
            <w:tcBorders>
              <w:top w:val="nil"/>
              <w:bottom w:val="nil"/>
            </w:tcBorders>
          </w:tcPr>
          <w:p w14:paraId="1AF035EC" w14:textId="77777777" w:rsidR="001973CA" w:rsidRPr="001973CA" w:rsidRDefault="001973CA" w:rsidP="00197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64.4</w:t>
            </w:r>
          </w:p>
        </w:tc>
        <w:tc>
          <w:tcPr>
            <w:tcW w:w="661" w:type="dxa"/>
            <w:tcBorders>
              <w:top w:val="nil"/>
              <w:bottom w:val="nil"/>
            </w:tcBorders>
          </w:tcPr>
          <w:p w14:paraId="0C514F37" w14:textId="77777777" w:rsidR="001973CA" w:rsidRPr="001973CA" w:rsidRDefault="001973CA" w:rsidP="001973C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45.2</w:t>
            </w:r>
          </w:p>
        </w:tc>
      </w:tr>
      <w:tr w:rsidR="001973CA" w:rsidRPr="002A5B43" w14:paraId="731FF393" w14:textId="77777777" w:rsidTr="001973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Borders>
              <w:top w:val="nil"/>
            </w:tcBorders>
          </w:tcPr>
          <w:p w14:paraId="34A96BA6" w14:textId="77777777" w:rsidR="001973CA" w:rsidRPr="001973CA" w:rsidRDefault="001973CA" w:rsidP="001973CA">
            <w:pPr>
              <w:spacing w:line="360" w:lineRule="auto"/>
              <w:jc w:val="both"/>
              <w:rPr>
                <w:rFonts w:ascii="Times New Roman" w:hAnsi="Times New Roman" w:cs="Times New Roman"/>
                <w:sz w:val="20"/>
                <w:szCs w:val="20"/>
              </w:rPr>
            </w:pPr>
            <w:r w:rsidRPr="001973CA">
              <w:rPr>
                <w:rFonts w:ascii="Times New Roman" w:hAnsi="Times New Roman" w:cs="Times New Roman"/>
                <w:sz w:val="20"/>
                <w:szCs w:val="20"/>
              </w:rPr>
              <w:lastRenderedPageBreak/>
              <w:t>250</w:t>
            </w:r>
          </w:p>
        </w:tc>
        <w:tc>
          <w:tcPr>
            <w:tcW w:w="725" w:type="dxa"/>
            <w:tcBorders>
              <w:top w:val="nil"/>
            </w:tcBorders>
          </w:tcPr>
          <w:p w14:paraId="62937E8B" w14:textId="77777777"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0.957</w:t>
            </w:r>
          </w:p>
        </w:tc>
        <w:tc>
          <w:tcPr>
            <w:tcW w:w="718" w:type="dxa"/>
            <w:tcBorders>
              <w:top w:val="nil"/>
            </w:tcBorders>
          </w:tcPr>
          <w:p w14:paraId="4F6A8006" w14:textId="77777777"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0.763</w:t>
            </w:r>
          </w:p>
        </w:tc>
        <w:tc>
          <w:tcPr>
            <w:tcW w:w="718" w:type="dxa"/>
            <w:tcBorders>
              <w:top w:val="nil"/>
            </w:tcBorders>
          </w:tcPr>
          <w:p w14:paraId="43BE44BD" w14:textId="77777777"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0.695</w:t>
            </w:r>
          </w:p>
        </w:tc>
        <w:tc>
          <w:tcPr>
            <w:tcW w:w="718" w:type="dxa"/>
            <w:tcBorders>
              <w:top w:val="nil"/>
            </w:tcBorders>
          </w:tcPr>
          <w:p w14:paraId="755FE956" w14:textId="77777777" w:rsidR="001973CA" w:rsidRPr="001973CA" w:rsidRDefault="001973CA" w:rsidP="001973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0.527</w:t>
            </w:r>
          </w:p>
        </w:tc>
        <w:tc>
          <w:tcPr>
            <w:tcW w:w="766" w:type="dxa"/>
            <w:tcBorders>
              <w:top w:val="nil"/>
            </w:tcBorders>
          </w:tcPr>
          <w:p w14:paraId="7B8790E8" w14:textId="77777777"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0.0004</w:t>
            </w:r>
          </w:p>
        </w:tc>
        <w:tc>
          <w:tcPr>
            <w:tcW w:w="766" w:type="dxa"/>
            <w:tcBorders>
              <w:top w:val="nil"/>
            </w:tcBorders>
          </w:tcPr>
          <w:p w14:paraId="1ACF207A" w14:textId="77777777"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0.0036</w:t>
            </w:r>
          </w:p>
        </w:tc>
        <w:tc>
          <w:tcPr>
            <w:tcW w:w="766" w:type="dxa"/>
            <w:tcBorders>
              <w:top w:val="nil"/>
            </w:tcBorders>
          </w:tcPr>
          <w:p w14:paraId="171D961B" w14:textId="77777777"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0.0073</w:t>
            </w:r>
          </w:p>
        </w:tc>
        <w:tc>
          <w:tcPr>
            <w:tcW w:w="766" w:type="dxa"/>
            <w:tcBorders>
              <w:top w:val="nil"/>
            </w:tcBorders>
          </w:tcPr>
          <w:p w14:paraId="65143C9C" w14:textId="77777777" w:rsidR="001973CA" w:rsidRPr="001973CA" w:rsidRDefault="001973CA" w:rsidP="001973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0.0178</w:t>
            </w:r>
          </w:p>
        </w:tc>
        <w:tc>
          <w:tcPr>
            <w:tcW w:w="701" w:type="dxa"/>
            <w:tcBorders>
              <w:top w:val="nil"/>
            </w:tcBorders>
          </w:tcPr>
          <w:p w14:paraId="54660C5B" w14:textId="77777777"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95.7</w:t>
            </w:r>
          </w:p>
        </w:tc>
        <w:tc>
          <w:tcPr>
            <w:tcW w:w="661" w:type="dxa"/>
            <w:tcBorders>
              <w:top w:val="nil"/>
            </w:tcBorders>
          </w:tcPr>
          <w:p w14:paraId="69F4D72C" w14:textId="77777777"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76.3</w:t>
            </w:r>
          </w:p>
        </w:tc>
        <w:tc>
          <w:tcPr>
            <w:tcW w:w="661" w:type="dxa"/>
            <w:tcBorders>
              <w:top w:val="nil"/>
            </w:tcBorders>
          </w:tcPr>
          <w:p w14:paraId="70EFA433" w14:textId="77777777"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69.5</w:t>
            </w:r>
          </w:p>
        </w:tc>
        <w:tc>
          <w:tcPr>
            <w:tcW w:w="661" w:type="dxa"/>
            <w:tcBorders>
              <w:top w:val="nil"/>
            </w:tcBorders>
          </w:tcPr>
          <w:p w14:paraId="347B23FA" w14:textId="77777777" w:rsidR="001973CA" w:rsidRPr="001973CA" w:rsidRDefault="001973CA" w:rsidP="001973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73CA">
              <w:rPr>
                <w:rFonts w:ascii="Times New Roman" w:hAnsi="Times New Roman" w:cs="Times New Roman"/>
                <w:sz w:val="20"/>
                <w:szCs w:val="20"/>
              </w:rPr>
              <w:t>52.7</w:t>
            </w:r>
          </w:p>
        </w:tc>
      </w:tr>
    </w:tbl>
    <w:p w14:paraId="2BD052BA" w14:textId="77777777" w:rsidR="00501860" w:rsidRPr="0050249B" w:rsidRDefault="00501860" w:rsidP="0050249B">
      <w:pPr>
        <w:spacing w:before="100" w:beforeAutospacing="1" w:after="100" w:afterAutospacing="1" w:line="360" w:lineRule="auto"/>
        <w:jc w:val="both"/>
        <w:rPr>
          <w:rFonts w:ascii="Times New Roman" w:eastAsia="Times New Roman" w:hAnsi="Times New Roman" w:cs="Times New Roman"/>
          <w:sz w:val="24"/>
          <w:szCs w:val="24"/>
        </w:rPr>
      </w:pPr>
      <w:r w:rsidRPr="0050249B">
        <w:rPr>
          <w:rFonts w:ascii="Times New Roman" w:eastAsia="Times New Roman" w:hAnsi="Times New Roman" w:cs="Times New Roman"/>
          <w:sz w:val="24"/>
          <w:szCs w:val="24"/>
        </w:rPr>
        <w:t xml:space="preserve">The data clearly show that </w:t>
      </w:r>
      <w:r w:rsidRPr="0050249B">
        <w:rPr>
          <w:rFonts w:ascii="Times New Roman" w:eastAsia="Times New Roman" w:hAnsi="Times New Roman" w:cs="Times New Roman"/>
          <w:bCs/>
          <w:sz w:val="24"/>
          <w:szCs w:val="24"/>
        </w:rPr>
        <w:t>inhibition efficiency</w:t>
      </w:r>
      <w:r w:rsidRPr="0050249B">
        <w:rPr>
          <w:rFonts w:ascii="Times New Roman" w:eastAsia="Times New Roman" w:hAnsi="Times New Roman" w:cs="Times New Roman"/>
          <w:sz w:val="24"/>
          <w:szCs w:val="24"/>
        </w:rPr>
        <w:t xml:space="preserve"> increases as the concentration of the inhibitor rises. This observation implies that, at higher concentrations, more inhibitor molecules are able to adsorb onto the surface of </w:t>
      </w:r>
      <w:r w:rsidRPr="0050249B">
        <w:rPr>
          <w:rFonts w:ascii="Times New Roman" w:eastAsia="Times New Roman" w:hAnsi="Times New Roman" w:cs="Times New Roman"/>
          <w:bCs/>
          <w:sz w:val="24"/>
          <w:szCs w:val="24"/>
        </w:rPr>
        <w:t>mild steel</w:t>
      </w:r>
      <w:r w:rsidRPr="0050249B">
        <w:rPr>
          <w:rFonts w:ascii="Times New Roman" w:eastAsia="Times New Roman" w:hAnsi="Times New Roman" w:cs="Times New Roman"/>
          <w:sz w:val="24"/>
          <w:szCs w:val="24"/>
        </w:rPr>
        <w:t>, effectively enhancing the coverage of the surface and blocking the active corrosion sites. Consequently, this results in a significant reduction in the metal's dissolution rate in the aggressive medium.</w:t>
      </w:r>
    </w:p>
    <w:p w14:paraId="72027B04" w14:textId="77777777" w:rsidR="00501860" w:rsidRPr="0050249B" w:rsidRDefault="00501860" w:rsidP="0050249B">
      <w:pPr>
        <w:spacing w:before="100" w:beforeAutospacing="1" w:after="100" w:afterAutospacing="1" w:line="360" w:lineRule="auto"/>
        <w:jc w:val="both"/>
        <w:rPr>
          <w:rFonts w:ascii="Times New Roman" w:eastAsia="Times New Roman" w:hAnsi="Times New Roman" w:cs="Times New Roman"/>
          <w:sz w:val="24"/>
          <w:szCs w:val="24"/>
        </w:rPr>
      </w:pPr>
      <w:r w:rsidRPr="0050249B">
        <w:rPr>
          <w:rFonts w:ascii="Times New Roman" w:eastAsia="Times New Roman" w:hAnsi="Times New Roman" w:cs="Times New Roman"/>
          <w:sz w:val="24"/>
          <w:szCs w:val="24"/>
        </w:rPr>
        <w:t xml:space="preserve">This trend aligns with the </w:t>
      </w:r>
      <w:r w:rsidRPr="0050249B">
        <w:rPr>
          <w:rFonts w:ascii="Times New Roman" w:eastAsia="Times New Roman" w:hAnsi="Times New Roman" w:cs="Times New Roman"/>
          <w:bCs/>
          <w:sz w:val="24"/>
          <w:szCs w:val="24"/>
        </w:rPr>
        <w:t>adsorption-controlled corrosion inhibition mechanisms</w:t>
      </w:r>
      <w:r w:rsidRPr="0050249B">
        <w:rPr>
          <w:rFonts w:ascii="Times New Roman" w:eastAsia="Times New Roman" w:hAnsi="Times New Roman" w:cs="Times New Roman"/>
          <w:sz w:val="24"/>
          <w:szCs w:val="24"/>
        </w:rPr>
        <w:t xml:space="preserve"> that have been wide</w:t>
      </w:r>
      <w:r w:rsidR="00070205">
        <w:rPr>
          <w:rFonts w:ascii="Times New Roman" w:eastAsia="Times New Roman" w:hAnsi="Times New Roman" w:cs="Times New Roman"/>
          <w:sz w:val="24"/>
          <w:szCs w:val="24"/>
        </w:rPr>
        <w:t>ly discussed in the literature [</w:t>
      </w:r>
      <w:r w:rsidR="00D83D84">
        <w:rPr>
          <w:rFonts w:ascii="Times New Roman" w:eastAsia="Times New Roman" w:hAnsi="Times New Roman" w:cs="Times New Roman"/>
          <w:sz w:val="24"/>
          <w:szCs w:val="24"/>
        </w:rPr>
        <w:t>11]</w:t>
      </w:r>
      <w:r w:rsidR="00070205">
        <w:rPr>
          <w:rFonts w:ascii="Times New Roman" w:eastAsia="Times New Roman" w:hAnsi="Times New Roman" w:cs="Times New Roman"/>
          <w:sz w:val="24"/>
          <w:szCs w:val="24"/>
        </w:rPr>
        <w:t>.</w:t>
      </w:r>
      <w:r w:rsidRPr="0050249B">
        <w:rPr>
          <w:rFonts w:ascii="Times New Roman" w:eastAsia="Times New Roman" w:hAnsi="Times New Roman" w:cs="Times New Roman"/>
          <w:sz w:val="24"/>
          <w:szCs w:val="24"/>
        </w:rPr>
        <w:t xml:space="preserve"> As the inhibitor concentration increases, more adsorption sites on the metal surface are occupied by the inhibitor molecules, leading to the formation of a protective film. The increase in inhibition efficiency thus correlates with a notable decrease in corrosion rate, which further supports the protective n</w:t>
      </w:r>
      <w:r w:rsidR="00070205">
        <w:rPr>
          <w:rFonts w:ascii="Times New Roman" w:eastAsia="Times New Roman" w:hAnsi="Times New Roman" w:cs="Times New Roman"/>
          <w:sz w:val="24"/>
          <w:szCs w:val="24"/>
        </w:rPr>
        <w:t xml:space="preserve">ature of the inhibitor [12; </w:t>
      </w:r>
      <w:r w:rsidR="00D83D84">
        <w:rPr>
          <w:rFonts w:ascii="Times New Roman" w:eastAsia="Times New Roman" w:hAnsi="Times New Roman" w:cs="Times New Roman"/>
          <w:sz w:val="24"/>
          <w:szCs w:val="24"/>
        </w:rPr>
        <w:t>13]</w:t>
      </w:r>
      <w:r w:rsidRPr="0050249B">
        <w:rPr>
          <w:rFonts w:ascii="Times New Roman" w:eastAsia="Times New Roman" w:hAnsi="Times New Roman" w:cs="Times New Roman"/>
          <w:sz w:val="24"/>
          <w:szCs w:val="24"/>
        </w:rPr>
        <w:t>.</w:t>
      </w:r>
    </w:p>
    <w:p w14:paraId="6436334D" w14:textId="77777777" w:rsidR="00501860" w:rsidRPr="0050249B" w:rsidRDefault="00501860" w:rsidP="0050249B">
      <w:pPr>
        <w:spacing w:before="100" w:beforeAutospacing="1" w:after="100" w:afterAutospacing="1" w:line="360" w:lineRule="auto"/>
        <w:jc w:val="both"/>
        <w:rPr>
          <w:rFonts w:ascii="Times New Roman" w:eastAsia="Times New Roman" w:hAnsi="Times New Roman" w:cs="Times New Roman"/>
          <w:sz w:val="24"/>
          <w:szCs w:val="24"/>
        </w:rPr>
      </w:pPr>
      <w:r w:rsidRPr="0050249B">
        <w:rPr>
          <w:rFonts w:ascii="Times New Roman" w:eastAsia="Times New Roman" w:hAnsi="Times New Roman" w:cs="Times New Roman"/>
          <w:sz w:val="24"/>
          <w:szCs w:val="24"/>
        </w:rPr>
        <w:t xml:space="preserve">At the optimum inhibitor concentration studied, the highest recorded inhibition efficiency was </w:t>
      </w:r>
      <w:r w:rsidRPr="0050249B">
        <w:rPr>
          <w:rFonts w:ascii="Times New Roman" w:eastAsia="Times New Roman" w:hAnsi="Times New Roman" w:cs="Times New Roman"/>
          <w:bCs/>
          <w:sz w:val="24"/>
          <w:szCs w:val="24"/>
        </w:rPr>
        <w:t>95.7%</w:t>
      </w:r>
      <w:r w:rsidRPr="0050249B">
        <w:rPr>
          <w:rFonts w:ascii="Times New Roman" w:eastAsia="Times New Roman" w:hAnsi="Times New Roman" w:cs="Times New Roman"/>
          <w:sz w:val="24"/>
          <w:szCs w:val="24"/>
        </w:rPr>
        <w:t>, indicating a strong corrosion protection effect. This high efficiency reflects the significant interaction between the inhibitor molecules and the steel surface, resulting in the formation of a dense, adherent protective film that effectively shields the metal from the corrosive medium.</w:t>
      </w:r>
    </w:p>
    <w:p w14:paraId="0E5AEBB7" w14:textId="77777777" w:rsidR="00501860" w:rsidRPr="0022292E" w:rsidRDefault="00501860" w:rsidP="00501860">
      <w:pPr>
        <w:pStyle w:val="Heading3"/>
        <w:spacing w:line="360" w:lineRule="auto"/>
        <w:jc w:val="both"/>
        <w:rPr>
          <w:b w:val="0"/>
          <w:sz w:val="24"/>
          <w:szCs w:val="24"/>
        </w:rPr>
      </w:pPr>
      <w:r w:rsidRPr="0022292E">
        <w:rPr>
          <w:sz w:val="24"/>
          <w:szCs w:val="24"/>
        </w:rPr>
        <w:t>Temperature Dependence and Thermodynamic Parameters</w:t>
      </w:r>
    </w:p>
    <w:p w14:paraId="51117DAF" w14:textId="77777777" w:rsidR="00501860" w:rsidRPr="004443AC" w:rsidRDefault="00501860" w:rsidP="00501860">
      <w:pPr>
        <w:pStyle w:val="NormalWeb"/>
        <w:spacing w:line="360" w:lineRule="auto"/>
        <w:jc w:val="both"/>
      </w:pPr>
      <w:r w:rsidRPr="004443AC">
        <w:t>The effect of temperature on the inhibition process revealed that an increase in temperature results in a decrease in inhibition efficiency. This inverse relationship is typically attributed to several factors: (i) acceleration of the metal dissolution process due to increased kinetic energy of the reacting species, (ii) an increase in desorption rate of inhibitor molecules from the metal surface, and (iii) the alteration of adsorption mechanisms due to unfavorable thermodynamic condi</w:t>
      </w:r>
      <w:r>
        <w:t xml:space="preserve">tions at higher temperatures </w:t>
      </w:r>
      <w:r w:rsidR="00555DA9">
        <w:t>[14</w:t>
      </w:r>
      <w:r w:rsidR="00070205">
        <w:t xml:space="preserve">; </w:t>
      </w:r>
      <w:r w:rsidR="00555DA9">
        <w:t>15]</w:t>
      </w:r>
      <w:r w:rsidRPr="004443AC">
        <w:t xml:space="preserve">. The reduced inhibition efficiency at elevated temperatures indicates that the adsorption of the inhibitor may involve predominantly </w:t>
      </w:r>
      <w:r w:rsidRPr="004443AC">
        <w:rPr>
          <w:rStyle w:val="Strong"/>
          <w:b w:val="0"/>
        </w:rPr>
        <w:t>physical adsorption</w:t>
      </w:r>
      <w:r w:rsidRPr="004443AC">
        <w:rPr>
          <w:b/>
        </w:rPr>
        <w:t>,</w:t>
      </w:r>
      <w:r w:rsidRPr="004443AC">
        <w:t xml:space="preserve"> which is less stable at higher temperatures compared to chemical adsorption</w:t>
      </w:r>
      <w:r>
        <w:t xml:space="preserve"> </w:t>
      </w:r>
      <w:r w:rsidR="00555DA9">
        <w:rPr>
          <w:rFonts w:eastAsia="TimesNewRoman"/>
        </w:rPr>
        <w:t>[16]</w:t>
      </w:r>
      <w:r w:rsidRPr="004443AC">
        <w:t>.</w:t>
      </w:r>
    </w:p>
    <w:p w14:paraId="270F70E0" w14:textId="77777777" w:rsidR="0022292E" w:rsidRPr="00122500" w:rsidRDefault="00501860" w:rsidP="00501860">
      <w:pPr>
        <w:pStyle w:val="NormalWeb"/>
        <w:spacing w:line="360" w:lineRule="auto"/>
        <w:jc w:val="both"/>
      </w:pPr>
      <w:r w:rsidRPr="004443AC">
        <w:t xml:space="preserve">Thermodynamic parameters such as </w:t>
      </w:r>
      <w:r w:rsidRPr="004443AC">
        <w:rPr>
          <w:rStyle w:val="Strong"/>
          <w:b w:val="0"/>
        </w:rPr>
        <w:t>activation energy (E</w:t>
      </w:r>
      <w:r w:rsidRPr="00F50B0D">
        <w:rPr>
          <w:rStyle w:val="Strong"/>
          <w:b w:val="0"/>
          <w:vertAlign w:val="subscript"/>
        </w:rPr>
        <w:t>a</w:t>
      </w:r>
      <w:r w:rsidRPr="004443AC">
        <w:rPr>
          <w:rStyle w:val="Strong"/>
          <w:b w:val="0"/>
        </w:rPr>
        <w:t>)</w:t>
      </w:r>
      <w:r w:rsidRPr="004443AC">
        <w:rPr>
          <w:b/>
        </w:rPr>
        <w:t xml:space="preserve">, </w:t>
      </w:r>
      <w:r w:rsidRPr="004443AC">
        <w:rPr>
          <w:rStyle w:val="Strong"/>
          <w:b w:val="0"/>
        </w:rPr>
        <w:t>adsorption free energy (ΔG°</w:t>
      </w:r>
      <w:r w:rsidRPr="00F50B0D">
        <w:rPr>
          <w:rStyle w:val="Strong"/>
          <w:b w:val="0"/>
          <w:vertAlign w:val="subscript"/>
        </w:rPr>
        <w:t>ads</w:t>
      </w:r>
      <w:r w:rsidRPr="004443AC">
        <w:rPr>
          <w:rStyle w:val="Strong"/>
        </w:rPr>
        <w:t>)</w:t>
      </w:r>
      <w:r w:rsidRPr="004443AC">
        <w:t xml:space="preserve">, </w:t>
      </w:r>
      <w:r w:rsidRPr="004443AC">
        <w:rPr>
          <w:rStyle w:val="Strong"/>
          <w:b w:val="0"/>
        </w:rPr>
        <w:t>enthalpy (ΔH°)</w:t>
      </w:r>
      <w:r w:rsidRPr="004443AC">
        <w:rPr>
          <w:b/>
        </w:rPr>
        <w:t>,</w:t>
      </w:r>
      <w:r w:rsidRPr="004443AC">
        <w:t xml:space="preserve"> and </w:t>
      </w:r>
      <w:r w:rsidRPr="004443AC">
        <w:rPr>
          <w:rStyle w:val="Strong"/>
          <w:b w:val="0"/>
        </w:rPr>
        <w:t>entropy (ΔS</w:t>
      </w:r>
      <w:r w:rsidRPr="004443AC">
        <w:rPr>
          <w:rStyle w:val="Strong"/>
        </w:rPr>
        <w:t>°)</w:t>
      </w:r>
      <w:r w:rsidRPr="004443AC">
        <w:t xml:space="preserve"> play a crucial role in understanding the interaction between the </w:t>
      </w:r>
      <w:r w:rsidRPr="004443AC">
        <w:lastRenderedPageBreak/>
        <w:t xml:space="preserve">inhibitor molecules and the metal surface. These parameters can be derived from the temperature dependence of the corrosion </w:t>
      </w:r>
      <w:r w:rsidR="00122500">
        <w:t>rate and inhibition efficiency.</w:t>
      </w:r>
    </w:p>
    <w:p w14:paraId="166A1419" w14:textId="77777777" w:rsidR="00501860" w:rsidRPr="00080407" w:rsidRDefault="00501860" w:rsidP="00501860">
      <w:pPr>
        <w:pStyle w:val="NormalWeb"/>
        <w:spacing w:line="360" w:lineRule="auto"/>
        <w:jc w:val="both"/>
        <w:rPr>
          <w:b/>
        </w:rPr>
      </w:pPr>
      <w:r w:rsidRPr="00080407">
        <w:rPr>
          <w:b/>
        </w:rPr>
        <w:t>Adsorption Isotherms</w:t>
      </w:r>
    </w:p>
    <w:p w14:paraId="7E91CAEF" w14:textId="77777777" w:rsidR="00501860" w:rsidRPr="004443AC" w:rsidRDefault="00501860" w:rsidP="00501860">
      <w:pPr>
        <w:pStyle w:val="NormalWeb"/>
        <w:spacing w:line="360" w:lineRule="auto"/>
        <w:jc w:val="both"/>
      </w:pPr>
      <w:r w:rsidRPr="004443AC">
        <w:t xml:space="preserve">Two widely used adsorption models, the </w:t>
      </w:r>
      <w:r w:rsidRPr="004443AC">
        <w:rPr>
          <w:rStyle w:val="Strong"/>
          <w:b w:val="0"/>
        </w:rPr>
        <w:t>Langmuir</w:t>
      </w:r>
      <w:r w:rsidRPr="004443AC">
        <w:t xml:space="preserve"> and</w:t>
      </w:r>
      <w:r w:rsidRPr="004443AC">
        <w:rPr>
          <w:b/>
        </w:rPr>
        <w:t xml:space="preserve"> </w:t>
      </w:r>
      <w:r w:rsidRPr="004443AC">
        <w:rPr>
          <w:rStyle w:val="Strong"/>
          <w:b w:val="0"/>
        </w:rPr>
        <w:t>Temkin</w:t>
      </w:r>
      <w:r w:rsidRPr="004443AC">
        <w:t xml:space="preserve"> isotherms, were applied to analyze the adsorption behavior of the </w:t>
      </w:r>
      <w:r>
        <w:t>LPV-RTV</w:t>
      </w:r>
      <w:r w:rsidRPr="004443AC">
        <w:t xml:space="preserve"> onto the steel surface. Result indicated that it obey Langmuir isotherm.</w:t>
      </w:r>
    </w:p>
    <w:p w14:paraId="3A233A72" w14:textId="77777777" w:rsidR="00501860" w:rsidRDefault="00501860" w:rsidP="0050186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Langmuir adsorption isotherm described by the following equation;</w:t>
      </w:r>
    </w:p>
    <w:p w14:paraId="7485F88F" w14:textId="77777777" w:rsidR="00501860" w:rsidRPr="004443AC" w:rsidRDefault="00501860" w:rsidP="00501860">
      <w:pPr>
        <w:spacing w:before="240" w:line="36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log</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C</m:t>
              </m:r>
            </m:num>
            <m:den>
              <m:r>
                <m:rPr>
                  <m:sty m:val="p"/>
                </m:rPr>
                <w:rPr>
                  <w:rFonts w:ascii="Cambria Math" w:eastAsiaTheme="minorEastAsia" w:hAnsi="Cambria Math" w:cs="Times New Roman"/>
                  <w:sz w:val="24"/>
                  <w:szCs w:val="24"/>
                </w:rPr>
                <m:t>θ</m:t>
              </m:r>
            </m:den>
          </m:f>
          <m:r>
            <m:rPr>
              <m:sty m:val="p"/>
            </m:rPr>
            <w:rPr>
              <w:rFonts w:ascii="Cambria Math" w:eastAsiaTheme="minorEastAsia" w:hAnsi="Cambria Math" w:cs="Times New Roman"/>
              <w:sz w:val="24"/>
              <w:szCs w:val="24"/>
            </w:rPr>
            <m:t>= -log</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m:t>
              </m:r>
            </m:e>
            <m:sub>
              <m:r>
                <m:rPr>
                  <m:sty m:val="p"/>
                </m:rPr>
                <w:rPr>
                  <w:rFonts w:ascii="Cambria Math" w:eastAsiaTheme="minorEastAsia" w:hAnsi="Cambria Math" w:cs="Times New Roman"/>
                  <w:sz w:val="24"/>
                  <w:szCs w:val="24"/>
                </w:rPr>
                <m:t xml:space="preserve">ads </m:t>
              </m:r>
            </m:sub>
          </m:sSub>
          <m:r>
            <m:rPr>
              <m:sty m:val="p"/>
            </m:rPr>
            <w:rPr>
              <w:rFonts w:ascii="Cambria Math" w:eastAsiaTheme="minorEastAsia" w:hAnsi="Cambria Math" w:cs="Times New Roman"/>
              <w:sz w:val="24"/>
              <w:szCs w:val="24"/>
            </w:rPr>
            <m:t>+</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log</m:t>
              </m:r>
            </m:fName>
            <m:e>
              <m:r>
                <m:rPr>
                  <m:sty m:val="p"/>
                </m:rPr>
                <w:rPr>
                  <w:rFonts w:ascii="Cambria Math" w:eastAsiaTheme="minorEastAsia" w:hAnsi="Cambria Math" w:cs="Times New Roman"/>
                  <w:sz w:val="24"/>
                  <w:szCs w:val="24"/>
                </w:rPr>
                <m:t>C</m:t>
              </m:r>
            </m:e>
          </m:func>
          <m:r>
            <m:rPr>
              <m:sty m:val="p"/>
            </m:rPr>
            <w:rPr>
              <w:rFonts w:ascii="Cambria Math" w:eastAsiaTheme="minorEastAsia" w:hAnsi="Cambria Math" w:cs="Times New Roman"/>
              <w:sz w:val="24"/>
              <w:szCs w:val="24"/>
            </w:rPr>
            <m:t xml:space="preserve">                                                                                                (6)</m:t>
          </m:r>
        </m:oMath>
      </m:oMathPara>
    </w:p>
    <w:p w14:paraId="529D7B49" w14:textId="77777777" w:rsidR="00501860" w:rsidRDefault="00501860" w:rsidP="00501860">
      <w:pPr>
        <w:spacing w:line="360" w:lineRule="auto"/>
        <w:jc w:val="both"/>
        <w:rPr>
          <w:rFonts w:ascii="Times New Roman" w:eastAsiaTheme="minorEastAsia" w:hAnsi="Times New Roman" w:cs="Times New Roman"/>
          <w:sz w:val="24"/>
          <w:szCs w:val="24"/>
        </w:rPr>
      </w:pPr>
      <w:r w:rsidRPr="004443AC">
        <w:rPr>
          <w:rFonts w:ascii="Times New Roman" w:eastAsiaTheme="minorEastAsia" w:hAnsi="Times New Roman" w:cs="Times New Roman"/>
          <w:sz w:val="24"/>
          <w:szCs w:val="24"/>
        </w:rPr>
        <w:t xml:space="preserve"> A plot of </w:t>
      </w:r>
      <m:oMath>
        <m:r>
          <m:rPr>
            <m:sty m:val="p"/>
          </m:rPr>
          <w:rPr>
            <w:rFonts w:ascii="Cambria Math" w:eastAsiaTheme="minorEastAsia" w:hAnsi="Cambria Math" w:cs="Times New Roman"/>
            <w:sz w:val="24"/>
            <w:szCs w:val="24"/>
          </w:rPr>
          <m:t>log</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C</m:t>
            </m:r>
          </m:num>
          <m:den>
            <m:r>
              <m:rPr>
                <m:sty m:val="p"/>
              </m:rPr>
              <w:rPr>
                <w:rFonts w:ascii="Cambria Math" w:eastAsiaTheme="minorEastAsia" w:hAnsi="Cambria Math" w:cs="Times New Roman"/>
                <w:sz w:val="24"/>
                <w:szCs w:val="24"/>
              </w:rPr>
              <m:t>θ</m:t>
            </m:r>
          </m:den>
        </m:f>
      </m:oMath>
      <w:r w:rsidRPr="004443AC">
        <w:rPr>
          <w:rFonts w:ascii="Times New Roman" w:eastAsiaTheme="minorEastAsia" w:hAnsi="Times New Roman" w:cs="Times New Roman"/>
          <w:sz w:val="24"/>
          <w:szCs w:val="24"/>
        </w:rPr>
        <w:t xml:space="preserve">  verse log C from equation 9, a straight line was obtain with an intercept equal </w:t>
      </w:r>
      <m:oMath>
        <m:r>
          <m:rPr>
            <m:sty m:val="p"/>
          </m:rPr>
          <w:rPr>
            <w:rFonts w:ascii="Cambria Math" w:eastAsiaTheme="minorEastAsia" w:hAnsi="Cambria Math" w:cs="Times New Roman"/>
            <w:sz w:val="24"/>
            <w:szCs w:val="24"/>
          </w:rPr>
          <m:t>-log</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K</m:t>
            </m:r>
          </m:e>
          <m:sub>
            <m:r>
              <m:rPr>
                <m:sty m:val="p"/>
              </m:rPr>
              <w:rPr>
                <w:rFonts w:ascii="Cambria Math" w:eastAsiaTheme="minorEastAsia" w:hAnsi="Cambria Math" w:cs="Times New Roman"/>
                <w:sz w:val="24"/>
                <w:szCs w:val="24"/>
              </w:rPr>
              <m:t xml:space="preserve">ads </m:t>
            </m:r>
          </m:sub>
        </m:sSub>
      </m:oMath>
      <w:r>
        <w:rPr>
          <w:rFonts w:ascii="Times New Roman" w:eastAsiaTheme="minorEastAsia" w:hAnsi="Times New Roman" w:cs="Times New Roman"/>
          <w:sz w:val="24"/>
          <w:szCs w:val="24"/>
        </w:rPr>
        <w:t>as shows in Fig 1</w:t>
      </w:r>
      <w:r w:rsidRPr="004443AC">
        <w:rPr>
          <w:rFonts w:ascii="Times New Roman" w:eastAsiaTheme="minorEastAsia" w:hAnsi="Times New Roman" w:cs="Times New Roman"/>
          <w:sz w:val="24"/>
          <w:szCs w:val="24"/>
        </w:rPr>
        <w:t>.</w:t>
      </w:r>
    </w:p>
    <w:p w14:paraId="7E8F8ABD" w14:textId="77777777" w:rsidR="00501860" w:rsidRDefault="00501860" w:rsidP="00501860">
      <w:pPr>
        <w:spacing w:line="360" w:lineRule="auto"/>
        <w:jc w:val="both"/>
        <w:rPr>
          <w:rFonts w:ascii="Times New Roman" w:eastAsiaTheme="minorEastAsia" w:hAnsi="Times New Roman" w:cs="Times New Roman"/>
          <w:sz w:val="24"/>
          <w:szCs w:val="24"/>
        </w:rPr>
      </w:pPr>
      <w:r w:rsidRPr="00A221DD">
        <w:rPr>
          <w:rFonts w:ascii="Times New Roman" w:hAnsi="Times New Roman" w:cs="Times New Roman"/>
          <w:noProof/>
          <w:sz w:val="24"/>
          <w:szCs w:val="24"/>
        </w:rPr>
        <w:drawing>
          <wp:inline distT="0" distB="0" distL="0" distR="0" wp14:anchorId="345911FE" wp14:editId="58140115">
            <wp:extent cx="4218317" cy="2320290"/>
            <wp:effectExtent l="0" t="0" r="0" b="3810"/>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63CA7217" w14:textId="77777777" w:rsidR="00BC1C11" w:rsidRPr="00080407" w:rsidRDefault="00BC1C11" w:rsidP="00BC1C11">
      <w:pPr>
        <w:pStyle w:val="Heading4"/>
        <w:spacing w:line="360" w:lineRule="auto"/>
        <w:jc w:val="both"/>
        <w:rPr>
          <w:rFonts w:ascii="Times New Roman" w:hAnsi="Times New Roman" w:cs="Times New Roman"/>
          <w:b/>
          <w:i w:val="0"/>
          <w:sz w:val="24"/>
          <w:szCs w:val="24"/>
        </w:rPr>
      </w:pPr>
      <w:r w:rsidRPr="00080407">
        <w:rPr>
          <w:rFonts w:ascii="Times New Roman" w:hAnsi="Times New Roman" w:cs="Times New Roman"/>
          <w:b/>
          <w:i w:val="0"/>
          <w:color w:val="auto"/>
          <w:sz w:val="24"/>
          <w:szCs w:val="24"/>
        </w:rPr>
        <w:t>Adsorption Free Energy (ΔG°</w:t>
      </w:r>
      <w:r w:rsidRPr="00080407">
        <w:rPr>
          <w:rFonts w:ascii="Times New Roman" w:hAnsi="Times New Roman" w:cs="Times New Roman"/>
          <w:b/>
          <w:i w:val="0"/>
          <w:color w:val="auto"/>
          <w:sz w:val="24"/>
          <w:szCs w:val="24"/>
          <w:vertAlign w:val="subscript"/>
        </w:rPr>
        <w:t>ads</w:t>
      </w:r>
      <w:r w:rsidRPr="00080407">
        <w:rPr>
          <w:rFonts w:ascii="Times New Roman" w:hAnsi="Times New Roman" w:cs="Times New Roman"/>
          <w:b/>
          <w:i w:val="0"/>
          <w:color w:val="auto"/>
          <w:sz w:val="24"/>
          <w:szCs w:val="24"/>
        </w:rPr>
        <w:t>)</w:t>
      </w:r>
    </w:p>
    <w:p w14:paraId="6887B8E4" w14:textId="77777777" w:rsidR="00BC1C11" w:rsidRPr="004443AC" w:rsidRDefault="00BC1C11" w:rsidP="00BC1C11">
      <w:pPr>
        <w:pStyle w:val="NormalWeb"/>
        <w:spacing w:line="360" w:lineRule="auto"/>
        <w:jc w:val="both"/>
      </w:pPr>
      <w:r w:rsidRPr="004443AC">
        <w:t xml:space="preserve">The </w:t>
      </w:r>
      <w:r w:rsidRPr="004443AC">
        <w:rPr>
          <w:rStyle w:val="Strong"/>
          <w:b w:val="0"/>
        </w:rPr>
        <w:t>adsorption free energy (ΔG°</w:t>
      </w:r>
      <w:r w:rsidRPr="004443AC">
        <w:rPr>
          <w:rStyle w:val="Strong"/>
          <w:b w:val="0"/>
          <w:vertAlign w:val="subscript"/>
        </w:rPr>
        <w:t>ads</w:t>
      </w:r>
      <w:r w:rsidRPr="004443AC">
        <w:rPr>
          <w:rStyle w:val="Strong"/>
          <w:b w:val="0"/>
        </w:rPr>
        <w:t>)</w:t>
      </w:r>
      <w:r w:rsidRPr="004443AC">
        <w:t xml:space="preserve"> is an important thermodynamic parameter that provides information about the spontaneity of the adsorption process and is related with equilibrium constant of adsorption K</w:t>
      </w:r>
      <w:r w:rsidRPr="004443AC">
        <w:rPr>
          <w:vertAlign w:val="subscript"/>
        </w:rPr>
        <w:t>ads</w:t>
      </w:r>
      <w:r w:rsidRPr="004443AC">
        <w:t xml:space="preserve"> in the following equation:</w:t>
      </w:r>
    </w:p>
    <w:p w14:paraId="39CCE92E" w14:textId="77777777" w:rsidR="00BC1C11" w:rsidRPr="004443AC" w:rsidRDefault="00BC1C11" w:rsidP="00BC1C11">
      <w:pPr>
        <w:spacing w:before="240" w:line="36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G</m:t>
              </m:r>
            </m:e>
            <m:sub>
              <m:r>
                <m:rPr>
                  <m:sty m:val="p"/>
                </m:rPr>
                <w:rPr>
                  <w:rFonts w:ascii="Cambria Math" w:eastAsiaTheme="minorEastAsia" w:hAnsi="Cambria Math" w:cs="Times New Roman"/>
                  <w:sz w:val="24"/>
                  <w:szCs w:val="24"/>
                </w:rPr>
                <m:t>ads</m:t>
              </m:r>
            </m:sub>
            <m:sup>
              <m:r>
                <m:rPr>
                  <m:sty m:val="p"/>
                </m:rPr>
                <w:rPr>
                  <w:rFonts w:ascii="Cambria Math" w:eastAsiaTheme="minorEastAsia" w:hAnsi="Cambria Math" w:cs="Times New Roman"/>
                  <w:sz w:val="24"/>
                  <w:szCs w:val="24"/>
                </w:rPr>
                <m:t>o</m:t>
              </m:r>
            </m:sup>
          </m:sSubSup>
          <m:r>
            <m:rPr>
              <m:sty m:val="p"/>
            </m:rPr>
            <w:rPr>
              <w:rFonts w:ascii="Cambria Math" w:eastAsiaTheme="minorEastAsia" w:hAnsi="Cambria Math" w:cs="Times New Roman"/>
              <w:sz w:val="24"/>
              <w:szCs w:val="24"/>
            </w:rPr>
            <m:t>= -2.303RTlog</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55.5</m:t>
              </m:r>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 xml:space="preserve">ads </m:t>
                  </m:r>
                </m:sub>
              </m:sSub>
              <m:ctrlPr>
                <w:rPr>
                  <w:rFonts w:ascii="Cambria Math" w:hAnsi="Cambria Math" w:cs="Times New Roman"/>
                  <w:sz w:val="24"/>
                  <w:szCs w:val="24"/>
                </w:rPr>
              </m:ctrlPr>
            </m:e>
          </m:d>
          <m:r>
            <m:rPr>
              <m:sty m:val="p"/>
            </m:rPr>
            <w:rPr>
              <w:rFonts w:ascii="Cambria Math" w:hAnsi="Cambria Math" w:cs="Times New Roman"/>
              <w:sz w:val="24"/>
              <w:szCs w:val="24"/>
            </w:rPr>
            <m:t xml:space="preserve">                                                                                               (7)</m:t>
          </m:r>
        </m:oMath>
      </m:oMathPara>
    </w:p>
    <w:p w14:paraId="051A6833" w14:textId="77777777" w:rsidR="00BC1C11" w:rsidRPr="004443AC" w:rsidRDefault="00BC1C11" w:rsidP="00BC1C11">
      <w:pPr>
        <w:spacing w:line="360" w:lineRule="auto"/>
        <w:jc w:val="both"/>
        <w:rPr>
          <w:rFonts w:ascii="Times New Roman" w:eastAsiaTheme="minorEastAsia" w:hAnsi="Times New Roman" w:cs="Times New Roman"/>
          <w:sz w:val="24"/>
          <w:szCs w:val="24"/>
        </w:rPr>
      </w:pPr>
      <w:r w:rsidRPr="004443AC">
        <w:rPr>
          <w:rFonts w:ascii="Times New Roman" w:eastAsiaTheme="minorEastAsia" w:hAnsi="Times New Roman" w:cs="Times New Roman"/>
          <w:sz w:val="24"/>
          <w:szCs w:val="24"/>
        </w:rPr>
        <w:lastRenderedPageBreak/>
        <w:t xml:space="preserve">Where </w:t>
      </w:r>
      <m:oMath>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G</m:t>
            </m:r>
          </m:e>
          <m:sub>
            <m:r>
              <m:rPr>
                <m:sty m:val="p"/>
              </m:rPr>
              <w:rPr>
                <w:rFonts w:ascii="Cambria Math" w:eastAsiaTheme="minorEastAsia" w:hAnsi="Cambria Math" w:cs="Times New Roman"/>
                <w:sz w:val="24"/>
                <w:szCs w:val="24"/>
              </w:rPr>
              <m:t>ads</m:t>
            </m:r>
          </m:sub>
          <m:sup>
            <m:r>
              <m:rPr>
                <m:sty m:val="p"/>
              </m:rPr>
              <w:rPr>
                <w:rFonts w:ascii="Cambria Math" w:eastAsiaTheme="minorEastAsia" w:hAnsi="Cambria Math" w:cs="Times New Roman"/>
                <w:sz w:val="24"/>
                <w:szCs w:val="24"/>
              </w:rPr>
              <m:t>o</m:t>
            </m:r>
          </m:sup>
        </m:sSubSup>
      </m:oMath>
      <w:r w:rsidRPr="004443AC">
        <w:rPr>
          <w:rFonts w:ascii="Times New Roman" w:eastAsiaTheme="minorEastAsia" w:hAnsi="Times New Roman" w:cs="Times New Roman"/>
          <w:sz w:val="24"/>
          <w:szCs w:val="24"/>
        </w:rPr>
        <w:t xml:space="preserve">= Gibbs free energy, R= Molar gas constant, T= absolute temperature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 xml:space="preserve">ads </m:t>
            </m:r>
          </m:sub>
        </m:sSub>
      </m:oMath>
      <w:r w:rsidRPr="004443AC">
        <w:rPr>
          <w:rFonts w:ascii="Times New Roman" w:eastAsiaTheme="minorEastAsia" w:hAnsi="Times New Roman" w:cs="Times New Roman"/>
          <w:sz w:val="24"/>
          <w:szCs w:val="24"/>
        </w:rPr>
        <w:t>= the equilibrium constant for adsorption.</w:t>
      </w:r>
    </w:p>
    <w:p w14:paraId="611C21E0" w14:textId="77777777" w:rsidR="00BC1C11" w:rsidRPr="00BD60E8" w:rsidRDefault="00BC1C11" w:rsidP="00BC1C11">
      <w:pPr>
        <w:spacing w:line="360" w:lineRule="auto"/>
        <w:jc w:val="both"/>
        <w:rPr>
          <w:rFonts w:ascii="Times New Roman" w:eastAsiaTheme="minorEastAsia" w:hAnsi="Times New Roman" w:cs="Times New Roman"/>
          <w:sz w:val="24"/>
          <w:szCs w:val="24"/>
        </w:rPr>
      </w:pPr>
      <w:r w:rsidRPr="004443AC">
        <w:rPr>
          <w:rFonts w:ascii="Times New Roman" w:eastAsiaTheme="minorEastAsia" w:hAnsi="Times New Roman" w:cs="Times New Roman"/>
          <w:sz w:val="24"/>
          <w:szCs w:val="24"/>
        </w:rPr>
        <w:t xml:space="preserve">The values of  </w:t>
      </w:r>
      <m:oMath>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G</m:t>
            </m:r>
          </m:e>
          <m:sub>
            <m:r>
              <m:rPr>
                <m:sty m:val="p"/>
              </m:rPr>
              <w:rPr>
                <w:rFonts w:ascii="Cambria Math" w:eastAsiaTheme="minorEastAsia" w:hAnsi="Cambria Math" w:cs="Times New Roman"/>
                <w:sz w:val="24"/>
                <w:szCs w:val="24"/>
              </w:rPr>
              <m:t>ads</m:t>
            </m:r>
          </m:sub>
          <m:sup>
            <m:r>
              <m:rPr>
                <m:sty m:val="p"/>
              </m:rPr>
              <w:rPr>
                <w:rFonts w:ascii="Cambria Math" w:eastAsiaTheme="minorEastAsia" w:hAnsi="Cambria Math" w:cs="Times New Roman"/>
                <w:sz w:val="24"/>
                <w:szCs w:val="24"/>
              </w:rPr>
              <m:t>o</m:t>
            </m:r>
          </m:sup>
        </m:sSubSup>
      </m:oMath>
      <w:r w:rsidRPr="004443AC">
        <w:rPr>
          <w:rFonts w:ascii="Times New Roman" w:eastAsiaTheme="minorEastAsia" w:hAnsi="Times New Roman" w:cs="Times New Roman"/>
          <w:sz w:val="24"/>
          <w:szCs w:val="24"/>
        </w:rPr>
        <w:t xml:space="preserve"> calculated were listed together with the adsorption parameters evaluate</w:t>
      </w:r>
      <w:r>
        <w:rPr>
          <w:rFonts w:ascii="Times New Roman" w:eastAsiaTheme="minorEastAsia" w:hAnsi="Times New Roman" w:cs="Times New Roman"/>
          <w:sz w:val="24"/>
          <w:szCs w:val="24"/>
        </w:rPr>
        <w:t>d from Fig, 3 in Table 2 below.</w:t>
      </w:r>
    </w:p>
    <w:p w14:paraId="0F4C74CE" w14:textId="77777777" w:rsidR="00BC1C11" w:rsidRPr="00080407" w:rsidRDefault="00BC1C11" w:rsidP="00BC1C11">
      <w:pPr>
        <w:tabs>
          <w:tab w:val="left" w:pos="900"/>
        </w:tabs>
        <w:spacing w:before="240" w:line="360" w:lineRule="auto"/>
        <w:ind w:left="810" w:hanging="810"/>
        <w:jc w:val="both"/>
        <w:rPr>
          <w:rFonts w:ascii="Times New Roman" w:eastAsiaTheme="minorEastAsia" w:hAnsi="Times New Roman" w:cs="Times New Roman"/>
          <w:sz w:val="24"/>
          <w:szCs w:val="24"/>
        </w:rPr>
      </w:pPr>
      <w:r w:rsidRPr="004443AC">
        <w:rPr>
          <w:rFonts w:ascii="Times New Roman" w:eastAsiaTheme="minorEastAsia" w:hAnsi="Times New Roman" w:cs="Times New Roman"/>
          <w:b/>
          <w:sz w:val="24"/>
          <w:szCs w:val="24"/>
        </w:rPr>
        <w:t xml:space="preserve">Table. 2: </w:t>
      </w:r>
      <w:r w:rsidRPr="00080407">
        <w:rPr>
          <w:rFonts w:ascii="Times New Roman" w:eastAsiaTheme="minorEastAsia" w:hAnsi="Times New Roman" w:cs="Times New Roman"/>
          <w:sz w:val="24"/>
          <w:szCs w:val="24"/>
        </w:rPr>
        <w:t>Isotherm parameters for the Adsorption of inhibitor on to the surface of API 5l X65 steel in 1.0 M HCl at various Temperatures.</w:t>
      </w:r>
    </w:p>
    <w:tbl>
      <w:tblPr>
        <w:tblStyle w:val="PlainTable4"/>
        <w:tblW w:w="0" w:type="auto"/>
        <w:tblBorders>
          <w:top w:val="single" w:sz="4" w:space="0" w:color="auto"/>
          <w:bottom w:val="single" w:sz="4" w:space="0" w:color="auto"/>
        </w:tblBorders>
        <w:tblLook w:val="04A0" w:firstRow="1" w:lastRow="0" w:firstColumn="1" w:lastColumn="0" w:noHBand="0" w:noVBand="1"/>
      </w:tblPr>
      <w:tblGrid>
        <w:gridCol w:w="1296"/>
        <w:gridCol w:w="1443"/>
        <w:gridCol w:w="1085"/>
        <w:gridCol w:w="1105"/>
        <w:gridCol w:w="1141"/>
        <w:gridCol w:w="1069"/>
        <w:gridCol w:w="1116"/>
        <w:gridCol w:w="1105"/>
      </w:tblGrid>
      <w:tr w:rsidR="00BC1C11" w:rsidRPr="004443AC" w14:paraId="0265200D" w14:textId="77777777" w:rsidTr="00BC1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bottom w:val="single" w:sz="4" w:space="0" w:color="auto"/>
            </w:tcBorders>
          </w:tcPr>
          <w:p w14:paraId="0329C1EE" w14:textId="77777777" w:rsidR="00BC1C11" w:rsidRPr="004443AC" w:rsidRDefault="00BC1C11" w:rsidP="008D10F8">
            <w:pPr>
              <w:spacing w:line="360" w:lineRule="auto"/>
              <w:jc w:val="center"/>
              <w:rPr>
                <w:rFonts w:ascii="Times New Roman" w:hAnsi="Times New Roman" w:cs="Times New Roman"/>
                <w:b w:val="0"/>
                <w:sz w:val="24"/>
                <w:szCs w:val="24"/>
              </w:rPr>
            </w:pPr>
            <w:r w:rsidRPr="004443AC">
              <w:rPr>
                <w:rFonts w:ascii="Times New Roman" w:hAnsi="Times New Roman" w:cs="Times New Roman"/>
                <w:b w:val="0"/>
                <w:sz w:val="24"/>
                <w:szCs w:val="24"/>
              </w:rPr>
              <w:t>Adsorption Isotherm</w:t>
            </w:r>
          </w:p>
        </w:tc>
        <w:tc>
          <w:tcPr>
            <w:tcW w:w="1443" w:type="dxa"/>
            <w:tcBorders>
              <w:top w:val="single" w:sz="4" w:space="0" w:color="auto"/>
              <w:bottom w:val="single" w:sz="4" w:space="0" w:color="auto"/>
            </w:tcBorders>
          </w:tcPr>
          <w:p w14:paraId="740178B0" w14:textId="77777777" w:rsidR="00BC1C11" w:rsidRPr="004443AC" w:rsidRDefault="00BC1C11" w:rsidP="008D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4443AC">
              <w:rPr>
                <w:rFonts w:ascii="Times New Roman" w:hAnsi="Times New Roman" w:cs="Times New Roman"/>
                <w:b w:val="0"/>
                <w:sz w:val="24"/>
                <w:szCs w:val="24"/>
              </w:rPr>
              <w:t>Inhibitor</w:t>
            </w:r>
          </w:p>
        </w:tc>
        <w:tc>
          <w:tcPr>
            <w:tcW w:w="1085" w:type="dxa"/>
            <w:tcBorders>
              <w:top w:val="single" w:sz="4" w:space="0" w:color="auto"/>
              <w:bottom w:val="single" w:sz="4" w:space="0" w:color="auto"/>
            </w:tcBorders>
          </w:tcPr>
          <w:p w14:paraId="777FDEBD" w14:textId="77777777" w:rsidR="00BC1C11" w:rsidRPr="004443AC" w:rsidRDefault="00BC1C11" w:rsidP="008D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4443AC">
              <w:rPr>
                <w:rFonts w:ascii="Times New Roman" w:hAnsi="Times New Roman" w:cs="Times New Roman"/>
                <w:b w:val="0"/>
                <w:sz w:val="24"/>
                <w:szCs w:val="24"/>
              </w:rPr>
              <w:t>Temp (K)</w:t>
            </w:r>
          </w:p>
        </w:tc>
        <w:tc>
          <w:tcPr>
            <w:tcW w:w="1105" w:type="dxa"/>
            <w:tcBorders>
              <w:top w:val="single" w:sz="4" w:space="0" w:color="auto"/>
              <w:bottom w:val="single" w:sz="4" w:space="0" w:color="auto"/>
            </w:tcBorders>
          </w:tcPr>
          <w:p w14:paraId="7F90F1AA" w14:textId="77777777" w:rsidR="00BC1C11" w:rsidRPr="004443AC" w:rsidRDefault="00BC1C11" w:rsidP="008D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4443AC">
              <w:rPr>
                <w:rFonts w:ascii="Times New Roman" w:hAnsi="Times New Roman" w:cs="Times New Roman"/>
                <w:b w:val="0"/>
                <w:sz w:val="24"/>
                <w:szCs w:val="24"/>
              </w:rPr>
              <w:t>Slope</w:t>
            </w:r>
          </w:p>
        </w:tc>
        <w:tc>
          <w:tcPr>
            <w:tcW w:w="1141" w:type="dxa"/>
            <w:tcBorders>
              <w:top w:val="single" w:sz="4" w:space="0" w:color="auto"/>
              <w:bottom w:val="single" w:sz="4" w:space="0" w:color="auto"/>
            </w:tcBorders>
          </w:tcPr>
          <w:p w14:paraId="76941472" w14:textId="77777777" w:rsidR="00BC1C11" w:rsidRPr="004443AC" w:rsidRDefault="00BC1C11" w:rsidP="008D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4443AC">
              <w:rPr>
                <w:rFonts w:ascii="Times New Roman" w:hAnsi="Times New Roman" w:cs="Times New Roman"/>
                <w:b w:val="0"/>
                <w:sz w:val="24"/>
                <w:szCs w:val="24"/>
              </w:rPr>
              <w:t>Intercept</w:t>
            </w:r>
          </w:p>
        </w:tc>
        <w:tc>
          <w:tcPr>
            <w:tcW w:w="1069" w:type="dxa"/>
            <w:tcBorders>
              <w:top w:val="single" w:sz="4" w:space="0" w:color="auto"/>
              <w:bottom w:val="single" w:sz="4" w:space="0" w:color="auto"/>
            </w:tcBorders>
          </w:tcPr>
          <w:p w14:paraId="29E145D6" w14:textId="77777777" w:rsidR="00BC1C11" w:rsidRPr="004443AC" w:rsidRDefault="00000000" w:rsidP="008D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rPr>
            </w:pPr>
            <m:oMathPara>
              <m:oMath>
                <m:sSub>
                  <m:sSubPr>
                    <m:ctrlPr>
                      <w:rPr>
                        <w:rFonts w:ascii="Cambria Math" w:hAnsi="Cambria Math" w:cs="Times New Roman"/>
                        <w:b w:val="0"/>
                        <w:sz w:val="24"/>
                        <w:szCs w:val="24"/>
                      </w:rPr>
                    </m:ctrlPr>
                  </m:sSubPr>
                  <m:e>
                    <m:r>
                      <m:rPr>
                        <m:sty m:val="b"/>
                      </m:rPr>
                      <w:rPr>
                        <w:rFonts w:ascii="Cambria Math" w:hAnsi="Cambria Math" w:cs="Times New Roman"/>
                        <w:sz w:val="24"/>
                        <w:szCs w:val="24"/>
                      </w:rPr>
                      <m:t>K</m:t>
                    </m:r>
                  </m:e>
                  <m:sub>
                    <m:r>
                      <m:rPr>
                        <m:sty m:val="b"/>
                      </m:rPr>
                      <w:rPr>
                        <w:rFonts w:ascii="Cambria Math" w:hAnsi="Cambria Math" w:cs="Times New Roman"/>
                        <w:sz w:val="24"/>
                        <w:szCs w:val="24"/>
                      </w:rPr>
                      <m:t>ads</m:t>
                    </m:r>
                  </m:sub>
                </m:sSub>
              </m:oMath>
            </m:oMathPara>
          </w:p>
        </w:tc>
        <w:tc>
          <w:tcPr>
            <w:tcW w:w="1116" w:type="dxa"/>
            <w:tcBorders>
              <w:top w:val="single" w:sz="4" w:space="0" w:color="auto"/>
              <w:bottom w:val="single" w:sz="4" w:space="0" w:color="auto"/>
            </w:tcBorders>
          </w:tcPr>
          <w:p w14:paraId="4240F64A" w14:textId="77777777" w:rsidR="00BC1C11" w:rsidRPr="004443AC" w:rsidRDefault="00000000" w:rsidP="008D10F8">
            <w:pPr>
              <w:spacing w:line="360" w:lineRule="auto"/>
              <w:ind w:righ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m:oMath>
              <m:sSub>
                <m:sSubPr>
                  <m:ctrlPr>
                    <w:rPr>
                      <w:rFonts w:ascii="Cambria Math" w:hAnsi="Cambria Math" w:cs="Times New Roman"/>
                      <w:b w:val="0"/>
                      <w:sz w:val="24"/>
                      <w:szCs w:val="24"/>
                    </w:rPr>
                  </m:ctrlPr>
                </m:sSubPr>
                <m:e>
                  <m:r>
                    <m:rPr>
                      <m:sty m:val="bi"/>
                    </m:rPr>
                    <w:rPr>
                      <w:rFonts w:ascii="Cambria Math" w:hAnsi="Cambria Math" w:cs="Times New Roman"/>
                      <w:sz w:val="24"/>
                      <w:szCs w:val="24"/>
                    </w:rPr>
                    <m:t>∆G</m:t>
                  </m:r>
                </m:e>
                <m:sub>
                  <m:r>
                    <m:rPr>
                      <m:sty m:val="bi"/>
                    </m:rPr>
                    <w:rPr>
                      <w:rFonts w:ascii="Cambria Math" w:hAnsi="Cambria Math" w:cs="Times New Roman"/>
                      <w:sz w:val="24"/>
                      <w:szCs w:val="24"/>
                    </w:rPr>
                    <m:t>ads</m:t>
                  </m:r>
                </m:sub>
              </m:sSub>
            </m:oMath>
            <w:r w:rsidR="00BC1C11" w:rsidRPr="004443AC">
              <w:rPr>
                <w:rFonts w:ascii="Times New Roman" w:eastAsiaTheme="minorEastAsia" w:hAnsi="Times New Roman" w:cs="Times New Roman"/>
                <w:b w:val="0"/>
                <w:sz w:val="24"/>
                <w:szCs w:val="24"/>
              </w:rPr>
              <w:t xml:space="preserve"> (kJmol</w:t>
            </w:r>
            <w:r w:rsidR="00BC1C11" w:rsidRPr="004443AC">
              <w:rPr>
                <w:rFonts w:ascii="Times New Roman" w:eastAsiaTheme="minorEastAsia" w:hAnsi="Times New Roman" w:cs="Times New Roman"/>
                <w:b w:val="0"/>
                <w:sz w:val="24"/>
                <w:szCs w:val="24"/>
                <w:vertAlign w:val="superscript"/>
              </w:rPr>
              <w:t>-1</w:t>
            </w:r>
            <w:r w:rsidR="00BC1C11" w:rsidRPr="004443AC">
              <w:rPr>
                <w:rFonts w:ascii="Times New Roman" w:eastAsiaTheme="minorEastAsia" w:hAnsi="Times New Roman" w:cs="Times New Roman"/>
                <w:b w:val="0"/>
                <w:sz w:val="24"/>
                <w:szCs w:val="24"/>
              </w:rPr>
              <w:t>)</w:t>
            </w:r>
          </w:p>
        </w:tc>
        <w:tc>
          <w:tcPr>
            <w:tcW w:w="1105" w:type="dxa"/>
            <w:tcBorders>
              <w:top w:val="single" w:sz="4" w:space="0" w:color="auto"/>
              <w:bottom w:val="single" w:sz="4" w:space="0" w:color="auto"/>
            </w:tcBorders>
          </w:tcPr>
          <w:p w14:paraId="51353CAA" w14:textId="77777777" w:rsidR="00BC1C11" w:rsidRPr="004443AC" w:rsidRDefault="00BC1C11" w:rsidP="008D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4443AC">
              <w:rPr>
                <w:rFonts w:ascii="Times New Roman" w:hAnsi="Times New Roman" w:cs="Times New Roman"/>
                <w:b w:val="0"/>
                <w:sz w:val="24"/>
                <w:szCs w:val="24"/>
              </w:rPr>
              <w:t>R</w:t>
            </w:r>
            <w:r w:rsidRPr="004443AC">
              <w:rPr>
                <w:rFonts w:ascii="Times New Roman" w:hAnsi="Times New Roman" w:cs="Times New Roman"/>
                <w:b w:val="0"/>
                <w:sz w:val="24"/>
                <w:szCs w:val="24"/>
                <w:vertAlign w:val="superscript"/>
              </w:rPr>
              <w:t>2</w:t>
            </w:r>
          </w:p>
        </w:tc>
      </w:tr>
      <w:tr w:rsidR="00BC1C11" w:rsidRPr="004443AC" w14:paraId="749DD4A7" w14:textId="77777777" w:rsidTr="00BC1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tcBorders>
            <w:shd w:val="clear" w:color="auto" w:fill="auto"/>
          </w:tcPr>
          <w:p w14:paraId="7C8B4179" w14:textId="77777777" w:rsidR="00BC1C11" w:rsidRPr="004443AC" w:rsidRDefault="00BC1C11" w:rsidP="00BC1C11">
            <w:pPr>
              <w:spacing w:line="360" w:lineRule="auto"/>
              <w:jc w:val="center"/>
              <w:rPr>
                <w:rFonts w:ascii="Times New Roman" w:hAnsi="Times New Roman" w:cs="Times New Roman"/>
                <w:b w:val="0"/>
                <w:sz w:val="24"/>
                <w:szCs w:val="24"/>
              </w:rPr>
            </w:pPr>
            <w:r w:rsidRPr="004443AC">
              <w:rPr>
                <w:rFonts w:ascii="Times New Roman" w:hAnsi="Times New Roman" w:cs="Times New Roman"/>
                <w:b w:val="0"/>
                <w:sz w:val="24"/>
                <w:szCs w:val="24"/>
              </w:rPr>
              <w:t>Langmuir</w:t>
            </w:r>
          </w:p>
        </w:tc>
        <w:tc>
          <w:tcPr>
            <w:tcW w:w="1443" w:type="dxa"/>
            <w:tcBorders>
              <w:top w:val="single" w:sz="4" w:space="0" w:color="auto"/>
            </w:tcBorders>
            <w:shd w:val="clear" w:color="auto" w:fill="auto"/>
          </w:tcPr>
          <w:p w14:paraId="055BCC5A" w14:textId="77777777" w:rsidR="00BC1C11" w:rsidRPr="004443AC" w:rsidRDefault="00BC1C11" w:rsidP="00BC1C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Pr>
                <w:rFonts w:ascii="Times New Roman" w:hAnsi="Times New Roman" w:cs="Times New Roman"/>
                <w:sz w:val="24"/>
                <w:szCs w:val="24"/>
              </w:rPr>
              <w:t>LPV-RTV</w:t>
            </w:r>
          </w:p>
        </w:tc>
        <w:tc>
          <w:tcPr>
            <w:tcW w:w="1085" w:type="dxa"/>
            <w:tcBorders>
              <w:top w:val="single" w:sz="4" w:space="0" w:color="auto"/>
            </w:tcBorders>
            <w:shd w:val="clear" w:color="auto" w:fill="auto"/>
          </w:tcPr>
          <w:p w14:paraId="2DBB59CF" w14:textId="77777777" w:rsidR="00BC1C11" w:rsidRPr="004443AC" w:rsidRDefault="00BC1C11" w:rsidP="00BC1C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43AC">
              <w:rPr>
                <w:rFonts w:ascii="Times New Roman" w:hAnsi="Times New Roman" w:cs="Times New Roman"/>
                <w:sz w:val="24"/>
                <w:szCs w:val="24"/>
              </w:rPr>
              <w:t>303</w:t>
            </w:r>
          </w:p>
        </w:tc>
        <w:tc>
          <w:tcPr>
            <w:tcW w:w="1105" w:type="dxa"/>
            <w:tcBorders>
              <w:top w:val="single" w:sz="4" w:space="0" w:color="auto"/>
            </w:tcBorders>
            <w:shd w:val="clear" w:color="auto" w:fill="auto"/>
          </w:tcPr>
          <w:p w14:paraId="07712E1F" w14:textId="77777777"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0.7338</w:t>
            </w:r>
          </w:p>
        </w:tc>
        <w:tc>
          <w:tcPr>
            <w:tcW w:w="1141" w:type="dxa"/>
            <w:tcBorders>
              <w:top w:val="single" w:sz="4" w:space="0" w:color="auto"/>
            </w:tcBorders>
            <w:shd w:val="clear" w:color="auto" w:fill="auto"/>
          </w:tcPr>
          <w:p w14:paraId="1C031F86" w14:textId="77777777"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0.6844</w:t>
            </w:r>
          </w:p>
        </w:tc>
        <w:tc>
          <w:tcPr>
            <w:tcW w:w="1069" w:type="dxa"/>
            <w:tcBorders>
              <w:top w:val="single" w:sz="4" w:space="0" w:color="auto"/>
            </w:tcBorders>
            <w:shd w:val="clear" w:color="auto" w:fill="auto"/>
          </w:tcPr>
          <w:p w14:paraId="3EDD1D5D" w14:textId="77777777"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4.84</w:t>
            </w:r>
          </w:p>
        </w:tc>
        <w:tc>
          <w:tcPr>
            <w:tcW w:w="1116" w:type="dxa"/>
            <w:tcBorders>
              <w:top w:val="single" w:sz="4" w:space="0" w:color="auto"/>
            </w:tcBorders>
            <w:shd w:val="clear" w:color="auto" w:fill="auto"/>
          </w:tcPr>
          <w:p w14:paraId="43BC4FC7" w14:textId="77777777"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-14.09</w:t>
            </w:r>
          </w:p>
        </w:tc>
        <w:tc>
          <w:tcPr>
            <w:tcW w:w="1105" w:type="dxa"/>
            <w:tcBorders>
              <w:top w:val="single" w:sz="4" w:space="0" w:color="auto"/>
            </w:tcBorders>
            <w:shd w:val="clear" w:color="auto" w:fill="auto"/>
          </w:tcPr>
          <w:p w14:paraId="2A4D5AB6" w14:textId="77777777"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0.9641</w:t>
            </w:r>
          </w:p>
        </w:tc>
      </w:tr>
      <w:tr w:rsidR="00BC1C11" w:rsidRPr="004443AC" w14:paraId="7F2C2C14" w14:textId="77777777" w:rsidTr="00BC1C11">
        <w:tc>
          <w:tcPr>
            <w:cnfStyle w:val="001000000000" w:firstRow="0" w:lastRow="0" w:firstColumn="1" w:lastColumn="0" w:oddVBand="0" w:evenVBand="0" w:oddHBand="0" w:evenHBand="0" w:firstRowFirstColumn="0" w:firstRowLastColumn="0" w:lastRowFirstColumn="0" w:lastRowLastColumn="0"/>
            <w:tcW w:w="1296" w:type="dxa"/>
          </w:tcPr>
          <w:p w14:paraId="65F3F105" w14:textId="77777777" w:rsidR="00BC1C11" w:rsidRPr="004443AC" w:rsidRDefault="00BC1C11" w:rsidP="00BC1C11">
            <w:pPr>
              <w:spacing w:line="360" w:lineRule="auto"/>
              <w:jc w:val="center"/>
              <w:rPr>
                <w:rFonts w:ascii="Times New Roman" w:eastAsiaTheme="minorEastAsia" w:hAnsi="Times New Roman" w:cs="Times New Roman"/>
                <w:sz w:val="24"/>
                <w:szCs w:val="24"/>
              </w:rPr>
            </w:pPr>
          </w:p>
        </w:tc>
        <w:tc>
          <w:tcPr>
            <w:tcW w:w="1443" w:type="dxa"/>
          </w:tcPr>
          <w:p w14:paraId="5A722B73" w14:textId="77777777" w:rsidR="00BC1C11" w:rsidRPr="004443AC" w:rsidRDefault="00BC1C11" w:rsidP="00BC1C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p>
        </w:tc>
        <w:tc>
          <w:tcPr>
            <w:tcW w:w="1085" w:type="dxa"/>
          </w:tcPr>
          <w:p w14:paraId="68F9C46D" w14:textId="77777777" w:rsidR="00BC1C11" w:rsidRPr="004443AC" w:rsidRDefault="00BC1C11" w:rsidP="00BC1C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3AC">
              <w:rPr>
                <w:rFonts w:ascii="Times New Roman" w:hAnsi="Times New Roman" w:cs="Times New Roman"/>
                <w:sz w:val="24"/>
                <w:szCs w:val="24"/>
              </w:rPr>
              <w:t>313</w:t>
            </w:r>
          </w:p>
        </w:tc>
        <w:tc>
          <w:tcPr>
            <w:tcW w:w="1105" w:type="dxa"/>
          </w:tcPr>
          <w:p w14:paraId="50F167C8" w14:textId="77777777"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0.8247</w:t>
            </w:r>
          </w:p>
        </w:tc>
        <w:tc>
          <w:tcPr>
            <w:tcW w:w="1141" w:type="dxa"/>
          </w:tcPr>
          <w:p w14:paraId="582749DB" w14:textId="77777777"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0.5117</w:t>
            </w:r>
          </w:p>
        </w:tc>
        <w:tc>
          <w:tcPr>
            <w:tcW w:w="1069" w:type="dxa"/>
          </w:tcPr>
          <w:p w14:paraId="76494D78" w14:textId="77777777"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3.25</w:t>
            </w:r>
          </w:p>
        </w:tc>
        <w:tc>
          <w:tcPr>
            <w:tcW w:w="1116" w:type="dxa"/>
          </w:tcPr>
          <w:p w14:paraId="752DD88C" w14:textId="77777777"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-13.50</w:t>
            </w:r>
          </w:p>
        </w:tc>
        <w:tc>
          <w:tcPr>
            <w:tcW w:w="1105" w:type="dxa"/>
          </w:tcPr>
          <w:p w14:paraId="7AD958AF" w14:textId="77777777"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0.9881</w:t>
            </w:r>
          </w:p>
        </w:tc>
      </w:tr>
      <w:tr w:rsidR="00BC1C11" w:rsidRPr="004443AC" w14:paraId="78801352" w14:textId="77777777" w:rsidTr="00BC1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shd w:val="clear" w:color="auto" w:fill="auto"/>
          </w:tcPr>
          <w:p w14:paraId="5CA3FADE" w14:textId="77777777" w:rsidR="00BC1C11" w:rsidRPr="004443AC" w:rsidRDefault="00BC1C11" w:rsidP="00BC1C11">
            <w:pPr>
              <w:spacing w:line="360" w:lineRule="auto"/>
              <w:jc w:val="center"/>
              <w:rPr>
                <w:rFonts w:ascii="Times New Roman" w:eastAsiaTheme="minorEastAsia" w:hAnsi="Times New Roman" w:cs="Times New Roman"/>
                <w:sz w:val="24"/>
                <w:szCs w:val="24"/>
              </w:rPr>
            </w:pPr>
          </w:p>
        </w:tc>
        <w:tc>
          <w:tcPr>
            <w:tcW w:w="1443" w:type="dxa"/>
            <w:shd w:val="clear" w:color="auto" w:fill="auto"/>
          </w:tcPr>
          <w:p w14:paraId="19DBFD61" w14:textId="77777777" w:rsidR="00BC1C11" w:rsidRPr="004443AC" w:rsidRDefault="00BC1C11" w:rsidP="00BC1C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p>
        </w:tc>
        <w:tc>
          <w:tcPr>
            <w:tcW w:w="1085" w:type="dxa"/>
            <w:shd w:val="clear" w:color="auto" w:fill="auto"/>
          </w:tcPr>
          <w:p w14:paraId="279426D7" w14:textId="77777777" w:rsidR="00BC1C11" w:rsidRPr="004443AC" w:rsidRDefault="00BC1C11" w:rsidP="00BC1C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43AC">
              <w:rPr>
                <w:rFonts w:ascii="Times New Roman" w:hAnsi="Times New Roman" w:cs="Times New Roman"/>
                <w:sz w:val="24"/>
                <w:szCs w:val="24"/>
              </w:rPr>
              <w:t>323</w:t>
            </w:r>
          </w:p>
        </w:tc>
        <w:tc>
          <w:tcPr>
            <w:tcW w:w="1105" w:type="dxa"/>
            <w:shd w:val="clear" w:color="auto" w:fill="auto"/>
          </w:tcPr>
          <w:p w14:paraId="79A2CD36" w14:textId="77777777"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0.8636</w:t>
            </w:r>
          </w:p>
        </w:tc>
        <w:tc>
          <w:tcPr>
            <w:tcW w:w="1141" w:type="dxa"/>
            <w:shd w:val="clear" w:color="auto" w:fill="auto"/>
          </w:tcPr>
          <w:p w14:paraId="75A778EA" w14:textId="77777777"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0.5091</w:t>
            </w:r>
          </w:p>
        </w:tc>
        <w:tc>
          <w:tcPr>
            <w:tcW w:w="1069" w:type="dxa"/>
            <w:shd w:val="clear" w:color="auto" w:fill="auto"/>
          </w:tcPr>
          <w:p w14:paraId="34D6A338" w14:textId="77777777"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3.23</w:t>
            </w:r>
          </w:p>
        </w:tc>
        <w:tc>
          <w:tcPr>
            <w:tcW w:w="1116" w:type="dxa"/>
            <w:shd w:val="clear" w:color="auto" w:fill="auto"/>
          </w:tcPr>
          <w:p w14:paraId="294058B6" w14:textId="77777777"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-13.94</w:t>
            </w:r>
          </w:p>
        </w:tc>
        <w:tc>
          <w:tcPr>
            <w:tcW w:w="1105" w:type="dxa"/>
            <w:shd w:val="clear" w:color="auto" w:fill="auto"/>
          </w:tcPr>
          <w:p w14:paraId="24980EE4" w14:textId="77777777" w:rsidR="00BC1C11" w:rsidRPr="00A221DD" w:rsidRDefault="00BC1C11" w:rsidP="00BC1C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0.9902</w:t>
            </w:r>
          </w:p>
        </w:tc>
      </w:tr>
      <w:tr w:rsidR="00BC1C11" w:rsidRPr="004443AC" w14:paraId="045AE7A8" w14:textId="77777777" w:rsidTr="00BC1C11">
        <w:tc>
          <w:tcPr>
            <w:cnfStyle w:val="001000000000" w:firstRow="0" w:lastRow="0" w:firstColumn="1" w:lastColumn="0" w:oddVBand="0" w:evenVBand="0" w:oddHBand="0" w:evenHBand="0" w:firstRowFirstColumn="0" w:firstRowLastColumn="0" w:lastRowFirstColumn="0" w:lastRowLastColumn="0"/>
            <w:tcW w:w="1296" w:type="dxa"/>
          </w:tcPr>
          <w:p w14:paraId="64723077" w14:textId="77777777" w:rsidR="00BC1C11" w:rsidRPr="004443AC" w:rsidRDefault="00BC1C11" w:rsidP="00BC1C11">
            <w:pPr>
              <w:spacing w:line="360" w:lineRule="auto"/>
              <w:jc w:val="center"/>
              <w:rPr>
                <w:rFonts w:ascii="Times New Roman" w:eastAsiaTheme="minorEastAsia" w:hAnsi="Times New Roman" w:cs="Times New Roman"/>
                <w:sz w:val="24"/>
                <w:szCs w:val="24"/>
              </w:rPr>
            </w:pPr>
          </w:p>
        </w:tc>
        <w:tc>
          <w:tcPr>
            <w:tcW w:w="1443" w:type="dxa"/>
          </w:tcPr>
          <w:p w14:paraId="0BBA32DB" w14:textId="77777777" w:rsidR="00BC1C11" w:rsidRPr="004443AC" w:rsidRDefault="00BC1C11" w:rsidP="00BC1C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p>
        </w:tc>
        <w:tc>
          <w:tcPr>
            <w:tcW w:w="1085" w:type="dxa"/>
          </w:tcPr>
          <w:p w14:paraId="013DA513" w14:textId="77777777" w:rsidR="00BC1C11" w:rsidRPr="004443AC" w:rsidRDefault="00BC1C11" w:rsidP="00BC1C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43AC">
              <w:rPr>
                <w:rFonts w:ascii="Times New Roman" w:hAnsi="Times New Roman" w:cs="Times New Roman"/>
                <w:sz w:val="24"/>
                <w:szCs w:val="24"/>
              </w:rPr>
              <w:t>333</w:t>
            </w:r>
          </w:p>
        </w:tc>
        <w:tc>
          <w:tcPr>
            <w:tcW w:w="1105" w:type="dxa"/>
          </w:tcPr>
          <w:p w14:paraId="34F26F25" w14:textId="77777777"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0.8247</w:t>
            </w:r>
          </w:p>
        </w:tc>
        <w:tc>
          <w:tcPr>
            <w:tcW w:w="1141" w:type="dxa"/>
          </w:tcPr>
          <w:p w14:paraId="539E9C7B" w14:textId="77777777"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0.7117</w:t>
            </w:r>
          </w:p>
        </w:tc>
        <w:tc>
          <w:tcPr>
            <w:tcW w:w="1069" w:type="dxa"/>
          </w:tcPr>
          <w:p w14:paraId="06E60F50" w14:textId="77777777"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5.15</w:t>
            </w:r>
          </w:p>
        </w:tc>
        <w:tc>
          <w:tcPr>
            <w:tcW w:w="1116" w:type="dxa"/>
          </w:tcPr>
          <w:p w14:paraId="42E62C28" w14:textId="77777777"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-15.66</w:t>
            </w:r>
          </w:p>
        </w:tc>
        <w:tc>
          <w:tcPr>
            <w:tcW w:w="1105" w:type="dxa"/>
          </w:tcPr>
          <w:p w14:paraId="1338C7EF" w14:textId="77777777" w:rsidR="00BC1C11" w:rsidRPr="00A221DD" w:rsidRDefault="00BC1C11" w:rsidP="00BC1C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0.9881</w:t>
            </w:r>
          </w:p>
        </w:tc>
      </w:tr>
    </w:tbl>
    <w:p w14:paraId="2E75C49D" w14:textId="77777777" w:rsidR="00BC1C11" w:rsidRPr="004443AC" w:rsidRDefault="00BC1C11" w:rsidP="00BC1C11">
      <w:pPr>
        <w:spacing w:line="360" w:lineRule="auto"/>
        <w:jc w:val="both"/>
        <w:rPr>
          <w:rFonts w:ascii="Times New Roman" w:hAnsi="Times New Roman" w:cs="Times New Roman"/>
          <w:sz w:val="24"/>
          <w:szCs w:val="24"/>
        </w:rPr>
      </w:pPr>
      <w:r w:rsidRPr="006E48BC">
        <w:rPr>
          <w:rFonts w:ascii="Times New Roman" w:hAnsi="Times New Roman" w:cs="Times New Roman"/>
          <w:sz w:val="24"/>
          <w:szCs w:val="24"/>
        </w:rPr>
        <w:t>A</w:t>
      </w:r>
      <w:r w:rsidRPr="004443AC">
        <w:rPr>
          <w:rFonts w:ascii="Times New Roman" w:hAnsi="Times New Roman" w:cs="Times New Roman"/>
          <w:b/>
          <w:sz w:val="24"/>
          <w:szCs w:val="24"/>
        </w:rPr>
        <w:t xml:space="preserve"> </w:t>
      </w:r>
      <w:r w:rsidRPr="004443AC">
        <w:rPr>
          <w:rStyle w:val="Strong"/>
          <w:rFonts w:ascii="Times New Roman" w:hAnsi="Times New Roman" w:cs="Times New Roman"/>
          <w:b w:val="0"/>
          <w:sz w:val="24"/>
          <w:szCs w:val="24"/>
        </w:rPr>
        <w:t>negative value</w:t>
      </w:r>
      <w:r w:rsidRPr="004443AC">
        <w:rPr>
          <w:rFonts w:ascii="Times New Roman" w:hAnsi="Times New Roman" w:cs="Times New Roman"/>
          <w:sz w:val="24"/>
          <w:szCs w:val="24"/>
        </w:rPr>
        <w:t xml:space="preserve"> of </w:t>
      </w:r>
      <m:oMath>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G</m:t>
            </m:r>
          </m:e>
          <m:sub>
            <m:r>
              <m:rPr>
                <m:sty m:val="p"/>
              </m:rPr>
              <w:rPr>
                <w:rFonts w:ascii="Cambria Math" w:eastAsiaTheme="minorEastAsia" w:hAnsi="Cambria Math" w:cs="Times New Roman"/>
                <w:sz w:val="24"/>
                <w:szCs w:val="24"/>
              </w:rPr>
              <m:t>ads</m:t>
            </m:r>
          </m:sub>
          <m:sup>
            <m:r>
              <m:rPr>
                <m:sty m:val="p"/>
              </m:rPr>
              <w:rPr>
                <w:rFonts w:ascii="Cambria Math" w:eastAsiaTheme="minorEastAsia" w:hAnsi="Cambria Math" w:cs="Times New Roman"/>
                <w:sz w:val="24"/>
                <w:szCs w:val="24"/>
              </w:rPr>
              <m:t>o</m:t>
            </m:r>
          </m:sup>
        </m:sSubSup>
      </m:oMath>
      <w:r w:rsidRPr="004443AC">
        <w:rPr>
          <w:rFonts w:ascii="Times New Roman" w:hAnsi="Times New Roman" w:cs="Times New Roman"/>
          <w:sz w:val="24"/>
          <w:szCs w:val="24"/>
        </w:rPr>
        <w:t xml:space="preserve"> suggests that the adsorption of the inhibitor on the metal surface is spontaneous, while a highly negative </w:t>
      </w:r>
      <m:oMath>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G</m:t>
            </m:r>
          </m:e>
          <m:sub>
            <m:r>
              <m:rPr>
                <m:sty m:val="p"/>
              </m:rPr>
              <w:rPr>
                <w:rFonts w:ascii="Cambria Math" w:eastAsiaTheme="minorEastAsia" w:hAnsi="Cambria Math" w:cs="Times New Roman"/>
                <w:sz w:val="24"/>
                <w:szCs w:val="24"/>
              </w:rPr>
              <m:t>ads</m:t>
            </m:r>
          </m:sub>
          <m:sup>
            <m:r>
              <m:rPr>
                <m:sty m:val="p"/>
              </m:rPr>
              <w:rPr>
                <w:rFonts w:ascii="Cambria Math" w:eastAsiaTheme="minorEastAsia" w:hAnsi="Cambria Math" w:cs="Times New Roman"/>
                <w:sz w:val="24"/>
                <w:szCs w:val="24"/>
              </w:rPr>
              <m:t>o</m:t>
            </m:r>
          </m:sup>
        </m:sSubSup>
      </m:oMath>
      <w:r w:rsidRPr="004443AC">
        <w:rPr>
          <w:rFonts w:ascii="Times New Roman" w:hAnsi="Times New Roman" w:cs="Times New Roman"/>
          <w:sz w:val="24"/>
          <w:szCs w:val="24"/>
        </w:rPr>
        <w:t xml:space="preserve">implies a strong interaction between the inhibitor and the metal surface. A value of </w:t>
      </w:r>
      <m:oMath>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G</m:t>
            </m:r>
          </m:e>
          <m:sub>
            <m:r>
              <m:rPr>
                <m:sty m:val="p"/>
              </m:rPr>
              <w:rPr>
                <w:rFonts w:ascii="Cambria Math" w:eastAsiaTheme="minorEastAsia" w:hAnsi="Cambria Math" w:cs="Times New Roman"/>
                <w:sz w:val="24"/>
                <w:szCs w:val="24"/>
              </w:rPr>
              <m:t>ads</m:t>
            </m:r>
          </m:sub>
          <m:sup>
            <m:r>
              <m:rPr>
                <m:sty m:val="p"/>
              </m:rPr>
              <w:rPr>
                <w:rFonts w:ascii="Cambria Math" w:eastAsiaTheme="minorEastAsia" w:hAnsi="Cambria Math" w:cs="Times New Roman"/>
                <w:sz w:val="24"/>
                <w:szCs w:val="24"/>
              </w:rPr>
              <m:t>o</m:t>
            </m:r>
          </m:sup>
        </m:sSubSup>
      </m:oMath>
      <w:r w:rsidRPr="004443AC">
        <w:rPr>
          <w:rFonts w:ascii="Times New Roman" w:hAnsi="Times New Roman" w:cs="Times New Roman"/>
          <w:sz w:val="24"/>
          <w:szCs w:val="24"/>
        </w:rPr>
        <w:t xml:space="preserve">more negative than </w:t>
      </w:r>
      <w:r w:rsidRPr="004443AC">
        <w:rPr>
          <w:rStyle w:val="Strong"/>
          <w:rFonts w:ascii="Times New Roman" w:hAnsi="Times New Roman" w:cs="Times New Roman"/>
          <w:sz w:val="24"/>
          <w:szCs w:val="24"/>
        </w:rPr>
        <w:t>-</w:t>
      </w:r>
      <w:r w:rsidRPr="004443AC">
        <w:rPr>
          <w:rStyle w:val="Strong"/>
          <w:rFonts w:ascii="Times New Roman" w:hAnsi="Times New Roman" w:cs="Times New Roman"/>
          <w:b w:val="0"/>
          <w:sz w:val="24"/>
          <w:szCs w:val="24"/>
        </w:rPr>
        <w:t>40 kJ/mol</w:t>
      </w:r>
      <w:r w:rsidRPr="004443AC">
        <w:rPr>
          <w:rFonts w:ascii="Times New Roman" w:hAnsi="Times New Roman" w:cs="Times New Roman"/>
          <w:sz w:val="24"/>
          <w:szCs w:val="24"/>
        </w:rPr>
        <w:t xml:space="preserve"> typically indicates </w:t>
      </w:r>
      <w:r w:rsidRPr="004443AC">
        <w:rPr>
          <w:rStyle w:val="Strong"/>
          <w:rFonts w:ascii="Times New Roman" w:hAnsi="Times New Roman" w:cs="Times New Roman"/>
          <w:b w:val="0"/>
          <w:sz w:val="24"/>
          <w:szCs w:val="24"/>
        </w:rPr>
        <w:t>physisorption</w:t>
      </w:r>
      <w:r w:rsidRPr="004443AC">
        <w:rPr>
          <w:rFonts w:ascii="Times New Roman" w:hAnsi="Times New Roman" w:cs="Times New Roman"/>
          <w:b/>
          <w:sz w:val="24"/>
          <w:szCs w:val="24"/>
        </w:rPr>
        <w:t>,</w:t>
      </w:r>
      <w:r w:rsidRPr="004443AC">
        <w:rPr>
          <w:rFonts w:ascii="Times New Roman" w:hAnsi="Times New Roman" w:cs="Times New Roman"/>
          <w:sz w:val="24"/>
          <w:szCs w:val="24"/>
        </w:rPr>
        <w:t xml:space="preserve"> whereas values more negative than </w:t>
      </w:r>
      <w:r w:rsidRPr="004443AC">
        <w:rPr>
          <w:rStyle w:val="Strong"/>
          <w:rFonts w:ascii="Times New Roman" w:hAnsi="Times New Roman" w:cs="Times New Roman"/>
          <w:sz w:val="24"/>
          <w:szCs w:val="24"/>
        </w:rPr>
        <w:t>-</w:t>
      </w:r>
      <w:r w:rsidRPr="004443AC">
        <w:rPr>
          <w:rStyle w:val="Strong"/>
          <w:rFonts w:ascii="Times New Roman" w:hAnsi="Times New Roman" w:cs="Times New Roman"/>
          <w:b w:val="0"/>
          <w:sz w:val="24"/>
          <w:szCs w:val="24"/>
        </w:rPr>
        <w:t>80 kJ/mol</w:t>
      </w:r>
      <w:r w:rsidRPr="004443AC">
        <w:rPr>
          <w:rFonts w:ascii="Times New Roman" w:hAnsi="Times New Roman" w:cs="Times New Roman"/>
          <w:sz w:val="24"/>
          <w:szCs w:val="24"/>
        </w:rPr>
        <w:t xml:space="preserve"> are associated with </w:t>
      </w:r>
      <w:r w:rsidRPr="004443AC">
        <w:rPr>
          <w:rStyle w:val="Strong"/>
          <w:rFonts w:ascii="Times New Roman" w:hAnsi="Times New Roman" w:cs="Times New Roman"/>
          <w:b w:val="0"/>
          <w:sz w:val="24"/>
          <w:szCs w:val="24"/>
        </w:rPr>
        <w:t>chemisorption</w:t>
      </w:r>
      <w:r w:rsidR="00070205">
        <w:rPr>
          <w:rFonts w:ascii="Times New Roman" w:hAnsi="Times New Roman" w:cs="Times New Roman"/>
          <w:sz w:val="24"/>
          <w:szCs w:val="24"/>
        </w:rPr>
        <w:t xml:space="preserve"> </w:t>
      </w:r>
      <w:r w:rsidR="00555DA9">
        <w:rPr>
          <w:rFonts w:ascii="Times New Roman" w:hAnsi="Times New Roman" w:cs="Times New Roman"/>
          <w:sz w:val="24"/>
          <w:szCs w:val="24"/>
        </w:rPr>
        <w:t xml:space="preserve"> [17]</w:t>
      </w:r>
      <w:r w:rsidRPr="004443AC">
        <w:rPr>
          <w:rFonts w:ascii="Times New Roman" w:hAnsi="Times New Roman" w:cs="Times New Roman"/>
          <w:sz w:val="24"/>
          <w:szCs w:val="24"/>
        </w:rPr>
        <w:t>.</w:t>
      </w:r>
    </w:p>
    <w:p w14:paraId="770497CB" w14:textId="77777777" w:rsidR="00080407" w:rsidRDefault="00BC1C11" w:rsidP="00080407">
      <w:pPr>
        <w:spacing w:line="360" w:lineRule="auto"/>
        <w:jc w:val="both"/>
        <w:rPr>
          <w:rFonts w:ascii="Times New Roman" w:eastAsiaTheme="minorEastAsia" w:hAnsi="Times New Roman" w:cs="Times New Roman"/>
          <w:sz w:val="24"/>
          <w:szCs w:val="24"/>
        </w:rPr>
      </w:pPr>
      <w:r w:rsidRPr="004443AC">
        <w:rPr>
          <w:rFonts w:ascii="Times New Roman" w:eastAsiaTheme="minorEastAsia" w:hAnsi="Times New Roman" w:cs="Times New Roman"/>
          <w:sz w:val="24"/>
          <w:szCs w:val="24"/>
        </w:rPr>
        <w:t xml:space="preserve">The calculated value of  </w:t>
      </w:r>
      <m:oMath>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G</m:t>
            </m:r>
          </m:e>
          <m:sub>
            <m:r>
              <m:rPr>
                <m:sty m:val="p"/>
              </m:rPr>
              <w:rPr>
                <w:rFonts w:ascii="Cambria Math" w:eastAsiaTheme="minorEastAsia" w:hAnsi="Cambria Math" w:cs="Times New Roman"/>
                <w:sz w:val="24"/>
                <w:szCs w:val="24"/>
              </w:rPr>
              <m:t>ads</m:t>
            </m:r>
          </m:sub>
          <m:sup>
            <m:r>
              <m:rPr>
                <m:sty m:val="p"/>
              </m:rPr>
              <w:rPr>
                <w:rFonts w:ascii="Cambria Math" w:eastAsiaTheme="minorEastAsia" w:hAnsi="Cambria Math" w:cs="Times New Roman"/>
                <w:sz w:val="24"/>
                <w:szCs w:val="24"/>
              </w:rPr>
              <m:t>o</m:t>
            </m:r>
          </m:sup>
        </m:sSubSup>
      </m:oMath>
      <w:r w:rsidRPr="004443AC">
        <w:rPr>
          <w:rFonts w:ascii="Times New Roman" w:eastAsiaTheme="minorEastAsia" w:hAnsi="Times New Roman" w:cs="Times New Roman"/>
          <w:sz w:val="24"/>
          <w:szCs w:val="24"/>
        </w:rPr>
        <w:t xml:space="preserve"> turns out to be negative indicating that the adsorption of Dolutegravir is spontaneous and proceed via physical adsorption with th</w:t>
      </w:r>
      <w:r>
        <w:rPr>
          <w:rFonts w:ascii="Times New Roman" w:eastAsiaTheme="minorEastAsia" w:hAnsi="Times New Roman" w:cs="Times New Roman"/>
          <w:sz w:val="24"/>
          <w:szCs w:val="24"/>
        </w:rPr>
        <w:t>e value which range between (-14 to -16</w:t>
      </w:r>
      <w:r w:rsidRPr="004443AC">
        <w:rPr>
          <w:rFonts w:ascii="Times New Roman" w:eastAsiaTheme="minorEastAsia" w:hAnsi="Times New Roman" w:cs="Times New Roman"/>
          <w:sz w:val="24"/>
          <w:szCs w:val="24"/>
        </w:rPr>
        <w:t xml:space="preserve"> kJmol</w:t>
      </w:r>
      <w:r w:rsidRPr="004443AC">
        <w:rPr>
          <w:rFonts w:ascii="Times New Roman" w:eastAsiaTheme="minorEastAsia" w:hAnsi="Times New Roman" w:cs="Times New Roman"/>
          <w:sz w:val="24"/>
          <w:szCs w:val="24"/>
          <w:vertAlign w:val="superscript"/>
        </w:rPr>
        <w:t>-1</w:t>
      </w:r>
      <w:r w:rsidRPr="004443AC">
        <w:rPr>
          <w:rFonts w:ascii="Times New Roman" w:eastAsiaTheme="minorEastAsia" w:hAnsi="Times New Roman" w:cs="Times New Roman"/>
          <w:sz w:val="24"/>
          <w:szCs w:val="24"/>
        </w:rPr>
        <w:t>) which were less the physisorption threshold value of -40 kJmol</w:t>
      </w:r>
      <w:r w:rsidRPr="004443AC">
        <w:rPr>
          <w:rFonts w:ascii="Times New Roman" w:eastAsiaTheme="minorEastAsia" w:hAnsi="Times New Roman" w:cs="Times New Roman"/>
          <w:sz w:val="24"/>
          <w:szCs w:val="24"/>
          <w:vertAlign w:val="superscript"/>
        </w:rPr>
        <w:t>-1</w:t>
      </w:r>
      <w:r w:rsidR="00080407">
        <w:rPr>
          <w:rFonts w:ascii="Times New Roman" w:eastAsiaTheme="minorEastAsia" w:hAnsi="Times New Roman" w:cs="Times New Roman"/>
          <w:sz w:val="24"/>
          <w:szCs w:val="24"/>
        </w:rPr>
        <w:t xml:space="preserve"> .</w:t>
      </w:r>
    </w:p>
    <w:p w14:paraId="06404202" w14:textId="77777777" w:rsidR="00BC1C11" w:rsidRPr="00080407" w:rsidRDefault="00BC1C11" w:rsidP="00080407">
      <w:pPr>
        <w:spacing w:line="360" w:lineRule="auto"/>
        <w:jc w:val="both"/>
        <w:rPr>
          <w:rFonts w:ascii="Times New Roman" w:eastAsiaTheme="minorEastAsia" w:hAnsi="Times New Roman" w:cs="Times New Roman"/>
          <w:b/>
          <w:sz w:val="24"/>
          <w:szCs w:val="24"/>
        </w:rPr>
      </w:pPr>
      <w:r w:rsidRPr="000E5107">
        <w:rPr>
          <w:rFonts w:ascii="Times New Roman" w:hAnsi="Times New Roman" w:cs="Times New Roman"/>
          <w:b/>
          <w:i/>
          <w:sz w:val="24"/>
          <w:szCs w:val="24"/>
        </w:rPr>
        <w:t xml:space="preserve"> </w:t>
      </w:r>
      <w:r w:rsidRPr="00080407">
        <w:rPr>
          <w:rFonts w:ascii="Times New Roman" w:hAnsi="Times New Roman" w:cs="Times New Roman"/>
          <w:b/>
          <w:sz w:val="24"/>
          <w:szCs w:val="24"/>
        </w:rPr>
        <w:t>Activation Energy (E</w:t>
      </w:r>
      <w:r w:rsidRPr="00080407">
        <w:rPr>
          <w:rFonts w:ascii="Times New Roman" w:hAnsi="Times New Roman" w:cs="Times New Roman"/>
          <w:b/>
          <w:sz w:val="24"/>
          <w:szCs w:val="24"/>
          <w:vertAlign w:val="subscript"/>
        </w:rPr>
        <w:t>a</w:t>
      </w:r>
      <w:r w:rsidRPr="00080407">
        <w:rPr>
          <w:rFonts w:ascii="Times New Roman" w:hAnsi="Times New Roman" w:cs="Times New Roman"/>
          <w:b/>
          <w:sz w:val="24"/>
          <w:szCs w:val="24"/>
        </w:rPr>
        <w:t>)</w:t>
      </w:r>
    </w:p>
    <w:p w14:paraId="6A30F28F" w14:textId="77777777" w:rsidR="00BC1C11" w:rsidRPr="004443AC" w:rsidRDefault="00BC1C11" w:rsidP="00BC1C11">
      <w:pPr>
        <w:pStyle w:val="NormalWeb"/>
        <w:spacing w:line="360" w:lineRule="auto"/>
        <w:jc w:val="both"/>
      </w:pPr>
      <w:r w:rsidRPr="004443AC">
        <w:t xml:space="preserve">The </w:t>
      </w:r>
      <w:r w:rsidRPr="004443AC">
        <w:rPr>
          <w:rStyle w:val="Strong"/>
          <w:b w:val="0"/>
        </w:rPr>
        <w:t>activation energy (E</w:t>
      </w:r>
      <w:r w:rsidRPr="00AB7CBF">
        <w:rPr>
          <w:rStyle w:val="Strong"/>
          <w:vertAlign w:val="subscript"/>
        </w:rPr>
        <w:t>a</w:t>
      </w:r>
      <w:r w:rsidRPr="00AB7CBF">
        <w:rPr>
          <w:rStyle w:val="Strong"/>
          <w:b w:val="0"/>
        </w:rPr>
        <w:t>)</w:t>
      </w:r>
      <w:r w:rsidRPr="004443AC">
        <w:t xml:space="preserve"> provides insight into the energy required to initiate the corrosion process. A higher activation energy typically suggests that the corrosion process is more difficult to initiate, which indicates stronger </w:t>
      </w:r>
      <w:r w:rsidR="00122500" w:rsidRPr="004443AC">
        <w:t>inhibition</w:t>
      </w:r>
      <w:r w:rsidR="00122500">
        <w:t xml:space="preserve"> [</w:t>
      </w:r>
      <w:r w:rsidR="00555DA9">
        <w:t>18]</w:t>
      </w:r>
      <w:r w:rsidRPr="004443AC">
        <w:t xml:space="preserve">. The activation energy can be calculated using the </w:t>
      </w:r>
      <w:r w:rsidRPr="004443AC">
        <w:rPr>
          <w:rStyle w:val="Strong"/>
          <w:b w:val="0"/>
        </w:rPr>
        <w:t>Arrhenius equation</w:t>
      </w:r>
      <w:r w:rsidRPr="004443AC">
        <w:t>:</w:t>
      </w:r>
    </w:p>
    <w:p w14:paraId="72D63BC0" w14:textId="77777777" w:rsidR="00BC1C11" w:rsidRPr="004443AC" w:rsidRDefault="00BC1C11" w:rsidP="00BC1C11">
      <w:pPr>
        <w:spacing w:after="0" w:line="36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logCR=-</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a</m:t>
                </m:r>
              </m:sub>
            </m:sSub>
          </m:num>
          <m:den>
            <m:r>
              <m:rPr>
                <m:sty m:val="p"/>
              </m:rPr>
              <w:rPr>
                <w:rFonts w:ascii="Cambria Math" w:eastAsiaTheme="minorEastAsia" w:hAnsi="Cambria Math" w:cs="Times New Roman"/>
                <w:sz w:val="24"/>
                <w:szCs w:val="24"/>
              </w:rPr>
              <m:t>2.303RT</m:t>
            </m:r>
          </m:den>
        </m:f>
        <m:r>
          <m:rPr>
            <m:sty m:val="p"/>
          </m:rPr>
          <w:rPr>
            <w:rFonts w:ascii="Cambria Math" w:eastAsiaTheme="minorEastAsia" w:hAnsi="Cambria Math" w:cs="Times New Roman"/>
            <w:sz w:val="24"/>
            <w:szCs w:val="24"/>
          </w:rPr>
          <m:t>+logA                                                                                                                       (8</m:t>
        </m:r>
        <m:r>
          <w:rPr>
            <w:rFonts w:ascii="Cambria Math" w:eastAsiaTheme="minorEastAsia" w:hAnsi="Cambria Math" w:cs="Times New Roman"/>
            <w:sz w:val="24"/>
            <w:szCs w:val="24"/>
          </w:rPr>
          <m:t>)</m:t>
        </m:r>
      </m:oMath>
      <w:r w:rsidRPr="004443AC">
        <w:rPr>
          <w:rFonts w:ascii="Times New Roman" w:eastAsiaTheme="minorEastAsia" w:hAnsi="Times New Roman" w:cs="Times New Roman"/>
          <w:sz w:val="24"/>
          <w:szCs w:val="24"/>
        </w:rPr>
        <w:t xml:space="preserve"> </w:t>
      </w:r>
    </w:p>
    <w:p w14:paraId="1FBF32DB" w14:textId="77777777" w:rsidR="00BC1C11" w:rsidRPr="004443AC" w:rsidRDefault="00BC1C11" w:rsidP="00BC1C11">
      <w:pPr>
        <w:spacing w:after="0" w:line="360" w:lineRule="auto"/>
        <w:jc w:val="both"/>
        <w:rPr>
          <w:rFonts w:ascii="Times New Roman" w:eastAsiaTheme="minorEastAsia" w:hAnsi="Times New Roman" w:cs="Times New Roman"/>
          <w:sz w:val="24"/>
          <w:szCs w:val="24"/>
        </w:rPr>
      </w:pPr>
      <w:r w:rsidRPr="004443AC">
        <w:rPr>
          <w:rFonts w:ascii="Times New Roman" w:eastAsiaTheme="minorEastAsia" w:hAnsi="Times New Roman" w:cs="Times New Roman"/>
          <w:sz w:val="24"/>
          <w:szCs w:val="24"/>
        </w:rPr>
        <w:lastRenderedPageBreak/>
        <w:t>Where CR is corrosion rate, R the molar gas constant (8.314 J/mol/K), T is the absolute temperature and A is the Arrhenius constant respectively.</w:t>
      </w:r>
    </w:p>
    <w:p w14:paraId="050ECA03" w14:textId="77777777" w:rsidR="00BC1C11" w:rsidRPr="004443AC" w:rsidRDefault="00BC1C11" w:rsidP="00BC1C11">
      <w:pPr>
        <w:tabs>
          <w:tab w:val="left" w:pos="720"/>
        </w:tabs>
        <w:spacing w:after="0" w:line="360" w:lineRule="auto"/>
        <w:jc w:val="both"/>
        <w:rPr>
          <w:rFonts w:ascii="Times New Roman" w:eastAsiaTheme="minorEastAsia" w:hAnsi="Times New Roman" w:cs="Times New Roman"/>
          <w:sz w:val="24"/>
          <w:szCs w:val="24"/>
        </w:rPr>
      </w:pPr>
      <w:r w:rsidRPr="004443AC">
        <w:rPr>
          <w:rFonts w:ascii="Times New Roman" w:eastAsiaTheme="minorEastAsia" w:hAnsi="Times New Roman" w:cs="Times New Roman"/>
          <w:sz w:val="24"/>
          <w:szCs w:val="24"/>
        </w:rPr>
        <w:t>Plotting natural logarithm of the corrosion rate (log CR) verse 1/T in absence and presence of the inhibitor at various concentrations the E</w:t>
      </w:r>
      <w:r w:rsidRPr="00AB7CBF">
        <w:rPr>
          <w:rFonts w:ascii="Times New Roman" w:eastAsiaTheme="minorEastAsia" w:hAnsi="Times New Roman" w:cs="Times New Roman"/>
          <w:sz w:val="24"/>
          <w:szCs w:val="24"/>
          <w:vertAlign w:val="subscript"/>
        </w:rPr>
        <w:t xml:space="preserve">a </w:t>
      </w:r>
      <w:r w:rsidRPr="004443AC">
        <w:rPr>
          <w:rFonts w:ascii="Times New Roman" w:eastAsiaTheme="minorEastAsia" w:hAnsi="Times New Roman" w:cs="Times New Roman"/>
          <w:sz w:val="24"/>
          <w:szCs w:val="24"/>
        </w:rPr>
        <w:t>values were evaluated from their slope and listed in Table 2, with other thermodyn</w:t>
      </w:r>
      <w:r>
        <w:rPr>
          <w:rFonts w:ascii="Times New Roman" w:eastAsiaTheme="minorEastAsia" w:hAnsi="Times New Roman" w:cs="Times New Roman"/>
          <w:sz w:val="24"/>
          <w:szCs w:val="24"/>
        </w:rPr>
        <w:t>a</w:t>
      </w:r>
      <w:r w:rsidRPr="004443AC">
        <w:rPr>
          <w:rFonts w:ascii="Times New Roman" w:eastAsiaTheme="minorEastAsia" w:hAnsi="Times New Roman" w:cs="Times New Roman"/>
          <w:sz w:val="24"/>
          <w:szCs w:val="24"/>
        </w:rPr>
        <w:t>mic parameters (Fig.</w:t>
      </w:r>
      <w:r>
        <w:rPr>
          <w:rFonts w:ascii="Times New Roman" w:eastAsiaTheme="minorEastAsia" w:hAnsi="Times New Roman" w:cs="Times New Roman"/>
          <w:sz w:val="24"/>
          <w:szCs w:val="24"/>
        </w:rPr>
        <w:t xml:space="preserve"> 2</w:t>
      </w:r>
      <w:r w:rsidRPr="004443AC">
        <w:rPr>
          <w:rFonts w:ascii="Times New Roman" w:eastAsiaTheme="minorEastAsia" w:hAnsi="Times New Roman" w:cs="Times New Roman"/>
          <w:sz w:val="24"/>
          <w:szCs w:val="24"/>
        </w:rPr>
        <w:t>).</w:t>
      </w:r>
    </w:p>
    <w:p w14:paraId="23688F63" w14:textId="77777777" w:rsidR="00BC1C11" w:rsidRPr="00A221DD" w:rsidRDefault="00BC1C11" w:rsidP="00BC1C11">
      <w:pPr>
        <w:rPr>
          <w:rFonts w:ascii="Times New Roman" w:hAnsi="Times New Roman" w:cs="Times New Roman"/>
          <w:sz w:val="24"/>
          <w:szCs w:val="24"/>
        </w:rPr>
      </w:pPr>
      <w:r w:rsidRPr="00A221DD">
        <w:rPr>
          <w:rFonts w:ascii="Times New Roman" w:hAnsi="Times New Roman" w:cs="Times New Roman"/>
          <w:noProof/>
          <w:sz w:val="24"/>
          <w:szCs w:val="24"/>
        </w:rPr>
        <w:drawing>
          <wp:inline distT="0" distB="0" distL="0" distR="0" wp14:anchorId="127A6B3B" wp14:editId="7D707FC9">
            <wp:extent cx="5572664" cy="2587625"/>
            <wp:effectExtent l="0" t="0" r="0" b="3175"/>
            <wp:docPr id="178" name="Chart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7D518893" w14:textId="77777777" w:rsidR="00BC1C11" w:rsidRDefault="00BC1C11" w:rsidP="00BC1C11">
      <w:pPr>
        <w:rPr>
          <w:rFonts w:ascii="Times New Roman" w:hAnsi="Times New Roman" w:cs="Times New Roman"/>
          <w:i/>
          <w:sz w:val="24"/>
          <w:szCs w:val="24"/>
        </w:rPr>
      </w:pPr>
      <w:r w:rsidRPr="00080407">
        <w:rPr>
          <w:rFonts w:ascii="Times New Roman" w:hAnsi="Times New Roman" w:cs="Times New Roman"/>
          <w:b/>
          <w:sz w:val="24"/>
          <w:szCs w:val="24"/>
        </w:rPr>
        <w:t>Figure. 2:</w:t>
      </w:r>
      <w:r w:rsidRPr="00A221DD">
        <w:rPr>
          <w:rFonts w:ascii="Times New Roman" w:hAnsi="Times New Roman" w:cs="Times New Roman"/>
          <w:i/>
          <w:sz w:val="24"/>
          <w:szCs w:val="24"/>
        </w:rPr>
        <w:t xml:space="preserve"> </w:t>
      </w:r>
      <w:r w:rsidRPr="00080407">
        <w:rPr>
          <w:rFonts w:ascii="Times New Roman" w:hAnsi="Times New Roman" w:cs="Times New Roman"/>
          <w:sz w:val="24"/>
          <w:szCs w:val="24"/>
        </w:rPr>
        <w:t>Arrhenius plot for LPV-RTV</w:t>
      </w:r>
    </w:p>
    <w:p w14:paraId="3BF177C6" w14:textId="77777777" w:rsidR="008D10F8" w:rsidRPr="000E5107" w:rsidRDefault="008D10F8" w:rsidP="008D10F8">
      <w:pPr>
        <w:pStyle w:val="Heading4"/>
        <w:spacing w:line="360" w:lineRule="auto"/>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Enthalpy (ΔH*) and Entropy (ΔS*</w:t>
      </w:r>
      <w:r w:rsidRPr="000E5107">
        <w:rPr>
          <w:rFonts w:ascii="Times New Roman" w:hAnsi="Times New Roman" w:cs="Times New Roman"/>
          <w:b/>
          <w:i w:val="0"/>
          <w:color w:val="auto"/>
          <w:sz w:val="24"/>
          <w:szCs w:val="24"/>
        </w:rPr>
        <w:t>)</w:t>
      </w:r>
    </w:p>
    <w:p w14:paraId="398CB0E2" w14:textId="77777777" w:rsidR="008D10F8" w:rsidRPr="00BE052C" w:rsidRDefault="008D10F8" w:rsidP="008D10F8">
      <w:pPr>
        <w:tabs>
          <w:tab w:val="left" w:pos="720"/>
        </w:tabs>
        <w:spacing w:after="0" w:line="360" w:lineRule="auto"/>
        <w:jc w:val="both"/>
        <w:rPr>
          <w:rFonts w:ascii="Times New Roman" w:eastAsiaTheme="minorEastAsia" w:hAnsi="Times New Roman" w:cs="Times New Roman"/>
          <w:sz w:val="24"/>
          <w:szCs w:val="24"/>
        </w:rPr>
      </w:pPr>
      <w:r w:rsidRPr="008062C3">
        <w:rPr>
          <w:rFonts w:ascii="Times New Roman" w:hAnsi="Times New Roman" w:cs="Times New Roman"/>
          <w:sz w:val="24"/>
          <w:szCs w:val="24"/>
        </w:rPr>
        <w:t xml:space="preserve">The </w:t>
      </w:r>
      <w:r w:rsidRPr="00BD60E8">
        <w:rPr>
          <w:rStyle w:val="Strong"/>
          <w:rFonts w:ascii="Times New Roman" w:hAnsi="Times New Roman" w:cs="Times New Roman"/>
          <w:b w:val="0"/>
          <w:sz w:val="24"/>
          <w:szCs w:val="24"/>
        </w:rPr>
        <w:t>Van't Hoff equation</w:t>
      </w:r>
      <w:r w:rsidRPr="008062C3">
        <w:rPr>
          <w:rFonts w:ascii="Times New Roman" w:hAnsi="Times New Roman" w:cs="Times New Roman"/>
          <w:sz w:val="24"/>
          <w:szCs w:val="24"/>
        </w:rPr>
        <w:t xml:space="preserve"> is used to relate the temperature dependence of the rate constant (or corrosion rate). By examining the temperature dependence, we can extract the </w:t>
      </w:r>
      <w:r w:rsidRPr="00BD60E8">
        <w:rPr>
          <w:rStyle w:val="Strong"/>
          <w:rFonts w:ascii="Times New Roman" w:hAnsi="Times New Roman" w:cs="Times New Roman"/>
          <w:b w:val="0"/>
          <w:sz w:val="24"/>
          <w:szCs w:val="24"/>
        </w:rPr>
        <w:t>activation parameters</w:t>
      </w:r>
      <w:r w:rsidRPr="008062C3">
        <w:rPr>
          <w:rFonts w:ascii="Times New Roman" w:hAnsi="Times New Roman" w:cs="Times New Roman"/>
          <w:sz w:val="24"/>
          <w:szCs w:val="24"/>
        </w:rPr>
        <w:t xml:space="preserve"> such as the </w:t>
      </w:r>
      <w:r w:rsidRPr="00BD60E8">
        <w:rPr>
          <w:rStyle w:val="Strong"/>
          <w:rFonts w:ascii="Times New Roman" w:hAnsi="Times New Roman" w:cs="Times New Roman"/>
          <w:b w:val="0"/>
          <w:sz w:val="24"/>
          <w:szCs w:val="24"/>
        </w:rPr>
        <w:t>enthalpy</w:t>
      </w:r>
      <w:r w:rsidRPr="008062C3">
        <w:rPr>
          <w:rFonts w:ascii="Times New Roman" w:hAnsi="Times New Roman" w:cs="Times New Roman"/>
          <w:b/>
          <w:sz w:val="24"/>
          <w:szCs w:val="24"/>
        </w:rPr>
        <w:t xml:space="preserve"> </w:t>
      </w:r>
      <w:r w:rsidRPr="008062C3">
        <w:rPr>
          <w:rFonts w:ascii="Times New Roman" w:hAnsi="Times New Roman" w:cs="Times New Roman"/>
          <w:sz w:val="24"/>
          <w:szCs w:val="24"/>
        </w:rPr>
        <w:t>and</w:t>
      </w:r>
      <w:r w:rsidRPr="008062C3">
        <w:rPr>
          <w:rFonts w:ascii="Times New Roman" w:hAnsi="Times New Roman" w:cs="Times New Roman"/>
          <w:b/>
          <w:sz w:val="24"/>
          <w:szCs w:val="24"/>
        </w:rPr>
        <w:t xml:space="preserve"> </w:t>
      </w:r>
      <w:r w:rsidRPr="00BD60E8">
        <w:rPr>
          <w:rStyle w:val="Strong"/>
          <w:rFonts w:ascii="Times New Roman" w:hAnsi="Times New Roman" w:cs="Times New Roman"/>
          <w:b w:val="0"/>
          <w:sz w:val="24"/>
          <w:szCs w:val="24"/>
        </w:rPr>
        <w:t>entropy</w:t>
      </w:r>
      <w:r w:rsidRPr="00BD60E8">
        <w:rPr>
          <w:rFonts w:ascii="Times New Roman" w:hAnsi="Times New Roman" w:cs="Times New Roman"/>
          <w:b/>
          <w:sz w:val="24"/>
          <w:szCs w:val="24"/>
        </w:rPr>
        <w:t xml:space="preserve"> </w:t>
      </w:r>
      <w:r w:rsidRPr="008062C3">
        <w:rPr>
          <w:rFonts w:ascii="Times New Roman" w:hAnsi="Times New Roman" w:cs="Times New Roman"/>
          <w:sz w:val="24"/>
          <w:szCs w:val="24"/>
        </w:rPr>
        <w:t>of activ</w:t>
      </w:r>
      <w:r>
        <w:rPr>
          <w:rFonts w:ascii="Times New Roman" w:hAnsi="Times New Roman" w:cs="Times New Roman"/>
          <w:sz w:val="24"/>
          <w:szCs w:val="24"/>
        </w:rPr>
        <w:t>ation. The equation is given by;</w:t>
      </w:r>
    </w:p>
    <w:p w14:paraId="656AB2A7" w14:textId="77777777" w:rsidR="008D10F8" w:rsidRPr="004443AC" w:rsidRDefault="008D10F8" w:rsidP="008D10F8">
      <w:pPr>
        <w:spacing w:after="0" w:line="36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log</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CR</m:t>
              </m:r>
            </m:num>
            <m:den>
              <m:r>
                <m:rPr>
                  <m:sty m:val="p"/>
                </m:rPr>
                <w:rPr>
                  <w:rFonts w:ascii="Cambria Math" w:eastAsiaTheme="minorEastAsia" w:hAnsi="Cambria Math" w:cs="Times New Roman"/>
                  <w:sz w:val="24"/>
                  <w:szCs w:val="24"/>
                </w:rPr>
                <m:t>T</m:t>
              </m:r>
            </m:den>
          </m:f>
          <m:r>
            <m:rPr>
              <m:sty m:val="p"/>
            </m:rP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sz w:val="24"/>
                  <w:szCs w:val="24"/>
                </w:rPr>
              </m:ctrlPr>
            </m:dPr>
            <m:e>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log</m:t>
                  </m: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R</m:t>
                          </m:r>
                        </m:num>
                        <m:den>
                          <m:r>
                            <m:rPr>
                              <m:sty m:val="p"/>
                            </m:rPr>
                            <w:rPr>
                              <w:rFonts w:ascii="Cambria Math" w:eastAsiaTheme="minorEastAsia" w:hAnsi="Cambria Math" w:cs="Times New Roman"/>
                              <w:sz w:val="24"/>
                              <w:szCs w:val="24"/>
                            </w:rPr>
                            <m:t>Nh</m:t>
                          </m:r>
                        </m:den>
                      </m:f>
                    </m:e>
                  </m:d>
                </m:e>
              </m:func>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∆S</m:t>
                      </m:r>
                    </m:e>
                    <m:sup>
                      <m:r>
                        <m:rPr>
                          <m:sty m:val="p"/>
                        </m:rPr>
                        <w:rPr>
                          <w:rFonts w:ascii="Cambria Math" w:eastAsiaTheme="minorEastAsia" w:hAnsi="Cambria Math" w:cs="Times New Roman"/>
                          <w:sz w:val="24"/>
                          <w:szCs w:val="24"/>
                        </w:rPr>
                        <m:t>*</m:t>
                      </m:r>
                    </m:sup>
                  </m:sSup>
                </m:num>
                <m:den>
                  <m:r>
                    <m:rPr>
                      <m:sty m:val="p"/>
                    </m:rPr>
                    <w:rPr>
                      <w:rFonts w:ascii="Cambria Math" w:eastAsiaTheme="minorEastAsia" w:hAnsi="Cambria Math" w:cs="Times New Roman"/>
                      <w:sz w:val="24"/>
                      <w:szCs w:val="24"/>
                    </w:rPr>
                    <m:t xml:space="preserve">2.303R </m:t>
                  </m:r>
                </m:den>
              </m:f>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∆H</m:t>
                  </m:r>
                </m:e>
                <m:sup>
                  <m:r>
                    <m:rPr>
                      <m:sty m:val="p"/>
                    </m:rPr>
                    <w:rPr>
                      <w:rFonts w:ascii="Cambria Math" w:eastAsiaTheme="minorEastAsia" w:hAnsi="Cambria Math" w:cs="Times New Roman"/>
                      <w:sz w:val="24"/>
                      <w:szCs w:val="24"/>
                    </w:rPr>
                    <m:t>*</m:t>
                  </m:r>
                </m:sup>
              </m:sSup>
            </m:num>
            <m:den>
              <m:r>
                <m:rPr>
                  <m:sty m:val="p"/>
                </m:rPr>
                <w:rPr>
                  <w:rFonts w:ascii="Cambria Math" w:eastAsiaTheme="minorEastAsia" w:hAnsi="Cambria Math" w:cs="Times New Roman"/>
                  <w:sz w:val="24"/>
                  <w:szCs w:val="24"/>
                </w:rPr>
                <m:t>2.303RT</m:t>
              </m:r>
            </m:den>
          </m:f>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9</m:t>
              </m:r>
            </m:e>
          </m:d>
        </m:oMath>
      </m:oMathPara>
    </w:p>
    <w:p w14:paraId="4954A7BB" w14:textId="77777777" w:rsidR="008D10F8" w:rsidRDefault="008D10F8" w:rsidP="008D10F8">
      <w:pPr>
        <w:spacing w:after="0" w:line="360" w:lineRule="auto"/>
        <w:jc w:val="both"/>
        <w:rPr>
          <w:rFonts w:ascii="Times New Roman" w:eastAsiaTheme="minorEastAsia" w:hAnsi="Times New Roman" w:cs="Times New Roman"/>
          <w:sz w:val="24"/>
          <w:szCs w:val="24"/>
        </w:rPr>
      </w:pPr>
      <w:r w:rsidRPr="004443AC">
        <w:rPr>
          <w:rFonts w:ascii="Times New Roman" w:eastAsiaTheme="minorEastAsia" w:hAnsi="Times New Roman" w:cs="Times New Roman"/>
          <w:sz w:val="24"/>
          <w:szCs w:val="24"/>
        </w:rPr>
        <w:t xml:space="preserve">Where h is the plank’s constant and N is the Avogadro’s number, respectively. </w:t>
      </w:r>
    </w:p>
    <w:p w14:paraId="4FB37C76" w14:textId="77777777" w:rsidR="008D10F8" w:rsidRDefault="008D10F8" w:rsidP="008D10F8">
      <w:pPr>
        <w:spacing w:after="0" w:line="360" w:lineRule="auto"/>
        <w:jc w:val="both"/>
        <w:rPr>
          <w:rFonts w:ascii="Times New Roman" w:eastAsiaTheme="minorEastAsia" w:hAnsi="Times New Roman" w:cs="Times New Roman"/>
          <w:sz w:val="24"/>
          <w:szCs w:val="24"/>
        </w:rPr>
      </w:pPr>
      <w:r w:rsidRPr="004443AC">
        <w:rPr>
          <w:rFonts w:ascii="Times New Roman" w:eastAsiaTheme="minorEastAsia" w:hAnsi="Times New Roman" w:cs="Times New Roman"/>
          <w:sz w:val="24"/>
          <w:szCs w:val="24"/>
        </w:rPr>
        <w:t xml:space="preserve">A plot of </w:t>
      </w:r>
      <m:oMath>
        <m:r>
          <m:rPr>
            <m:sty m:val="p"/>
          </m:rPr>
          <w:rPr>
            <w:rFonts w:ascii="Cambria Math" w:eastAsiaTheme="minorEastAsia" w:hAnsi="Cambria Math" w:cs="Times New Roman"/>
            <w:sz w:val="24"/>
            <w:szCs w:val="24"/>
          </w:rPr>
          <m:t>log</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CR</m:t>
            </m:r>
          </m:num>
          <m:den>
            <m:r>
              <m:rPr>
                <m:sty m:val="p"/>
              </m:rPr>
              <w:rPr>
                <w:rFonts w:ascii="Cambria Math" w:eastAsiaTheme="minorEastAsia" w:hAnsi="Cambria Math" w:cs="Times New Roman"/>
                <w:sz w:val="24"/>
                <w:szCs w:val="24"/>
              </w:rPr>
              <m:t>T</m:t>
            </m:r>
          </m:den>
        </m:f>
        <m:r>
          <m:rPr>
            <m:sty m:val="p"/>
          </m:rPr>
          <w:rPr>
            <w:rFonts w:ascii="Cambria Math" w:eastAsiaTheme="minorEastAsia" w:hAnsi="Cambria Math" w:cs="Times New Roman"/>
            <w:sz w:val="24"/>
            <w:szCs w:val="24"/>
          </w:rPr>
          <m:t xml:space="preserve"> verse</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T</m:t>
            </m:r>
          </m:den>
        </m:f>
      </m:oMath>
      <w:r>
        <w:rPr>
          <w:rFonts w:ascii="Times New Roman" w:eastAsiaTheme="minorEastAsia" w:hAnsi="Times New Roman" w:cs="Times New Roman"/>
          <w:sz w:val="24"/>
          <w:szCs w:val="24"/>
        </w:rPr>
        <w:t xml:space="preserve">  gave a straight line</w:t>
      </w:r>
      <w:r w:rsidRPr="004443AC">
        <w:rPr>
          <w:rFonts w:ascii="Times New Roman" w:eastAsiaTheme="minorEastAsia" w:hAnsi="Times New Roman" w:cs="Times New Roman"/>
          <w:sz w:val="24"/>
          <w:szCs w:val="24"/>
        </w:rPr>
        <w:t xml:space="preserve"> with a slope of</w:t>
      </w:r>
      <m:oMath>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-∆H</m:t>
                </m:r>
              </m:e>
              <m:sup>
                <m:r>
                  <m:rPr>
                    <m:sty m:val="p"/>
                  </m:rPr>
                  <w:rPr>
                    <w:rFonts w:ascii="Cambria Math" w:eastAsiaTheme="minorEastAsia" w:hAnsi="Cambria Math" w:cs="Times New Roman"/>
                    <w:sz w:val="24"/>
                    <w:szCs w:val="24"/>
                  </w:rPr>
                  <m:t>*</m:t>
                </m:r>
              </m:sup>
            </m:sSup>
          </m:num>
          <m:den>
            <m:r>
              <m:rPr>
                <m:sty m:val="p"/>
              </m:rPr>
              <w:rPr>
                <w:rFonts w:ascii="Cambria Math" w:eastAsiaTheme="minorEastAsia" w:hAnsi="Cambria Math" w:cs="Times New Roman"/>
                <w:sz w:val="24"/>
                <w:szCs w:val="24"/>
              </w:rPr>
              <m:t>2.303R</m:t>
            </m:r>
          </m:den>
        </m:f>
        <m:r>
          <m:rPr>
            <m:sty m:val="p"/>
          </m:rPr>
          <w:rPr>
            <w:rFonts w:ascii="Cambria Math" w:eastAsiaTheme="minorEastAsia" w:hAnsi="Cambria Math" w:cs="Times New Roman"/>
            <w:sz w:val="24"/>
            <w:szCs w:val="24"/>
          </w:rPr>
          <m:t xml:space="preserve"> and intercept of [</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log</m:t>
            </m: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R</m:t>
                    </m:r>
                  </m:num>
                  <m:den>
                    <m:r>
                      <m:rPr>
                        <m:sty m:val="p"/>
                      </m:rPr>
                      <w:rPr>
                        <w:rFonts w:ascii="Cambria Math" w:eastAsiaTheme="minorEastAsia" w:hAnsi="Cambria Math" w:cs="Times New Roman"/>
                        <w:sz w:val="24"/>
                        <w:szCs w:val="24"/>
                      </w:rPr>
                      <m:t>Nh</m:t>
                    </m:r>
                  </m:den>
                </m:f>
              </m:e>
            </m:d>
          </m:e>
        </m:func>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∆S</m:t>
                </m:r>
              </m:e>
              <m:sup>
                <m:r>
                  <m:rPr>
                    <m:sty m:val="p"/>
                  </m:rPr>
                  <w:rPr>
                    <w:rFonts w:ascii="Cambria Math" w:eastAsiaTheme="minorEastAsia" w:hAnsi="Cambria Math" w:cs="Times New Roman"/>
                    <w:sz w:val="24"/>
                    <w:szCs w:val="24"/>
                  </w:rPr>
                  <m:t>*</m:t>
                </m:r>
              </m:sup>
            </m:sSup>
          </m:num>
          <m:den>
            <m:r>
              <m:rPr>
                <m:sty m:val="p"/>
              </m:rPr>
              <w:rPr>
                <w:rFonts w:ascii="Cambria Math" w:eastAsiaTheme="minorEastAsia" w:hAnsi="Cambria Math" w:cs="Times New Roman"/>
                <w:sz w:val="24"/>
                <w:szCs w:val="24"/>
              </w:rPr>
              <m:t xml:space="preserve">2.303R </m:t>
            </m:r>
          </m:den>
        </m:f>
        <m:r>
          <m:rPr>
            <m:sty m:val="p"/>
          </m:rPr>
          <w:rPr>
            <w:rFonts w:ascii="Cambria Math" w:eastAsiaTheme="minorEastAsia" w:hAnsi="Cambria Math" w:cs="Times New Roman"/>
            <w:sz w:val="24"/>
            <w:szCs w:val="24"/>
          </w:rPr>
          <m:t>]</m:t>
        </m:r>
      </m:oMath>
      <w:r w:rsidRPr="004443AC">
        <w:rPr>
          <w:rFonts w:ascii="Times New Roman" w:eastAsiaTheme="minorEastAsia" w:hAnsi="Times New Roman" w:cs="Times New Roman"/>
          <w:sz w:val="24"/>
          <w:szCs w:val="24"/>
        </w:rPr>
        <w:t xml:space="preserve">, from which the activation thermodynamics parameters </w:t>
      </w: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H</m:t>
                </m:r>
              </m:e>
              <m:sup>
                <m:r>
                  <m:rPr>
                    <m:sty m:val="p"/>
                  </m:rPr>
                  <w:rPr>
                    <w:rFonts w:ascii="Cambria Math" w:eastAsiaTheme="minorEastAsia" w:hAnsi="Cambria Math" w:cs="Times New Roman"/>
                    <w:sz w:val="24"/>
                    <w:szCs w:val="24"/>
                  </w:rPr>
                  <m:t>*</m:t>
                </m:r>
              </m:sup>
            </m:sSup>
          </m:e>
        </m:d>
        <m:r>
          <m:rPr>
            <m:sty m:val="p"/>
          </m:rPr>
          <w:rPr>
            <w:rFonts w:ascii="Cambria Math" w:eastAsiaTheme="minorEastAsia" w:hAnsi="Cambria Math" w:cs="Times New Roman"/>
            <w:sz w:val="24"/>
            <w:szCs w:val="24"/>
          </w:rPr>
          <m:t xml:space="preserve"> and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S</m:t>
            </m:r>
          </m:e>
          <m:sup>
            <m:r>
              <m:rPr>
                <m:sty m:val="p"/>
              </m:rPr>
              <w:rPr>
                <w:rFonts w:ascii="Cambria Math" w:eastAsiaTheme="minorEastAsia" w:hAnsi="Cambria Math" w:cs="Times New Roman"/>
                <w:sz w:val="24"/>
                <w:szCs w:val="24"/>
              </w:rPr>
              <m:t>*</m:t>
            </m:r>
          </m:sup>
        </m:sSup>
        <m:r>
          <m:rPr>
            <m:sty m:val="p"/>
          </m:rP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were evaluated from Fig. 3</w:t>
      </w:r>
      <w:r w:rsidRPr="004443AC">
        <w:rPr>
          <w:rFonts w:ascii="Times New Roman" w:eastAsiaTheme="minorEastAsia" w:hAnsi="Times New Roman" w:cs="Times New Roman"/>
          <w:sz w:val="24"/>
          <w:szCs w:val="24"/>
        </w:rPr>
        <w:t>, and summarize in Table 3.</w:t>
      </w:r>
    </w:p>
    <w:p w14:paraId="33BA984E" w14:textId="77777777" w:rsidR="008D10F8" w:rsidRPr="00A221DD" w:rsidRDefault="008D10F8" w:rsidP="008D10F8">
      <w:pPr>
        <w:rPr>
          <w:rFonts w:ascii="Times New Roman" w:hAnsi="Times New Roman" w:cs="Times New Roman"/>
          <w:sz w:val="24"/>
          <w:szCs w:val="24"/>
        </w:rPr>
      </w:pPr>
      <w:r w:rsidRPr="00A221DD">
        <w:rPr>
          <w:rFonts w:ascii="Times New Roman" w:hAnsi="Times New Roman" w:cs="Times New Roman"/>
          <w:noProof/>
          <w:sz w:val="24"/>
          <w:szCs w:val="24"/>
        </w:rPr>
        <w:lastRenderedPageBreak/>
        <w:drawing>
          <wp:inline distT="0" distB="0" distL="0" distR="0" wp14:anchorId="5FE33B8D" wp14:editId="2B70820A">
            <wp:extent cx="5417389" cy="2750820"/>
            <wp:effectExtent l="0" t="0" r="0" b="0"/>
            <wp:docPr id="181" name="Chart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871AF39" w14:textId="77777777" w:rsidR="008D10F8" w:rsidRPr="00080407" w:rsidRDefault="008D10F8" w:rsidP="008D10F8">
      <w:pPr>
        <w:rPr>
          <w:rFonts w:ascii="Times New Roman" w:hAnsi="Times New Roman" w:cs="Times New Roman"/>
          <w:sz w:val="24"/>
          <w:szCs w:val="24"/>
        </w:rPr>
      </w:pPr>
      <w:r w:rsidRPr="00080407">
        <w:rPr>
          <w:rFonts w:ascii="Times New Roman" w:hAnsi="Times New Roman" w:cs="Times New Roman"/>
          <w:b/>
          <w:sz w:val="24"/>
          <w:szCs w:val="24"/>
        </w:rPr>
        <w:t>Figure. 3</w:t>
      </w:r>
      <w:r w:rsidRPr="00A221DD">
        <w:rPr>
          <w:rFonts w:ascii="Times New Roman" w:hAnsi="Times New Roman" w:cs="Times New Roman"/>
          <w:i/>
          <w:sz w:val="24"/>
          <w:szCs w:val="24"/>
        </w:rPr>
        <w:t xml:space="preserve">: </w:t>
      </w:r>
      <w:r w:rsidRPr="00080407">
        <w:rPr>
          <w:rFonts w:ascii="Times New Roman" w:hAnsi="Times New Roman" w:cs="Times New Roman"/>
          <w:sz w:val="24"/>
          <w:szCs w:val="24"/>
        </w:rPr>
        <w:t>Transition state plot for LPV-RTV.</w:t>
      </w:r>
    </w:p>
    <w:p w14:paraId="5C5BCABD" w14:textId="77777777" w:rsidR="008D10F8" w:rsidRPr="004443AC" w:rsidRDefault="008D10F8" w:rsidP="008D10F8">
      <w:pPr>
        <w:spacing w:after="0" w:line="360" w:lineRule="auto"/>
        <w:jc w:val="both"/>
        <w:rPr>
          <w:rFonts w:ascii="Times New Roman" w:eastAsiaTheme="minorEastAsia" w:hAnsi="Times New Roman" w:cs="Times New Roman"/>
          <w:sz w:val="24"/>
          <w:szCs w:val="24"/>
        </w:rPr>
      </w:pPr>
    </w:p>
    <w:p w14:paraId="487D94DE" w14:textId="77777777" w:rsidR="008D10F8" w:rsidRPr="00080407" w:rsidRDefault="008D10F8" w:rsidP="008D10F8">
      <w:pPr>
        <w:spacing w:after="0" w:line="360" w:lineRule="auto"/>
        <w:ind w:left="900" w:hanging="900"/>
        <w:jc w:val="both"/>
        <w:rPr>
          <w:rFonts w:ascii="Times New Roman" w:hAnsi="Times New Roman" w:cs="Times New Roman"/>
          <w:sz w:val="24"/>
          <w:szCs w:val="24"/>
        </w:rPr>
      </w:pPr>
      <w:r w:rsidRPr="004443AC">
        <w:rPr>
          <w:rFonts w:ascii="Times New Roman" w:hAnsi="Times New Roman" w:cs="Times New Roman"/>
          <w:b/>
          <w:sz w:val="24"/>
          <w:szCs w:val="24"/>
        </w:rPr>
        <w:t xml:space="preserve">Table. 3: </w:t>
      </w:r>
      <w:r w:rsidRPr="00080407">
        <w:rPr>
          <w:rFonts w:ascii="Times New Roman" w:hAnsi="Times New Roman" w:cs="Times New Roman"/>
          <w:sz w:val="24"/>
          <w:szCs w:val="24"/>
        </w:rPr>
        <w:t>Thermodynamic parameters for corrosion inhibition of API 5L X65 mild steel   in absence and present of an inhibitor.</w:t>
      </w:r>
    </w:p>
    <w:tbl>
      <w:tblPr>
        <w:tblStyle w:val="PlainTable2"/>
        <w:tblW w:w="0" w:type="auto"/>
        <w:jc w:val="center"/>
        <w:tblLook w:val="04A0" w:firstRow="1" w:lastRow="0" w:firstColumn="1" w:lastColumn="0" w:noHBand="0" w:noVBand="1"/>
      </w:tblPr>
      <w:tblGrid>
        <w:gridCol w:w="1870"/>
        <w:gridCol w:w="1870"/>
        <w:gridCol w:w="1870"/>
        <w:gridCol w:w="1870"/>
      </w:tblGrid>
      <w:tr w:rsidR="008D10F8" w:rsidRPr="004443AC" w14:paraId="2A41BFE0" w14:textId="77777777" w:rsidTr="008D10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14:paraId="14C4EB2F" w14:textId="77777777" w:rsidR="008D10F8" w:rsidRPr="004443AC" w:rsidRDefault="008D10F8" w:rsidP="008D10F8">
            <w:pPr>
              <w:spacing w:line="360" w:lineRule="auto"/>
              <w:jc w:val="both"/>
              <w:rPr>
                <w:rFonts w:ascii="Times New Roman" w:hAnsi="Times New Roman" w:cs="Times New Roman"/>
                <w:b w:val="0"/>
                <w:sz w:val="24"/>
                <w:szCs w:val="24"/>
              </w:rPr>
            </w:pPr>
            <w:r w:rsidRPr="004443AC">
              <w:rPr>
                <w:rFonts w:ascii="Times New Roman" w:hAnsi="Times New Roman" w:cs="Times New Roman"/>
                <w:b w:val="0"/>
                <w:sz w:val="24"/>
                <w:szCs w:val="24"/>
              </w:rPr>
              <w:t>Inhibitor</w:t>
            </w:r>
          </w:p>
          <w:p w14:paraId="617F1814" w14:textId="77777777" w:rsidR="008D10F8" w:rsidRPr="004443AC" w:rsidRDefault="008D10F8" w:rsidP="008D10F8">
            <w:pPr>
              <w:spacing w:line="360" w:lineRule="auto"/>
              <w:jc w:val="both"/>
              <w:rPr>
                <w:rFonts w:ascii="Times New Roman" w:hAnsi="Times New Roman" w:cs="Times New Roman"/>
                <w:sz w:val="24"/>
                <w:szCs w:val="24"/>
              </w:rPr>
            </w:pPr>
            <w:r w:rsidRPr="004443AC">
              <w:rPr>
                <w:rFonts w:ascii="Times New Roman" w:hAnsi="Times New Roman" w:cs="Times New Roman"/>
                <w:b w:val="0"/>
                <w:sz w:val="24"/>
                <w:szCs w:val="24"/>
              </w:rPr>
              <w:t>Conc.(mg/L)</w:t>
            </w:r>
          </w:p>
        </w:tc>
        <w:tc>
          <w:tcPr>
            <w:tcW w:w="1870" w:type="dxa"/>
          </w:tcPr>
          <w:p w14:paraId="63CBA555" w14:textId="77777777" w:rsidR="008D10F8" w:rsidRPr="004443AC" w:rsidRDefault="008D10F8" w:rsidP="008D10F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443AC">
              <w:rPr>
                <w:rFonts w:ascii="Times New Roman" w:hAnsi="Times New Roman" w:cs="Times New Roman"/>
                <w:b w:val="0"/>
                <w:sz w:val="24"/>
                <w:szCs w:val="24"/>
                <w:u w:val="single"/>
              </w:rPr>
              <w:t>Ea (kJ/mol)</w:t>
            </w:r>
          </w:p>
        </w:tc>
        <w:tc>
          <w:tcPr>
            <w:tcW w:w="1870" w:type="dxa"/>
          </w:tcPr>
          <w:p w14:paraId="1692A791" w14:textId="77777777" w:rsidR="008D10F8" w:rsidRPr="004443AC" w:rsidRDefault="00000000" w:rsidP="008D10F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m:oMath>
              <m:sSup>
                <m:sSupPr>
                  <m:ctrlPr>
                    <w:rPr>
                      <w:rFonts w:ascii="Cambria Math" w:hAnsi="Cambria Math" w:cs="Times New Roman"/>
                      <w:sz w:val="24"/>
                      <w:szCs w:val="24"/>
                    </w:rPr>
                  </m:ctrlPr>
                </m:sSupPr>
                <m:e>
                  <m:r>
                    <m:rPr>
                      <m:sty m:val="b"/>
                    </m:rPr>
                    <w:rPr>
                      <w:rFonts w:ascii="Cambria Math" w:hAnsi="Cambria Math" w:cs="Times New Roman"/>
                      <w:sz w:val="24"/>
                      <w:szCs w:val="24"/>
                    </w:rPr>
                    <m:t>-∆H</m:t>
                  </m:r>
                </m:e>
                <m:sup>
                  <m:r>
                    <m:rPr>
                      <m:sty m:val="bi"/>
                    </m:rPr>
                    <w:rPr>
                      <w:rFonts w:ascii="Cambria Math" w:hAnsi="Cambria Math" w:cs="Times New Roman"/>
                      <w:sz w:val="24"/>
                      <w:szCs w:val="24"/>
                    </w:rPr>
                    <m:t>*</m:t>
                  </m:r>
                </m:sup>
              </m:sSup>
            </m:oMath>
            <w:r w:rsidR="008D10F8" w:rsidRPr="004443AC">
              <w:rPr>
                <w:rFonts w:ascii="Times New Roman" w:eastAsiaTheme="minorEastAsia" w:hAnsi="Times New Roman" w:cs="Times New Roman"/>
                <w:b w:val="0"/>
                <w:sz w:val="24"/>
                <w:szCs w:val="24"/>
              </w:rPr>
              <w:t xml:space="preserve"> </w:t>
            </w:r>
            <w:r w:rsidR="008D10F8" w:rsidRPr="004443AC">
              <w:rPr>
                <w:rFonts w:ascii="Times New Roman" w:hAnsi="Times New Roman" w:cs="Times New Roman"/>
                <w:b w:val="0"/>
                <w:sz w:val="24"/>
                <w:szCs w:val="24"/>
                <w:u w:val="single"/>
              </w:rPr>
              <w:t>(kJ/mol)</w:t>
            </w:r>
          </w:p>
        </w:tc>
        <w:tc>
          <w:tcPr>
            <w:tcW w:w="1870" w:type="dxa"/>
          </w:tcPr>
          <w:p w14:paraId="1333188E" w14:textId="77777777" w:rsidR="008D10F8" w:rsidRPr="004443AC" w:rsidRDefault="00000000" w:rsidP="008D10F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m:oMathPara>
              <m:oMath>
                <m:sSup>
                  <m:sSupPr>
                    <m:ctrlPr>
                      <w:rPr>
                        <w:rFonts w:ascii="Cambria Math" w:hAnsi="Cambria Math" w:cs="Times New Roman"/>
                        <w:sz w:val="24"/>
                        <w:szCs w:val="24"/>
                      </w:rPr>
                    </m:ctrlPr>
                  </m:sSupPr>
                  <m:e>
                    <m:r>
                      <m:rPr>
                        <m:sty m:val="b"/>
                      </m:rPr>
                      <w:rPr>
                        <w:rFonts w:ascii="Cambria Math" w:hAnsi="Cambria Math" w:cs="Times New Roman"/>
                        <w:sz w:val="24"/>
                        <w:szCs w:val="24"/>
                      </w:rPr>
                      <m:t>-∆S</m:t>
                    </m:r>
                  </m:e>
                  <m:sup>
                    <m:r>
                      <m:rPr>
                        <m:sty m:val="bi"/>
                      </m:rPr>
                      <w:rPr>
                        <w:rFonts w:ascii="Cambria Math" w:hAnsi="Cambria Math" w:cs="Times New Roman"/>
                        <w:sz w:val="24"/>
                        <w:szCs w:val="24"/>
                      </w:rPr>
                      <m:t>*</m:t>
                    </m:r>
                  </m:sup>
                </m:sSup>
                <m:r>
                  <m:rPr>
                    <m:sty m:val="b"/>
                  </m:rPr>
                  <w:rPr>
                    <w:rFonts w:ascii="Cambria Math" w:hAnsi="Cambria Math" w:cs="Times New Roman"/>
                    <w:sz w:val="24"/>
                    <w:szCs w:val="24"/>
                    <w:u w:val="single"/>
                  </w:rPr>
                  <m:t>(kJ/mol)</m:t>
                </m:r>
              </m:oMath>
            </m:oMathPara>
          </w:p>
        </w:tc>
      </w:tr>
      <w:tr w:rsidR="008D10F8" w:rsidRPr="004443AC" w14:paraId="5CDD2BD1" w14:textId="77777777" w:rsidTr="008D10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Borders>
              <w:bottom w:val="nil"/>
            </w:tcBorders>
          </w:tcPr>
          <w:p w14:paraId="376AC85F" w14:textId="77777777" w:rsidR="008D10F8" w:rsidRPr="004443AC" w:rsidRDefault="008D10F8" w:rsidP="008D10F8">
            <w:pPr>
              <w:spacing w:line="360" w:lineRule="auto"/>
              <w:jc w:val="center"/>
              <w:rPr>
                <w:rFonts w:ascii="Times New Roman" w:hAnsi="Times New Roman" w:cs="Times New Roman"/>
                <w:sz w:val="24"/>
                <w:szCs w:val="24"/>
              </w:rPr>
            </w:pPr>
            <w:r w:rsidRPr="004443AC">
              <w:rPr>
                <w:rFonts w:ascii="Times New Roman" w:hAnsi="Times New Roman" w:cs="Times New Roman"/>
                <w:sz w:val="24"/>
                <w:szCs w:val="24"/>
              </w:rPr>
              <w:t>Blank</w:t>
            </w:r>
          </w:p>
        </w:tc>
        <w:tc>
          <w:tcPr>
            <w:tcW w:w="1870" w:type="dxa"/>
            <w:tcBorders>
              <w:bottom w:val="nil"/>
            </w:tcBorders>
          </w:tcPr>
          <w:p w14:paraId="1695AFBE" w14:textId="77777777" w:rsidR="008D10F8" w:rsidRPr="00A221DD" w:rsidRDefault="008D10F8" w:rsidP="008D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221DD">
              <w:rPr>
                <w:rFonts w:ascii="Times New Roman" w:hAnsi="Times New Roman" w:cs="Times New Roman"/>
                <w:b/>
                <w:sz w:val="24"/>
                <w:szCs w:val="24"/>
              </w:rPr>
              <w:t>35.81</w:t>
            </w:r>
          </w:p>
        </w:tc>
        <w:tc>
          <w:tcPr>
            <w:tcW w:w="1870" w:type="dxa"/>
            <w:tcBorders>
              <w:bottom w:val="nil"/>
            </w:tcBorders>
          </w:tcPr>
          <w:p w14:paraId="0783CD97" w14:textId="77777777" w:rsidR="008D10F8" w:rsidRPr="00A221DD" w:rsidRDefault="008D10F8" w:rsidP="008D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221DD">
              <w:rPr>
                <w:rFonts w:ascii="Times New Roman" w:hAnsi="Times New Roman" w:cs="Times New Roman"/>
                <w:b/>
                <w:sz w:val="24"/>
                <w:szCs w:val="24"/>
              </w:rPr>
              <w:t>33.90</w:t>
            </w:r>
          </w:p>
        </w:tc>
        <w:tc>
          <w:tcPr>
            <w:tcW w:w="1870" w:type="dxa"/>
            <w:tcBorders>
              <w:bottom w:val="nil"/>
            </w:tcBorders>
          </w:tcPr>
          <w:p w14:paraId="6672CADB" w14:textId="77777777" w:rsidR="008D10F8" w:rsidRPr="00A221DD" w:rsidRDefault="008D10F8" w:rsidP="008D10F8">
            <w:pPr>
              <w:spacing w:line="360" w:lineRule="auto"/>
              <w:ind w:right="-2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221DD">
              <w:rPr>
                <w:rFonts w:ascii="Times New Roman" w:hAnsi="Times New Roman" w:cs="Times New Roman"/>
                <w:b/>
                <w:sz w:val="24"/>
                <w:szCs w:val="24"/>
              </w:rPr>
              <w:t>223.63</w:t>
            </w:r>
          </w:p>
        </w:tc>
      </w:tr>
      <w:tr w:rsidR="008D10F8" w:rsidRPr="004443AC" w14:paraId="7F5A6072" w14:textId="77777777" w:rsidTr="008D10F8">
        <w:trPr>
          <w:jc w:val="center"/>
        </w:trPr>
        <w:tc>
          <w:tcPr>
            <w:cnfStyle w:val="001000000000" w:firstRow="0" w:lastRow="0" w:firstColumn="1" w:lastColumn="0" w:oddVBand="0" w:evenVBand="0" w:oddHBand="0" w:evenHBand="0" w:firstRowFirstColumn="0" w:firstRowLastColumn="0" w:lastRowFirstColumn="0" w:lastRowLastColumn="0"/>
            <w:tcW w:w="1870" w:type="dxa"/>
            <w:tcBorders>
              <w:top w:val="nil"/>
              <w:bottom w:val="nil"/>
            </w:tcBorders>
          </w:tcPr>
          <w:p w14:paraId="2BE6DF39" w14:textId="77777777" w:rsidR="008D10F8" w:rsidRPr="004443AC" w:rsidRDefault="008D10F8" w:rsidP="008D10F8">
            <w:pPr>
              <w:spacing w:line="360" w:lineRule="auto"/>
              <w:jc w:val="center"/>
              <w:rPr>
                <w:rFonts w:ascii="Times New Roman" w:hAnsi="Times New Roman" w:cs="Times New Roman"/>
                <w:sz w:val="24"/>
                <w:szCs w:val="24"/>
              </w:rPr>
            </w:pPr>
            <w:r w:rsidRPr="004443AC">
              <w:rPr>
                <w:rFonts w:ascii="Times New Roman" w:hAnsi="Times New Roman" w:cs="Times New Roman"/>
                <w:sz w:val="24"/>
                <w:szCs w:val="24"/>
              </w:rPr>
              <w:t>50</w:t>
            </w:r>
          </w:p>
        </w:tc>
        <w:tc>
          <w:tcPr>
            <w:tcW w:w="1870" w:type="dxa"/>
            <w:tcBorders>
              <w:top w:val="nil"/>
              <w:bottom w:val="nil"/>
            </w:tcBorders>
          </w:tcPr>
          <w:p w14:paraId="530E4F91" w14:textId="77777777" w:rsidR="008D10F8" w:rsidRPr="00A221DD" w:rsidRDefault="008D10F8" w:rsidP="008D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54.96</w:t>
            </w:r>
          </w:p>
        </w:tc>
        <w:tc>
          <w:tcPr>
            <w:tcW w:w="1870" w:type="dxa"/>
            <w:tcBorders>
              <w:top w:val="nil"/>
              <w:bottom w:val="nil"/>
            </w:tcBorders>
          </w:tcPr>
          <w:p w14:paraId="670F60EA" w14:textId="77777777" w:rsidR="008D10F8" w:rsidRPr="00A221DD" w:rsidRDefault="008D10F8" w:rsidP="008D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52.28</w:t>
            </w:r>
          </w:p>
        </w:tc>
        <w:tc>
          <w:tcPr>
            <w:tcW w:w="1870" w:type="dxa"/>
            <w:tcBorders>
              <w:top w:val="nil"/>
              <w:bottom w:val="nil"/>
            </w:tcBorders>
          </w:tcPr>
          <w:p w14:paraId="5405D8C8" w14:textId="77777777" w:rsidR="008D10F8" w:rsidRPr="00A221DD" w:rsidRDefault="008D10F8" w:rsidP="008D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274.94</w:t>
            </w:r>
          </w:p>
        </w:tc>
      </w:tr>
      <w:tr w:rsidR="008D10F8" w:rsidRPr="004443AC" w14:paraId="54511471" w14:textId="77777777" w:rsidTr="008D10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Borders>
              <w:top w:val="nil"/>
              <w:bottom w:val="nil"/>
            </w:tcBorders>
          </w:tcPr>
          <w:p w14:paraId="4932F5EA" w14:textId="77777777" w:rsidR="008D10F8" w:rsidRPr="004443AC" w:rsidRDefault="008D10F8" w:rsidP="008D10F8">
            <w:pPr>
              <w:spacing w:line="360" w:lineRule="auto"/>
              <w:jc w:val="center"/>
              <w:rPr>
                <w:rFonts w:ascii="Times New Roman" w:hAnsi="Times New Roman" w:cs="Times New Roman"/>
                <w:sz w:val="24"/>
                <w:szCs w:val="24"/>
              </w:rPr>
            </w:pPr>
            <w:r w:rsidRPr="004443AC">
              <w:rPr>
                <w:rFonts w:ascii="Times New Roman" w:hAnsi="Times New Roman" w:cs="Times New Roman"/>
                <w:sz w:val="24"/>
                <w:szCs w:val="24"/>
              </w:rPr>
              <w:t>100</w:t>
            </w:r>
          </w:p>
        </w:tc>
        <w:tc>
          <w:tcPr>
            <w:tcW w:w="1870" w:type="dxa"/>
            <w:tcBorders>
              <w:top w:val="nil"/>
              <w:bottom w:val="nil"/>
            </w:tcBorders>
          </w:tcPr>
          <w:p w14:paraId="4310FFA1" w14:textId="77777777" w:rsidR="008D10F8" w:rsidRPr="00A221DD" w:rsidRDefault="008D10F8" w:rsidP="008D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53.05</w:t>
            </w:r>
          </w:p>
        </w:tc>
        <w:tc>
          <w:tcPr>
            <w:tcW w:w="1870" w:type="dxa"/>
            <w:tcBorders>
              <w:top w:val="nil"/>
              <w:bottom w:val="nil"/>
            </w:tcBorders>
          </w:tcPr>
          <w:p w14:paraId="7E2B935C" w14:textId="77777777" w:rsidR="008D10F8" w:rsidRPr="00A221DD" w:rsidRDefault="008D10F8" w:rsidP="008D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56.30</w:t>
            </w:r>
          </w:p>
        </w:tc>
        <w:tc>
          <w:tcPr>
            <w:tcW w:w="1870" w:type="dxa"/>
            <w:tcBorders>
              <w:top w:val="nil"/>
              <w:bottom w:val="nil"/>
            </w:tcBorders>
          </w:tcPr>
          <w:p w14:paraId="68C12263" w14:textId="77777777" w:rsidR="008D10F8" w:rsidRPr="00A221DD" w:rsidRDefault="008D10F8" w:rsidP="008D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282.19</w:t>
            </w:r>
          </w:p>
        </w:tc>
      </w:tr>
      <w:tr w:rsidR="008D10F8" w:rsidRPr="004443AC" w14:paraId="10526D6F" w14:textId="77777777" w:rsidTr="008D10F8">
        <w:trPr>
          <w:jc w:val="center"/>
        </w:trPr>
        <w:tc>
          <w:tcPr>
            <w:cnfStyle w:val="001000000000" w:firstRow="0" w:lastRow="0" w:firstColumn="1" w:lastColumn="0" w:oddVBand="0" w:evenVBand="0" w:oddHBand="0" w:evenHBand="0" w:firstRowFirstColumn="0" w:firstRowLastColumn="0" w:lastRowFirstColumn="0" w:lastRowLastColumn="0"/>
            <w:tcW w:w="1870" w:type="dxa"/>
            <w:tcBorders>
              <w:top w:val="nil"/>
              <w:bottom w:val="nil"/>
            </w:tcBorders>
          </w:tcPr>
          <w:p w14:paraId="458A2325" w14:textId="77777777" w:rsidR="008D10F8" w:rsidRPr="004443AC" w:rsidRDefault="008D10F8" w:rsidP="008D10F8">
            <w:pPr>
              <w:spacing w:line="360" w:lineRule="auto"/>
              <w:jc w:val="center"/>
              <w:rPr>
                <w:rFonts w:ascii="Times New Roman" w:hAnsi="Times New Roman" w:cs="Times New Roman"/>
                <w:sz w:val="24"/>
                <w:szCs w:val="24"/>
              </w:rPr>
            </w:pPr>
            <w:r w:rsidRPr="004443AC">
              <w:rPr>
                <w:rFonts w:ascii="Times New Roman" w:hAnsi="Times New Roman" w:cs="Times New Roman"/>
                <w:sz w:val="24"/>
                <w:szCs w:val="24"/>
              </w:rPr>
              <w:t>150</w:t>
            </w:r>
          </w:p>
        </w:tc>
        <w:tc>
          <w:tcPr>
            <w:tcW w:w="1870" w:type="dxa"/>
            <w:tcBorders>
              <w:top w:val="nil"/>
              <w:bottom w:val="nil"/>
            </w:tcBorders>
          </w:tcPr>
          <w:p w14:paraId="5F731217" w14:textId="77777777" w:rsidR="008D10F8" w:rsidRPr="00A221DD" w:rsidRDefault="008D10F8" w:rsidP="008D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60.13</w:t>
            </w:r>
          </w:p>
        </w:tc>
        <w:tc>
          <w:tcPr>
            <w:tcW w:w="1870" w:type="dxa"/>
            <w:tcBorders>
              <w:top w:val="nil"/>
              <w:bottom w:val="nil"/>
            </w:tcBorders>
          </w:tcPr>
          <w:p w14:paraId="5C89D96A" w14:textId="77777777" w:rsidR="008D10F8" w:rsidRPr="00A221DD" w:rsidRDefault="008D10F8" w:rsidP="008D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57.45</w:t>
            </w:r>
          </w:p>
        </w:tc>
        <w:tc>
          <w:tcPr>
            <w:tcW w:w="1870" w:type="dxa"/>
            <w:tcBorders>
              <w:top w:val="nil"/>
              <w:bottom w:val="nil"/>
            </w:tcBorders>
          </w:tcPr>
          <w:p w14:paraId="2F66A847" w14:textId="77777777" w:rsidR="008D10F8" w:rsidRPr="00A221DD" w:rsidRDefault="008D10F8" w:rsidP="008D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289.36</w:t>
            </w:r>
          </w:p>
        </w:tc>
      </w:tr>
      <w:tr w:rsidR="008D10F8" w:rsidRPr="004443AC" w14:paraId="30FA3934" w14:textId="77777777" w:rsidTr="008D10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Borders>
              <w:top w:val="nil"/>
              <w:bottom w:val="nil"/>
            </w:tcBorders>
          </w:tcPr>
          <w:p w14:paraId="453CF34C" w14:textId="77777777" w:rsidR="008D10F8" w:rsidRPr="004443AC" w:rsidRDefault="008D10F8" w:rsidP="008D10F8">
            <w:pPr>
              <w:spacing w:line="360" w:lineRule="auto"/>
              <w:jc w:val="center"/>
              <w:rPr>
                <w:rFonts w:ascii="Times New Roman" w:hAnsi="Times New Roman" w:cs="Times New Roman"/>
                <w:sz w:val="24"/>
                <w:szCs w:val="24"/>
              </w:rPr>
            </w:pPr>
            <w:r w:rsidRPr="004443AC">
              <w:rPr>
                <w:rFonts w:ascii="Times New Roman" w:hAnsi="Times New Roman" w:cs="Times New Roman"/>
                <w:sz w:val="24"/>
                <w:szCs w:val="24"/>
              </w:rPr>
              <w:t>200</w:t>
            </w:r>
          </w:p>
        </w:tc>
        <w:tc>
          <w:tcPr>
            <w:tcW w:w="1870" w:type="dxa"/>
            <w:tcBorders>
              <w:top w:val="nil"/>
              <w:bottom w:val="nil"/>
            </w:tcBorders>
          </w:tcPr>
          <w:p w14:paraId="4E4E7862" w14:textId="77777777" w:rsidR="008D10F8" w:rsidRPr="00A221DD" w:rsidRDefault="008D10F8" w:rsidP="008D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76.79</w:t>
            </w:r>
          </w:p>
        </w:tc>
        <w:tc>
          <w:tcPr>
            <w:tcW w:w="1870" w:type="dxa"/>
            <w:tcBorders>
              <w:top w:val="nil"/>
              <w:bottom w:val="nil"/>
            </w:tcBorders>
          </w:tcPr>
          <w:p w14:paraId="336D3646" w14:textId="77777777" w:rsidR="008D10F8" w:rsidRPr="00A221DD" w:rsidRDefault="008D10F8" w:rsidP="008D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74.30</w:t>
            </w:r>
          </w:p>
        </w:tc>
        <w:tc>
          <w:tcPr>
            <w:tcW w:w="1870" w:type="dxa"/>
            <w:tcBorders>
              <w:top w:val="nil"/>
              <w:bottom w:val="nil"/>
            </w:tcBorders>
          </w:tcPr>
          <w:p w14:paraId="7FC7D9C4" w14:textId="77777777" w:rsidR="008D10F8" w:rsidRPr="00A221DD" w:rsidRDefault="008D10F8" w:rsidP="008D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340.33</w:t>
            </w:r>
          </w:p>
        </w:tc>
      </w:tr>
      <w:tr w:rsidR="008D10F8" w:rsidRPr="004443AC" w14:paraId="1A5C6AAB" w14:textId="77777777" w:rsidTr="008D10F8">
        <w:trPr>
          <w:jc w:val="center"/>
        </w:trPr>
        <w:tc>
          <w:tcPr>
            <w:cnfStyle w:val="001000000000" w:firstRow="0" w:lastRow="0" w:firstColumn="1" w:lastColumn="0" w:oddVBand="0" w:evenVBand="0" w:oddHBand="0" w:evenHBand="0" w:firstRowFirstColumn="0" w:firstRowLastColumn="0" w:lastRowFirstColumn="0" w:lastRowLastColumn="0"/>
            <w:tcW w:w="1870" w:type="dxa"/>
            <w:tcBorders>
              <w:top w:val="nil"/>
            </w:tcBorders>
          </w:tcPr>
          <w:p w14:paraId="0A714341" w14:textId="77777777" w:rsidR="008D10F8" w:rsidRPr="004443AC" w:rsidRDefault="008D10F8" w:rsidP="008D10F8">
            <w:pPr>
              <w:spacing w:line="360" w:lineRule="auto"/>
              <w:jc w:val="center"/>
              <w:rPr>
                <w:rFonts w:ascii="Times New Roman" w:hAnsi="Times New Roman" w:cs="Times New Roman"/>
                <w:sz w:val="24"/>
                <w:szCs w:val="24"/>
              </w:rPr>
            </w:pPr>
            <w:r w:rsidRPr="004443AC">
              <w:rPr>
                <w:rFonts w:ascii="Times New Roman" w:hAnsi="Times New Roman" w:cs="Times New Roman"/>
                <w:sz w:val="24"/>
                <w:szCs w:val="24"/>
              </w:rPr>
              <w:t>250</w:t>
            </w:r>
          </w:p>
        </w:tc>
        <w:tc>
          <w:tcPr>
            <w:tcW w:w="1870" w:type="dxa"/>
            <w:tcBorders>
              <w:top w:val="nil"/>
            </w:tcBorders>
          </w:tcPr>
          <w:p w14:paraId="362DD367" w14:textId="77777777" w:rsidR="008D10F8" w:rsidRPr="00A221DD" w:rsidRDefault="008D10F8" w:rsidP="008D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108.01</w:t>
            </w:r>
          </w:p>
        </w:tc>
        <w:tc>
          <w:tcPr>
            <w:tcW w:w="1870" w:type="dxa"/>
            <w:tcBorders>
              <w:top w:val="nil"/>
            </w:tcBorders>
          </w:tcPr>
          <w:p w14:paraId="1713F880" w14:textId="77777777" w:rsidR="008D10F8" w:rsidRPr="00A221DD" w:rsidRDefault="008D10F8" w:rsidP="008D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107.24</w:t>
            </w:r>
          </w:p>
        </w:tc>
        <w:tc>
          <w:tcPr>
            <w:tcW w:w="1870" w:type="dxa"/>
            <w:tcBorders>
              <w:top w:val="nil"/>
            </w:tcBorders>
          </w:tcPr>
          <w:p w14:paraId="7431176B" w14:textId="77777777" w:rsidR="008D10F8" w:rsidRPr="00A221DD" w:rsidRDefault="008D10F8" w:rsidP="008D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221DD">
              <w:rPr>
                <w:rFonts w:ascii="Times New Roman" w:hAnsi="Times New Roman" w:cs="Times New Roman"/>
                <w:sz w:val="24"/>
                <w:szCs w:val="24"/>
              </w:rPr>
              <w:t>441.69</w:t>
            </w:r>
          </w:p>
        </w:tc>
      </w:tr>
    </w:tbl>
    <w:p w14:paraId="6674F344" w14:textId="77777777" w:rsidR="008D10F8" w:rsidRPr="004443AC" w:rsidRDefault="008D10F8" w:rsidP="008D10F8">
      <w:pPr>
        <w:pStyle w:val="NormalWeb"/>
        <w:spacing w:line="360" w:lineRule="auto"/>
        <w:jc w:val="both"/>
      </w:pPr>
      <w:r w:rsidRPr="004443AC">
        <w:t xml:space="preserve">The negative values of </w:t>
      </w:r>
      <w:r w:rsidRPr="004443AC">
        <w:rPr>
          <w:rStyle w:val="Strong"/>
          <w:b w:val="0"/>
        </w:rPr>
        <w:t>enthalpy (ΔH</w:t>
      </w:r>
      <w:r>
        <w:rPr>
          <w:rStyle w:val="Strong"/>
          <w:b w:val="0"/>
        </w:rPr>
        <w:t>*</w:t>
      </w:r>
      <w:r w:rsidRPr="004443AC">
        <w:rPr>
          <w:rStyle w:val="Strong"/>
        </w:rPr>
        <w:t>)</w:t>
      </w:r>
      <w:r w:rsidRPr="004443AC">
        <w:t xml:space="preserve"> indicate that the adsorption of the inhibitor onto the steel surface is </w:t>
      </w:r>
      <w:r w:rsidRPr="004443AC">
        <w:rPr>
          <w:rStyle w:val="Strong"/>
          <w:b w:val="0"/>
        </w:rPr>
        <w:t>exothermic</w:t>
      </w:r>
      <w:r w:rsidRPr="004443AC">
        <w:t xml:space="preserve">, meaning that the process releases heat, and the interaction between the inhibitor molecules and the metal </w:t>
      </w:r>
      <w:r w:rsidR="00070205">
        <w:t xml:space="preserve">is thermodynamically favorable [19, </w:t>
      </w:r>
      <w:r w:rsidR="00555DA9">
        <w:t>20]</w:t>
      </w:r>
      <w:r w:rsidRPr="004443AC">
        <w:t xml:space="preserve">. A more negative </w:t>
      </w:r>
      <w:r w:rsidRPr="004443AC">
        <w:rPr>
          <w:rStyle w:val="Strong"/>
          <w:b w:val="0"/>
        </w:rPr>
        <w:t>ΔH</w:t>
      </w:r>
      <w:r>
        <w:rPr>
          <w:rStyle w:val="Strong"/>
          <w:b w:val="0"/>
        </w:rPr>
        <w:t>*</w:t>
      </w:r>
      <w:r w:rsidRPr="004443AC">
        <w:t xml:space="preserve"> value suggests a stronger interaction between the inhibitor and the steel surface, which is consistent with stronger </w:t>
      </w:r>
      <w:r w:rsidRPr="004443AC">
        <w:rPr>
          <w:rStyle w:val="Strong"/>
          <w:b w:val="0"/>
        </w:rPr>
        <w:t>chemisorption</w:t>
      </w:r>
      <w:r w:rsidRPr="004443AC">
        <w:rPr>
          <w:b/>
        </w:rPr>
        <w:t xml:space="preserve"> or </w:t>
      </w:r>
      <w:r w:rsidRPr="004443AC">
        <w:rPr>
          <w:rStyle w:val="Strong"/>
          <w:b w:val="0"/>
        </w:rPr>
        <w:t>physisorption</w:t>
      </w:r>
      <w:r w:rsidRPr="004443AC">
        <w:t xml:space="preserve"> mechanisms, d</w:t>
      </w:r>
      <w:r w:rsidR="00070205">
        <w:t xml:space="preserve">epending on the inhibitor type </w:t>
      </w:r>
      <w:r w:rsidR="00555DA9">
        <w:rPr>
          <w:rFonts w:eastAsia="TimesNewRoman"/>
        </w:rPr>
        <w:t>[16]</w:t>
      </w:r>
      <w:r w:rsidRPr="004443AC">
        <w:t xml:space="preserve">. It was observed that as the inhibitor concentration increased, the </w:t>
      </w:r>
      <w:r w:rsidRPr="004443AC">
        <w:rPr>
          <w:rStyle w:val="Strong"/>
          <w:b w:val="0"/>
        </w:rPr>
        <w:t>ΔH</w:t>
      </w:r>
      <w:r>
        <w:rPr>
          <w:rStyle w:val="Strong"/>
          <w:b w:val="0"/>
        </w:rPr>
        <w:t>*</w:t>
      </w:r>
      <w:r w:rsidRPr="004443AC">
        <w:t xml:space="preserve"> value became more negative, suggesting that a higher concentration of inhibitor molecules adsorbed onto the steel surface. This </w:t>
      </w:r>
      <w:r w:rsidRPr="004443AC">
        <w:lastRenderedPageBreak/>
        <w:t xml:space="preserve">leads to the formation of a </w:t>
      </w:r>
      <w:r w:rsidRPr="004443AC">
        <w:rPr>
          <w:rStyle w:val="Strong"/>
          <w:b w:val="0"/>
        </w:rPr>
        <w:t>stronger protective film</w:t>
      </w:r>
      <w:r w:rsidRPr="004443AC">
        <w:t xml:space="preserve"> on the surface, effectively shielding the steel from the corrosive medium </w:t>
      </w:r>
      <w:r w:rsidR="00555DA9">
        <w:t>[21]</w:t>
      </w:r>
      <w:r w:rsidRPr="004443AC">
        <w:t>.</w:t>
      </w:r>
    </w:p>
    <w:p w14:paraId="2FA56D0B" w14:textId="77777777" w:rsidR="008D10F8" w:rsidRPr="004443AC" w:rsidRDefault="008D10F8" w:rsidP="008D10F8">
      <w:pPr>
        <w:pStyle w:val="NormalWeb"/>
        <w:spacing w:line="360" w:lineRule="auto"/>
        <w:jc w:val="both"/>
      </w:pPr>
      <w:r w:rsidRPr="004443AC">
        <w:t xml:space="preserve">The </w:t>
      </w:r>
      <w:r w:rsidRPr="004443AC">
        <w:rPr>
          <w:rStyle w:val="Strong"/>
          <w:b w:val="0"/>
        </w:rPr>
        <w:t>entropy (ΔS</w:t>
      </w:r>
      <w:r>
        <w:rPr>
          <w:rStyle w:val="Strong"/>
          <w:b w:val="0"/>
        </w:rPr>
        <w:t>*</w:t>
      </w:r>
      <w:r w:rsidRPr="004443AC">
        <w:rPr>
          <w:rStyle w:val="Strong"/>
          <w:b w:val="0"/>
        </w:rPr>
        <w:t>)</w:t>
      </w:r>
      <w:r w:rsidRPr="004443AC">
        <w:t xml:space="preserve"> of adsorption is another important thermodynamic parameter in corrosion studies, as it complements the information provided by </w:t>
      </w:r>
      <w:r w:rsidRPr="004443AC">
        <w:rPr>
          <w:rStyle w:val="Strong"/>
          <w:b w:val="0"/>
        </w:rPr>
        <w:t>enthalpy</w:t>
      </w:r>
      <w:r w:rsidRPr="004443AC">
        <w:t>. ΔS</w:t>
      </w:r>
      <w:r>
        <w:t>*</w:t>
      </w:r>
      <w:r w:rsidRPr="004443AC">
        <w:t xml:space="preserve"> influences the surface coverage and the molecular arrangement of the inhibitor on the metal surface. Positive values of </w:t>
      </w:r>
      <w:r w:rsidRPr="004443AC">
        <w:rPr>
          <w:rStyle w:val="Strong"/>
          <w:b w:val="0"/>
        </w:rPr>
        <w:t>ΔS</w:t>
      </w:r>
      <w:r w:rsidRPr="004443AC">
        <w:t xml:space="preserve"> indicate a more </w:t>
      </w:r>
      <w:r w:rsidRPr="004443AC">
        <w:rPr>
          <w:rStyle w:val="Strong"/>
          <w:b w:val="0"/>
        </w:rPr>
        <w:t>disordered arrangement</w:t>
      </w:r>
      <w:r w:rsidRPr="004443AC">
        <w:t xml:space="preserve"> of inhibitor molecules, which can reduce surface coverage and, consequently, lower the inhibition efficiency </w:t>
      </w:r>
      <w:r w:rsidR="00555DA9">
        <w:t>[22]</w:t>
      </w:r>
      <w:r w:rsidRPr="004443AC">
        <w:t xml:space="preserve">. On the other hand, </w:t>
      </w:r>
      <w:r w:rsidRPr="004443AC">
        <w:rPr>
          <w:rStyle w:val="Strong"/>
          <w:b w:val="0"/>
        </w:rPr>
        <w:t>negative ΔS</w:t>
      </w:r>
      <w:r>
        <w:rPr>
          <w:rStyle w:val="Strong"/>
          <w:b w:val="0"/>
        </w:rPr>
        <w:t>*</w:t>
      </w:r>
      <w:r w:rsidRPr="004443AC">
        <w:rPr>
          <w:rStyle w:val="Strong"/>
          <w:b w:val="0"/>
        </w:rPr>
        <w:t xml:space="preserve"> values</w:t>
      </w:r>
      <w:r w:rsidRPr="004443AC">
        <w:t xml:space="preserve"> suggest that the formation of activated complexes during the adsorption process involves an </w:t>
      </w:r>
      <w:r w:rsidRPr="004443AC">
        <w:rPr>
          <w:rStyle w:val="Strong"/>
          <w:b w:val="0"/>
        </w:rPr>
        <w:t>association step</w:t>
      </w:r>
      <w:r w:rsidRPr="004443AC">
        <w:t xml:space="preserve"> rather than dissociation, indicating a decrease in disorder as the inhibitor molecules organize on the metal surface </w:t>
      </w:r>
      <w:r w:rsidR="00555DA9">
        <w:t>[23]</w:t>
      </w:r>
      <w:r w:rsidRPr="004443AC">
        <w:t>. This behavior is commonly observed when the inhibitor molecules adopt a more ordered structure upon adsorption, which strengthens the protective film and improves corrosion resistance.</w:t>
      </w:r>
    </w:p>
    <w:p w14:paraId="785503B4" w14:textId="77777777" w:rsidR="008D10F8" w:rsidRPr="004443AC" w:rsidRDefault="008D10F8" w:rsidP="008D10F8">
      <w:pPr>
        <w:pStyle w:val="NormalWeb"/>
        <w:spacing w:line="360" w:lineRule="auto"/>
        <w:jc w:val="both"/>
      </w:pPr>
      <w:r w:rsidRPr="004443AC">
        <w:t xml:space="preserve">The </w:t>
      </w:r>
      <w:r w:rsidRPr="004443AC">
        <w:rPr>
          <w:rStyle w:val="Strong"/>
          <w:b w:val="0"/>
        </w:rPr>
        <w:t>ΔS values</w:t>
      </w:r>
      <w:r w:rsidRPr="004443AC">
        <w:t xml:space="preserve"> recorded in Table 3 show a </w:t>
      </w:r>
      <w:r w:rsidRPr="004443AC">
        <w:rPr>
          <w:rStyle w:val="Strong"/>
          <w:b w:val="0"/>
        </w:rPr>
        <w:t>decreasing trend</w:t>
      </w:r>
      <w:r w:rsidRPr="004443AC">
        <w:t xml:space="preserve"> with increasing inhibitor concentration, indicating that more inhibitor molecules were adsorbed onto the steel surface. As the concentration of the inhibitor increased, the molecules became more densely packed, reducing the disorder in the system. This aggregation of inhibitor molecules enhances the </w:t>
      </w:r>
      <w:r w:rsidRPr="004443AC">
        <w:rPr>
          <w:rStyle w:val="Strong"/>
          <w:b w:val="0"/>
        </w:rPr>
        <w:t>surface coverage</w:t>
      </w:r>
      <w:r w:rsidRPr="004443AC">
        <w:t>, leading to increased inhibition efficiency and a significant reduction in corrosion rates. Thus, the thermodynamic data support the idea that higher concentrations of inhibitors form a more stable and ordered protective layer on the steel surface, contributing to better corrosion protection.</w:t>
      </w:r>
    </w:p>
    <w:p w14:paraId="707BFFE2" w14:textId="77777777" w:rsidR="001938A2" w:rsidRPr="005A68A4" w:rsidRDefault="001938A2" w:rsidP="005A68A4">
      <w:pPr>
        <w:spacing w:before="100" w:beforeAutospacing="1" w:after="100" w:afterAutospacing="1" w:line="360" w:lineRule="auto"/>
        <w:outlineLvl w:val="2"/>
        <w:rPr>
          <w:rFonts w:ascii="Times New Roman" w:eastAsia="Times New Roman" w:hAnsi="Times New Roman" w:cs="Times New Roman"/>
          <w:b/>
          <w:bCs/>
          <w:sz w:val="24"/>
          <w:szCs w:val="24"/>
        </w:rPr>
      </w:pPr>
      <w:r w:rsidRPr="005A68A4">
        <w:rPr>
          <w:rFonts w:ascii="Times New Roman" w:eastAsia="Times New Roman" w:hAnsi="Times New Roman" w:cs="Times New Roman"/>
          <w:b/>
          <w:bCs/>
          <w:sz w:val="24"/>
          <w:szCs w:val="24"/>
        </w:rPr>
        <w:t xml:space="preserve">Potentiodynamic Polarization (PDP) </w:t>
      </w:r>
    </w:p>
    <w:p w14:paraId="601465BB" w14:textId="77777777" w:rsidR="001938A2" w:rsidRDefault="001938A2" w:rsidP="005A68A4">
      <w:pPr>
        <w:spacing w:before="100" w:beforeAutospacing="1" w:after="100" w:afterAutospacing="1" w:line="360" w:lineRule="auto"/>
        <w:jc w:val="both"/>
        <w:rPr>
          <w:rFonts w:ascii="Times New Roman" w:eastAsia="Times New Roman" w:hAnsi="Times New Roman" w:cs="Times New Roman"/>
          <w:sz w:val="24"/>
          <w:szCs w:val="24"/>
        </w:rPr>
      </w:pPr>
      <w:r w:rsidRPr="001938A2">
        <w:rPr>
          <w:rFonts w:ascii="Times New Roman" w:eastAsia="Times New Roman" w:hAnsi="Times New Roman" w:cs="Times New Roman"/>
          <w:sz w:val="24"/>
          <w:szCs w:val="24"/>
        </w:rPr>
        <w:t xml:space="preserve">The </w:t>
      </w:r>
      <w:r w:rsidRPr="005A68A4">
        <w:rPr>
          <w:rFonts w:ascii="Times New Roman" w:eastAsia="Times New Roman" w:hAnsi="Times New Roman" w:cs="Times New Roman"/>
          <w:bCs/>
          <w:sz w:val="24"/>
          <w:szCs w:val="24"/>
        </w:rPr>
        <w:t>Potentiodynamic Polarization (PDP)</w:t>
      </w:r>
      <w:r w:rsidRPr="001938A2">
        <w:rPr>
          <w:rFonts w:ascii="Times New Roman" w:eastAsia="Times New Roman" w:hAnsi="Times New Roman" w:cs="Times New Roman"/>
          <w:sz w:val="24"/>
          <w:szCs w:val="24"/>
        </w:rPr>
        <w:t xml:space="preserve"> results for mild steel in the presence of the </w:t>
      </w:r>
      <w:r w:rsidRPr="005A68A4">
        <w:rPr>
          <w:rFonts w:ascii="Times New Roman" w:eastAsia="Times New Roman" w:hAnsi="Times New Roman" w:cs="Times New Roman"/>
          <w:bCs/>
          <w:sz w:val="24"/>
          <w:szCs w:val="24"/>
        </w:rPr>
        <w:t>Lopinavir-Ritonavir (LPV-RTV)</w:t>
      </w:r>
      <w:r w:rsidRPr="005A68A4">
        <w:rPr>
          <w:rFonts w:ascii="Times New Roman" w:eastAsia="Times New Roman" w:hAnsi="Times New Roman" w:cs="Times New Roman"/>
          <w:sz w:val="24"/>
          <w:szCs w:val="24"/>
        </w:rPr>
        <w:t xml:space="preserve"> </w:t>
      </w:r>
      <w:r w:rsidRPr="001938A2">
        <w:rPr>
          <w:rFonts w:ascii="Times New Roman" w:eastAsia="Times New Roman" w:hAnsi="Times New Roman" w:cs="Times New Roman"/>
          <w:sz w:val="24"/>
          <w:szCs w:val="24"/>
        </w:rPr>
        <w:t xml:space="preserve">co-formulation </w:t>
      </w:r>
      <w:r w:rsidR="005A68A4">
        <w:rPr>
          <w:rFonts w:ascii="Times New Roman" w:eastAsia="Times New Roman" w:hAnsi="Times New Roman" w:cs="Times New Roman"/>
          <w:sz w:val="24"/>
          <w:szCs w:val="24"/>
        </w:rPr>
        <w:t xml:space="preserve">drug </w:t>
      </w:r>
      <w:r w:rsidRPr="001938A2">
        <w:rPr>
          <w:rFonts w:ascii="Times New Roman" w:eastAsia="Times New Roman" w:hAnsi="Times New Roman" w:cs="Times New Roman"/>
          <w:sz w:val="24"/>
          <w:szCs w:val="24"/>
        </w:rPr>
        <w:t>clearly demonstrate the corrosion inhibition efficiency of the compound</w:t>
      </w:r>
      <w:r w:rsidR="005A68A4">
        <w:rPr>
          <w:rFonts w:ascii="Times New Roman" w:eastAsia="Times New Roman" w:hAnsi="Times New Roman" w:cs="Times New Roman"/>
          <w:sz w:val="24"/>
          <w:szCs w:val="24"/>
        </w:rPr>
        <w:t>s</w:t>
      </w:r>
      <w:r w:rsidRPr="001938A2">
        <w:rPr>
          <w:rFonts w:ascii="Times New Roman" w:eastAsia="Times New Roman" w:hAnsi="Times New Roman" w:cs="Times New Roman"/>
          <w:sz w:val="24"/>
          <w:szCs w:val="24"/>
        </w:rPr>
        <w:t xml:space="preserve">. As expected, inhibition efficiency increased with the concentration of the </w:t>
      </w:r>
      <w:r w:rsidR="005A68A4" w:rsidRPr="005A68A4">
        <w:rPr>
          <w:rFonts w:ascii="Times New Roman" w:eastAsia="Times New Roman" w:hAnsi="Times New Roman" w:cs="Times New Roman"/>
          <w:bCs/>
          <w:sz w:val="24"/>
          <w:szCs w:val="24"/>
        </w:rPr>
        <w:t>LPV-RTV</w:t>
      </w:r>
      <w:r w:rsidRPr="001938A2">
        <w:rPr>
          <w:rFonts w:ascii="Times New Roman" w:eastAsia="Times New Roman" w:hAnsi="Times New Roman" w:cs="Times New Roman"/>
          <w:sz w:val="24"/>
          <w:szCs w:val="24"/>
        </w:rPr>
        <w:t xml:space="preserve"> inhibitor. The </w:t>
      </w:r>
      <w:r w:rsidRPr="005A68A4">
        <w:rPr>
          <w:rFonts w:ascii="Times New Roman" w:eastAsia="Times New Roman" w:hAnsi="Times New Roman" w:cs="Times New Roman"/>
          <w:bCs/>
          <w:sz w:val="24"/>
          <w:szCs w:val="24"/>
        </w:rPr>
        <w:t>polarization curves</w:t>
      </w:r>
      <w:r w:rsidRPr="001938A2">
        <w:rPr>
          <w:rFonts w:ascii="Times New Roman" w:eastAsia="Times New Roman" w:hAnsi="Times New Roman" w:cs="Times New Roman"/>
          <w:sz w:val="24"/>
          <w:szCs w:val="24"/>
        </w:rPr>
        <w:t xml:space="preserve"> </w:t>
      </w:r>
      <w:r w:rsidR="004E5CF2">
        <w:rPr>
          <w:rFonts w:ascii="Times New Roman" w:eastAsia="Times New Roman" w:hAnsi="Times New Roman" w:cs="Times New Roman"/>
          <w:sz w:val="24"/>
          <w:szCs w:val="24"/>
        </w:rPr>
        <w:t xml:space="preserve">(Fig. 4) </w:t>
      </w:r>
      <w:r w:rsidRPr="001938A2">
        <w:rPr>
          <w:rFonts w:ascii="Times New Roman" w:eastAsia="Times New Roman" w:hAnsi="Times New Roman" w:cs="Times New Roman"/>
          <w:sz w:val="24"/>
          <w:szCs w:val="24"/>
        </w:rPr>
        <w:t xml:space="preserve">reveal that with rising inhibitor concentrations, the </w:t>
      </w:r>
      <w:r w:rsidRPr="005A68A4">
        <w:rPr>
          <w:rFonts w:ascii="Times New Roman" w:eastAsia="Times New Roman" w:hAnsi="Times New Roman" w:cs="Times New Roman"/>
          <w:bCs/>
          <w:sz w:val="24"/>
          <w:szCs w:val="24"/>
        </w:rPr>
        <w:t>corrosion current density (i</w:t>
      </w:r>
      <w:r w:rsidRPr="005A68A4">
        <w:rPr>
          <w:rFonts w:ascii="Times New Roman" w:eastAsia="Times New Roman" w:hAnsi="Times New Roman" w:cs="Times New Roman"/>
          <w:bCs/>
          <w:sz w:val="24"/>
          <w:szCs w:val="24"/>
          <w:vertAlign w:val="subscript"/>
        </w:rPr>
        <w:t>corr</w:t>
      </w:r>
      <w:r w:rsidRPr="005A68A4">
        <w:rPr>
          <w:rFonts w:ascii="Times New Roman" w:eastAsia="Times New Roman" w:hAnsi="Times New Roman" w:cs="Times New Roman"/>
          <w:bCs/>
          <w:sz w:val="24"/>
          <w:szCs w:val="24"/>
        </w:rPr>
        <w:t>)</w:t>
      </w:r>
      <w:r w:rsidRPr="001938A2">
        <w:rPr>
          <w:rFonts w:ascii="Times New Roman" w:eastAsia="Times New Roman" w:hAnsi="Times New Roman" w:cs="Times New Roman"/>
          <w:sz w:val="24"/>
          <w:szCs w:val="24"/>
        </w:rPr>
        <w:t xml:space="preserve"> significantly decreased, while the </w:t>
      </w:r>
      <w:r w:rsidRPr="005A68A4">
        <w:rPr>
          <w:rFonts w:ascii="Times New Roman" w:eastAsia="Times New Roman" w:hAnsi="Times New Roman" w:cs="Times New Roman"/>
          <w:bCs/>
          <w:sz w:val="24"/>
          <w:szCs w:val="24"/>
        </w:rPr>
        <w:t>corrosion potential (E</w:t>
      </w:r>
      <w:r w:rsidRPr="005A68A4">
        <w:rPr>
          <w:rFonts w:ascii="Times New Roman" w:eastAsia="Times New Roman" w:hAnsi="Times New Roman" w:cs="Times New Roman"/>
          <w:bCs/>
          <w:sz w:val="24"/>
          <w:szCs w:val="24"/>
          <w:vertAlign w:val="subscript"/>
        </w:rPr>
        <w:t>corr</w:t>
      </w:r>
      <w:r w:rsidRPr="005A68A4">
        <w:rPr>
          <w:rFonts w:ascii="Times New Roman" w:eastAsia="Times New Roman" w:hAnsi="Times New Roman" w:cs="Times New Roman"/>
          <w:bCs/>
          <w:sz w:val="24"/>
          <w:szCs w:val="24"/>
        </w:rPr>
        <w:t>)</w:t>
      </w:r>
      <w:r w:rsidRPr="001938A2">
        <w:rPr>
          <w:rFonts w:ascii="Times New Roman" w:eastAsia="Times New Roman" w:hAnsi="Times New Roman" w:cs="Times New Roman"/>
          <w:sz w:val="24"/>
          <w:szCs w:val="24"/>
        </w:rPr>
        <w:t xml:space="preserve"> shifted towards more positive values, indicating a protective effect of the inhibitor.</w:t>
      </w:r>
      <w:r w:rsidR="004E5CF2">
        <w:rPr>
          <w:rFonts w:ascii="Times New Roman" w:eastAsia="Times New Roman" w:hAnsi="Times New Roman" w:cs="Times New Roman"/>
          <w:sz w:val="24"/>
          <w:szCs w:val="24"/>
        </w:rPr>
        <w:t xml:space="preserve"> Table 4 summarized the PDP parameters along with the corrosion rate and inhibition efficiencies at various concentration</w:t>
      </w:r>
    </w:p>
    <w:p w14:paraId="098F8EAE" w14:textId="77777777" w:rsidR="004E5CF2" w:rsidRPr="00400A6A" w:rsidRDefault="004E5CF2" w:rsidP="00080407">
      <w:pPr>
        <w:tabs>
          <w:tab w:val="left" w:pos="990"/>
          <w:tab w:val="left" w:pos="1080"/>
        </w:tabs>
        <w:spacing w:after="0" w:line="240" w:lineRule="auto"/>
        <w:ind w:left="900" w:hanging="900"/>
        <w:jc w:val="both"/>
        <w:rPr>
          <w:rFonts w:ascii="Times New Roman" w:hAnsi="Times New Roman" w:cs="Times New Roman"/>
          <w:b/>
          <w:sz w:val="24"/>
          <w:szCs w:val="24"/>
        </w:rPr>
      </w:pPr>
      <w:r>
        <w:rPr>
          <w:rFonts w:ascii="Times New Roman" w:hAnsi="Times New Roman" w:cs="Times New Roman"/>
          <w:b/>
          <w:sz w:val="24"/>
          <w:szCs w:val="24"/>
        </w:rPr>
        <w:lastRenderedPageBreak/>
        <w:t>Table: 4</w:t>
      </w:r>
      <w:r w:rsidRPr="00400A6A">
        <w:rPr>
          <w:rFonts w:ascii="Times New Roman" w:hAnsi="Times New Roman" w:cs="Times New Roman"/>
          <w:b/>
          <w:sz w:val="24"/>
          <w:szCs w:val="24"/>
        </w:rPr>
        <w:t xml:space="preserve">: </w:t>
      </w:r>
      <w:r w:rsidRPr="00080407">
        <w:rPr>
          <w:rFonts w:ascii="Times New Roman" w:hAnsi="Times New Roman" w:cs="Times New Roman"/>
          <w:sz w:val="24"/>
          <w:szCs w:val="24"/>
        </w:rPr>
        <w:t>Potentiodynamic Polarization Parameter and Inhibition Efficiencies for the Corrosion inhibition of API 5L X65 steel in 1 M HCl</w:t>
      </w:r>
    </w:p>
    <w:tbl>
      <w:tblPr>
        <w:tblStyle w:val="PlainTable2"/>
        <w:tblW w:w="0" w:type="auto"/>
        <w:tblLook w:val="04A0" w:firstRow="1" w:lastRow="0" w:firstColumn="1" w:lastColumn="0" w:noHBand="0" w:noVBand="1"/>
      </w:tblPr>
      <w:tblGrid>
        <w:gridCol w:w="1294"/>
        <w:gridCol w:w="904"/>
        <w:gridCol w:w="1048"/>
        <w:gridCol w:w="885"/>
        <w:gridCol w:w="885"/>
        <w:gridCol w:w="885"/>
        <w:gridCol w:w="711"/>
        <w:gridCol w:w="885"/>
        <w:gridCol w:w="835"/>
        <w:gridCol w:w="1028"/>
      </w:tblGrid>
      <w:tr w:rsidR="00D301F7" w:rsidRPr="00400A6A" w14:paraId="1BFB2655" w14:textId="77777777" w:rsidTr="002D1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63615139" w14:textId="77777777" w:rsidR="00D301F7" w:rsidRPr="0050249B" w:rsidRDefault="00D301F7" w:rsidP="004E5CF2">
            <w:pPr>
              <w:spacing w:line="276" w:lineRule="auto"/>
              <w:jc w:val="both"/>
              <w:rPr>
                <w:rFonts w:ascii="Times New Roman" w:hAnsi="Times New Roman" w:cs="Times New Roman"/>
                <w:b w:val="0"/>
                <w:sz w:val="20"/>
                <w:szCs w:val="20"/>
              </w:rPr>
            </w:pPr>
            <w:r w:rsidRPr="0050249B">
              <w:rPr>
                <w:rFonts w:ascii="Times New Roman" w:hAnsi="Times New Roman" w:cs="Times New Roman"/>
                <w:sz w:val="20"/>
                <w:szCs w:val="20"/>
              </w:rPr>
              <w:t>Inhibitor</w:t>
            </w:r>
          </w:p>
        </w:tc>
        <w:tc>
          <w:tcPr>
            <w:tcW w:w="904" w:type="dxa"/>
          </w:tcPr>
          <w:p w14:paraId="2775D166" w14:textId="77777777" w:rsidR="00D301F7" w:rsidRPr="0050249B" w:rsidRDefault="00D301F7"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0249B">
              <w:rPr>
                <w:rFonts w:ascii="Times New Roman" w:hAnsi="Times New Roman" w:cs="Times New Roman"/>
                <w:sz w:val="20"/>
                <w:szCs w:val="20"/>
              </w:rPr>
              <w:t>Conc mg/L</w:t>
            </w:r>
          </w:p>
        </w:tc>
        <w:tc>
          <w:tcPr>
            <w:tcW w:w="1048" w:type="dxa"/>
          </w:tcPr>
          <w:p w14:paraId="6DEEF9CA" w14:textId="77777777" w:rsidR="00D301F7" w:rsidRPr="0050249B" w:rsidRDefault="00000000"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m:oMath>
              <m:sSub>
                <m:sSubPr>
                  <m:ctrlPr>
                    <w:rPr>
                      <w:rFonts w:ascii="Cambria Math" w:hAnsi="Cambria Math" w:cs="Times New Roman"/>
                      <w:sz w:val="20"/>
                      <w:szCs w:val="20"/>
                    </w:rPr>
                  </m:ctrlPr>
                </m:sSubPr>
                <m:e>
                  <m:r>
                    <m:rPr>
                      <m:sty m:val="b"/>
                    </m:rPr>
                    <w:rPr>
                      <w:rFonts w:ascii="Cambria Math" w:hAnsi="Cambria Math" w:cs="Times New Roman"/>
                      <w:sz w:val="20"/>
                      <w:szCs w:val="20"/>
                    </w:rPr>
                    <m:t>-E</m:t>
                  </m:r>
                </m:e>
                <m:sub>
                  <m:r>
                    <m:rPr>
                      <m:sty m:val="b"/>
                    </m:rPr>
                    <w:rPr>
                      <w:rFonts w:ascii="Cambria Math" w:hAnsi="Cambria Math" w:cs="Times New Roman"/>
                      <w:sz w:val="20"/>
                      <w:szCs w:val="20"/>
                    </w:rPr>
                    <m:t>corr</m:t>
                  </m:r>
                </m:sub>
              </m:sSub>
            </m:oMath>
            <w:r w:rsidR="00D301F7" w:rsidRPr="0050249B">
              <w:rPr>
                <w:rFonts w:ascii="Times New Roman" w:eastAsiaTheme="minorEastAsia" w:hAnsi="Times New Roman" w:cs="Times New Roman"/>
                <w:sz w:val="20"/>
                <w:szCs w:val="20"/>
              </w:rPr>
              <w:t xml:space="preserve"> mV/SCE</w:t>
            </w:r>
          </w:p>
        </w:tc>
        <w:tc>
          <w:tcPr>
            <w:tcW w:w="885" w:type="dxa"/>
          </w:tcPr>
          <w:p w14:paraId="03F19C05" w14:textId="77777777" w:rsidR="00D301F7" w:rsidRPr="0050249B" w:rsidRDefault="00000000"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rPr>
            </w:pPr>
            <m:oMathPara>
              <m:oMath>
                <m:sSub>
                  <m:sSubPr>
                    <m:ctrlPr>
                      <w:rPr>
                        <w:rFonts w:ascii="Cambria Math" w:hAnsi="Cambria Math" w:cs="Times New Roman"/>
                        <w:sz w:val="20"/>
                        <w:szCs w:val="20"/>
                      </w:rPr>
                    </m:ctrlPr>
                  </m:sSubPr>
                  <m:e>
                    <m:r>
                      <m:rPr>
                        <m:sty m:val="b"/>
                      </m:rPr>
                      <w:rPr>
                        <w:rFonts w:ascii="Cambria Math" w:hAnsi="Cambria Math" w:cs="Times New Roman"/>
                        <w:sz w:val="20"/>
                        <w:szCs w:val="20"/>
                      </w:rPr>
                      <m:t>i</m:t>
                    </m:r>
                  </m:e>
                  <m:sub>
                    <m:r>
                      <m:rPr>
                        <m:sty m:val="b"/>
                      </m:rPr>
                      <w:rPr>
                        <w:rFonts w:ascii="Cambria Math" w:hAnsi="Cambria Math" w:cs="Times New Roman"/>
                        <w:sz w:val="20"/>
                        <w:szCs w:val="20"/>
                      </w:rPr>
                      <m:t>corr</m:t>
                    </m:r>
                  </m:sub>
                </m:sSub>
              </m:oMath>
            </m:oMathPara>
          </w:p>
          <w:p w14:paraId="66FB1300" w14:textId="77777777" w:rsidR="00D301F7" w:rsidRPr="0050249B" w:rsidRDefault="00D301F7"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0249B">
              <w:rPr>
                <w:rFonts w:ascii="Times New Roman" w:eastAsiaTheme="minorEastAsia" w:hAnsi="Times New Roman" w:cs="Times New Roman"/>
                <w:sz w:val="20"/>
                <w:szCs w:val="20"/>
              </w:rPr>
              <w:t>mA cm</w:t>
            </w:r>
            <w:r w:rsidRPr="0050249B">
              <w:rPr>
                <w:rFonts w:ascii="Times New Roman" w:eastAsiaTheme="minorEastAsia" w:hAnsi="Times New Roman" w:cs="Times New Roman"/>
                <w:sz w:val="20"/>
                <w:szCs w:val="20"/>
                <w:vertAlign w:val="superscript"/>
              </w:rPr>
              <w:t>-2</w:t>
            </w:r>
          </w:p>
        </w:tc>
        <w:tc>
          <w:tcPr>
            <w:tcW w:w="885" w:type="dxa"/>
          </w:tcPr>
          <w:p w14:paraId="4914E721" w14:textId="77777777" w:rsidR="00D301F7" w:rsidRPr="0050249B" w:rsidRDefault="00000000"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rPr>
            </w:pPr>
            <m:oMathPara>
              <m:oMath>
                <m:sSub>
                  <m:sSubPr>
                    <m:ctrlPr>
                      <w:rPr>
                        <w:rFonts w:ascii="Cambria Math" w:hAnsi="Cambria Math" w:cs="Times New Roman"/>
                        <w:sz w:val="20"/>
                        <w:szCs w:val="20"/>
                      </w:rPr>
                    </m:ctrlPr>
                  </m:sSubPr>
                  <m:e>
                    <m:r>
                      <m:rPr>
                        <m:sty m:val="b"/>
                      </m:rPr>
                      <w:rPr>
                        <w:rFonts w:ascii="Cambria Math" w:hAnsi="Cambria Math" w:cs="Times New Roman"/>
                        <w:sz w:val="20"/>
                        <w:szCs w:val="20"/>
                      </w:rPr>
                      <m:t>β</m:t>
                    </m:r>
                  </m:e>
                  <m:sub>
                    <m:r>
                      <m:rPr>
                        <m:sty m:val="b"/>
                      </m:rPr>
                      <w:rPr>
                        <w:rFonts w:ascii="Cambria Math" w:hAnsi="Cambria Math" w:cs="Times New Roman"/>
                        <w:sz w:val="20"/>
                        <w:szCs w:val="20"/>
                      </w:rPr>
                      <m:t>a</m:t>
                    </m:r>
                  </m:sub>
                </m:sSub>
              </m:oMath>
            </m:oMathPara>
          </w:p>
          <w:p w14:paraId="41F3A7B1" w14:textId="77777777" w:rsidR="00D301F7" w:rsidRPr="0050249B" w:rsidRDefault="00D301F7"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0249B">
              <w:rPr>
                <w:rFonts w:ascii="Times New Roman" w:eastAsiaTheme="minorEastAsia" w:hAnsi="Times New Roman" w:cs="Times New Roman"/>
                <w:sz w:val="20"/>
                <w:szCs w:val="20"/>
              </w:rPr>
              <w:t>mV dec</w:t>
            </w:r>
            <w:r w:rsidRPr="0050249B">
              <w:rPr>
                <w:rFonts w:ascii="Times New Roman" w:eastAsiaTheme="minorEastAsia" w:hAnsi="Times New Roman" w:cs="Times New Roman"/>
                <w:sz w:val="20"/>
                <w:szCs w:val="20"/>
                <w:vertAlign w:val="superscript"/>
              </w:rPr>
              <w:t>-1</w:t>
            </w:r>
          </w:p>
        </w:tc>
        <w:tc>
          <w:tcPr>
            <w:tcW w:w="885" w:type="dxa"/>
          </w:tcPr>
          <w:p w14:paraId="3B750ED0" w14:textId="77777777" w:rsidR="00D301F7" w:rsidRPr="0050249B" w:rsidRDefault="00000000"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rPr>
            </w:pPr>
            <m:oMathPara>
              <m:oMath>
                <m:sSub>
                  <m:sSubPr>
                    <m:ctrlPr>
                      <w:rPr>
                        <w:rFonts w:ascii="Cambria Math" w:hAnsi="Cambria Math" w:cs="Times New Roman"/>
                        <w:sz w:val="20"/>
                        <w:szCs w:val="20"/>
                      </w:rPr>
                    </m:ctrlPr>
                  </m:sSubPr>
                  <m:e>
                    <m:r>
                      <m:rPr>
                        <m:sty m:val="b"/>
                      </m:rPr>
                      <w:rPr>
                        <w:rFonts w:ascii="Cambria Math" w:hAnsi="Cambria Math" w:cs="Times New Roman"/>
                        <w:sz w:val="20"/>
                        <w:szCs w:val="20"/>
                      </w:rPr>
                      <m:t>β</m:t>
                    </m:r>
                  </m:e>
                  <m:sub>
                    <m:r>
                      <m:rPr>
                        <m:sty m:val="b"/>
                      </m:rPr>
                      <w:rPr>
                        <w:rFonts w:ascii="Cambria Math" w:hAnsi="Cambria Math" w:cs="Times New Roman"/>
                        <w:sz w:val="20"/>
                        <w:szCs w:val="20"/>
                      </w:rPr>
                      <m:t>c</m:t>
                    </m:r>
                  </m:sub>
                </m:sSub>
              </m:oMath>
            </m:oMathPara>
          </w:p>
          <w:p w14:paraId="14C60F6A" w14:textId="77777777" w:rsidR="00D301F7" w:rsidRPr="0050249B" w:rsidRDefault="00D301F7"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0249B">
              <w:rPr>
                <w:rFonts w:ascii="Times New Roman" w:eastAsiaTheme="minorEastAsia" w:hAnsi="Times New Roman" w:cs="Times New Roman"/>
                <w:sz w:val="20"/>
                <w:szCs w:val="20"/>
              </w:rPr>
              <w:t>mV dec</w:t>
            </w:r>
            <w:r w:rsidRPr="0050249B">
              <w:rPr>
                <w:rFonts w:ascii="Times New Roman" w:eastAsiaTheme="minorEastAsia" w:hAnsi="Times New Roman" w:cs="Times New Roman"/>
                <w:sz w:val="20"/>
                <w:szCs w:val="20"/>
                <w:vertAlign w:val="superscript"/>
              </w:rPr>
              <w:t>-1</w:t>
            </w:r>
          </w:p>
        </w:tc>
        <w:tc>
          <w:tcPr>
            <w:tcW w:w="711" w:type="dxa"/>
          </w:tcPr>
          <w:p w14:paraId="0D4A24C9" w14:textId="77777777" w:rsidR="00D301F7" w:rsidRPr="0050249B" w:rsidRDefault="00D301F7"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0249B">
              <w:rPr>
                <w:rFonts w:ascii="Times New Roman" w:eastAsia="Times New Roman" w:hAnsi="Times New Roman" w:cs="Times New Roman"/>
                <w:sz w:val="20"/>
                <w:szCs w:val="20"/>
              </w:rPr>
              <w:t>R</w:t>
            </w:r>
            <w:r w:rsidRPr="0050249B">
              <w:rPr>
                <w:rFonts w:ascii="Times New Roman" w:eastAsia="Times New Roman" w:hAnsi="Times New Roman" w:cs="Times New Roman"/>
                <w:sz w:val="20"/>
                <w:szCs w:val="20"/>
                <w:vertAlign w:val="subscript"/>
              </w:rPr>
              <w:t>p</w:t>
            </w:r>
          </w:p>
        </w:tc>
        <w:tc>
          <w:tcPr>
            <w:tcW w:w="885" w:type="dxa"/>
          </w:tcPr>
          <w:p w14:paraId="7071ED3C" w14:textId="77777777" w:rsidR="00D301F7" w:rsidRPr="0050249B" w:rsidRDefault="00D301F7"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m:oMathPara>
              <m:oMath>
                <m:r>
                  <m:rPr>
                    <m:sty m:val="b"/>
                  </m:rPr>
                  <w:rPr>
                    <w:rFonts w:ascii="Cambria Math" w:hAnsi="Cambria Math" w:cs="Times New Roman"/>
                    <w:sz w:val="20"/>
                    <w:szCs w:val="20"/>
                  </w:rPr>
                  <m:t>θ</m:t>
                </m:r>
              </m:oMath>
            </m:oMathPara>
          </w:p>
        </w:tc>
        <w:tc>
          <w:tcPr>
            <w:tcW w:w="835" w:type="dxa"/>
          </w:tcPr>
          <w:p w14:paraId="5DA71C2B" w14:textId="77777777" w:rsidR="00D301F7" w:rsidRPr="0050249B" w:rsidRDefault="00D301F7"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0249B">
              <w:rPr>
                <w:rFonts w:ascii="Times New Roman" w:hAnsi="Times New Roman" w:cs="Times New Roman"/>
                <w:sz w:val="20"/>
                <w:szCs w:val="20"/>
              </w:rPr>
              <w:t>%IE</w:t>
            </w:r>
          </w:p>
        </w:tc>
        <w:tc>
          <w:tcPr>
            <w:tcW w:w="1028" w:type="dxa"/>
          </w:tcPr>
          <w:p w14:paraId="6EF083BF" w14:textId="77777777" w:rsidR="00D301F7" w:rsidRPr="0050249B" w:rsidRDefault="00D301F7" w:rsidP="002D16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0249B">
              <w:rPr>
                <w:rFonts w:ascii="Times New Roman" w:hAnsi="Times New Roman" w:cs="Times New Roman"/>
                <w:sz w:val="20"/>
                <w:szCs w:val="20"/>
              </w:rPr>
              <w:t>CR (mpy)</w:t>
            </w:r>
          </w:p>
        </w:tc>
      </w:tr>
      <w:tr w:rsidR="00D301F7" w:rsidRPr="00400A6A" w14:paraId="6B581727" w14:textId="77777777" w:rsidTr="002D1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Borders>
              <w:bottom w:val="nil"/>
            </w:tcBorders>
          </w:tcPr>
          <w:p w14:paraId="0CFA4CBF" w14:textId="77777777" w:rsidR="00D301F7" w:rsidRPr="0050249B" w:rsidRDefault="00D301F7" w:rsidP="004E5CF2">
            <w:pPr>
              <w:spacing w:line="480" w:lineRule="auto"/>
              <w:jc w:val="both"/>
              <w:rPr>
                <w:rFonts w:ascii="Times New Roman" w:eastAsiaTheme="minorEastAsia" w:hAnsi="Times New Roman" w:cs="Times New Roman"/>
                <w:sz w:val="20"/>
                <w:szCs w:val="20"/>
              </w:rPr>
            </w:pPr>
            <w:r w:rsidRPr="0050249B">
              <w:rPr>
                <w:rFonts w:ascii="Times New Roman" w:eastAsiaTheme="minorEastAsia" w:hAnsi="Times New Roman" w:cs="Times New Roman"/>
                <w:sz w:val="20"/>
                <w:szCs w:val="20"/>
              </w:rPr>
              <w:t>LPV-RTV</w:t>
            </w:r>
          </w:p>
        </w:tc>
        <w:tc>
          <w:tcPr>
            <w:tcW w:w="904" w:type="dxa"/>
            <w:tcBorders>
              <w:bottom w:val="nil"/>
            </w:tcBorders>
          </w:tcPr>
          <w:p w14:paraId="795EE1E6"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Blank</w:t>
            </w:r>
          </w:p>
        </w:tc>
        <w:tc>
          <w:tcPr>
            <w:tcW w:w="1048" w:type="dxa"/>
            <w:tcBorders>
              <w:bottom w:val="nil"/>
            </w:tcBorders>
          </w:tcPr>
          <w:p w14:paraId="480D1C55"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489</w:t>
            </w:r>
          </w:p>
        </w:tc>
        <w:tc>
          <w:tcPr>
            <w:tcW w:w="885" w:type="dxa"/>
            <w:tcBorders>
              <w:bottom w:val="nil"/>
            </w:tcBorders>
          </w:tcPr>
          <w:p w14:paraId="3A04B262"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3.070</w:t>
            </w:r>
          </w:p>
        </w:tc>
        <w:tc>
          <w:tcPr>
            <w:tcW w:w="885" w:type="dxa"/>
            <w:tcBorders>
              <w:bottom w:val="nil"/>
            </w:tcBorders>
          </w:tcPr>
          <w:p w14:paraId="613C3AB5"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132.4</w:t>
            </w:r>
          </w:p>
        </w:tc>
        <w:tc>
          <w:tcPr>
            <w:tcW w:w="885" w:type="dxa"/>
            <w:tcBorders>
              <w:bottom w:val="nil"/>
            </w:tcBorders>
          </w:tcPr>
          <w:p w14:paraId="5EA51B2D"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141.5</w:t>
            </w:r>
          </w:p>
        </w:tc>
        <w:tc>
          <w:tcPr>
            <w:tcW w:w="711" w:type="dxa"/>
            <w:tcBorders>
              <w:bottom w:val="nil"/>
            </w:tcBorders>
          </w:tcPr>
          <w:p w14:paraId="7F107CFD" w14:textId="77777777" w:rsidR="00D301F7" w:rsidRPr="0050249B" w:rsidRDefault="002D1651"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w:t>
            </w:r>
          </w:p>
        </w:tc>
        <w:tc>
          <w:tcPr>
            <w:tcW w:w="885" w:type="dxa"/>
            <w:tcBorders>
              <w:bottom w:val="nil"/>
            </w:tcBorders>
          </w:tcPr>
          <w:p w14:paraId="3697E87A"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w:t>
            </w:r>
          </w:p>
        </w:tc>
        <w:tc>
          <w:tcPr>
            <w:tcW w:w="835" w:type="dxa"/>
            <w:tcBorders>
              <w:bottom w:val="nil"/>
            </w:tcBorders>
          </w:tcPr>
          <w:p w14:paraId="7CBE5FD1"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w:t>
            </w:r>
          </w:p>
        </w:tc>
        <w:tc>
          <w:tcPr>
            <w:tcW w:w="1028" w:type="dxa"/>
            <w:tcBorders>
              <w:bottom w:val="nil"/>
            </w:tcBorders>
          </w:tcPr>
          <w:p w14:paraId="2E6ECA6A"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1.404E3</w:t>
            </w:r>
          </w:p>
        </w:tc>
      </w:tr>
      <w:tr w:rsidR="00D301F7" w:rsidRPr="00400A6A" w14:paraId="10155BC9" w14:textId="77777777" w:rsidTr="002D1651">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2D7D1A6C" w14:textId="77777777" w:rsidR="00D301F7" w:rsidRPr="0050249B" w:rsidRDefault="00D301F7" w:rsidP="004E5CF2">
            <w:pPr>
              <w:spacing w:line="480" w:lineRule="auto"/>
              <w:jc w:val="both"/>
              <w:rPr>
                <w:rFonts w:ascii="Times New Roman" w:eastAsiaTheme="minorEastAsia" w:hAnsi="Times New Roman" w:cs="Times New Roman"/>
                <w:sz w:val="20"/>
                <w:szCs w:val="20"/>
              </w:rPr>
            </w:pPr>
          </w:p>
        </w:tc>
        <w:tc>
          <w:tcPr>
            <w:tcW w:w="904" w:type="dxa"/>
            <w:tcBorders>
              <w:top w:val="nil"/>
              <w:bottom w:val="nil"/>
            </w:tcBorders>
          </w:tcPr>
          <w:p w14:paraId="336B6066"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50</w:t>
            </w:r>
          </w:p>
        </w:tc>
        <w:tc>
          <w:tcPr>
            <w:tcW w:w="1048" w:type="dxa"/>
            <w:tcBorders>
              <w:top w:val="nil"/>
              <w:bottom w:val="nil"/>
            </w:tcBorders>
          </w:tcPr>
          <w:p w14:paraId="395E079D"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606</w:t>
            </w:r>
          </w:p>
        </w:tc>
        <w:tc>
          <w:tcPr>
            <w:tcW w:w="885" w:type="dxa"/>
            <w:tcBorders>
              <w:top w:val="nil"/>
              <w:bottom w:val="nil"/>
            </w:tcBorders>
          </w:tcPr>
          <w:p w14:paraId="6756F4B7"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0.446</w:t>
            </w:r>
          </w:p>
        </w:tc>
        <w:tc>
          <w:tcPr>
            <w:tcW w:w="885" w:type="dxa"/>
            <w:tcBorders>
              <w:top w:val="nil"/>
              <w:bottom w:val="nil"/>
            </w:tcBorders>
          </w:tcPr>
          <w:p w14:paraId="0DF6F2CA"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153.5</w:t>
            </w:r>
          </w:p>
        </w:tc>
        <w:tc>
          <w:tcPr>
            <w:tcW w:w="885" w:type="dxa"/>
            <w:tcBorders>
              <w:top w:val="nil"/>
              <w:bottom w:val="nil"/>
            </w:tcBorders>
          </w:tcPr>
          <w:p w14:paraId="55CCEED9"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129.5</w:t>
            </w:r>
          </w:p>
        </w:tc>
        <w:tc>
          <w:tcPr>
            <w:tcW w:w="711" w:type="dxa"/>
            <w:tcBorders>
              <w:top w:val="nil"/>
              <w:bottom w:val="nil"/>
            </w:tcBorders>
          </w:tcPr>
          <w:p w14:paraId="31F3CEE7"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27.75</w:t>
            </w:r>
          </w:p>
        </w:tc>
        <w:tc>
          <w:tcPr>
            <w:tcW w:w="885" w:type="dxa"/>
            <w:tcBorders>
              <w:top w:val="nil"/>
              <w:bottom w:val="nil"/>
            </w:tcBorders>
          </w:tcPr>
          <w:p w14:paraId="7155461D"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0.855</w:t>
            </w:r>
          </w:p>
        </w:tc>
        <w:tc>
          <w:tcPr>
            <w:tcW w:w="835" w:type="dxa"/>
            <w:tcBorders>
              <w:top w:val="nil"/>
              <w:bottom w:val="nil"/>
            </w:tcBorders>
          </w:tcPr>
          <w:p w14:paraId="6F6FAA56"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85.5</w:t>
            </w:r>
          </w:p>
        </w:tc>
        <w:tc>
          <w:tcPr>
            <w:tcW w:w="1028" w:type="dxa"/>
            <w:tcBorders>
              <w:top w:val="nil"/>
              <w:bottom w:val="nil"/>
            </w:tcBorders>
          </w:tcPr>
          <w:p w14:paraId="29E6A359"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203.9</w:t>
            </w:r>
          </w:p>
        </w:tc>
      </w:tr>
      <w:tr w:rsidR="00D301F7" w:rsidRPr="00400A6A" w14:paraId="3AEB1BA3" w14:textId="77777777" w:rsidTr="002D1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1E6EE851" w14:textId="77777777" w:rsidR="00D301F7" w:rsidRPr="0050249B" w:rsidRDefault="00D301F7" w:rsidP="004E5CF2">
            <w:pPr>
              <w:spacing w:line="480" w:lineRule="auto"/>
              <w:jc w:val="both"/>
              <w:rPr>
                <w:rFonts w:ascii="Times New Roman" w:eastAsiaTheme="minorEastAsia" w:hAnsi="Times New Roman" w:cs="Times New Roman"/>
                <w:sz w:val="20"/>
                <w:szCs w:val="20"/>
              </w:rPr>
            </w:pPr>
          </w:p>
        </w:tc>
        <w:tc>
          <w:tcPr>
            <w:tcW w:w="904" w:type="dxa"/>
            <w:tcBorders>
              <w:top w:val="nil"/>
              <w:bottom w:val="nil"/>
            </w:tcBorders>
          </w:tcPr>
          <w:p w14:paraId="1FD32B0B"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100</w:t>
            </w:r>
          </w:p>
        </w:tc>
        <w:tc>
          <w:tcPr>
            <w:tcW w:w="1048" w:type="dxa"/>
            <w:tcBorders>
              <w:top w:val="nil"/>
              <w:bottom w:val="nil"/>
            </w:tcBorders>
          </w:tcPr>
          <w:p w14:paraId="032700A5"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700</w:t>
            </w:r>
          </w:p>
        </w:tc>
        <w:tc>
          <w:tcPr>
            <w:tcW w:w="885" w:type="dxa"/>
            <w:tcBorders>
              <w:top w:val="nil"/>
              <w:bottom w:val="nil"/>
            </w:tcBorders>
          </w:tcPr>
          <w:p w14:paraId="0A505D89"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0.416</w:t>
            </w:r>
          </w:p>
        </w:tc>
        <w:tc>
          <w:tcPr>
            <w:tcW w:w="885" w:type="dxa"/>
            <w:tcBorders>
              <w:top w:val="nil"/>
              <w:bottom w:val="nil"/>
            </w:tcBorders>
          </w:tcPr>
          <w:p w14:paraId="48210EF6"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142.2</w:t>
            </w:r>
          </w:p>
        </w:tc>
        <w:tc>
          <w:tcPr>
            <w:tcW w:w="885" w:type="dxa"/>
            <w:tcBorders>
              <w:top w:val="nil"/>
              <w:bottom w:val="nil"/>
            </w:tcBorders>
          </w:tcPr>
          <w:p w14:paraId="3747DB0F"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121.7</w:t>
            </w:r>
          </w:p>
        </w:tc>
        <w:tc>
          <w:tcPr>
            <w:tcW w:w="711" w:type="dxa"/>
            <w:tcBorders>
              <w:top w:val="nil"/>
              <w:bottom w:val="nil"/>
            </w:tcBorders>
          </w:tcPr>
          <w:p w14:paraId="5AABA7FD"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29.19</w:t>
            </w:r>
          </w:p>
        </w:tc>
        <w:tc>
          <w:tcPr>
            <w:tcW w:w="885" w:type="dxa"/>
            <w:tcBorders>
              <w:top w:val="nil"/>
              <w:bottom w:val="nil"/>
            </w:tcBorders>
          </w:tcPr>
          <w:p w14:paraId="06587113"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0.864</w:t>
            </w:r>
          </w:p>
        </w:tc>
        <w:tc>
          <w:tcPr>
            <w:tcW w:w="835" w:type="dxa"/>
            <w:tcBorders>
              <w:top w:val="nil"/>
              <w:bottom w:val="nil"/>
            </w:tcBorders>
          </w:tcPr>
          <w:p w14:paraId="09F6A96B"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86.4</w:t>
            </w:r>
          </w:p>
        </w:tc>
        <w:tc>
          <w:tcPr>
            <w:tcW w:w="1028" w:type="dxa"/>
            <w:tcBorders>
              <w:top w:val="nil"/>
              <w:bottom w:val="nil"/>
            </w:tcBorders>
          </w:tcPr>
          <w:p w14:paraId="56CE143C"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190.1</w:t>
            </w:r>
          </w:p>
        </w:tc>
      </w:tr>
      <w:tr w:rsidR="00D301F7" w:rsidRPr="00400A6A" w14:paraId="6E1EBAE8" w14:textId="77777777" w:rsidTr="002D1651">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68900DE2" w14:textId="77777777" w:rsidR="00D301F7" w:rsidRPr="0050249B" w:rsidRDefault="00D301F7" w:rsidP="004E5CF2">
            <w:pPr>
              <w:spacing w:line="480" w:lineRule="auto"/>
              <w:jc w:val="both"/>
              <w:rPr>
                <w:rFonts w:ascii="Times New Roman" w:eastAsiaTheme="minorEastAsia" w:hAnsi="Times New Roman" w:cs="Times New Roman"/>
                <w:sz w:val="20"/>
                <w:szCs w:val="20"/>
              </w:rPr>
            </w:pPr>
          </w:p>
        </w:tc>
        <w:tc>
          <w:tcPr>
            <w:tcW w:w="904" w:type="dxa"/>
            <w:tcBorders>
              <w:top w:val="nil"/>
              <w:bottom w:val="nil"/>
            </w:tcBorders>
          </w:tcPr>
          <w:p w14:paraId="797196DA"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150</w:t>
            </w:r>
          </w:p>
        </w:tc>
        <w:tc>
          <w:tcPr>
            <w:tcW w:w="1048" w:type="dxa"/>
            <w:tcBorders>
              <w:top w:val="nil"/>
              <w:bottom w:val="nil"/>
            </w:tcBorders>
          </w:tcPr>
          <w:p w14:paraId="15B51DC9"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663</w:t>
            </w:r>
          </w:p>
        </w:tc>
        <w:tc>
          <w:tcPr>
            <w:tcW w:w="885" w:type="dxa"/>
            <w:tcBorders>
              <w:top w:val="nil"/>
              <w:bottom w:val="nil"/>
            </w:tcBorders>
          </w:tcPr>
          <w:p w14:paraId="604473C5"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0.401</w:t>
            </w:r>
          </w:p>
        </w:tc>
        <w:tc>
          <w:tcPr>
            <w:tcW w:w="885" w:type="dxa"/>
            <w:tcBorders>
              <w:top w:val="nil"/>
              <w:bottom w:val="nil"/>
            </w:tcBorders>
          </w:tcPr>
          <w:p w14:paraId="3D1A3EE8"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153.1</w:t>
            </w:r>
          </w:p>
        </w:tc>
        <w:tc>
          <w:tcPr>
            <w:tcW w:w="885" w:type="dxa"/>
            <w:tcBorders>
              <w:top w:val="nil"/>
              <w:bottom w:val="nil"/>
            </w:tcBorders>
          </w:tcPr>
          <w:p w14:paraId="32EC2B2A"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126.0</w:t>
            </w:r>
          </w:p>
        </w:tc>
        <w:tc>
          <w:tcPr>
            <w:tcW w:w="711" w:type="dxa"/>
            <w:tcBorders>
              <w:top w:val="nil"/>
              <w:bottom w:val="nil"/>
            </w:tcBorders>
          </w:tcPr>
          <w:p w14:paraId="2940BEC7"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39.81</w:t>
            </w:r>
          </w:p>
        </w:tc>
        <w:tc>
          <w:tcPr>
            <w:tcW w:w="885" w:type="dxa"/>
            <w:tcBorders>
              <w:top w:val="nil"/>
              <w:bottom w:val="nil"/>
            </w:tcBorders>
          </w:tcPr>
          <w:p w14:paraId="33E3ADF0"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0.870</w:t>
            </w:r>
          </w:p>
        </w:tc>
        <w:tc>
          <w:tcPr>
            <w:tcW w:w="835" w:type="dxa"/>
            <w:tcBorders>
              <w:top w:val="nil"/>
              <w:bottom w:val="nil"/>
            </w:tcBorders>
          </w:tcPr>
          <w:p w14:paraId="40949B44"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87.0</w:t>
            </w:r>
          </w:p>
        </w:tc>
        <w:tc>
          <w:tcPr>
            <w:tcW w:w="1028" w:type="dxa"/>
            <w:tcBorders>
              <w:top w:val="nil"/>
              <w:bottom w:val="nil"/>
            </w:tcBorders>
          </w:tcPr>
          <w:p w14:paraId="201559B2"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183.3</w:t>
            </w:r>
          </w:p>
        </w:tc>
      </w:tr>
      <w:tr w:rsidR="00D301F7" w:rsidRPr="00400A6A" w14:paraId="34C70977" w14:textId="77777777" w:rsidTr="002D1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Borders>
              <w:top w:val="nil"/>
              <w:bottom w:val="nil"/>
            </w:tcBorders>
          </w:tcPr>
          <w:p w14:paraId="2BF54DCB" w14:textId="77777777" w:rsidR="00D301F7" w:rsidRPr="0050249B" w:rsidRDefault="00D301F7" w:rsidP="004E5CF2">
            <w:pPr>
              <w:spacing w:line="480" w:lineRule="auto"/>
              <w:jc w:val="both"/>
              <w:rPr>
                <w:rFonts w:ascii="Times New Roman" w:eastAsiaTheme="minorEastAsia" w:hAnsi="Times New Roman" w:cs="Times New Roman"/>
                <w:sz w:val="20"/>
                <w:szCs w:val="20"/>
              </w:rPr>
            </w:pPr>
          </w:p>
        </w:tc>
        <w:tc>
          <w:tcPr>
            <w:tcW w:w="904" w:type="dxa"/>
            <w:tcBorders>
              <w:top w:val="nil"/>
              <w:bottom w:val="nil"/>
            </w:tcBorders>
          </w:tcPr>
          <w:p w14:paraId="7CB633CB"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200</w:t>
            </w:r>
          </w:p>
        </w:tc>
        <w:tc>
          <w:tcPr>
            <w:tcW w:w="1048" w:type="dxa"/>
            <w:tcBorders>
              <w:top w:val="nil"/>
              <w:bottom w:val="nil"/>
            </w:tcBorders>
          </w:tcPr>
          <w:p w14:paraId="74EDE4C9"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601</w:t>
            </w:r>
          </w:p>
        </w:tc>
        <w:tc>
          <w:tcPr>
            <w:tcW w:w="885" w:type="dxa"/>
            <w:tcBorders>
              <w:top w:val="nil"/>
              <w:bottom w:val="nil"/>
            </w:tcBorders>
          </w:tcPr>
          <w:p w14:paraId="656EDE8A"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0.330</w:t>
            </w:r>
          </w:p>
        </w:tc>
        <w:tc>
          <w:tcPr>
            <w:tcW w:w="885" w:type="dxa"/>
            <w:tcBorders>
              <w:top w:val="nil"/>
              <w:bottom w:val="nil"/>
            </w:tcBorders>
          </w:tcPr>
          <w:p w14:paraId="695C4725"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130.7</w:t>
            </w:r>
          </w:p>
        </w:tc>
        <w:tc>
          <w:tcPr>
            <w:tcW w:w="885" w:type="dxa"/>
            <w:tcBorders>
              <w:top w:val="nil"/>
              <w:bottom w:val="nil"/>
            </w:tcBorders>
          </w:tcPr>
          <w:p w14:paraId="14224FAE"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118.8</w:t>
            </w:r>
          </w:p>
        </w:tc>
        <w:tc>
          <w:tcPr>
            <w:tcW w:w="711" w:type="dxa"/>
            <w:tcBorders>
              <w:top w:val="nil"/>
              <w:bottom w:val="nil"/>
            </w:tcBorders>
          </w:tcPr>
          <w:p w14:paraId="035775A5"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42.06</w:t>
            </w:r>
          </w:p>
        </w:tc>
        <w:tc>
          <w:tcPr>
            <w:tcW w:w="885" w:type="dxa"/>
            <w:tcBorders>
              <w:top w:val="nil"/>
              <w:bottom w:val="nil"/>
            </w:tcBorders>
          </w:tcPr>
          <w:p w14:paraId="4D48ED98"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0.893</w:t>
            </w:r>
          </w:p>
        </w:tc>
        <w:tc>
          <w:tcPr>
            <w:tcW w:w="835" w:type="dxa"/>
            <w:tcBorders>
              <w:top w:val="nil"/>
              <w:bottom w:val="nil"/>
            </w:tcBorders>
          </w:tcPr>
          <w:p w14:paraId="01CFB1F8"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89.3</w:t>
            </w:r>
          </w:p>
        </w:tc>
        <w:tc>
          <w:tcPr>
            <w:tcW w:w="1028" w:type="dxa"/>
            <w:tcBorders>
              <w:top w:val="nil"/>
              <w:bottom w:val="nil"/>
            </w:tcBorders>
          </w:tcPr>
          <w:p w14:paraId="17EB3117" w14:textId="77777777" w:rsidR="00D301F7" w:rsidRPr="0050249B" w:rsidRDefault="00D301F7" w:rsidP="002D16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165.1</w:t>
            </w:r>
          </w:p>
        </w:tc>
      </w:tr>
      <w:tr w:rsidR="00D301F7" w:rsidRPr="00400A6A" w14:paraId="3B2675B5" w14:textId="77777777" w:rsidTr="002D1651">
        <w:tc>
          <w:tcPr>
            <w:cnfStyle w:val="001000000000" w:firstRow="0" w:lastRow="0" w:firstColumn="1" w:lastColumn="0" w:oddVBand="0" w:evenVBand="0" w:oddHBand="0" w:evenHBand="0" w:firstRowFirstColumn="0" w:firstRowLastColumn="0" w:lastRowFirstColumn="0" w:lastRowLastColumn="0"/>
            <w:tcW w:w="1294" w:type="dxa"/>
            <w:tcBorders>
              <w:top w:val="nil"/>
            </w:tcBorders>
          </w:tcPr>
          <w:p w14:paraId="52C2D6FF" w14:textId="77777777" w:rsidR="00D301F7" w:rsidRPr="0050249B" w:rsidRDefault="00D301F7" w:rsidP="004E5CF2">
            <w:pPr>
              <w:spacing w:line="480" w:lineRule="auto"/>
              <w:jc w:val="both"/>
              <w:rPr>
                <w:rFonts w:ascii="Times New Roman" w:eastAsiaTheme="minorEastAsia" w:hAnsi="Times New Roman" w:cs="Times New Roman"/>
                <w:sz w:val="20"/>
                <w:szCs w:val="20"/>
              </w:rPr>
            </w:pPr>
          </w:p>
        </w:tc>
        <w:tc>
          <w:tcPr>
            <w:tcW w:w="904" w:type="dxa"/>
            <w:tcBorders>
              <w:top w:val="nil"/>
            </w:tcBorders>
          </w:tcPr>
          <w:p w14:paraId="17BEDA64"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250</w:t>
            </w:r>
          </w:p>
        </w:tc>
        <w:tc>
          <w:tcPr>
            <w:tcW w:w="1048" w:type="dxa"/>
            <w:tcBorders>
              <w:top w:val="nil"/>
            </w:tcBorders>
          </w:tcPr>
          <w:p w14:paraId="0FCCFB6F"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594</w:t>
            </w:r>
          </w:p>
        </w:tc>
        <w:tc>
          <w:tcPr>
            <w:tcW w:w="885" w:type="dxa"/>
            <w:tcBorders>
              <w:top w:val="nil"/>
            </w:tcBorders>
          </w:tcPr>
          <w:p w14:paraId="45D68147"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0.230</w:t>
            </w:r>
          </w:p>
        </w:tc>
        <w:tc>
          <w:tcPr>
            <w:tcW w:w="885" w:type="dxa"/>
            <w:tcBorders>
              <w:top w:val="nil"/>
            </w:tcBorders>
          </w:tcPr>
          <w:p w14:paraId="512A6439"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146.1</w:t>
            </w:r>
          </w:p>
        </w:tc>
        <w:tc>
          <w:tcPr>
            <w:tcW w:w="885" w:type="dxa"/>
            <w:tcBorders>
              <w:top w:val="nil"/>
            </w:tcBorders>
          </w:tcPr>
          <w:p w14:paraId="6253B9F8"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1319</w:t>
            </w:r>
          </w:p>
        </w:tc>
        <w:tc>
          <w:tcPr>
            <w:tcW w:w="711" w:type="dxa"/>
            <w:tcBorders>
              <w:top w:val="nil"/>
            </w:tcBorders>
          </w:tcPr>
          <w:p w14:paraId="41124213"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59.19</w:t>
            </w:r>
          </w:p>
        </w:tc>
        <w:tc>
          <w:tcPr>
            <w:tcW w:w="885" w:type="dxa"/>
            <w:tcBorders>
              <w:top w:val="nil"/>
            </w:tcBorders>
          </w:tcPr>
          <w:p w14:paraId="747DAAB7"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0.930</w:t>
            </w:r>
          </w:p>
        </w:tc>
        <w:tc>
          <w:tcPr>
            <w:tcW w:w="835" w:type="dxa"/>
            <w:tcBorders>
              <w:top w:val="nil"/>
            </w:tcBorders>
          </w:tcPr>
          <w:p w14:paraId="140B2A31"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93.0</w:t>
            </w:r>
          </w:p>
        </w:tc>
        <w:tc>
          <w:tcPr>
            <w:tcW w:w="1028" w:type="dxa"/>
            <w:tcBorders>
              <w:top w:val="nil"/>
            </w:tcBorders>
          </w:tcPr>
          <w:p w14:paraId="0B5E4916" w14:textId="77777777" w:rsidR="00D301F7" w:rsidRPr="0050249B" w:rsidRDefault="00D301F7" w:rsidP="002D16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249B">
              <w:rPr>
                <w:rFonts w:ascii="Times New Roman" w:hAnsi="Times New Roman" w:cs="Times New Roman"/>
                <w:sz w:val="20"/>
                <w:szCs w:val="20"/>
              </w:rPr>
              <w:t>150.6</w:t>
            </w:r>
          </w:p>
        </w:tc>
      </w:tr>
    </w:tbl>
    <w:p w14:paraId="4D7E7ABE" w14:textId="77777777" w:rsidR="002D1651" w:rsidRPr="002D1651" w:rsidRDefault="002D1651" w:rsidP="005A68A4">
      <w:pPr>
        <w:spacing w:before="100" w:beforeAutospacing="1" w:after="100" w:afterAutospacing="1" w:line="360" w:lineRule="auto"/>
        <w:jc w:val="both"/>
        <w:rPr>
          <w:rFonts w:ascii="Times New Roman" w:eastAsia="Times New Roman" w:hAnsi="Times New Roman" w:cs="Times New Roman"/>
          <w:sz w:val="24"/>
          <w:szCs w:val="24"/>
        </w:rPr>
      </w:pPr>
      <w:r w:rsidRPr="002D1651">
        <w:rPr>
          <w:rFonts w:ascii="Times New Roman" w:eastAsia="Times New Roman" w:hAnsi="Times New Roman" w:cs="Times New Roman"/>
          <w:sz w:val="24"/>
          <w:szCs w:val="24"/>
        </w:rPr>
        <w:t>At the optimal inhibitor concentration, the highest recorded inhibition efficiency was 93.0%. This was accompanied by a significant shift in the corrosion potential (E</w:t>
      </w:r>
      <w:r w:rsidRPr="002D1651">
        <w:rPr>
          <w:rFonts w:ascii="Times New Roman" w:eastAsia="Times New Roman" w:hAnsi="Times New Roman" w:cs="Times New Roman"/>
          <w:sz w:val="24"/>
          <w:szCs w:val="24"/>
          <w:vertAlign w:val="subscript"/>
        </w:rPr>
        <w:t>corr</w:t>
      </w:r>
      <w:r w:rsidRPr="002D1651">
        <w:rPr>
          <w:rFonts w:ascii="Times New Roman" w:eastAsia="Times New Roman" w:hAnsi="Times New Roman" w:cs="Times New Roman"/>
          <w:sz w:val="24"/>
          <w:szCs w:val="24"/>
        </w:rPr>
        <w:t xml:space="preserve">) from -489 mV/SCE for the </w:t>
      </w:r>
      <w:r w:rsidR="00B2057F">
        <w:rPr>
          <w:rFonts w:ascii="Times New Roman" w:eastAsia="Times New Roman" w:hAnsi="Times New Roman" w:cs="Times New Roman"/>
          <w:sz w:val="24"/>
          <w:szCs w:val="24"/>
        </w:rPr>
        <w:t>blank</w:t>
      </w:r>
      <w:r w:rsidRPr="002D1651">
        <w:rPr>
          <w:rFonts w:ascii="Times New Roman" w:eastAsia="Times New Roman" w:hAnsi="Times New Roman" w:cs="Times New Roman"/>
          <w:sz w:val="24"/>
          <w:szCs w:val="24"/>
        </w:rPr>
        <w:t xml:space="preserve"> to -594 mV/SCE in the presence of the inhibitor. The observed positive shift of +174 mV/SCE s</w:t>
      </w:r>
      <w:r w:rsidR="007D0CE1">
        <w:rPr>
          <w:rFonts w:ascii="Times New Roman" w:eastAsia="Times New Roman" w:hAnsi="Times New Roman" w:cs="Times New Roman"/>
          <w:sz w:val="24"/>
          <w:szCs w:val="24"/>
        </w:rPr>
        <w:t>uggests that LPV-RTV</w:t>
      </w:r>
      <w:r w:rsidRPr="002D1651">
        <w:rPr>
          <w:rFonts w:ascii="Times New Roman" w:eastAsia="Times New Roman" w:hAnsi="Times New Roman" w:cs="Times New Roman"/>
          <w:sz w:val="24"/>
          <w:szCs w:val="24"/>
        </w:rPr>
        <w:t xml:space="preserve"> molecules are adsorbing onto the mild steel surface, forming a protective film that effectively hinders electrochemical reactions, thus mitigating corrosion.</w:t>
      </w:r>
      <w:r w:rsidR="007D0CE1">
        <w:rPr>
          <w:rFonts w:ascii="Times New Roman" w:eastAsia="Times New Roman" w:hAnsi="Times New Roman" w:cs="Times New Roman"/>
          <w:sz w:val="24"/>
          <w:szCs w:val="24"/>
        </w:rPr>
        <w:t xml:space="preserve"> In addition, the</w:t>
      </w:r>
      <w:r w:rsidR="007D0CE1" w:rsidRPr="001938A2">
        <w:rPr>
          <w:rFonts w:ascii="Times New Roman" w:eastAsia="Times New Roman" w:hAnsi="Times New Roman" w:cs="Times New Roman"/>
          <w:sz w:val="24"/>
          <w:szCs w:val="24"/>
        </w:rPr>
        <w:t xml:space="preserve"> </w:t>
      </w:r>
      <w:r w:rsidR="007D0CE1" w:rsidRPr="007D0CE1">
        <w:rPr>
          <w:rFonts w:ascii="Times New Roman" w:eastAsia="Times New Roman" w:hAnsi="Times New Roman" w:cs="Times New Roman"/>
          <w:bCs/>
          <w:sz w:val="24"/>
          <w:szCs w:val="24"/>
        </w:rPr>
        <w:t>corrosion current density (i</w:t>
      </w:r>
      <w:r w:rsidR="007D0CE1" w:rsidRPr="007D0CE1">
        <w:rPr>
          <w:rFonts w:ascii="Times New Roman" w:eastAsia="Times New Roman" w:hAnsi="Times New Roman" w:cs="Times New Roman"/>
          <w:bCs/>
          <w:sz w:val="24"/>
          <w:szCs w:val="24"/>
          <w:vertAlign w:val="subscript"/>
        </w:rPr>
        <w:t>corr</w:t>
      </w:r>
      <w:r w:rsidR="007D0CE1" w:rsidRPr="007D0CE1">
        <w:rPr>
          <w:rFonts w:ascii="Times New Roman" w:eastAsia="Times New Roman" w:hAnsi="Times New Roman" w:cs="Times New Roman"/>
          <w:bCs/>
          <w:sz w:val="24"/>
          <w:szCs w:val="24"/>
        </w:rPr>
        <w:t>)</w:t>
      </w:r>
      <w:r w:rsidR="007D0CE1" w:rsidRPr="001938A2">
        <w:rPr>
          <w:rFonts w:ascii="Times New Roman" w:eastAsia="Times New Roman" w:hAnsi="Times New Roman" w:cs="Times New Roman"/>
          <w:sz w:val="24"/>
          <w:szCs w:val="24"/>
        </w:rPr>
        <w:t xml:space="preserve"> decreased substantially from the </w:t>
      </w:r>
      <w:r w:rsidR="007D0CE1" w:rsidRPr="007D0CE1">
        <w:rPr>
          <w:rFonts w:ascii="Times New Roman" w:eastAsia="Times New Roman" w:hAnsi="Times New Roman" w:cs="Times New Roman"/>
          <w:bCs/>
          <w:sz w:val="24"/>
          <w:szCs w:val="24"/>
        </w:rPr>
        <w:t>blank solution</w:t>
      </w:r>
      <w:r w:rsidR="007D0CE1" w:rsidRPr="007D0CE1">
        <w:rPr>
          <w:rFonts w:ascii="Times New Roman" w:eastAsia="Times New Roman" w:hAnsi="Times New Roman" w:cs="Times New Roman"/>
          <w:sz w:val="24"/>
          <w:szCs w:val="24"/>
        </w:rPr>
        <w:t>,</w:t>
      </w:r>
      <w:r w:rsidR="007D0CE1" w:rsidRPr="001938A2">
        <w:rPr>
          <w:rFonts w:ascii="Times New Roman" w:eastAsia="Times New Roman" w:hAnsi="Times New Roman" w:cs="Times New Roman"/>
          <w:sz w:val="24"/>
          <w:szCs w:val="24"/>
        </w:rPr>
        <w:t xml:space="preserve"> indicating that </w:t>
      </w:r>
      <w:r w:rsidR="007D0CE1" w:rsidRPr="007D0CE1">
        <w:rPr>
          <w:rFonts w:ascii="Times New Roman" w:eastAsia="Times New Roman" w:hAnsi="Times New Roman" w:cs="Times New Roman"/>
          <w:bCs/>
          <w:sz w:val="24"/>
          <w:szCs w:val="24"/>
        </w:rPr>
        <w:t>LPV-RTV</w:t>
      </w:r>
      <w:r w:rsidR="007D0CE1" w:rsidRPr="001938A2">
        <w:rPr>
          <w:rFonts w:ascii="Times New Roman" w:eastAsia="Times New Roman" w:hAnsi="Times New Roman" w:cs="Times New Roman"/>
          <w:sz w:val="24"/>
          <w:szCs w:val="24"/>
        </w:rPr>
        <w:t xml:space="preserve"> inhibits the electrochemical reactions responsible for corrosion.</w:t>
      </w:r>
    </w:p>
    <w:p w14:paraId="0837AAA3" w14:textId="77777777" w:rsidR="002D1651" w:rsidRPr="002D1651" w:rsidRDefault="002D1651" w:rsidP="005A68A4">
      <w:pPr>
        <w:spacing w:before="100" w:beforeAutospacing="1" w:after="100" w:afterAutospacing="1" w:line="360" w:lineRule="auto"/>
        <w:jc w:val="both"/>
        <w:rPr>
          <w:rFonts w:ascii="Times New Roman" w:eastAsia="Times New Roman" w:hAnsi="Times New Roman" w:cs="Times New Roman"/>
          <w:sz w:val="24"/>
          <w:szCs w:val="24"/>
        </w:rPr>
      </w:pPr>
      <w:r w:rsidRPr="002D1651">
        <w:rPr>
          <w:rFonts w:ascii="Times New Roman" w:eastAsia="Times New Roman" w:hAnsi="Times New Roman" w:cs="Times New Roman"/>
          <w:sz w:val="24"/>
          <w:szCs w:val="24"/>
        </w:rPr>
        <w:t>In accordance with standard inhibitor classification, a shift in E</w:t>
      </w:r>
      <w:r w:rsidRPr="002D1651">
        <w:rPr>
          <w:rFonts w:ascii="Times New Roman" w:eastAsia="Times New Roman" w:hAnsi="Times New Roman" w:cs="Times New Roman"/>
          <w:sz w:val="24"/>
          <w:szCs w:val="24"/>
          <w:vertAlign w:val="subscript"/>
        </w:rPr>
        <w:t>corr</w:t>
      </w:r>
      <w:r w:rsidRPr="002D1651">
        <w:rPr>
          <w:rFonts w:ascii="Times New Roman" w:eastAsia="Times New Roman" w:hAnsi="Times New Roman" w:cs="Times New Roman"/>
          <w:sz w:val="24"/>
          <w:szCs w:val="24"/>
        </w:rPr>
        <w:t xml:space="preserve"> greater than ±85 mV/SCE generally indicates that the inhibitor predominantly influences either the anodic or cathodic reaction</w:t>
      </w:r>
      <w:r w:rsidR="00B2057F">
        <w:rPr>
          <w:rFonts w:ascii="Times New Roman" w:eastAsia="Times New Roman" w:hAnsi="Times New Roman" w:cs="Times New Roman"/>
          <w:sz w:val="24"/>
          <w:szCs w:val="24"/>
        </w:rPr>
        <w:t xml:space="preserve"> </w:t>
      </w:r>
      <w:r w:rsidR="00070205">
        <w:rPr>
          <w:rFonts w:ascii="Times New Roman" w:eastAsia="Times New Roman" w:hAnsi="Times New Roman" w:cs="Times New Roman"/>
          <w:sz w:val="24"/>
          <w:szCs w:val="24"/>
        </w:rPr>
        <w:t xml:space="preserve">[24, </w:t>
      </w:r>
      <w:r w:rsidR="00555DA9">
        <w:rPr>
          <w:rFonts w:ascii="Times New Roman" w:eastAsia="Times New Roman" w:hAnsi="Times New Roman" w:cs="Times New Roman"/>
          <w:sz w:val="24"/>
          <w:szCs w:val="24"/>
        </w:rPr>
        <w:t>25]</w:t>
      </w:r>
      <w:r w:rsidRPr="002D1651">
        <w:rPr>
          <w:rFonts w:ascii="Times New Roman" w:eastAsia="Times New Roman" w:hAnsi="Times New Roman" w:cs="Times New Roman"/>
          <w:sz w:val="24"/>
          <w:szCs w:val="24"/>
        </w:rPr>
        <w:t xml:space="preserve">. The observed shift of +174 mV/SCE, exceeding this threshold, is consistent with the behavior of an anodic inhibitor. Specifically, the positive shift </w:t>
      </w:r>
      <w:r>
        <w:rPr>
          <w:rFonts w:ascii="Times New Roman" w:eastAsia="Times New Roman" w:hAnsi="Times New Roman" w:cs="Times New Roman"/>
          <w:sz w:val="24"/>
          <w:szCs w:val="24"/>
        </w:rPr>
        <w:t>in E</w:t>
      </w:r>
      <w:r w:rsidRPr="00424E73">
        <w:rPr>
          <w:rFonts w:ascii="Times New Roman" w:eastAsia="Times New Roman" w:hAnsi="Times New Roman" w:cs="Times New Roman"/>
          <w:sz w:val="24"/>
          <w:szCs w:val="24"/>
          <w:vertAlign w:val="subscript"/>
        </w:rPr>
        <w:t>corr</w:t>
      </w:r>
      <w:r>
        <w:rPr>
          <w:rFonts w:ascii="Times New Roman" w:eastAsia="Times New Roman" w:hAnsi="Times New Roman" w:cs="Times New Roman"/>
          <w:sz w:val="24"/>
          <w:szCs w:val="24"/>
        </w:rPr>
        <w:t xml:space="preserve"> suggests that LPV-RTV</w:t>
      </w:r>
      <w:r w:rsidRPr="002D1651">
        <w:rPr>
          <w:rFonts w:ascii="Times New Roman" w:eastAsia="Times New Roman" w:hAnsi="Times New Roman" w:cs="Times New Roman"/>
          <w:sz w:val="24"/>
          <w:szCs w:val="24"/>
        </w:rPr>
        <w:t xml:space="preserve"> primarily affects the anodic reaction, which involves metal dissolution. This is characteristic of anodic inhibitors, which reduce metal dissolution rates without significantly impacting the cathodic reaction </w:t>
      </w:r>
      <w:r w:rsidR="00070205">
        <w:rPr>
          <w:rFonts w:ascii="Times New Roman" w:hAnsi="Times New Roman" w:cs="Times New Roman"/>
          <w:sz w:val="24"/>
        </w:rPr>
        <w:t xml:space="preserve">[26, </w:t>
      </w:r>
      <w:r w:rsidR="00555DA9">
        <w:rPr>
          <w:rFonts w:ascii="Times New Roman" w:hAnsi="Times New Roman" w:cs="Times New Roman"/>
          <w:sz w:val="24"/>
        </w:rPr>
        <w:t>27]</w:t>
      </w:r>
      <w:r w:rsidRPr="002D1651">
        <w:rPr>
          <w:rFonts w:ascii="Times New Roman" w:eastAsia="Times New Roman" w:hAnsi="Times New Roman" w:cs="Times New Roman"/>
          <w:sz w:val="24"/>
          <w:szCs w:val="24"/>
        </w:rPr>
        <w:t>.</w:t>
      </w:r>
    </w:p>
    <w:p w14:paraId="5A99D9FF" w14:textId="77777777" w:rsidR="002D1651" w:rsidRPr="002D1651" w:rsidRDefault="002D1651" w:rsidP="005A68A4">
      <w:pPr>
        <w:spacing w:before="100" w:beforeAutospacing="1" w:after="100" w:afterAutospacing="1" w:line="360" w:lineRule="auto"/>
        <w:jc w:val="both"/>
        <w:rPr>
          <w:rFonts w:ascii="Times New Roman" w:eastAsia="Times New Roman" w:hAnsi="Times New Roman" w:cs="Times New Roman"/>
          <w:sz w:val="24"/>
          <w:szCs w:val="24"/>
        </w:rPr>
      </w:pPr>
      <w:r w:rsidRPr="002D1651">
        <w:rPr>
          <w:rFonts w:ascii="Times New Roman" w:eastAsia="Times New Roman" w:hAnsi="Times New Roman" w:cs="Times New Roman"/>
          <w:sz w:val="24"/>
          <w:szCs w:val="24"/>
        </w:rPr>
        <w:t>These findings support an adsorption-controlled corrosion inhibition mechanism, where the inhibitor molecules occupy active sites on the steel surface, thereby inhibiting e</w:t>
      </w:r>
      <w:r>
        <w:rPr>
          <w:rFonts w:ascii="Times New Roman" w:eastAsia="Times New Roman" w:hAnsi="Times New Roman" w:cs="Times New Roman"/>
          <w:sz w:val="24"/>
          <w:szCs w:val="24"/>
        </w:rPr>
        <w:t xml:space="preserve">lectrochemical reactions at </w:t>
      </w:r>
      <w:r w:rsidRPr="002D1651">
        <w:rPr>
          <w:rFonts w:ascii="Times New Roman" w:eastAsia="Times New Roman" w:hAnsi="Times New Roman" w:cs="Times New Roman"/>
          <w:sz w:val="24"/>
          <w:szCs w:val="24"/>
        </w:rPr>
        <w:t>the anodic sites</w:t>
      </w:r>
      <w:r w:rsidR="0073178A">
        <w:rPr>
          <w:rFonts w:ascii="Times New Roman" w:eastAsia="Times New Roman" w:hAnsi="Times New Roman" w:cs="Times New Roman"/>
          <w:sz w:val="24"/>
          <w:szCs w:val="24"/>
        </w:rPr>
        <w:t xml:space="preserve"> </w:t>
      </w:r>
      <w:r w:rsidR="00555DA9">
        <w:rPr>
          <w:rFonts w:ascii="Times New Roman" w:eastAsia="Times New Roman" w:hAnsi="Times New Roman" w:cs="Times New Roman"/>
          <w:sz w:val="24"/>
          <w:szCs w:val="24"/>
        </w:rPr>
        <w:t>[28]</w:t>
      </w:r>
      <w:r w:rsidR="0073178A">
        <w:rPr>
          <w:rFonts w:ascii="Times New Roman" w:eastAsia="Times New Roman" w:hAnsi="Times New Roman" w:cs="Times New Roman"/>
          <w:sz w:val="24"/>
          <w:szCs w:val="24"/>
        </w:rPr>
        <w:t>. T</w:t>
      </w:r>
      <w:r w:rsidRPr="002D1651">
        <w:rPr>
          <w:rFonts w:ascii="Times New Roman" w:eastAsia="Times New Roman" w:hAnsi="Times New Roman" w:cs="Times New Roman"/>
          <w:sz w:val="24"/>
          <w:szCs w:val="24"/>
        </w:rPr>
        <w:t>he pola</w:t>
      </w:r>
      <w:r>
        <w:rPr>
          <w:rFonts w:ascii="Times New Roman" w:eastAsia="Times New Roman" w:hAnsi="Times New Roman" w:cs="Times New Roman"/>
          <w:sz w:val="24"/>
          <w:szCs w:val="24"/>
        </w:rPr>
        <w:t>r functional groups of LPV and RTV</w:t>
      </w:r>
      <w:r w:rsidRPr="002D1651">
        <w:rPr>
          <w:rFonts w:ascii="Times New Roman" w:eastAsia="Times New Roman" w:hAnsi="Times New Roman" w:cs="Times New Roman"/>
          <w:sz w:val="24"/>
          <w:szCs w:val="24"/>
        </w:rPr>
        <w:t xml:space="preserve"> likely facilitate the formation of a protective layer, thereby reducing the metal's reactivity with the corrosive medium</w:t>
      </w:r>
      <w:r w:rsidR="00424E73">
        <w:rPr>
          <w:rFonts w:ascii="Times New Roman" w:eastAsia="Times New Roman" w:hAnsi="Times New Roman" w:cs="Times New Roman"/>
          <w:sz w:val="24"/>
          <w:szCs w:val="24"/>
        </w:rPr>
        <w:t>.</w:t>
      </w:r>
      <w:r w:rsidRPr="002D1651">
        <w:rPr>
          <w:rFonts w:ascii="Times New Roman" w:eastAsia="Times New Roman" w:hAnsi="Times New Roman" w:cs="Times New Roman"/>
          <w:sz w:val="24"/>
          <w:szCs w:val="24"/>
        </w:rPr>
        <w:t xml:space="preserve"> </w:t>
      </w:r>
    </w:p>
    <w:p w14:paraId="5B4D00F9" w14:textId="77777777" w:rsidR="001938A2" w:rsidRDefault="001938A2" w:rsidP="002D1651">
      <w:pPr>
        <w:spacing w:before="100" w:beforeAutospacing="1" w:after="100" w:afterAutospacing="1" w:line="240" w:lineRule="auto"/>
        <w:rPr>
          <w:rFonts w:ascii="Times New Roman" w:eastAsia="Times New Roman" w:hAnsi="Times New Roman" w:cs="Times New Roman"/>
          <w:b/>
          <w:bCs/>
          <w:sz w:val="24"/>
          <w:szCs w:val="24"/>
        </w:rPr>
      </w:pPr>
    </w:p>
    <w:p w14:paraId="342B3B88" w14:textId="77777777" w:rsidR="004E5CF2" w:rsidRPr="00A221DD" w:rsidRDefault="004E5CF2" w:rsidP="004E5CF2">
      <w:pPr>
        <w:spacing w:line="480" w:lineRule="auto"/>
        <w:jc w:val="both"/>
        <w:rPr>
          <w:rFonts w:ascii="Times New Roman" w:hAnsi="Times New Roman" w:cs="Times New Roman"/>
          <w:sz w:val="24"/>
          <w:szCs w:val="24"/>
        </w:rPr>
      </w:pPr>
      <w:r w:rsidRPr="00A221DD">
        <w:rPr>
          <w:rFonts w:ascii="Times New Roman" w:hAnsi="Times New Roman" w:cs="Times New Roman"/>
          <w:noProof/>
          <w:sz w:val="24"/>
          <w:szCs w:val="24"/>
        </w:rPr>
        <w:drawing>
          <wp:inline distT="0" distB="0" distL="0" distR="0" wp14:anchorId="1639901A" wp14:editId="395A0073">
            <wp:extent cx="4191000" cy="3317630"/>
            <wp:effectExtent l="0" t="0" r="0" b="0"/>
            <wp:docPr id="79" name="Picture 79" descr="C:\Users\USER\Pictures\l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lp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8208" cy="3323336"/>
                    </a:xfrm>
                    <a:prstGeom prst="rect">
                      <a:avLst/>
                    </a:prstGeom>
                    <a:noFill/>
                    <a:ln>
                      <a:noFill/>
                    </a:ln>
                  </pic:spPr>
                </pic:pic>
              </a:graphicData>
            </a:graphic>
          </wp:inline>
        </w:drawing>
      </w:r>
    </w:p>
    <w:p w14:paraId="79979988" w14:textId="77777777" w:rsidR="004E5CF2" w:rsidRPr="004E5CF2" w:rsidRDefault="004E5CF2" w:rsidP="004E5CF2">
      <w:pPr>
        <w:spacing w:line="480" w:lineRule="auto"/>
        <w:jc w:val="both"/>
        <w:rPr>
          <w:rFonts w:ascii="Times New Roman" w:hAnsi="Times New Roman" w:cs="Times New Roman"/>
          <w:i/>
          <w:sz w:val="24"/>
          <w:szCs w:val="24"/>
        </w:rPr>
      </w:pPr>
      <w:r w:rsidRPr="00080407">
        <w:rPr>
          <w:rFonts w:ascii="Times New Roman" w:hAnsi="Times New Roman" w:cs="Times New Roman"/>
          <w:b/>
          <w:sz w:val="24"/>
          <w:szCs w:val="24"/>
        </w:rPr>
        <w:t xml:space="preserve">Figure </w:t>
      </w:r>
      <w:r w:rsidR="00637A31" w:rsidRPr="00080407">
        <w:rPr>
          <w:rFonts w:ascii="Times New Roman" w:hAnsi="Times New Roman" w:cs="Times New Roman"/>
          <w:b/>
          <w:sz w:val="24"/>
          <w:szCs w:val="24"/>
        </w:rPr>
        <w:t>4</w:t>
      </w:r>
      <w:r w:rsidRPr="00080407">
        <w:rPr>
          <w:rFonts w:ascii="Times New Roman" w:hAnsi="Times New Roman" w:cs="Times New Roman"/>
          <w:b/>
          <w:sz w:val="24"/>
          <w:szCs w:val="24"/>
        </w:rPr>
        <w:t>:</w:t>
      </w:r>
      <w:r w:rsidRPr="00A221DD">
        <w:rPr>
          <w:rFonts w:ascii="Times New Roman" w:hAnsi="Times New Roman" w:cs="Times New Roman"/>
          <w:i/>
          <w:sz w:val="24"/>
          <w:szCs w:val="24"/>
        </w:rPr>
        <w:t xml:space="preserve"> </w:t>
      </w:r>
      <w:r w:rsidRPr="00080407">
        <w:rPr>
          <w:rFonts w:ascii="Times New Roman" w:hAnsi="Times New Roman" w:cs="Times New Roman"/>
          <w:sz w:val="24"/>
          <w:szCs w:val="24"/>
        </w:rPr>
        <w:t>Tafel plot for the inhibition of API 5L X65 steel by LPV</w:t>
      </w:r>
      <w:r w:rsidR="00080407">
        <w:rPr>
          <w:rFonts w:ascii="Times New Roman" w:hAnsi="Times New Roman" w:cs="Times New Roman"/>
          <w:sz w:val="24"/>
          <w:szCs w:val="24"/>
        </w:rPr>
        <w:t>/RTV</w:t>
      </w:r>
      <w:r w:rsidRPr="00080407">
        <w:rPr>
          <w:rFonts w:ascii="Times New Roman" w:hAnsi="Times New Roman" w:cs="Times New Roman"/>
          <w:sz w:val="24"/>
          <w:szCs w:val="24"/>
        </w:rPr>
        <w:t>.</w:t>
      </w:r>
    </w:p>
    <w:p w14:paraId="47EA0166" w14:textId="77777777" w:rsidR="00080407" w:rsidRDefault="001938A2" w:rsidP="00080407">
      <w:pPr>
        <w:spacing w:before="100" w:beforeAutospacing="1" w:after="100" w:afterAutospacing="1" w:line="360" w:lineRule="auto"/>
        <w:jc w:val="both"/>
        <w:rPr>
          <w:rFonts w:ascii="Times New Roman" w:eastAsia="Times New Roman" w:hAnsi="Times New Roman" w:cs="Times New Roman"/>
          <w:sz w:val="24"/>
          <w:szCs w:val="24"/>
        </w:rPr>
      </w:pPr>
      <w:r w:rsidRPr="001938A2">
        <w:rPr>
          <w:rFonts w:ascii="Times New Roman" w:eastAsia="Times New Roman" w:hAnsi="Times New Roman" w:cs="Times New Roman"/>
          <w:sz w:val="24"/>
          <w:szCs w:val="24"/>
        </w:rPr>
        <w:t xml:space="preserve">The </w:t>
      </w:r>
      <w:r w:rsidRPr="007D0CE1">
        <w:rPr>
          <w:rFonts w:ascii="Times New Roman" w:eastAsia="Times New Roman" w:hAnsi="Times New Roman" w:cs="Times New Roman"/>
          <w:bCs/>
          <w:sz w:val="24"/>
          <w:szCs w:val="24"/>
        </w:rPr>
        <w:t>Tafel slopes</w:t>
      </w:r>
      <w:r w:rsidRPr="001938A2">
        <w:rPr>
          <w:rFonts w:ascii="Times New Roman" w:eastAsia="Times New Roman" w:hAnsi="Times New Roman" w:cs="Times New Roman"/>
          <w:sz w:val="24"/>
          <w:szCs w:val="24"/>
        </w:rPr>
        <w:t xml:space="preserve"> for both the anodic and cathodic reactions remained relatively constant, confirming that the </w:t>
      </w:r>
      <w:r w:rsidR="007D0CE1">
        <w:rPr>
          <w:rFonts w:ascii="Times New Roman" w:eastAsia="Times New Roman" w:hAnsi="Times New Roman" w:cs="Times New Roman"/>
          <w:bCs/>
          <w:sz w:val="24"/>
          <w:szCs w:val="24"/>
        </w:rPr>
        <w:t>LPV-RTV</w:t>
      </w:r>
      <w:r w:rsidRPr="007D0CE1">
        <w:rPr>
          <w:rFonts w:ascii="Times New Roman" w:eastAsia="Times New Roman" w:hAnsi="Times New Roman" w:cs="Times New Roman"/>
          <w:bCs/>
          <w:sz w:val="24"/>
          <w:szCs w:val="24"/>
        </w:rPr>
        <w:t xml:space="preserve"> inhibitor</w:t>
      </w:r>
      <w:r w:rsidRPr="001938A2">
        <w:rPr>
          <w:rFonts w:ascii="Times New Roman" w:eastAsia="Times New Roman" w:hAnsi="Times New Roman" w:cs="Times New Roman"/>
          <w:sz w:val="24"/>
          <w:szCs w:val="24"/>
        </w:rPr>
        <w:t xml:space="preserve"> mainly affects the </w:t>
      </w:r>
      <w:r w:rsidRPr="007D0CE1">
        <w:rPr>
          <w:rFonts w:ascii="Times New Roman" w:eastAsia="Times New Roman" w:hAnsi="Times New Roman" w:cs="Times New Roman"/>
          <w:bCs/>
          <w:sz w:val="24"/>
          <w:szCs w:val="24"/>
        </w:rPr>
        <w:t>corrosion current density</w:t>
      </w:r>
      <w:r w:rsidRPr="001938A2">
        <w:rPr>
          <w:rFonts w:ascii="Times New Roman" w:eastAsia="Times New Roman" w:hAnsi="Times New Roman" w:cs="Times New Roman"/>
          <w:sz w:val="24"/>
          <w:szCs w:val="24"/>
        </w:rPr>
        <w:t xml:space="preserve">, without altering the fundamental reaction mechanisms of the metal </w:t>
      </w:r>
      <w:r w:rsidR="00555DA9">
        <w:rPr>
          <w:rFonts w:ascii="Times New Roman" w:eastAsia="Times New Roman" w:hAnsi="Times New Roman" w:cs="Times New Roman"/>
          <w:sz w:val="24"/>
          <w:szCs w:val="24"/>
        </w:rPr>
        <w:t>[29]</w:t>
      </w:r>
      <w:r w:rsidR="007D0CE1">
        <w:rPr>
          <w:rFonts w:ascii="Times New Roman" w:eastAsia="Times New Roman" w:hAnsi="Times New Roman" w:cs="Times New Roman"/>
          <w:sz w:val="24"/>
          <w:szCs w:val="24"/>
        </w:rPr>
        <w:t xml:space="preserve">. </w:t>
      </w:r>
      <w:r w:rsidRPr="001938A2">
        <w:rPr>
          <w:rFonts w:ascii="Times New Roman" w:eastAsia="Times New Roman" w:hAnsi="Times New Roman" w:cs="Times New Roman"/>
          <w:sz w:val="24"/>
          <w:szCs w:val="24"/>
        </w:rPr>
        <w:t xml:space="preserve">Additionally, the </w:t>
      </w:r>
      <w:r w:rsidRPr="007D0CE1">
        <w:rPr>
          <w:rFonts w:ascii="Times New Roman" w:eastAsia="Times New Roman" w:hAnsi="Times New Roman" w:cs="Times New Roman"/>
          <w:bCs/>
          <w:sz w:val="24"/>
          <w:szCs w:val="24"/>
        </w:rPr>
        <w:t>polarization resistance (Rp)</w:t>
      </w:r>
      <w:r w:rsidRPr="001938A2">
        <w:rPr>
          <w:rFonts w:ascii="Times New Roman" w:eastAsia="Times New Roman" w:hAnsi="Times New Roman" w:cs="Times New Roman"/>
          <w:sz w:val="24"/>
          <w:szCs w:val="24"/>
        </w:rPr>
        <w:t xml:space="preserve"> increased as the inhibitor concentration rose, further supporting the formation of a protective barrier that resists corrosion. Higher </w:t>
      </w:r>
      <w:r w:rsidRPr="007D0CE1">
        <w:rPr>
          <w:rFonts w:ascii="Times New Roman" w:eastAsia="Times New Roman" w:hAnsi="Times New Roman" w:cs="Times New Roman"/>
          <w:bCs/>
          <w:sz w:val="24"/>
          <w:szCs w:val="24"/>
        </w:rPr>
        <w:t>R</w:t>
      </w:r>
      <w:r w:rsidRPr="007D0CE1">
        <w:rPr>
          <w:rFonts w:ascii="Times New Roman" w:eastAsia="Times New Roman" w:hAnsi="Times New Roman" w:cs="Times New Roman"/>
          <w:bCs/>
          <w:sz w:val="24"/>
          <w:szCs w:val="24"/>
          <w:vertAlign w:val="subscript"/>
        </w:rPr>
        <w:t>p</w:t>
      </w:r>
      <w:r w:rsidRPr="007D0CE1">
        <w:rPr>
          <w:rFonts w:ascii="Times New Roman" w:eastAsia="Times New Roman" w:hAnsi="Times New Roman" w:cs="Times New Roman"/>
          <w:sz w:val="24"/>
          <w:szCs w:val="24"/>
        </w:rPr>
        <w:t xml:space="preserve"> </w:t>
      </w:r>
      <w:r w:rsidRPr="001938A2">
        <w:rPr>
          <w:rFonts w:ascii="Times New Roman" w:eastAsia="Times New Roman" w:hAnsi="Times New Roman" w:cs="Times New Roman"/>
          <w:sz w:val="24"/>
          <w:szCs w:val="24"/>
        </w:rPr>
        <w:t xml:space="preserve">values correlate with the </w:t>
      </w:r>
      <w:r w:rsidRPr="007D0CE1">
        <w:rPr>
          <w:rFonts w:ascii="Times New Roman" w:eastAsia="Times New Roman" w:hAnsi="Times New Roman" w:cs="Times New Roman"/>
          <w:bCs/>
          <w:sz w:val="24"/>
          <w:szCs w:val="24"/>
        </w:rPr>
        <w:t>formation of a stable inhibitor film</w:t>
      </w:r>
      <w:r w:rsidRPr="001938A2">
        <w:rPr>
          <w:rFonts w:ascii="Times New Roman" w:eastAsia="Times New Roman" w:hAnsi="Times New Roman" w:cs="Times New Roman"/>
          <w:sz w:val="24"/>
          <w:szCs w:val="24"/>
        </w:rPr>
        <w:t xml:space="preserve"> on the steel surface, effectively limiting the electrochemical reactions and reducing the overall corrosion rate</w:t>
      </w:r>
      <w:r w:rsidR="00F80695">
        <w:rPr>
          <w:rFonts w:ascii="Times New Roman" w:eastAsia="Times New Roman" w:hAnsi="Times New Roman" w:cs="Times New Roman"/>
          <w:sz w:val="24"/>
          <w:szCs w:val="24"/>
        </w:rPr>
        <w:t xml:space="preserve"> </w:t>
      </w:r>
      <w:r w:rsidR="00555DA9">
        <w:rPr>
          <w:rFonts w:ascii="Times New Roman" w:eastAsia="Times New Roman" w:hAnsi="Times New Roman" w:cs="Times New Roman"/>
          <w:sz w:val="24"/>
          <w:szCs w:val="24"/>
        </w:rPr>
        <w:t>[30]</w:t>
      </w:r>
      <w:r w:rsidRPr="001938A2">
        <w:rPr>
          <w:rFonts w:ascii="Times New Roman" w:eastAsia="Times New Roman" w:hAnsi="Times New Roman" w:cs="Times New Roman"/>
          <w:sz w:val="24"/>
          <w:szCs w:val="24"/>
        </w:rPr>
        <w:t>.</w:t>
      </w:r>
    </w:p>
    <w:p w14:paraId="77447DCB" w14:textId="77777777" w:rsidR="00080407" w:rsidRDefault="00080407" w:rsidP="00080407">
      <w:pPr>
        <w:spacing w:before="100" w:beforeAutospacing="1" w:after="100" w:afterAutospacing="1" w:line="360" w:lineRule="auto"/>
        <w:jc w:val="both"/>
        <w:rPr>
          <w:rFonts w:ascii="Times New Roman" w:eastAsia="Times New Roman" w:hAnsi="Times New Roman" w:cs="Times New Roman"/>
          <w:sz w:val="24"/>
          <w:szCs w:val="24"/>
        </w:rPr>
      </w:pPr>
    </w:p>
    <w:p w14:paraId="199AC97D" w14:textId="77777777" w:rsidR="00637A31" w:rsidRPr="00080407" w:rsidRDefault="00637A31" w:rsidP="0008040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r w:rsidRPr="004443AC">
        <w:rPr>
          <w:rFonts w:ascii="Times New Roman" w:hAnsi="Times New Roman" w:cs="Times New Roman"/>
          <w:b/>
          <w:sz w:val="24"/>
          <w:szCs w:val="24"/>
        </w:rPr>
        <w:t>SEM and EDX Analysis</w:t>
      </w:r>
    </w:p>
    <w:p w14:paraId="623073E2" w14:textId="77777777" w:rsidR="00637A31" w:rsidRPr="004443AC" w:rsidRDefault="00637A31" w:rsidP="00637A31">
      <w:pPr>
        <w:pStyle w:val="NormalWeb"/>
        <w:spacing w:line="360" w:lineRule="auto"/>
        <w:jc w:val="both"/>
        <w:rPr>
          <w:b/>
        </w:rPr>
      </w:pPr>
      <w:r w:rsidRPr="004443AC">
        <w:t xml:space="preserve">The surface morphology of the steel before and after exposure to the corrosive medium, as well as after the application of the inhibitor, was examined using </w:t>
      </w:r>
      <w:r w:rsidRPr="004443AC">
        <w:rPr>
          <w:rStyle w:val="Strong"/>
          <w:b w:val="0"/>
        </w:rPr>
        <w:t>Scanning Electron Microscopy (SEM)</w:t>
      </w:r>
      <w:r>
        <w:rPr>
          <w:rStyle w:val="Strong"/>
          <w:b w:val="0"/>
        </w:rPr>
        <w:t xml:space="preserve"> as show in Fig. 5</w:t>
      </w:r>
      <w:r w:rsidRPr="004443AC">
        <w:rPr>
          <w:b/>
        </w:rPr>
        <w:t>.</w:t>
      </w: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35"/>
        <w:gridCol w:w="270"/>
        <w:gridCol w:w="3150"/>
        <w:gridCol w:w="270"/>
        <w:gridCol w:w="3240"/>
      </w:tblGrid>
      <w:tr w:rsidR="00637A31" w:rsidRPr="004443AC" w14:paraId="3CF219B1" w14:textId="77777777" w:rsidTr="00522598">
        <w:tc>
          <w:tcPr>
            <w:tcW w:w="3235" w:type="dxa"/>
          </w:tcPr>
          <w:p w14:paraId="77DA9D22" w14:textId="77777777" w:rsidR="00637A31" w:rsidRPr="004443AC" w:rsidRDefault="00637A31" w:rsidP="00522598">
            <w:pPr>
              <w:spacing w:before="240" w:line="360" w:lineRule="auto"/>
              <w:jc w:val="both"/>
              <w:rPr>
                <w:rFonts w:ascii="Times New Roman" w:eastAsiaTheme="minorEastAsia" w:hAnsi="Times New Roman" w:cs="Times New Roman"/>
                <w:b/>
                <w:sz w:val="24"/>
                <w:szCs w:val="24"/>
              </w:rPr>
            </w:pPr>
            <w:r w:rsidRPr="004443AC">
              <w:rPr>
                <w:rFonts w:ascii="Times New Roman" w:hAnsi="Times New Roman" w:cs="Times New Roman"/>
                <w:noProof/>
                <w:sz w:val="24"/>
                <w:szCs w:val="24"/>
              </w:rPr>
              <w:lastRenderedPageBreak/>
              <w:drawing>
                <wp:inline distT="0" distB="0" distL="0" distR="0" wp14:anchorId="4CD00ECC" wp14:editId="64D48BD6">
                  <wp:extent cx="1928841" cy="2028825"/>
                  <wp:effectExtent l="0" t="0" r="0" b="0"/>
                  <wp:docPr id="185" name="1. region (BS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BSD image)"/>
                          <pic:cNvPicPr/>
                        </pic:nvPicPr>
                        <pic:blipFill>
                          <a:blip r:embed="rId9" cstate="print"/>
                          <a:stretch>
                            <a:fillRect/>
                          </a:stretch>
                        </pic:blipFill>
                        <pic:spPr>
                          <a:xfrm>
                            <a:off x="0" y="0"/>
                            <a:ext cx="1943816" cy="2044576"/>
                          </a:xfrm>
                          <a:prstGeom prst="rect">
                            <a:avLst/>
                          </a:prstGeom>
                        </pic:spPr>
                      </pic:pic>
                    </a:graphicData>
                  </a:graphic>
                </wp:inline>
              </w:drawing>
            </w:r>
          </w:p>
        </w:tc>
        <w:tc>
          <w:tcPr>
            <w:tcW w:w="270" w:type="dxa"/>
          </w:tcPr>
          <w:p w14:paraId="18CB211B" w14:textId="77777777" w:rsidR="00637A31" w:rsidRPr="004443AC" w:rsidRDefault="00637A31" w:rsidP="00522598">
            <w:pPr>
              <w:spacing w:before="240" w:line="360" w:lineRule="auto"/>
              <w:jc w:val="both"/>
              <w:rPr>
                <w:rFonts w:ascii="Times New Roman" w:hAnsi="Times New Roman" w:cs="Times New Roman"/>
                <w:noProof/>
                <w:sz w:val="24"/>
                <w:szCs w:val="24"/>
              </w:rPr>
            </w:pPr>
          </w:p>
        </w:tc>
        <w:tc>
          <w:tcPr>
            <w:tcW w:w="3150" w:type="dxa"/>
          </w:tcPr>
          <w:p w14:paraId="43C1D71C" w14:textId="77777777" w:rsidR="00637A31" w:rsidRPr="004443AC" w:rsidRDefault="00637A31" w:rsidP="00522598">
            <w:pPr>
              <w:spacing w:before="240" w:line="360" w:lineRule="auto"/>
              <w:jc w:val="both"/>
              <w:rPr>
                <w:rFonts w:ascii="Times New Roman" w:eastAsiaTheme="minorEastAsia" w:hAnsi="Times New Roman" w:cs="Times New Roman"/>
                <w:b/>
                <w:sz w:val="24"/>
                <w:szCs w:val="24"/>
              </w:rPr>
            </w:pPr>
            <w:r w:rsidRPr="004443AC">
              <w:rPr>
                <w:rFonts w:ascii="Times New Roman" w:hAnsi="Times New Roman" w:cs="Times New Roman"/>
                <w:noProof/>
                <w:sz w:val="24"/>
                <w:szCs w:val="24"/>
              </w:rPr>
              <w:drawing>
                <wp:inline distT="0" distB="0" distL="0" distR="0" wp14:anchorId="490587E1" wp14:editId="743A953B">
                  <wp:extent cx="1853074" cy="2009775"/>
                  <wp:effectExtent l="0" t="0" r="0" b="0"/>
                  <wp:docPr id="187" name="Picture 187" descr="C:\Users\USER\Desktop\New folder\SEM 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SEM Blan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4015" cy="2032486"/>
                          </a:xfrm>
                          <a:prstGeom prst="rect">
                            <a:avLst/>
                          </a:prstGeom>
                          <a:noFill/>
                          <a:ln>
                            <a:noFill/>
                          </a:ln>
                        </pic:spPr>
                      </pic:pic>
                    </a:graphicData>
                  </a:graphic>
                </wp:inline>
              </w:drawing>
            </w:r>
          </w:p>
        </w:tc>
        <w:tc>
          <w:tcPr>
            <w:tcW w:w="270" w:type="dxa"/>
          </w:tcPr>
          <w:p w14:paraId="7E661FE4" w14:textId="77777777" w:rsidR="00637A31" w:rsidRPr="004443AC" w:rsidRDefault="00637A31" w:rsidP="00522598">
            <w:pPr>
              <w:spacing w:before="240" w:line="360" w:lineRule="auto"/>
              <w:jc w:val="both"/>
              <w:rPr>
                <w:rFonts w:ascii="Times New Roman" w:hAnsi="Times New Roman" w:cs="Times New Roman"/>
                <w:noProof/>
                <w:sz w:val="24"/>
                <w:szCs w:val="24"/>
              </w:rPr>
            </w:pPr>
          </w:p>
        </w:tc>
        <w:tc>
          <w:tcPr>
            <w:tcW w:w="3240" w:type="dxa"/>
          </w:tcPr>
          <w:p w14:paraId="2EE25C0D" w14:textId="77777777" w:rsidR="00637A31" w:rsidRPr="004443AC" w:rsidRDefault="00637A31" w:rsidP="00522598">
            <w:pPr>
              <w:spacing w:before="240" w:line="360" w:lineRule="auto"/>
              <w:jc w:val="both"/>
              <w:rPr>
                <w:rFonts w:ascii="Times New Roman" w:eastAsiaTheme="minorEastAsia" w:hAnsi="Times New Roman" w:cs="Times New Roman"/>
                <w:b/>
                <w:sz w:val="24"/>
                <w:szCs w:val="24"/>
              </w:rPr>
            </w:pPr>
            <w:r w:rsidRPr="00A221DD">
              <w:rPr>
                <w:rFonts w:ascii="Times New Roman" w:hAnsi="Times New Roman" w:cs="Times New Roman"/>
                <w:noProof/>
                <w:sz w:val="24"/>
                <w:szCs w:val="24"/>
              </w:rPr>
              <w:drawing>
                <wp:inline distT="0" distB="0" distL="0" distR="0" wp14:anchorId="067BF81E" wp14:editId="5CEA37CA">
                  <wp:extent cx="2066925" cy="2032113"/>
                  <wp:effectExtent l="0" t="0" r="0" b="6350"/>
                  <wp:docPr id="14" name="Picture 14" descr="C:\Users\USER\Desktop\New folder\SEM Lip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ew folder\SEM Lipin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2321" cy="2086576"/>
                          </a:xfrm>
                          <a:prstGeom prst="rect">
                            <a:avLst/>
                          </a:prstGeom>
                          <a:noFill/>
                          <a:ln>
                            <a:noFill/>
                          </a:ln>
                        </pic:spPr>
                      </pic:pic>
                    </a:graphicData>
                  </a:graphic>
                </wp:inline>
              </w:drawing>
            </w:r>
          </w:p>
        </w:tc>
      </w:tr>
      <w:tr w:rsidR="00637A31" w:rsidRPr="004443AC" w14:paraId="06A80249" w14:textId="77777777" w:rsidTr="00522598">
        <w:trPr>
          <w:trHeight w:hRule="exact" w:val="1287"/>
        </w:trPr>
        <w:tc>
          <w:tcPr>
            <w:tcW w:w="3235" w:type="dxa"/>
          </w:tcPr>
          <w:p w14:paraId="2ED07345" w14:textId="77777777" w:rsidR="00637A31" w:rsidRPr="004443AC" w:rsidRDefault="00637A31" w:rsidP="00522598">
            <w:pPr>
              <w:spacing w:before="240" w:line="360" w:lineRule="auto"/>
              <w:jc w:val="both"/>
              <w:rPr>
                <w:rFonts w:ascii="Times New Roman" w:eastAsiaTheme="minorEastAsia" w:hAnsi="Times New Roman" w:cs="Times New Roman"/>
                <w:b/>
                <w:sz w:val="24"/>
                <w:szCs w:val="24"/>
              </w:rPr>
            </w:pPr>
            <w:r w:rsidRPr="004443AC">
              <w:rPr>
                <w:rFonts w:ascii="Times New Roman" w:eastAsiaTheme="minorEastAsia" w:hAnsi="Times New Roman" w:cs="Times New Roman"/>
                <w:sz w:val="24"/>
                <w:szCs w:val="24"/>
              </w:rPr>
              <w:t>a) SEM image  of untreated API 5L X65 polished coupon</w:t>
            </w:r>
          </w:p>
        </w:tc>
        <w:tc>
          <w:tcPr>
            <w:tcW w:w="270" w:type="dxa"/>
          </w:tcPr>
          <w:p w14:paraId="0DE2DAFD" w14:textId="77777777" w:rsidR="00637A31" w:rsidRPr="004443AC" w:rsidRDefault="00637A31" w:rsidP="00522598">
            <w:pPr>
              <w:spacing w:before="240" w:line="360" w:lineRule="auto"/>
              <w:jc w:val="both"/>
              <w:rPr>
                <w:rFonts w:ascii="Times New Roman" w:hAnsi="Times New Roman" w:cs="Times New Roman"/>
                <w:sz w:val="24"/>
                <w:szCs w:val="24"/>
              </w:rPr>
            </w:pPr>
          </w:p>
        </w:tc>
        <w:tc>
          <w:tcPr>
            <w:tcW w:w="3150" w:type="dxa"/>
          </w:tcPr>
          <w:p w14:paraId="52F7C2DF" w14:textId="77777777" w:rsidR="00637A31" w:rsidRPr="004443AC" w:rsidRDefault="00637A31" w:rsidP="00522598">
            <w:pPr>
              <w:spacing w:before="240" w:line="360" w:lineRule="auto"/>
              <w:jc w:val="both"/>
              <w:rPr>
                <w:rFonts w:ascii="Times New Roman" w:eastAsiaTheme="minorEastAsia" w:hAnsi="Times New Roman" w:cs="Times New Roman"/>
                <w:b/>
                <w:sz w:val="24"/>
                <w:szCs w:val="24"/>
              </w:rPr>
            </w:pPr>
            <w:r w:rsidRPr="004443AC">
              <w:rPr>
                <w:rFonts w:ascii="Times New Roman" w:eastAsiaTheme="minorEastAsia" w:hAnsi="Times New Roman" w:cs="Times New Roman"/>
                <w:sz w:val="24"/>
                <w:szCs w:val="24"/>
              </w:rPr>
              <w:t>b) SEM image in the absence of inhibitor (treated with HCl)</w:t>
            </w:r>
          </w:p>
        </w:tc>
        <w:tc>
          <w:tcPr>
            <w:tcW w:w="270" w:type="dxa"/>
          </w:tcPr>
          <w:p w14:paraId="05FBD03D" w14:textId="77777777" w:rsidR="00637A31" w:rsidRPr="004443AC" w:rsidRDefault="00637A31" w:rsidP="00522598">
            <w:pPr>
              <w:spacing w:line="360" w:lineRule="auto"/>
              <w:jc w:val="both"/>
              <w:rPr>
                <w:rFonts w:ascii="Times New Roman" w:hAnsi="Times New Roman" w:cs="Times New Roman"/>
                <w:sz w:val="24"/>
                <w:szCs w:val="24"/>
              </w:rPr>
            </w:pPr>
          </w:p>
        </w:tc>
        <w:tc>
          <w:tcPr>
            <w:tcW w:w="3240" w:type="dxa"/>
          </w:tcPr>
          <w:p w14:paraId="287064DE" w14:textId="77777777" w:rsidR="00637A31" w:rsidRPr="004443AC" w:rsidRDefault="00637A31" w:rsidP="00080407">
            <w:pPr>
              <w:spacing w:line="360" w:lineRule="auto"/>
              <w:rPr>
                <w:rFonts w:ascii="Times New Roman" w:eastAsiaTheme="minorEastAsia" w:hAnsi="Times New Roman" w:cs="Times New Roman"/>
                <w:sz w:val="24"/>
                <w:szCs w:val="24"/>
              </w:rPr>
            </w:pPr>
          </w:p>
          <w:p w14:paraId="7ADA4EAB" w14:textId="77777777" w:rsidR="00637A31" w:rsidRPr="004443AC" w:rsidRDefault="00637A31" w:rsidP="00080407">
            <w:pPr>
              <w:spacing w:line="360" w:lineRule="auto"/>
              <w:rPr>
                <w:rFonts w:ascii="Times New Roman" w:eastAsiaTheme="minorEastAsia" w:hAnsi="Times New Roman" w:cs="Times New Roman"/>
                <w:sz w:val="24"/>
                <w:szCs w:val="24"/>
              </w:rPr>
            </w:pPr>
            <w:r w:rsidRPr="004443AC">
              <w:rPr>
                <w:rFonts w:ascii="Times New Roman" w:eastAsiaTheme="minorEastAsia" w:hAnsi="Times New Roman" w:cs="Times New Roman"/>
                <w:sz w:val="24"/>
                <w:szCs w:val="24"/>
              </w:rPr>
              <w:t>c) SEM image in the presence of inhibitor.</w:t>
            </w:r>
          </w:p>
          <w:p w14:paraId="2408F4E7" w14:textId="77777777" w:rsidR="00637A31" w:rsidRPr="004443AC" w:rsidRDefault="00637A31" w:rsidP="00080407">
            <w:pPr>
              <w:spacing w:before="240" w:line="360" w:lineRule="auto"/>
              <w:rPr>
                <w:rFonts w:ascii="Times New Roman" w:eastAsiaTheme="minorEastAsia" w:hAnsi="Times New Roman" w:cs="Times New Roman"/>
                <w:b/>
                <w:sz w:val="24"/>
                <w:szCs w:val="24"/>
              </w:rPr>
            </w:pPr>
          </w:p>
        </w:tc>
      </w:tr>
    </w:tbl>
    <w:p w14:paraId="766C5F1E" w14:textId="77777777" w:rsidR="00637A31" w:rsidRPr="004443AC" w:rsidRDefault="00637A31" w:rsidP="00637A31">
      <w:pPr>
        <w:pStyle w:val="NormalWeb"/>
        <w:spacing w:line="360" w:lineRule="auto"/>
        <w:jc w:val="both"/>
      </w:pPr>
      <w:r w:rsidRPr="00080407">
        <w:rPr>
          <w:b/>
        </w:rPr>
        <w:t>Figure.5</w:t>
      </w:r>
      <w:r w:rsidRPr="004443AC">
        <w:rPr>
          <w:i/>
        </w:rPr>
        <w:t xml:space="preserve">: </w:t>
      </w:r>
      <w:r w:rsidRPr="00080407">
        <w:t>Surface morphology of API 5L X65 in the absence and presence of inhibitor</w:t>
      </w:r>
      <w:r w:rsidRPr="004443AC">
        <w:t>.</w:t>
      </w:r>
    </w:p>
    <w:p w14:paraId="3689EF5F" w14:textId="77777777" w:rsidR="00637A31" w:rsidRPr="004443AC" w:rsidRDefault="00637A31" w:rsidP="00637A31">
      <w:pPr>
        <w:pStyle w:val="NormalWeb"/>
        <w:spacing w:line="360" w:lineRule="auto"/>
        <w:jc w:val="both"/>
      </w:pPr>
      <w:r w:rsidRPr="004443AC">
        <w:t xml:space="preserve"> SEM images of the steel surface in its pristine state (a) reveal a smooth, clean surface, typical of untreated metal. However, after exposure to the corrosive medium, the surface becomes significantly pitted (b), indicating active corrosion, with the formation of </w:t>
      </w:r>
      <w:r w:rsidRPr="004443AC">
        <w:rPr>
          <w:rStyle w:val="Strong"/>
          <w:b w:val="0"/>
        </w:rPr>
        <w:t>corrosion products</w:t>
      </w:r>
      <w:r w:rsidRPr="004443AC">
        <w:t xml:space="preserve"> and surface degradation due to the interaction between the metal and the corrosive solution. </w:t>
      </w:r>
    </w:p>
    <w:p w14:paraId="64B0D186" w14:textId="77777777" w:rsidR="00637A31" w:rsidRPr="004443AC" w:rsidRDefault="00637A31" w:rsidP="00637A31">
      <w:pPr>
        <w:pStyle w:val="NormalWeb"/>
        <w:spacing w:line="360" w:lineRule="auto"/>
        <w:jc w:val="both"/>
      </w:pPr>
      <w:r w:rsidRPr="004443AC">
        <w:t xml:space="preserve">The pitting and rough surface morphology are indicative of localized corrosion, which leads to the deterioration of the steel surface </w:t>
      </w:r>
      <w:r w:rsidR="0060248B">
        <w:t>[</w:t>
      </w:r>
      <w:r w:rsidR="00555DA9">
        <w:t>31]</w:t>
      </w:r>
      <w:r w:rsidRPr="004443AC">
        <w:t>.</w:t>
      </w:r>
    </w:p>
    <w:p w14:paraId="6E62DC7E" w14:textId="77777777" w:rsidR="00637A31" w:rsidRDefault="00637A31" w:rsidP="0050249B">
      <w:pPr>
        <w:pStyle w:val="NormalWeb"/>
        <w:spacing w:line="360" w:lineRule="auto"/>
        <w:jc w:val="both"/>
      </w:pPr>
      <w:r w:rsidRPr="004443AC">
        <w:t xml:space="preserve">In contrast, the steel surface exposed to the corrosive medium in the presence of the inhibitor shows a </w:t>
      </w:r>
      <w:r w:rsidRPr="004443AC">
        <w:rPr>
          <w:rStyle w:val="Strong"/>
          <w:b w:val="0"/>
        </w:rPr>
        <w:t>much smoother surface (c)</w:t>
      </w:r>
      <w:r w:rsidRPr="004443AC">
        <w:rPr>
          <w:b/>
        </w:rPr>
        <w:t>,</w:t>
      </w:r>
      <w:r w:rsidRPr="004443AC">
        <w:t xml:space="preserve"> with minimal signs of corrosion or pitting. This suggests that the inhibitor effectively reduced metal dissolution and protected the surface. The smoothness and uniformity of the surface indicate that the inhibitor forms a </w:t>
      </w:r>
      <w:r w:rsidRPr="004443AC">
        <w:rPr>
          <w:rStyle w:val="Strong"/>
          <w:b w:val="0"/>
        </w:rPr>
        <w:t>protective film</w:t>
      </w:r>
      <w:r w:rsidRPr="004443AC">
        <w:t>, which acts as a barrier, preventing the corrosive agents from interacting with the metal</w:t>
      </w:r>
      <w:r w:rsidR="00555DA9">
        <w:t xml:space="preserve"> [29]</w:t>
      </w:r>
      <w:r w:rsidRPr="004443AC">
        <w:t>. The SEM images strongly suggest that the inhibitor has a significant role in mitigating corrosion dama</w:t>
      </w:r>
      <w:r w:rsidR="0050249B">
        <w:t>ge and stabilizing the surface.</w:t>
      </w:r>
    </w:p>
    <w:p w14:paraId="61B1AD4E" w14:textId="77777777" w:rsidR="00637A31" w:rsidRPr="004443AC" w:rsidRDefault="00637A31" w:rsidP="00637A31">
      <w:pPr>
        <w:pStyle w:val="Heading3"/>
        <w:spacing w:line="360" w:lineRule="auto"/>
        <w:jc w:val="both"/>
      </w:pPr>
      <w:r w:rsidRPr="004443AC">
        <w:t>EDX Analysis</w:t>
      </w:r>
    </w:p>
    <w:p w14:paraId="785279F3" w14:textId="77777777" w:rsidR="00637A31" w:rsidRPr="004443AC" w:rsidRDefault="00637A31" w:rsidP="00637A31">
      <w:pPr>
        <w:pStyle w:val="NormalWeb"/>
        <w:spacing w:line="360" w:lineRule="auto"/>
        <w:jc w:val="both"/>
      </w:pPr>
      <w:r w:rsidRPr="004443AC">
        <w:lastRenderedPageBreak/>
        <w:t xml:space="preserve">To further support the SEM findings, </w:t>
      </w:r>
      <w:r w:rsidRPr="004443AC">
        <w:rPr>
          <w:rStyle w:val="Strong"/>
          <w:b w:val="0"/>
        </w:rPr>
        <w:t>Energy Dispersive X-ray (EDX)</w:t>
      </w:r>
      <w:r w:rsidRPr="004443AC">
        <w:t xml:space="preserve"> spectroscopy was used to analyze the elemental composition of the steel surface before and after exposure to the corrosive solution and inhibitor. The </w:t>
      </w:r>
      <w:r w:rsidRPr="004443AC">
        <w:rPr>
          <w:rStyle w:val="Strong"/>
          <w:b w:val="0"/>
        </w:rPr>
        <w:t>EDX spectra</w:t>
      </w:r>
      <w:r w:rsidRPr="004443AC">
        <w:rPr>
          <w:b/>
        </w:rPr>
        <w:t xml:space="preserve"> </w:t>
      </w:r>
      <w:r w:rsidRPr="004443AC">
        <w:t xml:space="preserve">of </w:t>
      </w:r>
      <w:r>
        <w:t>the untreated steel show (Fig. 6</w:t>
      </w:r>
      <w:r w:rsidRPr="004443AC">
        <w:t>) a high intensity of iron (Fe) peaks, indicating that the surface is predominantly composed of the steel substrate. After exposure to the corrosive medium</w:t>
      </w:r>
      <w:r>
        <w:t>, the EDX spectrum shows (Fig. 7</w:t>
      </w:r>
      <w:r w:rsidRPr="004443AC">
        <w:t xml:space="preserve">) additional peaks for </w:t>
      </w:r>
      <w:r w:rsidRPr="004443AC">
        <w:rPr>
          <w:rStyle w:val="Strong"/>
          <w:b w:val="0"/>
        </w:rPr>
        <w:t>oxygen (O)</w:t>
      </w:r>
      <w:r w:rsidRPr="004443AC">
        <w:t xml:space="preserve"> and</w:t>
      </w:r>
      <w:r w:rsidRPr="004443AC">
        <w:rPr>
          <w:b/>
        </w:rPr>
        <w:t xml:space="preserve"> </w:t>
      </w:r>
      <w:r w:rsidRPr="004443AC">
        <w:rPr>
          <w:rStyle w:val="Strong"/>
          <w:b w:val="0"/>
        </w:rPr>
        <w:t>chlorine (Cl</w:t>
      </w:r>
      <w:r w:rsidRPr="004443AC">
        <w:rPr>
          <w:rStyle w:val="Strong"/>
        </w:rPr>
        <w:t>)</w:t>
      </w:r>
      <w:r w:rsidRPr="004443AC">
        <w:t xml:space="preserve">, confirming the formation of corrosion products such as </w:t>
      </w:r>
      <w:r w:rsidRPr="004443AC">
        <w:rPr>
          <w:rStyle w:val="Strong"/>
          <w:b w:val="0"/>
        </w:rPr>
        <w:t>iron oxides</w:t>
      </w:r>
      <w:r w:rsidRPr="004443AC">
        <w:t xml:space="preserve"> and </w:t>
      </w:r>
      <w:r w:rsidRPr="004443AC">
        <w:rPr>
          <w:rStyle w:val="Strong"/>
          <w:b w:val="0"/>
        </w:rPr>
        <w:t>chloride salts</w:t>
      </w:r>
      <w:r w:rsidRPr="004443AC">
        <w:t>, which are commonly formed in ac</w:t>
      </w:r>
      <w:r>
        <w:t xml:space="preserve">idic environments </w:t>
      </w:r>
      <w:r w:rsidR="00555DA9">
        <w:t>[32</w:t>
      </w:r>
      <w:r w:rsidR="0060248B">
        <w:t xml:space="preserve">, </w:t>
      </w:r>
      <w:r w:rsidR="00555DA9">
        <w:t>33]</w:t>
      </w:r>
      <w:r w:rsidRPr="004443AC">
        <w:t>.</w:t>
      </w:r>
    </w:p>
    <w:p w14:paraId="0F1D5FB5" w14:textId="77777777" w:rsidR="00637A31" w:rsidRPr="004443AC" w:rsidRDefault="00637A31" w:rsidP="00637A31">
      <w:pPr>
        <w:pStyle w:val="NormalWeb"/>
        <w:spacing w:line="360" w:lineRule="auto"/>
        <w:jc w:val="both"/>
      </w:pPr>
    </w:p>
    <w:p w14:paraId="74ED631D" w14:textId="77777777" w:rsidR="00637A31" w:rsidRPr="004443AC" w:rsidRDefault="00637A31" w:rsidP="00637A31">
      <w:pPr>
        <w:spacing w:line="360" w:lineRule="auto"/>
        <w:jc w:val="both"/>
        <w:rPr>
          <w:rFonts w:ascii="Times New Roman" w:hAnsi="Times New Roman" w:cs="Times New Roman"/>
          <w:sz w:val="24"/>
          <w:szCs w:val="24"/>
        </w:rPr>
      </w:pPr>
      <w:r w:rsidRPr="004443AC">
        <w:rPr>
          <w:rFonts w:ascii="Times New Roman" w:hAnsi="Times New Roman" w:cs="Times New Roman"/>
          <w:noProof/>
          <w:sz w:val="24"/>
          <w:szCs w:val="24"/>
        </w:rPr>
        <w:drawing>
          <wp:inline distT="0" distB="0" distL="0" distR="0" wp14:anchorId="206B369F" wp14:editId="4C1B3D5D">
            <wp:extent cx="3230088" cy="2500871"/>
            <wp:effectExtent l="0" t="0" r="8890" b="0"/>
            <wp:docPr id="2" name="Picture 2" descr="C:\Users\USER\Desktop\SEM edx RESULT DISCUSSION\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EM edx RESULT DISCUSSION\Blan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168" cy="2514869"/>
                    </a:xfrm>
                    <a:prstGeom prst="rect">
                      <a:avLst/>
                    </a:prstGeom>
                    <a:noFill/>
                    <a:ln>
                      <a:noFill/>
                    </a:ln>
                  </pic:spPr>
                </pic:pic>
              </a:graphicData>
            </a:graphic>
          </wp:inline>
        </w:drawing>
      </w:r>
    </w:p>
    <w:p w14:paraId="520050DC" w14:textId="77777777" w:rsidR="00637A31" w:rsidRPr="004443AC" w:rsidRDefault="00637A31" w:rsidP="00637A31">
      <w:pPr>
        <w:pStyle w:val="NormalWeb"/>
        <w:spacing w:line="360" w:lineRule="auto"/>
        <w:jc w:val="both"/>
        <w:rPr>
          <w:i/>
        </w:rPr>
      </w:pPr>
      <w:r w:rsidRPr="0000174F">
        <w:rPr>
          <w:b/>
        </w:rPr>
        <w:t xml:space="preserve">Figure. </w:t>
      </w:r>
      <w:r w:rsidR="005A68A4" w:rsidRPr="0000174F">
        <w:rPr>
          <w:b/>
        </w:rPr>
        <w:t>6</w:t>
      </w:r>
      <w:r w:rsidRPr="0000174F">
        <w:rPr>
          <w:b/>
        </w:rPr>
        <w:t>:</w:t>
      </w:r>
      <w:r w:rsidRPr="004443AC">
        <w:rPr>
          <w:i/>
        </w:rPr>
        <w:t xml:space="preserve"> </w:t>
      </w:r>
      <w:r w:rsidRPr="00080407">
        <w:t>EDX spectrum of untreated (Blank) API 5L X65 steel</w:t>
      </w:r>
    </w:p>
    <w:p w14:paraId="712AF58A" w14:textId="77777777" w:rsidR="00637A31" w:rsidRPr="004443AC" w:rsidRDefault="00637A31" w:rsidP="00637A31">
      <w:pPr>
        <w:spacing w:line="360" w:lineRule="auto"/>
        <w:jc w:val="both"/>
        <w:rPr>
          <w:rFonts w:ascii="Times New Roman" w:hAnsi="Times New Roman" w:cs="Times New Roman"/>
          <w:sz w:val="24"/>
          <w:szCs w:val="24"/>
        </w:rPr>
      </w:pPr>
      <w:r w:rsidRPr="004443AC">
        <w:rPr>
          <w:rFonts w:ascii="Times New Roman" w:hAnsi="Times New Roman" w:cs="Times New Roman"/>
          <w:noProof/>
          <w:sz w:val="24"/>
          <w:szCs w:val="24"/>
        </w:rPr>
        <w:lastRenderedPageBreak/>
        <w:drawing>
          <wp:inline distT="0" distB="0" distL="0" distR="0" wp14:anchorId="4C0DFD30" wp14:editId="4FB70390">
            <wp:extent cx="3523231" cy="2725947"/>
            <wp:effectExtent l="0" t="0" r="1270" b="0"/>
            <wp:docPr id="4" name="Picture 4" descr="C:\Users\USER\Desktop\SEM edx RESULT DISCUSSION\Acid tre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EM edx RESULT DISCUSSION\Acid treat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9332" cy="2738404"/>
                    </a:xfrm>
                    <a:prstGeom prst="rect">
                      <a:avLst/>
                    </a:prstGeom>
                    <a:noFill/>
                    <a:ln>
                      <a:noFill/>
                    </a:ln>
                  </pic:spPr>
                </pic:pic>
              </a:graphicData>
            </a:graphic>
          </wp:inline>
        </w:drawing>
      </w:r>
    </w:p>
    <w:p w14:paraId="181AA55F" w14:textId="77777777" w:rsidR="00637A31" w:rsidRPr="004443AC" w:rsidRDefault="00637A31" w:rsidP="00637A31">
      <w:pPr>
        <w:spacing w:line="360" w:lineRule="auto"/>
        <w:jc w:val="both"/>
        <w:rPr>
          <w:rFonts w:ascii="Times New Roman" w:hAnsi="Times New Roman" w:cs="Times New Roman"/>
          <w:i/>
          <w:sz w:val="24"/>
          <w:szCs w:val="24"/>
        </w:rPr>
      </w:pPr>
      <w:r w:rsidRPr="0000174F">
        <w:rPr>
          <w:rFonts w:ascii="Times New Roman" w:hAnsi="Times New Roman" w:cs="Times New Roman"/>
          <w:b/>
          <w:sz w:val="24"/>
          <w:szCs w:val="24"/>
        </w:rPr>
        <w:t>Figure.</w:t>
      </w:r>
      <w:r w:rsidR="005A68A4" w:rsidRPr="0000174F">
        <w:rPr>
          <w:rFonts w:ascii="Times New Roman" w:hAnsi="Times New Roman" w:cs="Times New Roman"/>
          <w:b/>
          <w:sz w:val="24"/>
          <w:szCs w:val="24"/>
        </w:rPr>
        <w:t>7</w:t>
      </w:r>
      <w:r w:rsidRPr="0000174F">
        <w:rPr>
          <w:rFonts w:ascii="Times New Roman" w:hAnsi="Times New Roman" w:cs="Times New Roman"/>
          <w:b/>
          <w:sz w:val="24"/>
          <w:szCs w:val="24"/>
        </w:rPr>
        <w:t>:</w:t>
      </w:r>
      <w:r w:rsidRPr="0000174F">
        <w:rPr>
          <w:rFonts w:ascii="Times New Roman" w:hAnsi="Times New Roman" w:cs="Times New Roman"/>
          <w:sz w:val="24"/>
          <w:szCs w:val="24"/>
        </w:rPr>
        <w:t xml:space="preserve"> EDX spectrum of treated API 5L X65 steel in the presence acid.</w:t>
      </w:r>
    </w:p>
    <w:p w14:paraId="5146F943" w14:textId="77777777" w:rsidR="00637A31" w:rsidRPr="00A221DD" w:rsidRDefault="00637A31" w:rsidP="00637A31">
      <w:pPr>
        <w:spacing w:line="480" w:lineRule="auto"/>
        <w:jc w:val="both"/>
        <w:rPr>
          <w:rFonts w:ascii="Times New Roman" w:hAnsi="Times New Roman" w:cs="Times New Roman"/>
          <w:sz w:val="24"/>
          <w:szCs w:val="24"/>
        </w:rPr>
      </w:pPr>
      <w:r w:rsidRPr="00A221DD">
        <w:rPr>
          <w:rFonts w:ascii="Times New Roman" w:hAnsi="Times New Roman" w:cs="Times New Roman"/>
          <w:noProof/>
          <w:sz w:val="24"/>
          <w:szCs w:val="24"/>
        </w:rPr>
        <w:drawing>
          <wp:inline distT="0" distB="0" distL="0" distR="0" wp14:anchorId="3B107F15" wp14:editId="02E82552">
            <wp:extent cx="3554083" cy="2736193"/>
            <wp:effectExtent l="0" t="0" r="8890" b="7620"/>
            <wp:docPr id="3" name="Picture 3" descr="C:\Users\USER\Desktop\SEM edx RESULT DISCUSSION\LPV-RTV tre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EM edx RESULT DISCUSSION\LPV-RTV treat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7492" cy="2746516"/>
                    </a:xfrm>
                    <a:prstGeom prst="rect">
                      <a:avLst/>
                    </a:prstGeom>
                    <a:noFill/>
                    <a:ln>
                      <a:noFill/>
                    </a:ln>
                  </pic:spPr>
                </pic:pic>
              </a:graphicData>
            </a:graphic>
          </wp:inline>
        </w:drawing>
      </w:r>
    </w:p>
    <w:p w14:paraId="2AD571AF" w14:textId="77777777" w:rsidR="00637A31" w:rsidRPr="0000174F" w:rsidRDefault="00637A31" w:rsidP="00637A31">
      <w:pPr>
        <w:spacing w:line="480" w:lineRule="auto"/>
        <w:jc w:val="both"/>
        <w:rPr>
          <w:rFonts w:ascii="Times New Roman" w:hAnsi="Times New Roman" w:cs="Times New Roman"/>
          <w:sz w:val="24"/>
          <w:szCs w:val="24"/>
        </w:rPr>
      </w:pPr>
      <w:r w:rsidRPr="0000174F">
        <w:rPr>
          <w:rFonts w:ascii="Times New Roman" w:hAnsi="Times New Roman" w:cs="Times New Roman"/>
          <w:b/>
          <w:sz w:val="24"/>
          <w:szCs w:val="24"/>
        </w:rPr>
        <w:t>Figure. 8</w:t>
      </w:r>
      <w:r w:rsidRPr="0000174F">
        <w:rPr>
          <w:rFonts w:ascii="Times New Roman" w:hAnsi="Times New Roman" w:cs="Times New Roman"/>
          <w:sz w:val="24"/>
          <w:szCs w:val="24"/>
        </w:rPr>
        <w:t>: EDX spectrum of treated API 5L X65 steel in the presence of LPV-RTV drug.</w:t>
      </w:r>
    </w:p>
    <w:p w14:paraId="59770118" w14:textId="77777777" w:rsidR="001938A2" w:rsidRPr="005A68A4" w:rsidRDefault="00637A31" w:rsidP="005A68A4">
      <w:pPr>
        <w:spacing w:line="360" w:lineRule="auto"/>
        <w:jc w:val="both"/>
        <w:rPr>
          <w:rFonts w:ascii="Times New Roman" w:hAnsi="Times New Roman" w:cs="Times New Roman"/>
          <w:sz w:val="24"/>
          <w:szCs w:val="24"/>
        </w:rPr>
      </w:pPr>
      <w:r w:rsidRPr="004443AC">
        <w:rPr>
          <w:rFonts w:ascii="Times New Roman" w:hAnsi="Times New Roman" w:cs="Times New Roman"/>
          <w:sz w:val="24"/>
          <w:szCs w:val="24"/>
        </w:rPr>
        <w:t xml:space="preserve">Upon exposure to the inhibitor, the EDX spectra </w:t>
      </w:r>
      <w:r>
        <w:rPr>
          <w:rFonts w:ascii="Times New Roman" w:hAnsi="Times New Roman" w:cs="Times New Roman"/>
          <w:sz w:val="24"/>
          <w:szCs w:val="24"/>
        </w:rPr>
        <w:t xml:space="preserve">(Fig. 8) </w:t>
      </w:r>
      <w:r w:rsidRPr="004443AC">
        <w:rPr>
          <w:rFonts w:ascii="Times New Roman" w:hAnsi="Times New Roman" w:cs="Times New Roman"/>
          <w:sz w:val="24"/>
          <w:szCs w:val="24"/>
        </w:rPr>
        <w:t xml:space="preserve">reveal a decrease in the intensity of the </w:t>
      </w:r>
      <w:r w:rsidRPr="004443AC">
        <w:rPr>
          <w:rStyle w:val="Strong"/>
          <w:rFonts w:ascii="Times New Roman" w:hAnsi="Times New Roman" w:cs="Times New Roman"/>
          <w:b w:val="0"/>
          <w:sz w:val="24"/>
          <w:szCs w:val="24"/>
        </w:rPr>
        <w:t>chlorine (Cl)</w:t>
      </w:r>
      <w:r w:rsidRPr="004443AC">
        <w:rPr>
          <w:rFonts w:ascii="Times New Roman" w:hAnsi="Times New Roman" w:cs="Times New Roman"/>
          <w:b/>
          <w:sz w:val="24"/>
          <w:szCs w:val="24"/>
        </w:rPr>
        <w:t xml:space="preserve"> </w:t>
      </w:r>
      <w:r w:rsidRPr="004443AC">
        <w:rPr>
          <w:rFonts w:ascii="Times New Roman" w:hAnsi="Times New Roman" w:cs="Times New Roman"/>
          <w:sz w:val="24"/>
          <w:szCs w:val="24"/>
        </w:rPr>
        <w:t xml:space="preserve">peak and the appearance of nitrogen (N), </w:t>
      </w:r>
      <w:r>
        <w:rPr>
          <w:rFonts w:ascii="Times New Roman" w:hAnsi="Times New Roman" w:cs="Times New Roman"/>
          <w:sz w:val="24"/>
          <w:szCs w:val="24"/>
        </w:rPr>
        <w:t>Sulphur (S</w:t>
      </w:r>
      <w:r w:rsidRPr="004443AC">
        <w:rPr>
          <w:rFonts w:ascii="Times New Roman" w:hAnsi="Times New Roman" w:cs="Times New Roman"/>
          <w:sz w:val="24"/>
          <w:szCs w:val="24"/>
        </w:rPr>
        <w:t xml:space="preserve">), and oxygen (O) peaks. The appearance of these peaks </w:t>
      </w:r>
      <w:r w:rsidR="005A68A4">
        <w:rPr>
          <w:rFonts w:ascii="Times New Roman" w:hAnsi="Times New Roman" w:cs="Times New Roman"/>
          <w:sz w:val="24"/>
          <w:szCs w:val="24"/>
        </w:rPr>
        <w:t>(N, S</w:t>
      </w:r>
      <w:r w:rsidRPr="004443AC">
        <w:rPr>
          <w:rFonts w:ascii="Times New Roman" w:hAnsi="Times New Roman" w:cs="Times New Roman"/>
          <w:sz w:val="24"/>
          <w:szCs w:val="24"/>
        </w:rPr>
        <w:t xml:space="preserve"> &amp; O) </w:t>
      </w:r>
      <w:r w:rsidRPr="004443AC">
        <w:rPr>
          <w:rStyle w:val="Strong"/>
          <w:rFonts w:ascii="Times New Roman" w:hAnsi="Times New Roman" w:cs="Times New Roman"/>
          <w:b w:val="0"/>
          <w:sz w:val="24"/>
          <w:szCs w:val="24"/>
        </w:rPr>
        <w:t>confirms the adsorption of the drug molecule and the formation of a protective film on the steel surface, as these elements are also identified in the chemical structure of the respective drug.</w:t>
      </w:r>
    </w:p>
    <w:p w14:paraId="4571CA3D" w14:textId="77777777" w:rsidR="00676D24" w:rsidRPr="00B07B55" w:rsidRDefault="0000174F" w:rsidP="001938A2">
      <w:pPr>
        <w:spacing w:before="100" w:beforeAutospacing="1" w:after="100" w:afterAutospacing="1" w:line="240" w:lineRule="auto"/>
        <w:outlineLvl w:val="2"/>
        <w:rPr>
          <w:rFonts w:ascii="Times New Roman" w:eastAsia="Times New Roman" w:hAnsi="Times New Roman" w:cs="Times New Roman"/>
          <w:b/>
          <w:bCs/>
          <w:sz w:val="28"/>
          <w:szCs w:val="28"/>
        </w:rPr>
      </w:pPr>
      <w:r w:rsidRPr="00B07B55">
        <w:rPr>
          <w:rFonts w:ascii="Times New Roman" w:eastAsia="Times New Roman" w:hAnsi="Times New Roman" w:cs="Times New Roman"/>
          <w:b/>
          <w:bCs/>
          <w:sz w:val="28"/>
          <w:szCs w:val="28"/>
        </w:rPr>
        <w:lastRenderedPageBreak/>
        <w:t>CONCLUSION</w:t>
      </w:r>
    </w:p>
    <w:p w14:paraId="39685BCE" w14:textId="77777777" w:rsidR="00521638" w:rsidRDefault="00521638" w:rsidP="00521638">
      <w:pPr>
        <w:spacing w:before="100" w:beforeAutospacing="1" w:after="100" w:afterAutospacing="1" w:line="360" w:lineRule="auto"/>
        <w:jc w:val="both"/>
        <w:rPr>
          <w:rFonts w:ascii="Times New Roman" w:hAnsi="Times New Roman" w:cs="Times New Roman"/>
          <w:sz w:val="24"/>
          <w:szCs w:val="24"/>
        </w:rPr>
      </w:pPr>
      <w:r w:rsidRPr="00521638">
        <w:rPr>
          <w:rFonts w:ascii="Times New Roman" w:hAnsi="Times New Roman" w:cs="Times New Roman"/>
          <w:sz w:val="24"/>
          <w:szCs w:val="24"/>
        </w:rPr>
        <w:t>In conclusion, weight loss and potentiodynamic polarization (PDP) results demonstrate that the Lopinavir–Ritonavir co-formulation is an effective corrosion inhibitor for mild steel, achieving inhibition efficiencies of up to 95.70% and 93.0% at the optimum concentration. Adsorption of LPV–RTV follows the Langmuir isotherm and occurs spontaneously, predominantly via physical adsorption. The positive shift in corrosion potential (E</w:t>
      </w:r>
      <w:r w:rsidRPr="00521638">
        <w:rPr>
          <w:rFonts w:ascii="Times New Roman" w:hAnsi="Times New Roman" w:cs="Times New Roman"/>
          <w:sz w:val="24"/>
          <w:szCs w:val="24"/>
          <w:vertAlign w:val="subscript"/>
        </w:rPr>
        <w:t>corr</w:t>
      </w:r>
      <w:r w:rsidRPr="00521638">
        <w:rPr>
          <w:rFonts w:ascii="Times New Roman" w:hAnsi="Times New Roman" w:cs="Times New Roman"/>
          <w:sz w:val="24"/>
          <w:szCs w:val="24"/>
        </w:rPr>
        <w:t>) to +172 mV/SCE indicates predominant suppression of the anodic metal dissolution reaction. SEM–EDX analysis further confirms adsorption of the drug molecules on the mild steel surface, supporting the formation of a protective film.</w:t>
      </w:r>
    </w:p>
    <w:p w14:paraId="7396B8E9" w14:textId="77777777" w:rsidR="0064039E" w:rsidRDefault="0064039E" w:rsidP="0064039E">
      <w:pPr>
        <w:spacing w:before="100" w:beforeAutospacing="1" w:after="100" w:afterAutospacing="1" w:line="360" w:lineRule="auto"/>
        <w:jc w:val="both"/>
        <w:rPr>
          <w:rFonts w:ascii="Times New Roman" w:hAnsi="Times New Roman" w:cs="Times New Roman"/>
          <w:b/>
          <w:sz w:val="28"/>
          <w:szCs w:val="28"/>
        </w:rPr>
      </w:pPr>
      <w:r w:rsidRPr="00B07B55">
        <w:rPr>
          <w:rFonts w:ascii="Times New Roman" w:hAnsi="Times New Roman" w:cs="Times New Roman"/>
          <w:b/>
          <w:sz w:val="28"/>
          <w:szCs w:val="28"/>
        </w:rPr>
        <w:t>REFRENCES</w:t>
      </w:r>
    </w:p>
    <w:p w14:paraId="7840C2FE" w14:textId="77777777" w:rsidR="00B0289F" w:rsidRPr="00580CE7"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[1] </w:t>
      </w:r>
      <w:r w:rsidRPr="002476DD">
        <w:rPr>
          <w:rFonts w:ascii="Times New Roman" w:eastAsia="Times New Roman" w:hAnsi="Times New Roman" w:cs="Times New Roman"/>
          <w:sz w:val="24"/>
          <w:szCs w:val="24"/>
        </w:rPr>
        <w:t xml:space="preserve">Koch, G. H., Thompson, N. G., Moghissi, O., Payer, J. H., &amp; Varney, B. (2016). </w:t>
      </w:r>
      <w:r w:rsidRPr="002476DD">
        <w:rPr>
          <w:rFonts w:ascii="Times New Roman" w:eastAsia="Times New Roman" w:hAnsi="Times New Roman" w:cs="Times New Roman"/>
          <w:i/>
          <w:iCs/>
          <w:sz w:val="24"/>
          <w:szCs w:val="24"/>
        </w:rPr>
        <w:t>International measures of prevention, application, and economics of corrosion technologies (IMPACT) study</w:t>
      </w:r>
      <w:r w:rsidRPr="002476DD">
        <w:rPr>
          <w:rFonts w:ascii="Times New Roman" w:eastAsia="Times New Roman" w:hAnsi="Times New Roman" w:cs="Times New Roman"/>
          <w:sz w:val="24"/>
          <w:szCs w:val="24"/>
        </w:rPr>
        <w:t>. NACE International.</w:t>
      </w:r>
      <w:r w:rsidR="002476DD" w:rsidRPr="002476DD">
        <w:rPr>
          <w:rFonts w:ascii="Times New Roman" w:eastAsia="Times New Roman" w:hAnsi="Times New Roman" w:cs="Times New Roman"/>
          <w:sz w:val="24"/>
          <w:szCs w:val="24"/>
        </w:rPr>
        <w:t xml:space="preserve"> </w:t>
      </w:r>
      <w:r w:rsidR="002476DD" w:rsidRPr="002476DD">
        <w:rPr>
          <w:rFonts w:ascii="Times New Roman" w:hAnsi="Times New Roman" w:cs="Times New Roman"/>
          <w:sz w:val="24"/>
          <w:szCs w:val="24"/>
        </w:rPr>
        <w:t>Report No</w:t>
      </w:r>
      <w:r w:rsidR="002476DD" w:rsidRPr="002476DD">
        <w:rPr>
          <w:rFonts w:ascii="Times New Roman" w:hAnsi="Times New Roman" w:cs="Times New Roman"/>
          <w:color w:val="2F5496" w:themeColor="accent5" w:themeShade="BF"/>
          <w:sz w:val="24"/>
          <w:szCs w:val="24"/>
        </w:rPr>
        <w:t>. OAPUS310GKOCH</w:t>
      </w:r>
      <w:r w:rsidR="002476DD" w:rsidRPr="002476DD">
        <w:rPr>
          <w:color w:val="2F5496" w:themeColor="accent5" w:themeShade="BF"/>
        </w:rPr>
        <w:t>.</w:t>
      </w:r>
    </w:p>
    <w:p w14:paraId="67859051"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[2] </w:t>
      </w:r>
      <w:r w:rsidRPr="00245CB1">
        <w:rPr>
          <w:rFonts w:ascii="Times New Roman" w:eastAsia="Times New Roman" w:hAnsi="Times New Roman" w:cs="Times New Roman"/>
          <w:sz w:val="24"/>
          <w:szCs w:val="24"/>
        </w:rPr>
        <w:t xml:space="preserve">Fontana, M. G. (2005). </w:t>
      </w:r>
      <w:r w:rsidRPr="00245CB1">
        <w:rPr>
          <w:rFonts w:ascii="Times New Roman" w:eastAsia="Times New Roman" w:hAnsi="Times New Roman" w:cs="Times New Roman"/>
          <w:i/>
          <w:iCs/>
          <w:sz w:val="24"/>
          <w:szCs w:val="24"/>
        </w:rPr>
        <w:t>Corrosion engineering</w:t>
      </w:r>
      <w:r w:rsidRPr="00245CB1">
        <w:rPr>
          <w:rFonts w:ascii="Times New Roman" w:eastAsia="Times New Roman" w:hAnsi="Times New Roman" w:cs="Times New Roman"/>
          <w:sz w:val="24"/>
          <w:szCs w:val="24"/>
        </w:rPr>
        <w:t xml:space="preserve"> (3rd ed.). Tata McGraw-Hill.</w:t>
      </w:r>
    </w:p>
    <w:p w14:paraId="09FE71FC"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245CB1">
        <w:rPr>
          <w:rFonts w:ascii="Times New Roman" w:eastAsia="Times New Roman" w:hAnsi="Times New Roman" w:cs="Times New Roman"/>
          <w:sz w:val="24"/>
          <w:szCs w:val="24"/>
        </w:rPr>
        <w:t xml:space="preserve">Pathak, R. K., &amp; Mishra, P. (2016). Drugs as corrosion inhibitors: A review. </w:t>
      </w:r>
      <w:r w:rsidRPr="00245CB1">
        <w:rPr>
          <w:rFonts w:ascii="Times New Roman" w:eastAsia="Times New Roman" w:hAnsi="Times New Roman" w:cs="Times New Roman"/>
          <w:i/>
          <w:iCs/>
          <w:sz w:val="24"/>
          <w:szCs w:val="24"/>
        </w:rPr>
        <w:t>International Journal of Science and Research, 5</w:t>
      </w:r>
      <w:r w:rsidRPr="00245CB1">
        <w:rPr>
          <w:rFonts w:ascii="Times New Roman" w:eastAsia="Times New Roman" w:hAnsi="Times New Roman" w:cs="Times New Roman"/>
          <w:sz w:val="24"/>
          <w:szCs w:val="24"/>
        </w:rPr>
        <w:t xml:space="preserve">(4). </w:t>
      </w:r>
      <w:hyperlink r:id="rId15" w:tgtFrame="_new" w:history="1">
        <w:r w:rsidRPr="00245CB1">
          <w:rPr>
            <w:rFonts w:ascii="Times New Roman" w:eastAsia="Times New Roman" w:hAnsi="Times New Roman" w:cs="Times New Roman"/>
            <w:color w:val="0000FF"/>
            <w:sz w:val="24"/>
            <w:szCs w:val="24"/>
            <w:u w:val="single"/>
          </w:rPr>
          <w:t>https://doi.org/10.21275/v5i4.NOV162623</w:t>
        </w:r>
      </w:hyperlink>
      <w:r>
        <w:rPr>
          <w:rFonts w:ascii="Times New Roman" w:eastAsia="Times New Roman" w:hAnsi="Times New Roman" w:cs="Times New Roman"/>
          <w:sz w:val="24"/>
          <w:szCs w:val="24"/>
        </w:rPr>
        <w:t xml:space="preserve"> </w:t>
      </w:r>
    </w:p>
    <w:p w14:paraId="01677C02"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[4] </w:t>
      </w:r>
      <w:r w:rsidRPr="00245CB1">
        <w:rPr>
          <w:rFonts w:ascii="Times New Roman" w:eastAsia="Times New Roman" w:hAnsi="Times New Roman" w:cs="Times New Roman"/>
          <w:sz w:val="24"/>
          <w:szCs w:val="24"/>
        </w:rPr>
        <w:t xml:space="preserve">Verma, C., Olasunkanmi, L. O., Obot, I. B., Ebenso, E. E., &amp; Quraishi, M. A. (2016). 2,4-Diamino-5-(phenylthio)-5H-chromeno[2,3-b]pyridine-3-carbonitriles as green and effective corrosion inhibitors: Gravimetric, electrochemical, surface morphology and theoretical studies. </w:t>
      </w:r>
      <w:r w:rsidRPr="00245CB1">
        <w:rPr>
          <w:rFonts w:ascii="Times New Roman" w:eastAsia="Times New Roman" w:hAnsi="Times New Roman" w:cs="Times New Roman"/>
          <w:i/>
          <w:iCs/>
          <w:sz w:val="24"/>
          <w:szCs w:val="24"/>
        </w:rPr>
        <w:t>RSC Advances, 6</w:t>
      </w:r>
      <w:r w:rsidRPr="00245CB1">
        <w:rPr>
          <w:rFonts w:ascii="Times New Roman" w:eastAsia="Times New Roman" w:hAnsi="Times New Roman" w:cs="Times New Roman"/>
          <w:sz w:val="24"/>
          <w:szCs w:val="24"/>
        </w:rPr>
        <w:t>, 53933–53948.</w:t>
      </w:r>
      <w:r>
        <w:rPr>
          <w:rFonts w:ascii="Times New Roman" w:eastAsia="Times New Roman" w:hAnsi="Times New Roman" w:cs="Times New Roman"/>
          <w:sz w:val="24"/>
          <w:szCs w:val="24"/>
        </w:rPr>
        <w:t xml:space="preserve"> </w:t>
      </w:r>
      <w:hyperlink r:id="rId16" w:history="1">
        <w:r w:rsidRPr="004443AC">
          <w:rPr>
            <w:rStyle w:val="Hyperlink"/>
            <w:rFonts w:ascii="Times New Roman" w:eastAsia="Times New Roman" w:hAnsi="Times New Roman" w:cs="Times New Roman"/>
            <w:sz w:val="24"/>
            <w:szCs w:val="24"/>
          </w:rPr>
          <w:t>https://doi.org/10.1016/j.molliq.2018.06.110</w:t>
        </w:r>
      </w:hyperlink>
      <w:r>
        <w:rPr>
          <w:rFonts w:ascii="Times New Roman" w:eastAsia="Times New Roman" w:hAnsi="Times New Roman" w:cs="Times New Roman"/>
          <w:color w:val="0563C1" w:themeColor="hyperlink"/>
          <w:sz w:val="24"/>
          <w:szCs w:val="24"/>
          <w:u w:val="single"/>
        </w:rPr>
        <w:t xml:space="preserve"> </w:t>
      </w:r>
    </w:p>
    <w:p w14:paraId="7A0D19B0"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[5] </w:t>
      </w:r>
      <w:r w:rsidRPr="00245CB1">
        <w:rPr>
          <w:rFonts w:ascii="Times New Roman" w:eastAsia="Times New Roman" w:hAnsi="Times New Roman" w:cs="Times New Roman"/>
          <w:sz w:val="24"/>
          <w:szCs w:val="24"/>
        </w:rPr>
        <w:t xml:space="preserve">Risto, S. C., &amp; Karen, L. G. (2003). Lopinavir/ritonavir: A review of its use in the management of HIV infection. </w:t>
      </w:r>
      <w:r w:rsidRPr="00245CB1">
        <w:rPr>
          <w:rFonts w:ascii="Times New Roman" w:eastAsia="Times New Roman" w:hAnsi="Times New Roman" w:cs="Times New Roman"/>
          <w:i/>
          <w:iCs/>
          <w:sz w:val="24"/>
          <w:szCs w:val="24"/>
        </w:rPr>
        <w:t>Drugs, 63</w:t>
      </w:r>
      <w:r w:rsidRPr="00245CB1">
        <w:rPr>
          <w:rFonts w:ascii="Times New Roman" w:eastAsia="Times New Roman" w:hAnsi="Times New Roman" w:cs="Times New Roman"/>
          <w:sz w:val="24"/>
          <w:szCs w:val="24"/>
        </w:rPr>
        <w:t xml:space="preserve">(8), 769–802. </w:t>
      </w:r>
      <w:hyperlink r:id="rId17" w:history="1">
        <w:r w:rsidRPr="00F15124">
          <w:rPr>
            <w:rStyle w:val="Hyperlink"/>
            <w:rFonts w:ascii="Times New Roman" w:eastAsia="Times New Roman" w:hAnsi="Times New Roman" w:cs="Times New Roman"/>
            <w:sz w:val="24"/>
            <w:szCs w:val="24"/>
          </w:rPr>
          <w:t>https://doi.org/10.2165/00003495-200363080-00004</w:t>
        </w:r>
      </w:hyperlink>
    </w:p>
    <w:p w14:paraId="639F6148"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[6] </w:t>
      </w:r>
      <w:r w:rsidRPr="00245CB1">
        <w:rPr>
          <w:rFonts w:ascii="Times New Roman" w:eastAsia="Times New Roman" w:hAnsi="Times New Roman" w:cs="Times New Roman"/>
          <w:sz w:val="24"/>
          <w:szCs w:val="24"/>
        </w:rPr>
        <w:t xml:space="preserve">ASTM International. (1999). </w:t>
      </w:r>
      <w:r w:rsidRPr="00245CB1">
        <w:rPr>
          <w:rFonts w:ascii="Times New Roman" w:eastAsia="Times New Roman" w:hAnsi="Times New Roman" w:cs="Times New Roman"/>
          <w:i/>
          <w:iCs/>
          <w:sz w:val="24"/>
          <w:szCs w:val="24"/>
        </w:rPr>
        <w:t>ASTM G1: Standard practice for preparing, cleaning, and evaluating corrosion test specimens</w:t>
      </w:r>
      <w:r w:rsidRPr="00245CB1">
        <w:rPr>
          <w:rFonts w:ascii="Times New Roman" w:eastAsia="Times New Roman" w:hAnsi="Times New Roman" w:cs="Times New Roman"/>
          <w:sz w:val="24"/>
          <w:szCs w:val="24"/>
        </w:rPr>
        <w:t>. ASTM International.</w:t>
      </w:r>
    </w:p>
    <w:p w14:paraId="7464058F"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[7] </w:t>
      </w:r>
      <w:r w:rsidRPr="00245CB1">
        <w:rPr>
          <w:rFonts w:ascii="Times New Roman" w:eastAsia="Times New Roman" w:hAnsi="Times New Roman" w:cs="Times New Roman"/>
          <w:sz w:val="24"/>
          <w:szCs w:val="24"/>
        </w:rPr>
        <w:t xml:space="preserve">Ansel, H. C., &amp; Stockton, S. J. (2017). </w:t>
      </w:r>
      <w:r w:rsidRPr="00245CB1">
        <w:rPr>
          <w:rFonts w:ascii="Times New Roman" w:eastAsia="Times New Roman" w:hAnsi="Times New Roman" w:cs="Times New Roman"/>
          <w:i/>
          <w:iCs/>
          <w:sz w:val="24"/>
          <w:szCs w:val="24"/>
        </w:rPr>
        <w:t>Pharmaceutical calculations</w:t>
      </w:r>
      <w:r w:rsidRPr="00245CB1">
        <w:rPr>
          <w:rFonts w:ascii="Times New Roman" w:eastAsia="Times New Roman" w:hAnsi="Times New Roman" w:cs="Times New Roman"/>
          <w:sz w:val="24"/>
          <w:szCs w:val="24"/>
        </w:rPr>
        <w:t xml:space="preserve"> (15th ed.). Wolters Kluwer.</w:t>
      </w:r>
    </w:p>
    <w:p w14:paraId="3C362933"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[8] </w:t>
      </w:r>
      <w:r w:rsidRPr="00245CB1">
        <w:rPr>
          <w:rFonts w:ascii="Times New Roman" w:eastAsia="Times New Roman" w:hAnsi="Times New Roman" w:cs="Times New Roman"/>
          <w:sz w:val="24"/>
          <w:szCs w:val="24"/>
        </w:rPr>
        <w:t xml:space="preserve">ASTM International. (2012). </w:t>
      </w:r>
      <w:r w:rsidRPr="00245CB1">
        <w:rPr>
          <w:rFonts w:ascii="Times New Roman" w:eastAsia="Times New Roman" w:hAnsi="Times New Roman" w:cs="Times New Roman"/>
          <w:i/>
          <w:iCs/>
          <w:sz w:val="24"/>
          <w:szCs w:val="24"/>
        </w:rPr>
        <w:t>ASTM G31-12a: Standard practice for laboratory immersion corrosion testing of metals</w:t>
      </w:r>
      <w:r w:rsidRPr="00245CB1">
        <w:rPr>
          <w:rFonts w:ascii="Times New Roman" w:eastAsia="Times New Roman" w:hAnsi="Times New Roman" w:cs="Times New Roman"/>
          <w:sz w:val="24"/>
          <w:szCs w:val="24"/>
        </w:rPr>
        <w:t>. ASTM International.</w:t>
      </w:r>
    </w:p>
    <w:p w14:paraId="04D752E3"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lastRenderedPageBreak/>
        <w:t xml:space="preserve">[9] </w:t>
      </w:r>
      <w:r w:rsidRPr="00245CB1">
        <w:rPr>
          <w:rFonts w:ascii="Times New Roman" w:eastAsia="Times New Roman" w:hAnsi="Times New Roman" w:cs="Times New Roman"/>
          <w:sz w:val="24"/>
          <w:szCs w:val="24"/>
        </w:rPr>
        <w:t xml:space="preserve">Onen, A. I., Bulama, S., Kolo, A. M., Ebenso, E. E., &amp; Apagu, D. A. (2019). Gravimetric and electrochemical studies of </w:t>
      </w:r>
      <w:r w:rsidRPr="00245CB1">
        <w:rPr>
          <w:rFonts w:ascii="Times New Roman" w:eastAsia="Times New Roman" w:hAnsi="Times New Roman" w:cs="Times New Roman"/>
          <w:i/>
          <w:iCs/>
          <w:sz w:val="24"/>
          <w:szCs w:val="24"/>
        </w:rPr>
        <w:t>Balanites aegyptiaca</w:t>
      </w:r>
      <w:r w:rsidRPr="00245CB1">
        <w:rPr>
          <w:rFonts w:ascii="Times New Roman" w:eastAsia="Times New Roman" w:hAnsi="Times New Roman" w:cs="Times New Roman"/>
          <w:sz w:val="24"/>
          <w:szCs w:val="24"/>
        </w:rPr>
        <w:t xml:space="preserve"> DEL. ethanolic leaves extract as corrosion inhibitor for duplex stainless steel in 1.0 M HCl solution. </w:t>
      </w:r>
      <w:r w:rsidRPr="00245CB1">
        <w:rPr>
          <w:rFonts w:ascii="Times New Roman" w:eastAsia="Times New Roman" w:hAnsi="Times New Roman" w:cs="Times New Roman"/>
          <w:i/>
          <w:iCs/>
          <w:sz w:val="24"/>
          <w:szCs w:val="24"/>
        </w:rPr>
        <w:t>FUW Trends in Science and Technology Journal, 4</w:t>
      </w:r>
      <w:r w:rsidRPr="00245CB1">
        <w:rPr>
          <w:rFonts w:ascii="Times New Roman" w:eastAsia="Times New Roman" w:hAnsi="Times New Roman" w:cs="Times New Roman"/>
          <w:sz w:val="24"/>
          <w:szCs w:val="24"/>
        </w:rPr>
        <w:t>(3), 773–777.</w:t>
      </w:r>
    </w:p>
    <w:p w14:paraId="53937B45"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[10] </w:t>
      </w:r>
      <w:r w:rsidRPr="00245CB1">
        <w:rPr>
          <w:rFonts w:ascii="Times New Roman" w:eastAsia="Times New Roman" w:hAnsi="Times New Roman" w:cs="Times New Roman"/>
          <w:sz w:val="24"/>
          <w:szCs w:val="24"/>
        </w:rPr>
        <w:t xml:space="preserve">ASTM International. (2003). </w:t>
      </w:r>
      <w:r w:rsidRPr="00245CB1">
        <w:rPr>
          <w:rFonts w:ascii="Times New Roman" w:eastAsia="Times New Roman" w:hAnsi="Times New Roman" w:cs="Times New Roman"/>
          <w:i/>
          <w:iCs/>
          <w:sz w:val="24"/>
          <w:szCs w:val="24"/>
        </w:rPr>
        <w:t>ASTM G59-97: Standard test method for conducting potentiodynamic polarization resistance measurements</w:t>
      </w:r>
      <w:r w:rsidRPr="00245CB1">
        <w:rPr>
          <w:rFonts w:ascii="Times New Roman" w:eastAsia="Times New Roman" w:hAnsi="Times New Roman" w:cs="Times New Roman"/>
          <w:sz w:val="24"/>
          <w:szCs w:val="24"/>
        </w:rPr>
        <w:t>. ASTM International.</w:t>
      </w:r>
    </w:p>
    <w:p w14:paraId="5BECF7BB"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[11] </w:t>
      </w:r>
      <w:r w:rsidRPr="00245CB1">
        <w:rPr>
          <w:rFonts w:ascii="Times New Roman" w:eastAsia="Times New Roman" w:hAnsi="Times New Roman" w:cs="Times New Roman"/>
          <w:sz w:val="24"/>
          <w:szCs w:val="24"/>
        </w:rPr>
        <w:t xml:space="preserve">Shwetha, K. M., Praveen, B. M., &amp; Devendra, B. K. (2024). A review on corrosion inhibitors types, mechanism, electrochemical analysis, corrosion rate and inhibition efficiency of corrosion inhibitors on mild steel in acidic environment. </w:t>
      </w:r>
      <w:r w:rsidRPr="00245CB1">
        <w:rPr>
          <w:rFonts w:ascii="Times New Roman" w:eastAsia="Times New Roman" w:hAnsi="Times New Roman" w:cs="Times New Roman"/>
          <w:i/>
          <w:iCs/>
          <w:sz w:val="24"/>
          <w:szCs w:val="24"/>
        </w:rPr>
        <w:t>Results in Surfaces and Interfaces, 16</w:t>
      </w:r>
      <w:r w:rsidRPr="00245CB1">
        <w:rPr>
          <w:rFonts w:ascii="Times New Roman" w:eastAsia="Times New Roman" w:hAnsi="Times New Roman" w:cs="Times New Roman"/>
          <w:sz w:val="24"/>
          <w:szCs w:val="24"/>
        </w:rPr>
        <w:t xml:space="preserve">, 1–19. </w:t>
      </w:r>
      <w:hyperlink r:id="rId18" w:tgtFrame="_new" w:history="1">
        <w:r w:rsidRPr="00245CB1">
          <w:rPr>
            <w:rFonts w:ascii="Times New Roman" w:eastAsia="Times New Roman" w:hAnsi="Times New Roman" w:cs="Times New Roman"/>
            <w:color w:val="0000FF"/>
            <w:sz w:val="24"/>
            <w:szCs w:val="24"/>
            <w:u w:val="single"/>
          </w:rPr>
          <w:t>https://doi.org/10.1016/j.rsurfi.2024.100258</w:t>
        </w:r>
      </w:hyperlink>
    </w:p>
    <w:p w14:paraId="2CE8AFD4"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[12] </w:t>
      </w:r>
      <w:r w:rsidRPr="00245CB1">
        <w:rPr>
          <w:rFonts w:ascii="Times New Roman" w:eastAsia="Times New Roman" w:hAnsi="Times New Roman" w:cs="Times New Roman"/>
          <w:sz w:val="24"/>
          <w:szCs w:val="24"/>
        </w:rPr>
        <w:t xml:space="preserve">Karthik, G., &amp; Sundaravadivelu, M. (2015). Studies on the inhibition of mild steel corrosion in hydrochloric acid solution by atenolol drug. </w:t>
      </w:r>
      <w:r w:rsidRPr="00245CB1">
        <w:rPr>
          <w:rFonts w:ascii="Times New Roman" w:eastAsia="Times New Roman" w:hAnsi="Times New Roman" w:cs="Times New Roman"/>
          <w:i/>
          <w:iCs/>
          <w:sz w:val="24"/>
          <w:szCs w:val="24"/>
        </w:rPr>
        <w:t>Egyptian Journal of Petroleum, 25</w:t>
      </w:r>
      <w:r w:rsidRPr="00245CB1">
        <w:rPr>
          <w:rFonts w:ascii="Times New Roman" w:eastAsia="Times New Roman" w:hAnsi="Times New Roman" w:cs="Times New Roman"/>
          <w:sz w:val="24"/>
          <w:szCs w:val="24"/>
        </w:rPr>
        <w:t xml:space="preserve">, 183–191. </w:t>
      </w:r>
      <w:hyperlink r:id="rId19" w:tgtFrame="_new" w:history="1">
        <w:r w:rsidRPr="00245CB1">
          <w:rPr>
            <w:rFonts w:ascii="Times New Roman" w:eastAsia="Times New Roman" w:hAnsi="Times New Roman" w:cs="Times New Roman"/>
            <w:color w:val="0000FF"/>
            <w:sz w:val="24"/>
            <w:szCs w:val="24"/>
            <w:u w:val="single"/>
          </w:rPr>
          <w:t>https://doi.org/10.1016/j.ejpe.2015.04.003</w:t>
        </w:r>
      </w:hyperlink>
    </w:p>
    <w:p w14:paraId="75AE2B42"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[13] </w:t>
      </w:r>
      <w:r w:rsidRPr="00245CB1">
        <w:rPr>
          <w:rFonts w:ascii="Times New Roman" w:eastAsia="Times New Roman" w:hAnsi="Times New Roman" w:cs="Times New Roman"/>
          <w:sz w:val="24"/>
          <w:szCs w:val="24"/>
        </w:rPr>
        <w:t xml:space="preserve">Abdallah, M., Soliman, K. A., Alfakeer, M., Hawsawi, H., Al-Bonayan, A. M., Al-Juaid, S. S., Abd El Wanees, S., &amp; Motawea, M. S. (2023). Expired antifungal drugs as effective corrosion inhibitors for carbon steel in 1 M HCl solution: Practical and theoretical approaches. </w:t>
      </w:r>
      <w:r w:rsidRPr="00245CB1">
        <w:rPr>
          <w:rFonts w:ascii="Times New Roman" w:eastAsia="Times New Roman" w:hAnsi="Times New Roman" w:cs="Times New Roman"/>
          <w:i/>
          <w:iCs/>
          <w:sz w:val="24"/>
          <w:szCs w:val="24"/>
        </w:rPr>
        <w:t>ACS Omega, 8</w:t>
      </w:r>
      <w:r w:rsidRPr="00245CB1">
        <w:rPr>
          <w:rFonts w:ascii="Times New Roman" w:eastAsia="Times New Roman" w:hAnsi="Times New Roman" w:cs="Times New Roman"/>
          <w:sz w:val="24"/>
          <w:szCs w:val="24"/>
        </w:rPr>
        <w:t xml:space="preserve">, 34516–34533. </w:t>
      </w:r>
      <w:hyperlink r:id="rId20" w:tgtFrame="_new" w:history="1">
        <w:r w:rsidRPr="00245CB1">
          <w:rPr>
            <w:rFonts w:ascii="Times New Roman" w:eastAsia="Times New Roman" w:hAnsi="Times New Roman" w:cs="Times New Roman"/>
            <w:color w:val="0000FF"/>
            <w:sz w:val="24"/>
            <w:szCs w:val="24"/>
            <w:u w:val="single"/>
          </w:rPr>
          <w:t>https://doi.org/10.1021/acsomega.3c03257</w:t>
        </w:r>
      </w:hyperlink>
    </w:p>
    <w:p w14:paraId="35BE7B9D"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[14] </w:t>
      </w:r>
      <w:r w:rsidRPr="00245CB1">
        <w:rPr>
          <w:rFonts w:ascii="Times New Roman" w:eastAsia="Times New Roman" w:hAnsi="Times New Roman" w:cs="Times New Roman"/>
          <w:sz w:val="24"/>
          <w:szCs w:val="24"/>
        </w:rPr>
        <w:t xml:space="preserve">Al-Mhyawi, M., Soliman, S., &amp; Arafa, E. I. (2022). Evaluation of expired Augmentin drugs as corrosion inhibitor for carbon steel alloy in 1.0 N HCl acidic environment using analytical techniques. </w:t>
      </w:r>
      <w:r w:rsidRPr="00245CB1">
        <w:rPr>
          <w:rFonts w:ascii="Times New Roman" w:eastAsia="Times New Roman" w:hAnsi="Times New Roman" w:cs="Times New Roman"/>
          <w:i/>
          <w:iCs/>
          <w:sz w:val="24"/>
          <w:szCs w:val="24"/>
        </w:rPr>
        <w:t>Egyptian Journal of Chemistry, 65</w:t>
      </w:r>
      <w:r w:rsidRPr="00245CB1">
        <w:rPr>
          <w:rFonts w:ascii="Times New Roman" w:eastAsia="Times New Roman" w:hAnsi="Times New Roman" w:cs="Times New Roman"/>
          <w:sz w:val="24"/>
          <w:szCs w:val="24"/>
        </w:rPr>
        <w:t xml:space="preserve">(4), 735–745. </w:t>
      </w:r>
      <w:hyperlink r:id="rId21" w:history="1">
        <w:r w:rsidRPr="00F15124">
          <w:rPr>
            <w:rStyle w:val="Hyperlink"/>
            <w:rFonts w:ascii="Times New Roman" w:eastAsia="Times New Roman" w:hAnsi="Times New Roman" w:cs="Times New Roman"/>
            <w:sz w:val="24"/>
            <w:szCs w:val="24"/>
          </w:rPr>
          <w:t>https://doi.org/10.21608/ejchem.2021.95853.4495</w:t>
        </w:r>
      </w:hyperlink>
    </w:p>
    <w:p w14:paraId="6798FA98"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[15] </w:t>
      </w:r>
      <w:r w:rsidRPr="00245CB1">
        <w:rPr>
          <w:rFonts w:ascii="Times New Roman" w:eastAsia="Times New Roman" w:hAnsi="Times New Roman" w:cs="Times New Roman"/>
          <w:sz w:val="24"/>
          <w:szCs w:val="24"/>
        </w:rPr>
        <w:t xml:space="preserve">Ikeuba, I. A., Aondoakan, L., Azagare, W., Njoku, C. N., Usibe, B. E., &amp; Eche, O. (2025). Computational and experimental evaluation of the corrosion inhibition of magnesium in the presence of acids/esters in saline solutions. </w:t>
      </w:r>
      <w:r w:rsidRPr="00245CB1">
        <w:rPr>
          <w:rFonts w:ascii="Times New Roman" w:eastAsia="Times New Roman" w:hAnsi="Times New Roman" w:cs="Times New Roman"/>
          <w:i/>
          <w:iCs/>
          <w:sz w:val="24"/>
          <w:szCs w:val="24"/>
        </w:rPr>
        <w:t>Current Research in Green and Sustainable Chemistry, 10</w:t>
      </w:r>
      <w:r w:rsidRPr="00245CB1">
        <w:rPr>
          <w:rFonts w:ascii="Times New Roman" w:eastAsia="Times New Roman" w:hAnsi="Times New Roman" w:cs="Times New Roman"/>
          <w:sz w:val="24"/>
          <w:szCs w:val="24"/>
        </w:rPr>
        <w:t xml:space="preserve">, 1–12. </w:t>
      </w:r>
      <w:hyperlink r:id="rId22" w:tgtFrame="_new" w:history="1">
        <w:r w:rsidRPr="00245CB1">
          <w:rPr>
            <w:rFonts w:ascii="Times New Roman" w:eastAsia="Times New Roman" w:hAnsi="Times New Roman" w:cs="Times New Roman"/>
            <w:color w:val="0000FF"/>
            <w:sz w:val="24"/>
            <w:szCs w:val="24"/>
            <w:u w:val="single"/>
          </w:rPr>
          <w:t>https://doi.org/10.1016/j.crgsc.2025.100452</w:t>
        </w:r>
      </w:hyperlink>
    </w:p>
    <w:p w14:paraId="72D27AC6"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[16] [</w:t>
      </w:r>
      <w:r w:rsidRPr="00245CB1">
        <w:rPr>
          <w:rFonts w:ascii="Times New Roman" w:eastAsia="Times New Roman" w:hAnsi="Times New Roman" w:cs="Times New Roman"/>
          <w:sz w:val="24"/>
          <w:szCs w:val="24"/>
        </w:rPr>
        <w:t xml:space="preserve">Obot, I. B., &amp; Obi-Egbedi, N. O. (2010). Adsorption properties and inhibition of mild steel corrosion in sulphuric acid solution by ketoconazole: Experimental and theoretical investigation. </w:t>
      </w:r>
      <w:r w:rsidRPr="00245CB1">
        <w:rPr>
          <w:rFonts w:ascii="Times New Roman" w:eastAsia="Times New Roman" w:hAnsi="Times New Roman" w:cs="Times New Roman"/>
          <w:i/>
          <w:iCs/>
          <w:sz w:val="24"/>
          <w:szCs w:val="24"/>
        </w:rPr>
        <w:t>Corrosion Science, 52</w:t>
      </w:r>
      <w:r w:rsidRPr="00245CB1">
        <w:rPr>
          <w:rFonts w:ascii="Times New Roman" w:eastAsia="Times New Roman" w:hAnsi="Times New Roman" w:cs="Times New Roman"/>
          <w:sz w:val="24"/>
          <w:szCs w:val="24"/>
        </w:rPr>
        <w:t xml:space="preserve">(1), 198–204. </w:t>
      </w:r>
      <w:hyperlink r:id="rId23" w:tgtFrame="_new" w:history="1">
        <w:r w:rsidRPr="00245CB1">
          <w:rPr>
            <w:rFonts w:ascii="Times New Roman" w:eastAsia="Times New Roman" w:hAnsi="Times New Roman" w:cs="Times New Roman"/>
            <w:color w:val="0000FF"/>
            <w:sz w:val="24"/>
            <w:szCs w:val="24"/>
            <w:u w:val="single"/>
          </w:rPr>
          <w:t>https://doi.org/10.1016/j.corsci.2009.09.002</w:t>
        </w:r>
      </w:hyperlink>
    </w:p>
    <w:p w14:paraId="0FBCEACE"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[17] </w:t>
      </w:r>
      <w:r w:rsidRPr="00245CB1">
        <w:rPr>
          <w:rFonts w:ascii="Times New Roman" w:eastAsia="Times New Roman" w:hAnsi="Times New Roman" w:cs="Times New Roman"/>
          <w:sz w:val="24"/>
          <w:szCs w:val="24"/>
        </w:rPr>
        <w:t xml:space="preserve">Toghan, A., Gadow, H. S., Fawzy, A., Hanan, A., &amp; Salah, H. (2023). Adsorption mechanism, kinetics, thermodynamics, and anticorrosion performance of a new thiophene derivative for C-steel in 1.0 M HCl: Experimental and computational approaches. </w:t>
      </w:r>
      <w:r w:rsidRPr="00245CB1">
        <w:rPr>
          <w:rFonts w:ascii="Times New Roman" w:eastAsia="Times New Roman" w:hAnsi="Times New Roman" w:cs="Times New Roman"/>
          <w:i/>
          <w:iCs/>
          <w:sz w:val="24"/>
          <w:szCs w:val="24"/>
        </w:rPr>
        <w:t>Metals, 13</w:t>
      </w:r>
      <w:r w:rsidRPr="00245CB1">
        <w:rPr>
          <w:rFonts w:ascii="Times New Roman" w:eastAsia="Times New Roman" w:hAnsi="Times New Roman" w:cs="Times New Roman"/>
          <w:sz w:val="24"/>
          <w:szCs w:val="24"/>
        </w:rPr>
        <w:t xml:space="preserve">, 1–22. </w:t>
      </w:r>
      <w:hyperlink r:id="rId24" w:tgtFrame="_new" w:history="1">
        <w:r w:rsidRPr="00245CB1">
          <w:rPr>
            <w:rFonts w:ascii="Times New Roman" w:eastAsia="Times New Roman" w:hAnsi="Times New Roman" w:cs="Times New Roman"/>
            <w:color w:val="0000FF"/>
            <w:sz w:val="24"/>
            <w:szCs w:val="24"/>
            <w:u w:val="single"/>
          </w:rPr>
          <w:t>https://doi.org/10.3390/met13091565</w:t>
        </w:r>
      </w:hyperlink>
    </w:p>
    <w:p w14:paraId="5D889177"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[18] </w:t>
      </w:r>
      <w:r w:rsidRPr="00245CB1">
        <w:rPr>
          <w:rFonts w:ascii="Times New Roman" w:eastAsia="Times New Roman" w:hAnsi="Times New Roman" w:cs="Times New Roman"/>
          <w:sz w:val="24"/>
          <w:szCs w:val="24"/>
        </w:rPr>
        <w:t xml:space="preserve">Quraishi, M. A., Ansari, K. R., Yadav, D. K., &amp; Ebenso, E. E. (2012). Corrosion inhibition and adsorption studies of some barbiturates on mild steel/acid interface. </w:t>
      </w:r>
      <w:r w:rsidRPr="00245CB1">
        <w:rPr>
          <w:rFonts w:ascii="Times New Roman" w:eastAsia="Times New Roman" w:hAnsi="Times New Roman" w:cs="Times New Roman"/>
          <w:i/>
          <w:iCs/>
          <w:sz w:val="24"/>
          <w:szCs w:val="24"/>
        </w:rPr>
        <w:t>International Journal of Electrochemical Science, 7</w:t>
      </w:r>
      <w:r w:rsidRPr="00245CB1">
        <w:rPr>
          <w:rFonts w:ascii="Times New Roman" w:eastAsia="Times New Roman" w:hAnsi="Times New Roman" w:cs="Times New Roman"/>
          <w:sz w:val="24"/>
          <w:szCs w:val="24"/>
        </w:rPr>
        <w:t xml:space="preserve">, 12301–12315. </w:t>
      </w:r>
      <w:hyperlink r:id="rId25" w:history="1">
        <w:r w:rsidRPr="00F15124">
          <w:rPr>
            <w:rStyle w:val="Hyperlink"/>
            <w:rFonts w:ascii="Times New Roman" w:eastAsia="Times New Roman" w:hAnsi="Times New Roman" w:cs="Times New Roman"/>
            <w:sz w:val="24"/>
            <w:szCs w:val="24"/>
          </w:rPr>
          <w:t>https://doi.org/10.1016/S1452-3981(23)16546-1</w:t>
        </w:r>
      </w:hyperlink>
    </w:p>
    <w:p w14:paraId="5B4157A6"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lastRenderedPageBreak/>
        <w:t xml:space="preserve">[19] </w:t>
      </w:r>
      <w:r w:rsidRPr="00245CB1">
        <w:rPr>
          <w:rFonts w:ascii="Times New Roman" w:eastAsia="Times New Roman" w:hAnsi="Times New Roman" w:cs="Times New Roman"/>
          <w:sz w:val="24"/>
          <w:szCs w:val="24"/>
        </w:rPr>
        <w:t xml:space="preserve">Reddy, M. J., Verma, C., Ebenso, E. E., Singh, K. K., &amp; Quraishi, M. A. (2014). Electrochemical and thermodynamic investigation of nitrofurantoin as effective corrosion inhibitor for mild steel in 1 M hydrochloric acid solution. </w:t>
      </w:r>
      <w:r w:rsidRPr="00245CB1">
        <w:rPr>
          <w:rFonts w:ascii="Times New Roman" w:eastAsia="Times New Roman" w:hAnsi="Times New Roman" w:cs="Times New Roman"/>
          <w:i/>
          <w:iCs/>
          <w:sz w:val="24"/>
          <w:szCs w:val="24"/>
        </w:rPr>
        <w:t>International Journal of Electrochemical Science, 9</w:t>
      </w:r>
      <w:r w:rsidRPr="00245CB1">
        <w:rPr>
          <w:rFonts w:ascii="Times New Roman" w:eastAsia="Times New Roman" w:hAnsi="Times New Roman" w:cs="Times New Roman"/>
          <w:sz w:val="24"/>
          <w:szCs w:val="24"/>
        </w:rPr>
        <w:t>, 4884–4899.</w:t>
      </w:r>
    </w:p>
    <w:p w14:paraId="74CC57D7"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[20] </w:t>
      </w:r>
      <w:r w:rsidRPr="00245CB1">
        <w:rPr>
          <w:rFonts w:ascii="Times New Roman" w:eastAsia="Times New Roman" w:hAnsi="Times New Roman" w:cs="Times New Roman"/>
          <w:sz w:val="24"/>
          <w:szCs w:val="24"/>
        </w:rPr>
        <w:t xml:space="preserve">Nsude, O. P., &amp; Orie, K. J. (2022). Thermodynamic and adsorption analysis of corrosion inhibition of mild steel in 0.5 M HCl medium via ethanol extracts of </w:t>
      </w:r>
      <w:r w:rsidRPr="00245CB1">
        <w:rPr>
          <w:rFonts w:ascii="Times New Roman" w:eastAsia="Times New Roman" w:hAnsi="Times New Roman" w:cs="Times New Roman"/>
          <w:i/>
          <w:iCs/>
          <w:sz w:val="24"/>
          <w:szCs w:val="24"/>
        </w:rPr>
        <w:t>Phyllanthus mellerianus</w:t>
      </w:r>
      <w:r w:rsidRPr="00245CB1">
        <w:rPr>
          <w:rFonts w:ascii="Times New Roman" w:eastAsia="Times New Roman" w:hAnsi="Times New Roman" w:cs="Times New Roman"/>
          <w:sz w:val="24"/>
          <w:szCs w:val="24"/>
        </w:rPr>
        <w:t xml:space="preserve">. </w:t>
      </w:r>
      <w:r w:rsidRPr="00245CB1">
        <w:rPr>
          <w:rFonts w:ascii="Times New Roman" w:eastAsia="Times New Roman" w:hAnsi="Times New Roman" w:cs="Times New Roman"/>
          <w:i/>
          <w:iCs/>
          <w:sz w:val="24"/>
          <w:szCs w:val="24"/>
        </w:rPr>
        <w:t>American Journal of Applied Chemistry, 10</w:t>
      </w:r>
      <w:r w:rsidRPr="00245CB1">
        <w:rPr>
          <w:rFonts w:ascii="Times New Roman" w:eastAsia="Times New Roman" w:hAnsi="Times New Roman" w:cs="Times New Roman"/>
          <w:sz w:val="24"/>
          <w:szCs w:val="24"/>
        </w:rPr>
        <w:t xml:space="preserve">(3), 67–75. </w:t>
      </w:r>
      <w:hyperlink r:id="rId26" w:history="1">
        <w:r w:rsidRPr="00F15124">
          <w:rPr>
            <w:rStyle w:val="Hyperlink"/>
            <w:rFonts w:ascii="Times New Roman" w:eastAsia="Times New Roman" w:hAnsi="Times New Roman" w:cs="Times New Roman"/>
            <w:sz w:val="24"/>
            <w:szCs w:val="24"/>
          </w:rPr>
          <w:t>https://doi.org/10.11648/j.ajac.20221003.12</w:t>
        </w:r>
      </w:hyperlink>
    </w:p>
    <w:p w14:paraId="5E52B975"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[21] </w:t>
      </w:r>
      <w:r w:rsidRPr="00245CB1">
        <w:rPr>
          <w:rFonts w:ascii="Times New Roman" w:eastAsia="Times New Roman" w:hAnsi="Times New Roman" w:cs="Times New Roman"/>
          <w:sz w:val="24"/>
          <w:szCs w:val="24"/>
        </w:rPr>
        <w:t xml:space="preserve">Alamry, K. A., Khan, A., Aslam, J., Hussein, M. A., &amp; Aslam, R. (2023). Corrosion inhibition of mild steel in hydrochloric acid solution by the expired ampicillin drug. </w:t>
      </w:r>
      <w:r w:rsidRPr="00245CB1">
        <w:rPr>
          <w:rFonts w:ascii="Times New Roman" w:eastAsia="Times New Roman" w:hAnsi="Times New Roman" w:cs="Times New Roman"/>
          <w:i/>
          <w:iCs/>
          <w:sz w:val="24"/>
          <w:szCs w:val="24"/>
        </w:rPr>
        <w:t>Scientific Reports, 13</w:t>
      </w:r>
      <w:r w:rsidRPr="00245CB1">
        <w:rPr>
          <w:rFonts w:ascii="Times New Roman" w:eastAsia="Times New Roman" w:hAnsi="Times New Roman" w:cs="Times New Roman"/>
          <w:sz w:val="24"/>
          <w:szCs w:val="24"/>
        </w:rPr>
        <w:t xml:space="preserve">, 6724. </w:t>
      </w:r>
      <w:hyperlink r:id="rId27" w:tgtFrame="_new" w:history="1">
        <w:r w:rsidRPr="00245CB1">
          <w:rPr>
            <w:rFonts w:ascii="Times New Roman" w:eastAsia="Times New Roman" w:hAnsi="Times New Roman" w:cs="Times New Roman"/>
            <w:color w:val="0000FF"/>
            <w:sz w:val="24"/>
            <w:szCs w:val="24"/>
            <w:u w:val="single"/>
          </w:rPr>
          <w:t>https://doi.org/10.1038/s41598-023-33519-y</w:t>
        </w:r>
      </w:hyperlink>
    </w:p>
    <w:p w14:paraId="26A19C24"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[22] </w:t>
      </w:r>
      <w:r w:rsidRPr="00245CB1">
        <w:rPr>
          <w:rFonts w:ascii="Times New Roman" w:eastAsia="Times New Roman" w:hAnsi="Times New Roman" w:cs="Times New Roman"/>
          <w:sz w:val="24"/>
          <w:szCs w:val="24"/>
        </w:rPr>
        <w:t xml:space="preserve">Ansari, K. R., Quraishi, M. A., Prashant, &amp; Ebenso, E. E. (2013). Electrochemical and thermodynamic investigation of diclofenac sodium drug as a potential corrosion inhibitor for mild steel in hydrochloric acid. </w:t>
      </w:r>
      <w:r w:rsidRPr="00245CB1">
        <w:rPr>
          <w:rFonts w:ascii="Times New Roman" w:eastAsia="Times New Roman" w:hAnsi="Times New Roman" w:cs="Times New Roman"/>
          <w:i/>
          <w:iCs/>
          <w:sz w:val="24"/>
          <w:szCs w:val="24"/>
        </w:rPr>
        <w:t>International Journal of Electrochemical Science, 8</w:t>
      </w:r>
      <w:r w:rsidRPr="00245CB1">
        <w:rPr>
          <w:rFonts w:ascii="Times New Roman" w:eastAsia="Times New Roman" w:hAnsi="Times New Roman" w:cs="Times New Roman"/>
          <w:sz w:val="24"/>
          <w:szCs w:val="24"/>
        </w:rPr>
        <w:t xml:space="preserve">, 12860–12873. </w:t>
      </w:r>
      <w:hyperlink r:id="rId28" w:history="1">
        <w:r w:rsidRPr="00F15124">
          <w:rPr>
            <w:rStyle w:val="Hyperlink"/>
            <w:rFonts w:ascii="Times New Roman" w:eastAsia="Times New Roman" w:hAnsi="Times New Roman" w:cs="Times New Roman"/>
            <w:sz w:val="24"/>
            <w:szCs w:val="24"/>
          </w:rPr>
          <w:t>https://doi.org/10.1016/S1452-3981(23)13312-8</w:t>
        </w:r>
      </w:hyperlink>
    </w:p>
    <w:p w14:paraId="20EFD45E"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[23] </w:t>
      </w:r>
      <w:r w:rsidRPr="00245CB1">
        <w:rPr>
          <w:rFonts w:ascii="Times New Roman" w:eastAsia="Times New Roman" w:hAnsi="Times New Roman" w:cs="Times New Roman"/>
          <w:sz w:val="24"/>
          <w:szCs w:val="24"/>
        </w:rPr>
        <w:t xml:space="preserve">Ebenso, E. E., &amp; Obot, I. B. (2010). Inhibitive properties, thermodynamic characterization, and quantum chemical studies of secnidazole on mild steel corrosion in acidic medium. </w:t>
      </w:r>
      <w:r w:rsidRPr="00245CB1">
        <w:rPr>
          <w:rFonts w:ascii="Times New Roman" w:eastAsia="Times New Roman" w:hAnsi="Times New Roman" w:cs="Times New Roman"/>
          <w:i/>
          <w:iCs/>
          <w:sz w:val="24"/>
          <w:szCs w:val="24"/>
        </w:rPr>
        <w:t>International Journal of Electrochemical Science, 5</w:t>
      </w:r>
      <w:r w:rsidRPr="00245CB1">
        <w:rPr>
          <w:rFonts w:ascii="Times New Roman" w:eastAsia="Times New Roman" w:hAnsi="Times New Roman" w:cs="Times New Roman"/>
          <w:sz w:val="24"/>
          <w:szCs w:val="24"/>
        </w:rPr>
        <w:t xml:space="preserve">, 2012–2035. </w:t>
      </w:r>
      <w:hyperlink r:id="rId29" w:history="1">
        <w:r w:rsidRPr="00F15124">
          <w:rPr>
            <w:rStyle w:val="Hyperlink"/>
            <w:rFonts w:ascii="Times New Roman" w:eastAsia="Times New Roman" w:hAnsi="Times New Roman" w:cs="Times New Roman"/>
            <w:sz w:val="24"/>
            <w:szCs w:val="24"/>
          </w:rPr>
          <w:t>https://doi.org/10.1016/S1452-3981(23)15402-2</w:t>
        </w:r>
      </w:hyperlink>
    </w:p>
    <w:p w14:paraId="2BB2D1F9"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[24] </w:t>
      </w:r>
      <w:r w:rsidRPr="00245CB1">
        <w:rPr>
          <w:rFonts w:ascii="Times New Roman" w:eastAsia="Times New Roman" w:hAnsi="Times New Roman" w:cs="Times New Roman"/>
          <w:sz w:val="24"/>
          <w:szCs w:val="24"/>
        </w:rPr>
        <w:t xml:space="preserve">Kuang, F., Zhang, J., Zou, C., Shi, T., Wang, Y., Zhang, S., &amp; Xu, H. (2010). Electrochemical methods for corrosion monitoring: A survey of recent patents. </w:t>
      </w:r>
      <w:r w:rsidRPr="00245CB1">
        <w:rPr>
          <w:rFonts w:ascii="Times New Roman" w:eastAsia="Times New Roman" w:hAnsi="Times New Roman" w:cs="Times New Roman"/>
          <w:i/>
          <w:iCs/>
          <w:sz w:val="24"/>
          <w:szCs w:val="24"/>
        </w:rPr>
        <w:t>Recent Patents on Corrosion Science, 2</w:t>
      </w:r>
      <w:r w:rsidRPr="00245CB1">
        <w:rPr>
          <w:rFonts w:ascii="Times New Roman" w:eastAsia="Times New Roman" w:hAnsi="Times New Roman" w:cs="Times New Roman"/>
          <w:sz w:val="24"/>
          <w:szCs w:val="24"/>
        </w:rPr>
        <w:t xml:space="preserve">, 34–39. </w:t>
      </w:r>
      <w:hyperlink r:id="rId30" w:history="1">
        <w:r w:rsidRPr="00F15124">
          <w:rPr>
            <w:rStyle w:val="Hyperlink"/>
            <w:rFonts w:ascii="Times New Roman" w:eastAsia="Times New Roman" w:hAnsi="Times New Roman" w:cs="Times New Roman"/>
            <w:sz w:val="24"/>
            <w:szCs w:val="24"/>
          </w:rPr>
          <w:t>https://doi.org/10.2174/1877610801002010034</w:t>
        </w:r>
      </w:hyperlink>
      <w:r>
        <w:rPr>
          <w:rFonts w:ascii="Times New Roman" w:eastAsia="Times New Roman" w:hAnsi="Times New Roman" w:cs="Times New Roman"/>
          <w:sz w:val="24"/>
          <w:szCs w:val="24"/>
        </w:rPr>
        <w:t xml:space="preserve"> </w:t>
      </w:r>
    </w:p>
    <w:p w14:paraId="062DFD4D"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[25] </w:t>
      </w:r>
      <w:r w:rsidRPr="00245CB1">
        <w:rPr>
          <w:rFonts w:ascii="Times New Roman" w:eastAsia="Times New Roman" w:hAnsi="Times New Roman" w:cs="Times New Roman"/>
          <w:sz w:val="24"/>
          <w:szCs w:val="24"/>
        </w:rPr>
        <w:t xml:space="preserve">Aldana-González, J., Espinoza-Vázquez, A., Romero-Romo, A., Uruchurtu-Chavarín, A., &amp; Palomar-Pardavé, M. (2019). Electrochemical evaluation of cephalothin as corrosion inhibitor for API 5L X52 steel immersed in an acid medium. </w:t>
      </w:r>
      <w:r w:rsidRPr="00245CB1">
        <w:rPr>
          <w:rFonts w:ascii="Times New Roman" w:eastAsia="Times New Roman" w:hAnsi="Times New Roman" w:cs="Times New Roman"/>
          <w:i/>
          <w:iCs/>
          <w:sz w:val="24"/>
          <w:szCs w:val="24"/>
        </w:rPr>
        <w:t>Arabian Journal of Chemistry, 12</w:t>
      </w:r>
      <w:r w:rsidRPr="00245CB1">
        <w:rPr>
          <w:rFonts w:ascii="Times New Roman" w:eastAsia="Times New Roman" w:hAnsi="Times New Roman" w:cs="Times New Roman"/>
          <w:sz w:val="24"/>
          <w:szCs w:val="24"/>
        </w:rPr>
        <w:t xml:space="preserve">, 3244–3253. </w:t>
      </w:r>
      <w:hyperlink r:id="rId31" w:history="1">
        <w:r w:rsidRPr="00F15124">
          <w:rPr>
            <w:rStyle w:val="Hyperlink"/>
            <w:rFonts w:ascii="Times New Roman" w:eastAsia="Times New Roman" w:hAnsi="Times New Roman" w:cs="Times New Roman"/>
            <w:sz w:val="24"/>
            <w:szCs w:val="24"/>
          </w:rPr>
          <w:t>https://doi.org/10.1016/j.arabjc.2015.08.033</w:t>
        </w:r>
      </w:hyperlink>
    </w:p>
    <w:p w14:paraId="2D5B1D29"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[26] [</w:t>
      </w:r>
      <w:r w:rsidRPr="00245CB1">
        <w:rPr>
          <w:rFonts w:ascii="Times New Roman" w:eastAsia="Times New Roman" w:hAnsi="Times New Roman" w:cs="Times New Roman"/>
          <w:sz w:val="24"/>
          <w:szCs w:val="24"/>
        </w:rPr>
        <w:t xml:space="preserve">Obot, I. B., Ebenso, E. E., &amp; Kabanda, M. M. (2013). Metronidazole as an environmentally safe corrosion inhibitor for mild steel in 0.5 M HCl: Experimental and theoretical investigation. </w:t>
      </w:r>
      <w:r w:rsidRPr="00245CB1">
        <w:rPr>
          <w:rFonts w:ascii="Times New Roman" w:eastAsia="Times New Roman" w:hAnsi="Times New Roman" w:cs="Times New Roman"/>
          <w:i/>
          <w:iCs/>
          <w:sz w:val="24"/>
          <w:szCs w:val="24"/>
        </w:rPr>
        <w:t>Journal of Environmental Chemical Engineering, 1</w:t>
      </w:r>
      <w:r w:rsidRPr="00245CB1">
        <w:rPr>
          <w:rFonts w:ascii="Times New Roman" w:eastAsia="Times New Roman" w:hAnsi="Times New Roman" w:cs="Times New Roman"/>
          <w:sz w:val="24"/>
          <w:szCs w:val="24"/>
        </w:rPr>
        <w:t xml:space="preserve">, 431–439. </w:t>
      </w:r>
      <w:hyperlink r:id="rId32" w:tgtFrame="_new" w:history="1">
        <w:r w:rsidRPr="00245CB1">
          <w:rPr>
            <w:rFonts w:ascii="Times New Roman" w:eastAsia="Times New Roman" w:hAnsi="Times New Roman" w:cs="Times New Roman"/>
            <w:color w:val="0000FF"/>
            <w:sz w:val="24"/>
            <w:szCs w:val="24"/>
            <w:u w:val="single"/>
          </w:rPr>
          <w:t>https://doi.org/10.1016/j.jece.2013.06.007</w:t>
        </w:r>
      </w:hyperlink>
    </w:p>
    <w:p w14:paraId="1B7A6B7D"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[27] </w:t>
      </w:r>
      <w:r w:rsidRPr="00245CB1">
        <w:rPr>
          <w:rFonts w:ascii="Times New Roman" w:eastAsia="Times New Roman" w:hAnsi="Times New Roman" w:cs="Times New Roman"/>
          <w:sz w:val="24"/>
          <w:szCs w:val="24"/>
        </w:rPr>
        <w:t xml:space="preserve">Edison, T. J. I., &amp; Sethuraman, M. G. (2013). Electrochemical investigation on adsorption of fluconazole at mild steel/HCl acid interface as corrosion inhibitor. </w:t>
      </w:r>
      <w:r w:rsidRPr="00245CB1">
        <w:rPr>
          <w:rFonts w:ascii="Times New Roman" w:eastAsia="Times New Roman" w:hAnsi="Times New Roman" w:cs="Times New Roman"/>
          <w:i/>
          <w:iCs/>
          <w:sz w:val="24"/>
          <w:szCs w:val="24"/>
        </w:rPr>
        <w:t>ISRN Electrochemistry</w:t>
      </w:r>
      <w:r w:rsidRPr="00245CB1">
        <w:rPr>
          <w:rFonts w:ascii="Times New Roman" w:eastAsia="Times New Roman" w:hAnsi="Times New Roman" w:cs="Times New Roman"/>
          <w:sz w:val="24"/>
          <w:szCs w:val="24"/>
        </w:rPr>
        <w:t xml:space="preserve">, 1–8. </w:t>
      </w:r>
      <w:hyperlink r:id="rId33" w:history="1">
        <w:r w:rsidRPr="00F15124">
          <w:rPr>
            <w:rStyle w:val="Hyperlink"/>
            <w:rFonts w:ascii="Times New Roman" w:eastAsia="Times New Roman" w:hAnsi="Times New Roman" w:cs="Times New Roman"/>
            <w:sz w:val="24"/>
            <w:szCs w:val="24"/>
          </w:rPr>
          <w:t>https://doi.org/10.1155/2013/256086</w:t>
        </w:r>
      </w:hyperlink>
    </w:p>
    <w:p w14:paraId="427A59BA"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[28] </w:t>
      </w:r>
      <w:r w:rsidRPr="00245CB1">
        <w:rPr>
          <w:rFonts w:ascii="Times New Roman" w:eastAsia="Times New Roman" w:hAnsi="Times New Roman" w:cs="Times New Roman"/>
          <w:sz w:val="24"/>
          <w:szCs w:val="24"/>
        </w:rPr>
        <w:t xml:space="preserve">Quraishi, M. A., Yadav, D. K., &amp; Ahamad, I. (2015). Corrosion inhibition of mild steel in 1 M HCl by some newly synthesized pyrimidine derivatives: Electrochemical and quantum chemical studies. </w:t>
      </w:r>
      <w:r w:rsidRPr="00245CB1">
        <w:rPr>
          <w:rFonts w:ascii="Times New Roman" w:eastAsia="Times New Roman" w:hAnsi="Times New Roman" w:cs="Times New Roman"/>
          <w:i/>
          <w:iCs/>
          <w:sz w:val="24"/>
          <w:szCs w:val="24"/>
        </w:rPr>
        <w:t>Journal of Industrial and Engineering Chemistry, 21</w:t>
      </w:r>
      <w:r w:rsidRPr="00245CB1">
        <w:rPr>
          <w:rFonts w:ascii="Times New Roman" w:eastAsia="Times New Roman" w:hAnsi="Times New Roman" w:cs="Times New Roman"/>
          <w:sz w:val="24"/>
          <w:szCs w:val="24"/>
        </w:rPr>
        <w:t>, 1176–1185.</w:t>
      </w:r>
    </w:p>
    <w:p w14:paraId="6AD0FAB3"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lastRenderedPageBreak/>
        <w:t xml:space="preserve"> [29] </w:t>
      </w:r>
      <w:r w:rsidRPr="00245CB1">
        <w:rPr>
          <w:rFonts w:ascii="Times New Roman" w:eastAsia="Times New Roman" w:hAnsi="Times New Roman" w:cs="Times New Roman"/>
          <w:sz w:val="24"/>
          <w:szCs w:val="24"/>
        </w:rPr>
        <w:t xml:space="preserve">Singh, P., Ebenso, E. E., Olasunkanmi, L. O., Obot, I. B., &amp; Quraishi, M. A. (2016). Electrochemical, theoretical, and surface morphological studies of corrosion inhibition effect of green naphthyridine derivatives on mild steel in hydrochloric acid. </w:t>
      </w:r>
      <w:r w:rsidRPr="00245CB1">
        <w:rPr>
          <w:rFonts w:ascii="Times New Roman" w:eastAsia="Times New Roman" w:hAnsi="Times New Roman" w:cs="Times New Roman"/>
          <w:i/>
          <w:iCs/>
          <w:sz w:val="24"/>
          <w:szCs w:val="24"/>
        </w:rPr>
        <w:t>Journal of Physical Chemistry C, 120</w:t>
      </w:r>
      <w:r w:rsidRPr="00245CB1">
        <w:rPr>
          <w:rFonts w:ascii="Times New Roman" w:eastAsia="Times New Roman" w:hAnsi="Times New Roman" w:cs="Times New Roman"/>
          <w:sz w:val="24"/>
          <w:szCs w:val="24"/>
        </w:rPr>
        <w:t xml:space="preserve">, 3408–3419. </w:t>
      </w:r>
      <w:hyperlink r:id="rId34" w:history="1">
        <w:r w:rsidRPr="00F15124">
          <w:rPr>
            <w:rStyle w:val="Hyperlink"/>
            <w:rFonts w:ascii="Times New Roman" w:eastAsia="Times New Roman" w:hAnsi="Times New Roman" w:cs="Times New Roman"/>
            <w:sz w:val="24"/>
            <w:szCs w:val="24"/>
          </w:rPr>
          <w:t>https://doi.org/10.1021/acs.jpcc.5b11901</w:t>
        </w:r>
      </w:hyperlink>
    </w:p>
    <w:p w14:paraId="6E2EA5D4"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[30] </w:t>
      </w:r>
      <w:r w:rsidRPr="00245CB1">
        <w:rPr>
          <w:rFonts w:ascii="Times New Roman" w:eastAsia="Times New Roman" w:hAnsi="Times New Roman" w:cs="Times New Roman"/>
          <w:sz w:val="24"/>
          <w:szCs w:val="24"/>
        </w:rPr>
        <w:t xml:space="preserve">Abdel-Hameed, R. S., Qureshi, M. T., Abdallah, M., Aljuhani, E., Alzharani, A. A., Alfarsi, A., Bakry, A. M., Huwaimel, B., &amp; Farghaly, O. (2022). Recycling of expired lactulose drugs as eco-friendly corrosion inhibitor for steel alloys in acidic environment: Gravimetrical and electrochemical studies. </w:t>
      </w:r>
      <w:r w:rsidRPr="00245CB1">
        <w:rPr>
          <w:rFonts w:ascii="Times New Roman" w:eastAsia="Times New Roman" w:hAnsi="Times New Roman" w:cs="Times New Roman"/>
          <w:i/>
          <w:iCs/>
          <w:sz w:val="24"/>
          <w:szCs w:val="24"/>
        </w:rPr>
        <w:t>International Journal of Electrochemical Science, 17</w:t>
      </w:r>
      <w:r w:rsidRPr="00245CB1">
        <w:rPr>
          <w:rFonts w:ascii="Times New Roman" w:eastAsia="Times New Roman" w:hAnsi="Times New Roman" w:cs="Times New Roman"/>
          <w:sz w:val="24"/>
          <w:szCs w:val="24"/>
        </w:rPr>
        <w:t xml:space="preserve">, 1–16. </w:t>
      </w:r>
      <w:hyperlink r:id="rId35" w:history="1">
        <w:r w:rsidRPr="00F15124">
          <w:rPr>
            <w:rStyle w:val="Hyperlink"/>
            <w:rFonts w:ascii="Times New Roman" w:eastAsia="Times New Roman" w:hAnsi="Times New Roman" w:cs="Times New Roman"/>
            <w:sz w:val="24"/>
            <w:szCs w:val="24"/>
          </w:rPr>
          <w:t>https://doi.org/10.20964/2022.12.92</w:t>
        </w:r>
      </w:hyperlink>
    </w:p>
    <w:p w14:paraId="0E9C9926" w14:textId="77777777" w:rsidR="00B0289F" w:rsidRDefault="00B0289F" w:rsidP="00AD6790">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[31] </w:t>
      </w:r>
      <w:r w:rsidRPr="00245CB1">
        <w:rPr>
          <w:rFonts w:ascii="Times New Roman" w:eastAsia="Times New Roman" w:hAnsi="Times New Roman" w:cs="Times New Roman"/>
          <w:sz w:val="24"/>
          <w:szCs w:val="24"/>
        </w:rPr>
        <w:t xml:space="preserve">Rugmini, P., Ammal, M. P., &amp; Joseph, A. (2018). Physicochemical studies on the inhibitive properties of a 1,2,4-triazole Schiff’s base on mild steel corrosion in hydrochloric acid. </w:t>
      </w:r>
      <w:r w:rsidRPr="00245CB1">
        <w:rPr>
          <w:rFonts w:ascii="Times New Roman" w:eastAsia="Times New Roman" w:hAnsi="Times New Roman" w:cs="Times New Roman"/>
          <w:i/>
          <w:iCs/>
          <w:sz w:val="24"/>
          <w:szCs w:val="24"/>
        </w:rPr>
        <w:t>Egyptian Journal of Petroleum, 27</w:t>
      </w:r>
      <w:r w:rsidRPr="00245CB1">
        <w:rPr>
          <w:rFonts w:ascii="Times New Roman" w:eastAsia="Times New Roman" w:hAnsi="Times New Roman" w:cs="Times New Roman"/>
          <w:sz w:val="24"/>
          <w:szCs w:val="24"/>
        </w:rPr>
        <w:t xml:space="preserve">, 307–317. </w:t>
      </w:r>
      <w:hyperlink r:id="rId36" w:history="1">
        <w:r w:rsidRPr="00F15124">
          <w:rPr>
            <w:rStyle w:val="Hyperlink"/>
            <w:rFonts w:ascii="Times New Roman" w:eastAsia="Times New Roman" w:hAnsi="Times New Roman" w:cs="Times New Roman"/>
            <w:sz w:val="24"/>
            <w:szCs w:val="24"/>
          </w:rPr>
          <w:t>https://doi.org/10.1016/j.ejpe.2017.05.002</w:t>
        </w:r>
      </w:hyperlink>
    </w:p>
    <w:p w14:paraId="28AC0645"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r w:rsidRPr="00245CB1">
        <w:rPr>
          <w:rFonts w:ascii="Times New Roman" w:eastAsia="Times New Roman" w:hAnsi="Times New Roman" w:cs="Times New Roman"/>
          <w:sz w:val="24"/>
          <w:szCs w:val="24"/>
        </w:rPr>
        <w:t xml:space="preserve">Rosliza, R., &amp; Izman, S. (2011). SEM-EDX characterization of natural products on corrosion inhibition of Al-Mg-Si alloy. </w:t>
      </w:r>
      <w:r w:rsidRPr="00245CB1">
        <w:rPr>
          <w:rFonts w:ascii="Times New Roman" w:eastAsia="Times New Roman" w:hAnsi="Times New Roman" w:cs="Times New Roman"/>
          <w:i/>
          <w:iCs/>
          <w:sz w:val="24"/>
          <w:szCs w:val="24"/>
        </w:rPr>
        <w:t>Journal of Physicochemical Problems of Materials Protection, 47</w:t>
      </w:r>
      <w:r w:rsidRPr="00245CB1">
        <w:rPr>
          <w:rFonts w:ascii="Times New Roman" w:eastAsia="Times New Roman" w:hAnsi="Times New Roman" w:cs="Times New Roman"/>
          <w:sz w:val="24"/>
          <w:szCs w:val="24"/>
        </w:rPr>
        <w:t xml:space="preserve">, 395–401. </w:t>
      </w:r>
      <w:hyperlink r:id="rId37" w:tgtFrame="_new" w:history="1">
        <w:r w:rsidRPr="00245CB1">
          <w:rPr>
            <w:rFonts w:ascii="Times New Roman" w:eastAsia="Times New Roman" w:hAnsi="Times New Roman" w:cs="Times New Roman"/>
            <w:color w:val="0000FF"/>
            <w:sz w:val="24"/>
            <w:szCs w:val="24"/>
            <w:u w:val="single"/>
          </w:rPr>
          <w:t>https://doi.org/10.1134/S2070205111030129</w:t>
        </w:r>
      </w:hyperlink>
      <w:r>
        <w:rPr>
          <w:rFonts w:ascii="Times New Roman" w:eastAsia="Times New Roman" w:hAnsi="Times New Roman" w:cs="Times New Roman"/>
          <w:sz w:val="24"/>
          <w:szCs w:val="24"/>
        </w:rPr>
        <w:t xml:space="preserve"> </w:t>
      </w:r>
    </w:p>
    <w:p w14:paraId="6A795922"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[33] </w:t>
      </w:r>
      <w:r w:rsidRPr="00245CB1">
        <w:rPr>
          <w:rFonts w:ascii="Times New Roman" w:eastAsia="Times New Roman" w:hAnsi="Times New Roman" w:cs="Times New Roman"/>
          <w:sz w:val="24"/>
          <w:szCs w:val="24"/>
        </w:rPr>
        <w:t xml:space="preserve">Peme, T., Olasunkanmi, L. O., Bahadur, I., Adekunle, A. S., Kabanda, M. M., &amp; Ebenso, E. E. (2015). Adsorption and corrosion inhibition studies of some selected dyes as corrosion inhibitors for mild steel in acidic medium. </w:t>
      </w:r>
      <w:r w:rsidRPr="00245CB1">
        <w:rPr>
          <w:rFonts w:ascii="Times New Roman" w:eastAsia="Times New Roman" w:hAnsi="Times New Roman" w:cs="Times New Roman"/>
          <w:i/>
          <w:iCs/>
          <w:sz w:val="24"/>
          <w:szCs w:val="24"/>
        </w:rPr>
        <w:t>Molecules, 20</w:t>
      </w:r>
      <w:r w:rsidRPr="00245CB1">
        <w:rPr>
          <w:rFonts w:ascii="Times New Roman" w:eastAsia="Times New Roman" w:hAnsi="Times New Roman" w:cs="Times New Roman"/>
          <w:sz w:val="24"/>
          <w:szCs w:val="24"/>
        </w:rPr>
        <w:t xml:space="preserve">, 16004–16029. </w:t>
      </w:r>
      <w:hyperlink r:id="rId38" w:history="1">
        <w:r w:rsidRPr="00F15124">
          <w:rPr>
            <w:rStyle w:val="Hyperlink"/>
            <w:rFonts w:ascii="Times New Roman" w:eastAsia="Times New Roman" w:hAnsi="Times New Roman" w:cs="Times New Roman"/>
            <w:sz w:val="24"/>
            <w:szCs w:val="24"/>
          </w:rPr>
          <w:t>https://doi.org/10.3390/molecules200916004</w:t>
        </w:r>
      </w:hyperlink>
    </w:p>
    <w:p w14:paraId="4C5D65E9"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w:t>
      </w:r>
    </w:p>
    <w:p w14:paraId="361B7F73"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p>
    <w:p w14:paraId="57F53684" w14:textId="77777777" w:rsidR="00B0289F" w:rsidRDefault="00B0289F" w:rsidP="00B0289F">
      <w:pPr>
        <w:autoSpaceDE w:val="0"/>
        <w:autoSpaceDN w:val="0"/>
        <w:adjustRightInd w:val="0"/>
        <w:spacing w:before="100" w:beforeAutospacing="1" w:after="100" w:afterAutospacing="1" w:line="240" w:lineRule="auto"/>
        <w:ind w:left="720" w:hanging="720"/>
        <w:jc w:val="both"/>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sz w:val="24"/>
          <w:szCs w:val="24"/>
        </w:rPr>
        <w:t xml:space="preserve"> </w:t>
      </w:r>
    </w:p>
    <w:p w14:paraId="75395AB0" w14:textId="77777777" w:rsidR="00555DA9" w:rsidRPr="00B07B55" w:rsidRDefault="00555DA9" w:rsidP="0064039E">
      <w:pPr>
        <w:spacing w:before="100" w:beforeAutospacing="1" w:after="100" w:afterAutospacing="1" w:line="360" w:lineRule="auto"/>
        <w:jc w:val="both"/>
        <w:rPr>
          <w:rFonts w:ascii="Times New Roman" w:hAnsi="Times New Roman" w:cs="Times New Roman"/>
          <w:b/>
          <w:sz w:val="28"/>
          <w:szCs w:val="28"/>
        </w:rPr>
      </w:pPr>
    </w:p>
    <w:sectPr w:rsidR="00555DA9" w:rsidRPr="00B07B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26D41"/>
    <w:multiLevelType w:val="multilevel"/>
    <w:tmpl w:val="3D1CC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984CA1"/>
    <w:multiLevelType w:val="multilevel"/>
    <w:tmpl w:val="EB445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C47104"/>
    <w:multiLevelType w:val="multilevel"/>
    <w:tmpl w:val="035E8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E859F3"/>
    <w:multiLevelType w:val="multilevel"/>
    <w:tmpl w:val="D8F4AF78"/>
    <w:lvl w:ilvl="0">
      <w:start w:val="2"/>
      <w:numFmt w:val="decimal"/>
      <w:lvlText w:val="%1"/>
      <w:lvlJc w:val="left"/>
      <w:pPr>
        <w:ind w:left="360" w:hanging="360"/>
      </w:pPr>
      <w:rPr>
        <w:rFonts w:eastAsia="Times New Roman" w:hint="default"/>
        <w:b w:val="0"/>
        <w:i w:val="0"/>
      </w:rPr>
    </w:lvl>
    <w:lvl w:ilvl="1">
      <w:start w:val="3"/>
      <w:numFmt w:val="decimal"/>
      <w:lvlText w:val="%1.%2"/>
      <w:lvlJc w:val="left"/>
      <w:pPr>
        <w:ind w:left="360" w:hanging="360"/>
      </w:pPr>
      <w:rPr>
        <w:rFonts w:eastAsia="Times New Roman" w:hint="default"/>
        <w:b w:val="0"/>
        <w:i w:val="0"/>
      </w:rPr>
    </w:lvl>
    <w:lvl w:ilvl="2">
      <w:start w:val="1"/>
      <w:numFmt w:val="decimal"/>
      <w:lvlText w:val="%1.%2.%3"/>
      <w:lvlJc w:val="left"/>
      <w:pPr>
        <w:ind w:left="720" w:hanging="720"/>
      </w:pPr>
      <w:rPr>
        <w:rFonts w:eastAsia="Times New Roman" w:hint="default"/>
        <w:b/>
        <w:i/>
      </w:rPr>
    </w:lvl>
    <w:lvl w:ilvl="3">
      <w:start w:val="1"/>
      <w:numFmt w:val="decimal"/>
      <w:lvlText w:val="%1.%2.%3.%4"/>
      <w:lvlJc w:val="left"/>
      <w:pPr>
        <w:ind w:left="720" w:hanging="720"/>
      </w:pPr>
      <w:rPr>
        <w:rFonts w:eastAsia="Times New Roman" w:hint="default"/>
        <w:b w:val="0"/>
        <w:i w:val="0"/>
      </w:rPr>
    </w:lvl>
    <w:lvl w:ilvl="4">
      <w:start w:val="1"/>
      <w:numFmt w:val="decimal"/>
      <w:lvlText w:val="%1.%2.%3.%4.%5"/>
      <w:lvlJc w:val="left"/>
      <w:pPr>
        <w:ind w:left="1080" w:hanging="1080"/>
      </w:pPr>
      <w:rPr>
        <w:rFonts w:eastAsia="Times New Roman" w:hint="default"/>
        <w:b w:val="0"/>
        <w:i w:val="0"/>
      </w:rPr>
    </w:lvl>
    <w:lvl w:ilvl="5">
      <w:start w:val="1"/>
      <w:numFmt w:val="decimal"/>
      <w:lvlText w:val="%1.%2.%3.%4.%5.%6"/>
      <w:lvlJc w:val="left"/>
      <w:pPr>
        <w:ind w:left="1080" w:hanging="1080"/>
      </w:pPr>
      <w:rPr>
        <w:rFonts w:eastAsia="Times New Roman" w:hint="default"/>
        <w:b w:val="0"/>
        <w:i w:val="0"/>
      </w:rPr>
    </w:lvl>
    <w:lvl w:ilvl="6">
      <w:start w:val="1"/>
      <w:numFmt w:val="decimal"/>
      <w:lvlText w:val="%1.%2.%3.%4.%5.%6.%7"/>
      <w:lvlJc w:val="left"/>
      <w:pPr>
        <w:ind w:left="1440" w:hanging="1440"/>
      </w:pPr>
      <w:rPr>
        <w:rFonts w:eastAsia="Times New Roman" w:hint="default"/>
        <w:b w:val="0"/>
        <w:i w:val="0"/>
      </w:rPr>
    </w:lvl>
    <w:lvl w:ilvl="7">
      <w:start w:val="1"/>
      <w:numFmt w:val="decimal"/>
      <w:lvlText w:val="%1.%2.%3.%4.%5.%6.%7.%8"/>
      <w:lvlJc w:val="left"/>
      <w:pPr>
        <w:ind w:left="1440" w:hanging="1440"/>
      </w:pPr>
      <w:rPr>
        <w:rFonts w:eastAsia="Times New Roman" w:hint="default"/>
        <w:b w:val="0"/>
        <w:i w:val="0"/>
      </w:rPr>
    </w:lvl>
    <w:lvl w:ilvl="8">
      <w:start w:val="1"/>
      <w:numFmt w:val="decimal"/>
      <w:lvlText w:val="%1.%2.%3.%4.%5.%6.%7.%8.%9"/>
      <w:lvlJc w:val="left"/>
      <w:pPr>
        <w:ind w:left="1800" w:hanging="1800"/>
      </w:pPr>
      <w:rPr>
        <w:rFonts w:eastAsia="Times New Roman" w:hint="default"/>
        <w:b w:val="0"/>
        <w:i w:val="0"/>
      </w:rPr>
    </w:lvl>
  </w:abstractNum>
  <w:abstractNum w:abstractNumId="4" w15:restartNumberingAfterBreak="0">
    <w:nsid w:val="62CE53F5"/>
    <w:multiLevelType w:val="multilevel"/>
    <w:tmpl w:val="5426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6D7195"/>
    <w:multiLevelType w:val="multilevel"/>
    <w:tmpl w:val="82E894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AE134A"/>
    <w:multiLevelType w:val="multilevel"/>
    <w:tmpl w:val="9392F18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7702330">
    <w:abstractNumId w:val="0"/>
  </w:num>
  <w:num w:numId="2" w16cid:durableId="915286061">
    <w:abstractNumId w:val="2"/>
  </w:num>
  <w:num w:numId="3" w16cid:durableId="1813011957">
    <w:abstractNumId w:val="1"/>
  </w:num>
  <w:num w:numId="4" w16cid:durableId="1131753097">
    <w:abstractNumId w:val="6"/>
  </w:num>
  <w:num w:numId="5" w16cid:durableId="1767578800">
    <w:abstractNumId w:val="3"/>
  </w:num>
  <w:num w:numId="6" w16cid:durableId="2041858874">
    <w:abstractNumId w:val="4"/>
  </w:num>
  <w:num w:numId="7" w16cid:durableId="1704615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1F7"/>
    <w:rsid w:val="0000174F"/>
    <w:rsid w:val="000574D6"/>
    <w:rsid w:val="00070205"/>
    <w:rsid w:val="00080407"/>
    <w:rsid w:val="00122500"/>
    <w:rsid w:val="001369F7"/>
    <w:rsid w:val="00154601"/>
    <w:rsid w:val="00174638"/>
    <w:rsid w:val="001938A2"/>
    <w:rsid w:val="001973CA"/>
    <w:rsid w:val="001C21EF"/>
    <w:rsid w:val="00213913"/>
    <w:rsid w:val="0022292E"/>
    <w:rsid w:val="002476DD"/>
    <w:rsid w:val="00296073"/>
    <w:rsid w:val="002D1651"/>
    <w:rsid w:val="002E38C4"/>
    <w:rsid w:val="0032313E"/>
    <w:rsid w:val="003F0992"/>
    <w:rsid w:val="00420284"/>
    <w:rsid w:val="00424E73"/>
    <w:rsid w:val="0049534B"/>
    <w:rsid w:val="004A44F5"/>
    <w:rsid w:val="004E5CF2"/>
    <w:rsid w:val="004E60B2"/>
    <w:rsid w:val="00501860"/>
    <w:rsid w:val="0050249B"/>
    <w:rsid w:val="00521638"/>
    <w:rsid w:val="00522598"/>
    <w:rsid w:val="00555DA9"/>
    <w:rsid w:val="005931F7"/>
    <w:rsid w:val="005A68A4"/>
    <w:rsid w:val="0060248B"/>
    <w:rsid w:val="00637A31"/>
    <w:rsid w:val="0064039E"/>
    <w:rsid w:val="00676D24"/>
    <w:rsid w:val="0069731D"/>
    <w:rsid w:val="00701496"/>
    <w:rsid w:val="0073178A"/>
    <w:rsid w:val="007D0CE1"/>
    <w:rsid w:val="007D7FFC"/>
    <w:rsid w:val="00883892"/>
    <w:rsid w:val="008C2D0C"/>
    <w:rsid w:val="008D10F8"/>
    <w:rsid w:val="008D26D2"/>
    <w:rsid w:val="0097425C"/>
    <w:rsid w:val="009A0D30"/>
    <w:rsid w:val="009B1B86"/>
    <w:rsid w:val="009B7F92"/>
    <w:rsid w:val="009D481B"/>
    <w:rsid w:val="00A30555"/>
    <w:rsid w:val="00A85F84"/>
    <w:rsid w:val="00A94DE1"/>
    <w:rsid w:val="00AD6790"/>
    <w:rsid w:val="00AE6CC9"/>
    <w:rsid w:val="00B0289F"/>
    <w:rsid w:val="00B07B55"/>
    <w:rsid w:val="00B2057F"/>
    <w:rsid w:val="00B46A0D"/>
    <w:rsid w:val="00B52A64"/>
    <w:rsid w:val="00BC1C11"/>
    <w:rsid w:val="00BE73BA"/>
    <w:rsid w:val="00C13FDB"/>
    <w:rsid w:val="00CB1FF1"/>
    <w:rsid w:val="00CC5B83"/>
    <w:rsid w:val="00D162F1"/>
    <w:rsid w:val="00D301F7"/>
    <w:rsid w:val="00D83D84"/>
    <w:rsid w:val="00E934D8"/>
    <w:rsid w:val="00EE6DDE"/>
    <w:rsid w:val="00F80695"/>
    <w:rsid w:val="00FC0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14CCF"/>
  <w15:chartTrackingRefBased/>
  <w15:docId w15:val="{7EC7F8D4-A118-471F-975F-2797E0460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B1B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931F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C1C1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931F7"/>
    <w:rPr>
      <w:rFonts w:ascii="Times New Roman" w:eastAsia="Times New Roman" w:hAnsi="Times New Roman" w:cs="Times New Roman"/>
      <w:b/>
      <w:bCs/>
      <w:sz w:val="27"/>
      <w:szCs w:val="27"/>
    </w:rPr>
  </w:style>
  <w:style w:type="character" w:styleId="Strong">
    <w:name w:val="Strong"/>
    <w:basedOn w:val="DefaultParagraphFont"/>
    <w:uiPriority w:val="22"/>
    <w:qFormat/>
    <w:rsid w:val="005931F7"/>
    <w:rPr>
      <w:b/>
      <w:bCs/>
    </w:rPr>
  </w:style>
  <w:style w:type="paragraph" w:styleId="NormalWeb">
    <w:name w:val="Normal (Web)"/>
    <w:basedOn w:val="Normal"/>
    <w:uiPriority w:val="99"/>
    <w:unhideWhenUsed/>
    <w:rsid w:val="005931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9B1B86"/>
    <w:rPr>
      <w:rFonts w:asciiTheme="majorHAnsi" w:eastAsiaTheme="majorEastAsia" w:hAnsiTheme="majorHAnsi" w:cstheme="majorBidi"/>
      <w:color w:val="2E74B5" w:themeColor="accent1" w:themeShade="BF"/>
      <w:sz w:val="26"/>
      <w:szCs w:val="26"/>
    </w:rPr>
  </w:style>
  <w:style w:type="character" w:customStyle="1" w:styleId="whitespace-normal">
    <w:name w:val="whitespace-normal"/>
    <w:basedOn w:val="DefaultParagraphFont"/>
    <w:rsid w:val="009B1B86"/>
  </w:style>
  <w:style w:type="character" w:customStyle="1" w:styleId="katex-mathml">
    <w:name w:val="katex-mathml"/>
    <w:basedOn w:val="DefaultParagraphFont"/>
    <w:rsid w:val="0069731D"/>
  </w:style>
  <w:style w:type="character" w:customStyle="1" w:styleId="mord">
    <w:name w:val="mord"/>
    <w:basedOn w:val="DefaultParagraphFont"/>
    <w:rsid w:val="001973CA"/>
  </w:style>
  <w:style w:type="character" w:customStyle="1" w:styleId="vlist-s">
    <w:name w:val="vlist-s"/>
    <w:basedOn w:val="DefaultParagraphFont"/>
    <w:rsid w:val="001973CA"/>
  </w:style>
  <w:style w:type="table" w:styleId="PlainTable2">
    <w:name w:val="Plain Table 2"/>
    <w:basedOn w:val="TableNormal"/>
    <w:uiPriority w:val="42"/>
    <w:rsid w:val="001973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semiHidden/>
    <w:rsid w:val="00BC1C11"/>
    <w:rPr>
      <w:rFonts w:asciiTheme="majorHAnsi" w:eastAsiaTheme="majorEastAsia" w:hAnsiTheme="majorHAnsi" w:cstheme="majorBidi"/>
      <w:i/>
      <w:iCs/>
      <w:color w:val="2E74B5" w:themeColor="accent1" w:themeShade="BF"/>
    </w:rPr>
  </w:style>
  <w:style w:type="table" w:styleId="PlainTable4">
    <w:name w:val="Plain Table 4"/>
    <w:basedOn w:val="TableNormal"/>
    <w:uiPriority w:val="44"/>
    <w:rsid w:val="00BC1C1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637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044865">
      <w:bodyDiv w:val="1"/>
      <w:marLeft w:val="0"/>
      <w:marRight w:val="0"/>
      <w:marTop w:val="0"/>
      <w:marBottom w:val="0"/>
      <w:divBdr>
        <w:top w:val="none" w:sz="0" w:space="0" w:color="auto"/>
        <w:left w:val="none" w:sz="0" w:space="0" w:color="auto"/>
        <w:bottom w:val="none" w:sz="0" w:space="0" w:color="auto"/>
        <w:right w:val="none" w:sz="0" w:space="0" w:color="auto"/>
      </w:divBdr>
    </w:div>
    <w:div w:id="448621529">
      <w:bodyDiv w:val="1"/>
      <w:marLeft w:val="0"/>
      <w:marRight w:val="0"/>
      <w:marTop w:val="0"/>
      <w:marBottom w:val="0"/>
      <w:divBdr>
        <w:top w:val="none" w:sz="0" w:space="0" w:color="auto"/>
        <w:left w:val="none" w:sz="0" w:space="0" w:color="auto"/>
        <w:bottom w:val="none" w:sz="0" w:space="0" w:color="auto"/>
        <w:right w:val="none" w:sz="0" w:space="0" w:color="auto"/>
      </w:divBdr>
    </w:div>
    <w:div w:id="532881834">
      <w:bodyDiv w:val="1"/>
      <w:marLeft w:val="0"/>
      <w:marRight w:val="0"/>
      <w:marTop w:val="0"/>
      <w:marBottom w:val="0"/>
      <w:divBdr>
        <w:top w:val="none" w:sz="0" w:space="0" w:color="auto"/>
        <w:left w:val="none" w:sz="0" w:space="0" w:color="auto"/>
        <w:bottom w:val="none" w:sz="0" w:space="0" w:color="auto"/>
        <w:right w:val="none" w:sz="0" w:space="0" w:color="auto"/>
      </w:divBdr>
    </w:div>
    <w:div w:id="882063112">
      <w:bodyDiv w:val="1"/>
      <w:marLeft w:val="0"/>
      <w:marRight w:val="0"/>
      <w:marTop w:val="0"/>
      <w:marBottom w:val="0"/>
      <w:divBdr>
        <w:top w:val="none" w:sz="0" w:space="0" w:color="auto"/>
        <w:left w:val="none" w:sz="0" w:space="0" w:color="auto"/>
        <w:bottom w:val="none" w:sz="0" w:space="0" w:color="auto"/>
        <w:right w:val="none" w:sz="0" w:space="0" w:color="auto"/>
      </w:divBdr>
    </w:div>
    <w:div w:id="1207907701">
      <w:bodyDiv w:val="1"/>
      <w:marLeft w:val="0"/>
      <w:marRight w:val="0"/>
      <w:marTop w:val="0"/>
      <w:marBottom w:val="0"/>
      <w:divBdr>
        <w:top w:val="none" w:sz="0" w:space="0" w:color="auto"/>
        <w:left w:val="none" w:sz="0" w:space="0" w:color="auto"/>
        <w:bottom w:val="none" w:sz="0" w:space="0" w:color="auto"/>
        <w:right w:val="none" w:sz="0" w:space="0" w:color="auto"/>
      </w:divBdr>
    </w:div>
    <w:div w:id="1484001589">
      <w:bodyDiv w:val="1"/>
      <w:marLeft w:val="0"/>
      <w:marRight w:val="0"/>
      <w:marTop w:val="0"/>
      <w:marBottom w:val="0"/>
      <w:divBdr>
        <w:top w:val="none" w:sz="0" w:space="0" w:color="auto"/>
        <w:left w:val="none" w:sz="0" w:space="0" w:color="auto"/>
        <w:bottom w:val="none" w:sz="0" w:space="0" w:color="auto"/>
        <w:right w:val="none" w:sz="0" w:space="0" w:color="auto"/>
      </w:divBdr>
    </w:div>
    <w:div w:id="1880581262">
      <w:bodyDiv w:val="1"/>
      <w:marLeft w:val="0"/>
      <w:marRight w:val="0"/>
      <w:marTop w:val="0"/>
      <w:marBottom w:val="0"/>
      <w:divBdr>
        <w:top w:val="none" w:sz="0" w:space="0" w:color="auto"/>
        <w:left w:val="none" w:sz="0" w:space="0" w:color="auto"/>
        <w:bottom w:val="none" w:sz="0" w:space="0" w:color="auto"/>
        <w:right w:val="none" w:sz="0" w:space="0" w:color="auto"/>
      </w:divBdr>
    </w:div>
    <w:div w:id="1963997516">
      <w:bodyDiv w:val="1"/>
      <w:marLeft w:val="0"/>
      <w:marRight w:val="0"/>
      <w:marTop w:val="0"/>
      <w:marBottom w:val="0"/>
      <w:divBdr>
        <w:top w:val="none" w:sz="0" w:space="0" w:color="auto"/>
        <w:left w:val="none" w:sz="0" w:space="0" w:color="auto"/>
        <w:bottom w:val="none" w:sz="0" w:space="0" w:color="auto"/>
        <w:right w:val="none" w:sz="0" w:space="0" w:color="auto"/>
      </w:divBdr>
    </w:div>
    <w:div w:id="1967463264">
      <w:bodyDiv w:val="1"/>
      <w:marLeft w:val="0"/>
      <w:marRight w:val="0"/>
      <w:marTop w:val="0"/>
      <w:marBottom w:val="0"/>
      <w:divBdr>
        <w:top w:val="none" w:sz="0" w:space="0" w:color="auto"/>
        <w:left w:val="none" w:sz="0" w:space="0" w:color="auto"/>
        <w:bottom w:val="none" w:sz="0" w:space="0" w:color="auto"/>
        <w:right w:val="none" w:sz="0" w:space="0" w:color="auto"/>
      </w:divBdr>
    </w:div>
    <w:div w:id="2007056457">
      <w:bodyDiv w:val="1"/>
      <w:marLeft w:val="0"/>
      <w:marRight w:val="0"/>
      <w:marTop w:val="0"/>
      <w:marBottom w:val="0"/>
      <w:divBdr>
        <w:top w:val="none" w:sz="0" w:space="0" w:color="auto"/>
        <w:left w:val="none" w:sz="0" w:space="0" w:color="auto"/>
        <w:bottom w:val="none" w:sz="0" w:space="0" w:color="auto"/>
        <w:right w:val="none" w:sz="0" w:space="0" w:color="auto"/>
      </w:divBdr>
    </w:div>
    <w:div w:id="208964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j.rsurfi.2024.100258" TargetMode="External"/><Relationship Id="rId26" Type="http://schemas.openxmlformats.org/officeDocument/2006/relationships/hyperlink" Target="https://doi.org/10.11648/j.ajac.20221003.12" TargetMode="External"/><Relationship Id="rId39" Type="http://schemas.openxmlformats.org/officeDocument/2006/relationships/fontTable" Target="fontTable.xml"/><Relationship Id="rId21" Type="http://schemas.openxmlformats.org/officeDocument/2006/relationships/hyperlink" Target="https://doi.org/10.21608/ejchem.2021.95853.4495" TargetMode="External"/><Relationship Id="rId34" Type="http://schemas.openxmlformats.org/officeDocument/2006/relationships/hyperlink" Target="https://doi.org/10.1021/acs.jpcc.5b11901" TargetMode="External"/><Relationship Id="rId7" Type="http://schemas.openxmlformats.org/officeDocument/2006/relationships/chart" Target="charts/chart3.xml"/><Relationship Id="rId12" Type="http://schemas.openxmlformats.org/officeDocument/2006/relationships/image" Target="media/image5.png"/><Relationship Id="rId17" Type="http://schemas.openxmlformats.org/officeDocument/2006/relationships/hyperlink" Target="https://doi.org/10.2165/00003495-200363080-00004" TargetMode="External"/><Relationship Id="rId25" Type="http://schemas.openxmlformats.org/officeDocument/2006/relationships/hyperlink" Target="https://doi.org/10.1016/S1452-3981(23)16546-1" TargetMode="External"/><Relationship Id="rId33" Type="http://schemas.openxmlformats.org/officeDocument/2006/relationships/hyperlink" Target="https://doi.org/10.1155/2013/256086" TargetMode="External"/><Relationship Id="rId38" Type="http://schemas.openxmlformats.org/officeDocument/2006/relationships/hyperlink" Target="https://doi.org/10.3390/molecules200916004" TargetMode="External"/><Relationship Id="rId2" Type="http://schemas.openxmlformats.org/officeDocument/2006/relationships/styles" Target="styles.xml"/><Relationship Id="rId16" Type="http://schemas.openxmlformats.org/officeDocument/2006/relationships/hyperlink" Target="https://doi.org/10.1016/j.molliq.2018.06.110" TargetMode="External"/><Relationship Id="rId20" Type="http://schemas.openxmlformats.org/officeDocument/2006/relationships/hyperlink" Target="https://doi.org/10.1021/acsomega.3c03257" TargetMode="External"/><Relationship Id="rId29" Type="http://schemas.openxmlformats.org/officeDocument/2006/relationships/hyperlink" Target="https://doi.org/10.1016/S1452-3981(23)15402-2" TargetMode="Externa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4.png"/><Relationship Id="rId24" Type="http://schemas.openxmlformats.org/officeDocument/2006/relationships/hyperlink" Target="https://doi.org/10.3390/met13091565" TargetMode="External"/><Relationship Id="rId32" Type="http://schemas.openxmlformats.org/officeDocument/2006/relationships/hyperlink" Target="https://doi.org/10.1016/j.jece.2013.06.007" TargetMode="External"/><Relationship Id="rId37" Type="http://schemas.openxmlformats.org/officeDocument/2006/relationships/hyperlink" Target="https://doi.org/10.1134/S2070205111030129" TargetMode="External"/><Relationship Id="rId40" Type="http://schemas.openxmlformats.org/officeDocument/2006/relationships/theme" Target="theme/theme1.xml"/><Relationship Id="rId5" Type="http://schemas.openxmlformats.org/officeDocument/2006/relationships/chart" Target="charts/chart1.xml"/><Relationship Id="rId15" Type="http://schemas.openxmlformats.org/officeDocument/2006/relationships/hyperlink" Target="https://doi.org/10.21275/v5i4.NOV162623" TargetMode="External"/><Relationship Id="rId23" Type="http://schemas.openxmlformats.org/officeDocument/2006/relationships/hyperlink" Target="https://doi.org/10.1016/j.corsci.2009.09.002" TargetMode="External"/><Relationship Id="rId28" Type="http://schemas.openxmlformats.org/officeDocument/2006/relationships/hyperlink" Target="https://doi.org/10.1016/S1452-3981(23)13312-8" TargetMode="External"/><Relationship Id="rId36" Type="http://schemas.openxmlformats.org/officeDocument/2006/relationships/hyperlink" Target="https://doi.org/10.1016/j.ejpe.2017.05.002" TargetMode="External"/><Relationship Id="rId10" Type="http://schemas.openxmlformats.org/officeDocument/2006/relationships/image" Target="media/image3.png"/><Relationship Id="rId19" Type="http://schemas.openxmlformats.org/officeDocument/2006/relationships/hyperlink" Target="https://doi.org/10.1016/j.ejpe.2015.04.003" TargetMode="External"/><Relationship Id="rId31" Type="http://schemas.openxmlformats.org/officeDocument/2006/relationships/hyperlink" Target="https://doi.org/10.1016/j.arabjc.2015.08.03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crgsc.2025.100452" TargetMode="External"/><Relationship Id="rId27" Type="http://schemas.openxmlformats.org/officeDocument/2006/relationships/hyperlink" Target="https://doi.org/10.1038/s41598-023-33519-y" TargetMode="External"/><Relationship Id="rId30" Type="http://schemas.openxmlformats.org/officeDocument/2006/relationships/hyperlink" Target="https://doi.org/10.2174/1877610801002010034" TargetMode="External"/><Relationship Id="rId35" Type="http://schemas.openxmlformats.org/officeDocument/2006/relationships/hyperlink" Target="https://doi.org/10.20964/2022.12.92" TargetMode="External"/><Relationship Id="rId8" Type="http://schemas.openxmlformats.org/officeDocument/2006/relationships/image" Target="media/image1.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Adsorption%20Isotherms%20Tes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Arrehiuns%20plo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Arrehiuns%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8814420610753"/>
          <c:y val="0.15147844006823169"/>
          <c:w val="0.83591822186406728"/>
          <c:h val="0.5990865393607272"/>
        </c:manualLayout>
      </c:layout>
      <c:scatterChart>
        <c:scatterStyle val="lineMarker"/>
        <c:varyColors val="0"/>
        <c:ser>
          <c:idx val="0"/>
          <c:order val="0"/>
          <c:tx>
            <c:v>303</c:v>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xVal>
            <c:numRef>
              <c:f>'LIpinovir (2)'!$E$5:$E$9</c:f>
              <c:numCache>
                <c:formatCode>General</c:formatCode>
                <c:ptCount val="5"/>
                <c:pt idx="0">
                  <c:v>1.7</c:v>
                </c:pt>
                <c:pt idx="1">
                  <c:v>2</c:v>
                </c:pt>
                <c:pt idx="2">
                  <c:v>2.2000000000000002</c:v>
                </c:pt>
                <c:pt idx="3">
                  <c:v>2.2999999999999998</c:v>
                </c:pt>
                <c:pt idx="4">
                  <c:v>2.4</c:v>
                </c:pt>
              </c:numCache>
            </c:numRef>
          </c:xVal>
          <c:yVal>
            <c:numRef>
              <c:f>'LIpinovir (2)'!$A$5:$A$9</c:f>
              <c:numCache>
                <c:formatCode>General</c:formatCode>
                <c:ptCount val="5"/>
                <c:pt idx="0">
                  <c:v>1.9</c:v>
                </c:pt>
                <c:pt idx="1">
                  <c:v>2.2000000000000002</c:v>
                </c:pt>
                <c:pt idx="2">
                  <c:v>2.2999999999999998</c:v>
                </c:pt>
                <c:pt idx="3">
                  <c:v>2.4</c:v>
                </c:pt>
                <c:pt idx="4">
                  <c:v>2.4</c:v>
                </c:pt>
              </c:numCache>
            </c:numRef>
          </c:yVal>
          <c:smooth val="0"/>
          <c:extLst>
            <c:ext xmlns:c16="http://schemas.microsoft.com/office/drawing/2014/chart" uri="{C3380CC4-5D6E-409C-BE32-E72D297353CC}">
              <c16:uniqueId val="{00000001-6AEB-4B58-8DFD-2986763FFDAD}"/>
            </c:ext>
          </c:extLst>
        </c:ser>
        <c:ser>
          <c:idx val="1"/>
          <c:order val="1"/>
          <c:tx>
            <c:v>313</c:v>
          </c:tx>
          <c:spPr>
            <a:ln w="25400" cap="rnd">
              <a:noFill/>
              <a:round/>
            </a:ln>
            <a:effectLst/>
          </c:spPr>
          <c:marker>
            <c:symbol val="square"/>
            <c:size val="6"/>
            <c:spPr>
              <a:solidFill>
                <a:schemeClr val="lt1"/>
              </a:solidFill>
              <a:ln w="15875">
                <a:solidFill>
                  <a:schemeClr val="accent2"/>
                </a:solidFill>
                <a:round/>
              </a:ln>
              <a:effectLst/>
            </c:spPr>
          </c:marker>
          <c:trendline>
            <c:spPr>
              <a:ln w="19050" cap="rnd">
                <a:solidFill>
                  <a:schemeClr val="accent2"/>
                </a:solidFill>
              </a:ln>
              <a:effectLst/>
            </c:spPr>
            <c:trendlineType val="linear"/>
            <c:dispRSqr val="0"/>
            <c:dispEq val="0"/>
          </c:trendline>
          <c:xVal>
            <c:numRef>
              <c:f>'LIpinovir (2)'!$E$5:$E$9</c:f>
              <c:numCache>
                <c:formatCode>General</c:formatCode>
                <c:ptCount val="5"/>
                <c:pt idx="0">
                  <c:v>1.7</c:v>
                </c:pt>
                <c:pt idx="1">
                  <c:v>2</c:v>
                </c:pt>
                <c:pt idx="2">
                  <c:v>2.2000000000000002</c:v>
                </c:pt>
                <c:pt idx="3">
                  <c:v>2.2999999999999998</c:v>
                </c:pt>
                <c:pt idx="4">
                  <c:v>2.4</c:v>
                </c:pt>
              </c:numCache>
            </c:numRef>
          </c:xVal>
          <c:yVal>
            <c:numRef>
              <c:f>'LIpinovir (2)'!$B$5:$B$9</c:f>
              <c:numCache>
                <c:formatCode>General</c:formatCode>
                <c:ptCount val="5"/>
                <c:pt idx="0">
                  <c:v>1.9</c:v>
                </c:pt>
                <c:pt idx="1">
                  <c:v>2.2000000000000002</c:v>
                </c:pt>
                <c:pt idx="2">
                  <c:v>2.2999999999999998</c:v>
                </c:pt>
                <c:pt idx="3">
                  <c:v>2.4</c:v>
                </c:pt>
                <c:pt idx="4">
                  <c:v>2.5</c:v>
                </c:pt>
              </c:numCache>
            </c:numRef>
          </c:yVal>
          <c:smooth val="0"/>
          <c:extLst>
            <c:ext xmlns:c16="http://schemas.microsoft.com/office/drawing/2014/chart" uri="{C3380CC4-5D6E-409C-BE32-E72D297353CC}">
              <c16:uniqueId val="{00000003-6AEB-4B58-8DFD-2986763FFDAD}"/>
            </c:ext>
          </c:extLst>
        </c:ser>
        <c:ser>
          <c:idx val="2"/>
          <c:order val="2"/>
          <c:tx>
            <c:v>323</c:v>
          </c:tx>
          <c:spPr>
            <a:ln w="25400" cap="rnd">
              <a:noFill/>
              <a:round/>
            </a:ln>
            <a:effectLst/>
          </c:spPr>
          <c:marker>
            <c:symbol val="triangle"/>
            <c:size val="6"/>
            <c:spPr>
              <a:solidFill>
                <a:schemeClr val="lt1"/>
              </a:solidFill>
              <a:ln w="15875">
                <a:solidFill>
                  <a:schemeClr val="accent3"/>
                </a:solidFill>
                <a:round/>
              </a:ln>
              <a:effectLst/>
            </c:spPr>
          </c:marker>
          <c:trendline>
            <c:spPr>
              <a:ln w="19050" cap="rnd">
                <a:solidFill>
                  <a:schemeClr val="accent3"/>
                </a:solidFill>
              </a:ln>
              <a:effectLst/>
            </c:spPr>
            <c:trendlineType val="linear"/>
            <c:dispRSqr val="0"/>
            <c:dispEq val="0"/>
          </c:trendline>
          <c:xVal>
            <c:numRef>
              <c:f>'LIpinovir (2)'!$E$5:$E$9</c:f>
              <c:numCache>
                <c:formatCode>General</c:formatCode>
                <c:ptCount val="5"/>
                <c:pt idx="0">
                  <c:v>1.7</c:v>
                </c:pt>
                <c:pt idx="1">
                  <c:v>2</c:v>
                </c:pt>
                <c:pt idx="2">
                  <c:v>2.2000000000000002</c:v>
                </c:pt>
                <c:pt idx="3">
                  <c:v>2.2999999999999998</c:v>
                </c:pt>
                <c:pt idx="4">
                  <c:v>2.4</c:v>
                </c:pt>
              </c:numCache>
            </c:numRef>
          </c:xVal>
          <c:yVal>
            <c:numRef>
              <c:f>'LIpinovir (2)'!$C$5:$C$9</c:f>
              <c:numCache>
                <c:formatCode>General</c:formatCode>
                <c:ptCount val="5"/>
                <c:pt idx="0">
                  <c:v>2</c:v>
                </c:pt>
                <c:pt idx="1">
                  <c:v>2.2000000000000002</c:v>
                </c:pt>
                <c:pt idx="2">
                  <c:v>2.4</c:v>
                </c:pt>
                <c:pt idx="3">
                  <c:v>2.5</c:v>
                </c:pt>
                <c:pt idx="4">
                  <c:v>2.6</c:v>
                </c:pt>
              </c:numCache>
            </c:numRef>
          </c:yVal>
          <c:smooth val="0"/>
          <c:extLst>
            <c:ext xmlns:c16="http://schemas.microsoft.com/office/drawing/2014/chart" uri="{C3380CC4-5D6E-409C-BE32-E72D297353CC}">
              <c16:uniqueId val="{00000005-6AEB-4B58-8DFD-2986763FFDAD}"/>
            </c:ext>
          </c:extLst>
        </c:ser>
        <c:ser>
          <c:idx val="3"/>
          <c:order val="3"/>
          <c:tx>
            <c:v>333</c:v>
          </c:tx>
          <c:spPr>
            <a:ln w="25400" cap="rnd">
              <a:noFill/>
              <a:round/>
            </a:ln>
            <a:effectLst/>
          </c:spPr>
          <c:marker>
            <c:symbol val="x"/>
            <c:size val="6"/>
            <c:spPr>
              <a:noFill/>
              <a:ln w="15875">
                <a:solidFill>
                  <a:schemeClr val="accent4"/>
                </a:solidFill>
                <a:round/>
              </a:ln>
              <a:effectLst/>
            </c:spPr>
          </c:marker>
          <c:trendline>
            <c:spPr>
              <a:ln w="19050" cap="rnd">
                <a:solidFill>
                  <a:schemeClr val="accent4"/>
                </a:solidFill>
              </a:ln>
              <a:effectLst/>
            </c:spPr>
            <c:trendlineType val="linear"/>
            <c:dispRSqr val="0"/>
            <c:dispEq val="0"/>
          </c:trendline>
          <c:xVal>
            <c:numRef>
              <c:f>'LIpinovir (2)'!$E$5:$E$9</c:f>
              <c:numCache>
                <c:formatCode>General</c:formatCode>
                <c:ptCount val="5"/>
                <c:pt idx="0">
                  <c:v>1.7</c:v>
                </c:pt>
                <c:pt idx="1">
                  <c:v>2</c:v>
                </c:pt>
                <c:pt idx="2">
                  <c:v>2.2000000000000002</c:v>
                </c:pt>
                <c:pt idx="3">
                  <c:v>2.2999999999999998</c:v>
                </c:pt>
                <c:pt idx="4">
                  <c:v>2.4</c:v>
                </c:pt>
              </c:numCache>
            </c:numRef>
          </c:xVal>
          <c:yVal>
            <c:numRef>
              <c:f>'LIpinovir (2)'!$D$5:$D$9</c:f>
              <c:numCache>
                <c:formatCode>General</c:formatCode>
                <c:ptCount val="5"/>
                <c:pt idx="0">
                  <c:v>2.1</c:v>
                </c:pt>
                <c:pt idx="1">
                  <c:v>2.4</c:v>
                </c:pt>
                <c:pt idx="2">
                  <c:v>2.5</c:v>
                </c:pt>
                <c:pt idx="3">
                  <c:v>2.6</c:v>
                </c:pt>
                <c:pt idx="4">
                  <c:v>2.7</c:v>
                </c:pt>
              </c:numCache>
            </c:numRef>
          </c:yVal>
          <c:smooth val="0"/>
          <c:extLst>
            <c:ext xmlns:c16="http://schemas.microsoft.com/office/drawing/2014/chart" uri="{C3380CC4-5D6E-409C-BE32-E72D297353CC}">
              <c16:uniqueId val="{00000007-6AEB-4B58-8DFD-2986763FFDAD}"/>
            </c:ext>
          </c:extLst>
        </c:ser>
        <c:dLbls>
          <c:showLegendKey val="0"/>
          <c:showVal val="0"/>
          <c:showCatName val="0"/>
          <c:showSerName val="0"/>
          <c:showPercent val="0"/>
          <c:showBubbleSize val="0"/>
        </c:dLbls>
        <c:axId val="426869608"/>
        <c:axId val="426872352"/>
      </c:scatterChart>
      <c:valAx>
        <c:axId val="426869608"/>
        <c:scaling>
          <c:orientation val="minMax"/>
          <c:min val="1.5"/>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Locg C</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26872352"/>
        <c:crosses val="autoZero"/>
        <c:crossBetween val="midCat"/>
      </c:valAx>
      <c:valAx>
        <c:axId val="426872352"/>
        <c:scaling>
          <c:orientation val="minMax"/>
          <c:min val="1.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Log C/Ɵ</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26869608"/>
        <c:crosses val="autoZero"/>
        <c:crossBetween val="midCat"/>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76303776042747018"/>
          <c:y val="0.46571463049877387"/>
          <c:w val="0.11279838702986153"/>
          <c:h val="0.21091846277835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baseline="0"/>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634452744688971E-2"/>
          <c:y val="5.0025795855272698E-2"/>
          <c:w val="0.81782783471570286"/>
          <c:h val="0.85547521757750489"/>
        </c:manualLayout>
      </c:layout>
      <c:scatterChart>
        <c:scatterStyle val="lineMarker"/>
        <c:varyColors val="0"/>
        <c:ser>
          <c:idx val="0"/>
          <c:order val="0"/>
          <c:tx>
            <c:v>Blank</c:v>
          </c:tx>
          <c:spPr>
            <a:ln w="28575">
              <a:noFill/>
            </a:ln>
          </c:spPr>
          <c:trendline>
            <c:trendlineType val="linear"/>
            <c:dispRSqr val="0"/>
            <c:dispEq val="0"/>
          </c:trendline>
          <c:xVal>
            <c:numRef>
              <c:f>'Arrenius plot Lipinovir'!$B$3:$E$3</c:f>
              <c:numCache>
                <c:formatCode>General</c:formatCode>
                <c:ptCount val="4"/>
                <c:pt idx="0">
                  <c:v>3.3</c:v>
                </c:pt>
                <c:pt idx="1">
                  <c:v>3.2</c:v>
                </c:pt>
                <c:pt idx="2">
                  <c:v>3.1</c:v>
                </c:pt>
                <c:pt idx="3">
                  <c:v>3</c:v>
                </c:pt>
              </c:numCache>
            </c:numRef>
          </c:xVal>
          <c:yVal>
            <c:numRef>
              <c:f>'Arrenius plot Lipinovir'!$B$4:$E$4</c:f>
              <c:numCache>
                <c:formatCode>General</c:formatCode>
                <c:ptCount val="4"/>
                <c:pt idx="0">
                  <c:v>-1.99</c:v>
                </c:pt>
                <c:pt idx="1">
                  <c:v>-1.81</c:v>
                </c:pt>
                <c:pt idx="2">
                  <c:v>-1.62</c:v>
                </c:pt>
                <c:pt idx="3">
                  <c:v>-1.43</c:v>
                </c:pt>
              </c:numCache>
            </c:numRef>
          </c:yVal>
          <c:smooth val="0"/>
          <c:extLst>
            <c:ext xmlns:c16="http://schemas.microsoft.com/office/drawing/2014/chart" uri="{C3380CC4-5D6E-409C-BE32-E72D297353CC}">
              <c16:uniqueId val="{00000001-B26D-4838-85F8-F10DEB4EC44D}"/>
            </c:ext>
          </c:extLst>
        </c:ser>
        <c:ser>
          <c:idx val="1"/>
          <c:order val="1"/>
          <c:tx>
            <c:v>50mg/l</c:v>
          </c:tx>
          <c:spPr>
            <a:ln w="28575">
              <a:noFill/>
            </a:ln>
          </c:spPr>
          <c:trendline>
            <c:trendlineType val="linear"/>
            <c:dispRSqr val="0"/>
            <c:dispEq val="0"/>
          </c:trendline>
          <c:xVal>
            <c:numRef>
              <c:f>'Arrenius plot Lipinovir'!$B$3:$E$3</c:f>
              <c:numCache>
                <c:formatCode>General</c:formatCode>
                <c:ptCount val="4"/>
                <c:pt idx="0">
                  <c:v>3.3</c:v>
                </c:pt>
                <c:pt idx="1">
                  <c:v>3.2</c:v>
                </c:pt>
                <c:pt idx="2">
                  <c:v>3.1</c:v>
                </c:pt>
                <c:pt idx="3">
                  <c:v>3</c:v>
                </c:pt>
              </c:numCache>
            </c:numRef>
          </c:xVal>
          <c:yVal>
            <c:numRef>
              <c:f>'Arrenius plot Lipinovir'!$B$5:$E$5</c:f>
              <c:numCache>
                <c:formatCode>General</c:formatCode>
                <c:ptCount val="4"/>
                <c:pt idx="0">
                  <c:v>-2.4900000000000002</c:v>
                </c:pt>
                <c:pt idx="1">
                  <c:v>-2.19</c:v>
                </c:pt>
                <c:pt idx="2">
                  <c:v>-1.93</c:v>
                </c:pt>
                <c:pt idx="3">
                  <c:v>-1.62</c:v>
                </c:pt>
              </c:numCache>
            </c:numRef>
          </c:yVal>
          <c:smooth val="0"/>
          <c:extLst>
            <c:ext xmlns:c16="http://schemas.microsoft.com/office/drawing/2014/chart" uri="{C3380CC4-5D6E-409C-BE32-E72D297353CC}">
              <c16:uniqueId val="{00000003-B26D-4838-85F8-F10DEB4EC44D}"/>
            </c:ext>
          </c:extLst>
        </c:ser>
        <c:ser>
          <c:idx val="2"/>
          <c:order val="2"/>
          <c:tx>
            <c:v>100mg/l</c:v>
          </c:tx>
          <c:spPr>
            <a:ln w="28575">
              <a:noFill/>
            </a:ln>
          </c:spPr>
          <c:trendline>
            <c:trendlineType val="linear"/>
            <c:dispRSqr val="0"/>
            <c:dispEq val="0"/>
          </c:trendline>
          <c:xVal>
            <c:numRef>
              <c:f>'Arrenius plot Lipinovir'!$B$3:$E$3</c:f>
              <c:numCache>
                <c:formatCode>General</c:formatCode>
                <c:ptCount val="4"/>
                <c:pt idx="0">
                  <c:v>3.3</c:v>
                </c:pt>
                <c:pt idx="1">
                  <c:v>3.2</c:v>
                </c:pt>
                <c:pt idx="2">
                  <c:v>3.1</c:v>
                </c:pt>
                <c:pt idx="3">
                  <c:v>3</c:v>
                </c:pt>
              </c:numCache>
            </c:numRef>
          </c:xVal>
          <c:yVal>
            <c:numRef>
              <c:f>'Arrenius plot Lipinovir'!$B$6:$E$6</c:f>
              <c:numCache>
                <c:formatCode>General</c:formatCode>
                <c:ptCount val="4"/>
                <c:pt idx="0">
                  <c:v>-2.4900000000000002</c:v>
                </c:pt>
                <c:pt idx="1">
                  <c:v>-2.2400000000000002</c:v>
                </c:pt>
                <c:pt idx="2">
                  <c:v>-1.99</c:v>
                </c:pt>
                <c:pt idx="3">
                  <c:v>-1.65</c:v>
                </c:pt>
              </c:numCache>
            </c:numRef>
          </c:yVal>
          <c:smooth val="0"/>
          <c:extLst>
            <c:ext xmlns:c16="http://schemas.microsoft.com/office/drawing/2014/chart" uri="{C3380CC4-5D6E-409C-BE32-E72D297353CC}">
              <c16:uniqueId val="{00000005-B26D-4838-85F8-F10DEB4EC44D}"/>
            </c:ext>
          </c:extLst>
        </c:ser>
        <c:ser>
          <c:idx val="3"/>
          <c:order val="3"/>
          <c:tx>
            <c:v>150mg/l</c:v>
          </c:tx>
          <c:spPr>
            <a:ln w="28575">
              <a:noFill/>
            </a:ln>
          </c:spPr>
          <c:trendline>
            <c:trendlineType val="linear"/>
            <c:dispRSqr val="0"/>
            <c:dispEq val="0"/>
          </c:trendline>
          <c:xVal>
            <c:numRef>
              <c:f>'Arrenius plot Lipinovir'!$B$3:$E$3</c:f>
              <c:numCache>
                <c:formatCode>General</c:formatCode>
                <c:ptCount val="4"/>
                <c:pt idx="0">
                  <c:v>3.3</c:v>
                </c:pt>
                <c:pt idx="1">
                  <c:v>3.2</c:v>
                </c:pt>
                <c:pt idx="2">
                  <c:v>3.1</c:v>
                </c:pt>
                <c:pt idx="3">
                  <c:v>3</c:v>
                </c:pt>
              </c:numCache>
            </c:numRef>
          </c:xVal>
          <c:yVal>
            <c:numRef>
              <c:f>'Arrenius plot Lipinovir'!$B$7:$E$7</c:f>
              <c:numCache>
                <c:formatCode>General</c:formatCode>
                <c:ptCount val="4"/>
                <c:pt idx="0">
                  <c:v>-2.62</c:v>
                </c:pt>
                <c:pt idx="1">
                  <c:v>-2.3199999999999998</c:v>
                </c:pt>
                <c:pt idx="2">
                  <c:v>-2.0299999999999998</c:v>
                </c:pt>
                <c:pt idx="3">
                  <c:v>-1.67</c:v>
                </c:pt>
              </c:numCache>
            </c:numRef>
          </c:yVal>
          <c:smooth val="0"/>
          <c:extLst>
            <c:ext xmlns:c16="http://schemas.microsoft.com/office/drawing/2014/chart" uri="{C3380CC4-5D6E-409C-BE32-E72D297353CC}">
              <c16:uniqueId val="{00000007-B26D-4838-85F8-F10DEB4EC44D}"/>
            </c:ext>
          </c:extLst>
        </c:ser>
        <c:ser>
          <c:idx val="4"/>
          <c:order val="4"/>
          <c:tx>
            <c:v>200mg/l</c:v>
          </c:tx>
          <c:spPr>
            <a:ln w="28575">
              <a:noFill/>
            </a:ln>
          </c:spPr>
          <c:trendline>
            <c:trendlineType val="linear"/>
            <c:dispRSqr val="0"/>
            <c:dispEq val="0"/>
          </c:trendline>
          <c:xVal>
            <c:numRef>
              <c:f>'Arrenius plot Lipinovir'!$B$3:$E$3</c:f>
              <c:numCache>
                <c:formatCode>General</c:formatCode>
                <c:ptCount val="4"/>
                <c:pt idx="0">
                  <c:v>3.3</c:v>
                </c:pt>
                <c:pt idx="1">
                  <c:v>3.2</c:v>
                </c:pt>
                <c:pt idx="2">
                  <c:v>3.1</c:v>
                </c:pt>
                <c:pt idx="3">
                  <c:v>3</c:v>
                </c:pt>
              </c:numCache>
            </c:numRef>
          </c:xVal>
          <c:yVal>
            <c:numRef>
              <c:f>'Arrenius plot Lipinovir'!$B$8:$E$8</c:f>
              <c:numCache>
                <c:formatCode>General</c:formatCode>
                <c:ptCount val="4"/>
                <c:pt idx="0">
                  <c:v>-2.92</c:v>
                </c:pt>
                <c:pt idx="1">
                  <c:v>-2.39</c:v>
                </c:pt>
                <c:pt idx="2">
                  <c:v>-2.0699999999999998</c:v>
                </c:pt>
                <c:pt idx="3">
                  <c:v>-1.69</c:v>
                </c:pt>
              </c:numCache>
            </c:numRef>
          </c:yVal>
          <c:smooth val="0"/>
          <c:extLst>
            <c:ext xmlns:c16="http://schemas.microsoft.com/office/drawing/2014/chart" uri="{C3380CC4-5D6E-409C-BE32-E72D297353CC}">
              <c16:uniqueId val="{00000009-B26D-4838-85F8-F10DEB4EC44D}"/>
            </c:ext>
          </c:extLst>
        </c:ser>
        <c:ser>
          <c:idx val="5"/>
          <c:order val="5"/>
          <c:tx>
            <c:v>250mg/l</c:v>
          </c:tx>
          <c:spPr>
            <a:ln w="28575">
              <a:noFill/>
            </a:ln>
          </c:spPr>
          <c:trendline>
            <c:trendlineType val="linear"/>
            <c:dispRSqr val="0"/>
            <c:dispEq val="0"/>
          </c:trendline>
          <c:xVal>
            <c:numRef>
              <c:f>'Arrenius plot Lipinovir'!$B$3:$E$3</c:f>
              <c:numCache>
                <c:formatCode>General</c:formatCode>
                <c:ptCount val="4"/>
                <c:pt idx="0">
                  <c:v>3.3</c:v>
                </c:pt>
                <c:pt idx="1">
                  <c:v>3.2</c:v>
                </c:pt>
                <c:pt idx="2">
                  <c:v>3.1</c:v>
                </c:pt>
                <c:pt idx="3">
                  <c:v>3</c:v>
                </c:pt>
              </c:numCache>
            </c:numRef>
          </c:xVal>
          <c:yVal>
            <c:numRef>
              <c:f>'Arrenius plot Lipinovir'!$B$9:$E$9</c:f>
              <c:numCache>
                <c:formatCode>General</c:formatCode>
                <c:ptCount val="4"/>
                <c:pt idx="0">
                  <c:v>-3.39</c:v>
                </c:pt>
                <c:pt idx="1">
                  <c:v>-2.44</c:v>
                </c:pt>
                <c:pt idx="2">
                  <c:v>-2.14</c:v>
                </c:pt>
                <c:pt idx="3">
                  <c:v>-1.61</c:v>
                </c:pt>
              </c:numCache>
            </c:numRef>
          </c:yVal>
          <c:smooth val="0"/>
          <c:extLst>
            <c:ext xmlns:c16="http://schemas.microsoft.com/office/drawing/2014/chart" uri="{C3380CC4-5D6E-409C-BE32-E72D297353CC}">
              <c16:uniqueId val="{0000000B-B26D-4838-85F8-F10DEB4EC44D}"/>
            </c:ext>
          </c:extLst>
        </c:ser>
        <c:dLbls>
          <c:showLegendKey val="0"/>
          <c:showVal val="0"/>
          <c:showCatName val="0"/>
          <c:showSerName val="0"/>
          <c:showPercent val="0"/>
          <c:showBubbleSize val="0"/>
        </c:dLbls>
        <c:axId val="426870392"/>
        <c:axId val="426870784"/>
      </c:scatterChart>
      <c:valAx>
        <c:axId val="426870392"/>
        <c:scaling>
          <c:orientation val="minMax"/>
        </c:scaling>
        <c:delete val="0"/>
        <c:axPos val="b"/>
        <c:title>
          <c:tx>
            <c:rich>
              <a:bodyPr/>
              <a:lstStyle/>
              <a:p>
                <a:pPr>
                  <a:defRPr/>
                </a:pPr>
                <a:r>
                  <a:rPr lang="en-US"/>
                  <a:t>1000/T(k</a:t>
                </a:r>
                <a:r>
                  <a:rPr lang="en-US" baseline="30000"/>
                  <a:t>-1</a:t>
                </a:r>
                <a:r>
                  <a:rPr lang="en-US"/>
                  <a:t>)</a:t>
                </a:r>
              </a:p>
            </c:rich>
          </c:tx>
          <c:overlay val="0"/>
        </c:title>
        <c:numFmt formatCode="General" sourceLinked="1"/>
        <c:majorTickMark val="out"/>
        <c:minorTickMark val="none"/>
        <c:tickLblPos val="nextTo"/>
        <c:crossAx val="426870784"/>
        <c:crosses val="autoZero"/>
        <c:crossBetween val="midCat"/>
      </c:valAx>
      <c:valAx>
        <c:axId val="426870784"/>
        <c:scaling>
          <c:orientation val="minMax"/>
        </c:scaling>
        <c:delete val="0"/>
        <c:axPos val="l"/>
        <c:title>
          <c:tx>
            <c:rich>
              <a:bodyPr/>
              <a:lstStyle/>
              <a:p>
                <a:pPr>
                  <a:defRPr/>
                </a:pPr>
                <a:r>
                  <a:rPr lang="en-US"/>
                  <a:t>log CR(mm/yr)</a:t>
                </a:r>
              </a:p>
            </c:rich>
          </c:tx>
          <c:overlay val="0"/>
        </c:title>
        <c:numFmt formatCode="General" sourceLinked="1"/>
        <c:majorTickMark val="out"/>
        <c:minorTickMark val="none"/>
        <c:tickLblPos val="nextTo"/>
        <c:crossAx val="426870392"/>
        <c:crosses val="autoZero"/>
        <c:crossBetween val="midCat"/>
      </c:valAx>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77924245334078246"/>
          <c:y val="0.37579092797449404"/>
          <c:w val="0.13319711959082037"/>
          <c:h val="0.46200048306845071"/>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88101292460939E-2"/>
          <c:y val="4.6641365120218707E-2"/>
          <c:w val="0.81782783471570286"/>
          <c:h val="0.85547521757750489"/>
        </c:manualLayout>
      </c:layout>
      <c:scatterChart>
        <c:scatterStyle val="lineMarker"/>
        <c:varyColors val="0"/>
        <c:ser>
          <c:idx val="0"/>
          <c:order val="0"/>
          <c:tx>
            <c:v>Blank</c:v>
          </c:tx>
          <c:spPr>
            <a:ln w="28575">
              <a:noFill/>
            </a:ln>
          </c:spPr>
          <c:trendline>
            <c:trendlineType val="linear"/>
            <c:dispRSqr val="0"/>
            <c:dispEq val="0"/>
          </c:trendline>
          <c:xVal>
            <c:numRef>
              <c:f>'Lipi Transi Plot   (2)'!$B$3:$E$3</c:f>
              <c:numCache>
                <c:formatCode>General</c:formatCode>
                <c:ptCount val="4"/>
                <c:pt idx="0">
                  <c:v>3.3</c:v>
                </c:pt>
                <c:pt idx="1">
                  <c:v>3.2</c:v>
                </c:pt>
                <c:pt idx="2">
                  <c:v>3.1</c:v>
                </c:pt>
                <c:pt idx="3">
                  <c:v>3</c:v>
                </c:pt>
              </c:numCache>
            </c:numRef>
          </c:xVal>
          <c:yVal>
            <c:numRef>
              <c:f>'Lipi Transi Plot   (2)'!$B$4:$E$4</c:f>
              <c:numCache>
                <c:formatCode>General</c:formatCode>
                <c:ptCount val="4"/>
                <c:pt idx="0">
                  <c:v>-4.4800000000000004</c:v>
                </c:pt>
                <c:pt idx="1">
                  <c:v>-4.3099999999999996</c:v>
                </c:pt>
                <c:pt idx="2">
                  <c:v>-4.13</c:v>
                </c:pt>
                <c:pt idx="3">
                  <c:v>-3.95</c:v>
                </c:pt>
              </c:numCache>
            </c:numRef>
          </c:yVal>
          <c:smooth val="0"/>
          <c:extLst>
            <c:ext xmlns:c16="http://schemas.microsoft.com/office/drawing/2014/chart" uri="{C3380CC4-5D6E-409C-BE32-E72D297353CC}">
              <c16:uniqueId val="{00000001-D401-466E-9A20-4BFC096DF733}"/>
            </c:ext>
          </c:extLst>
        </c:ser>
        <c:ser>
          <c:idx val="1"/>
          <c:order val="1"/>
          <c:tx>
            <c:v>50mg/l</c:v>
          </c:tx>
          <c:spPr>
            <a:ln w="28575">
              <a:noFill/>
            </a:ln>
          </c:spPr>
          <c:trendline>
            <c:trendlineType val="linear"/>
            <c:dispRSqr val="0"/>
            <c:dispEq val="0"/>
          </c:trendline>
          <c:xVal>
            <c:numRef>
              <c:f>'Lipi Transi Plot   (2)'!$B$3:$E$3</c:f>
              <c:numCache>
                <c:formatCode>General</c:formatCode>
                <c:ptCount val="4"/>
                <c:pt idx="0">
                  <c:v>3.3</c:v>
                </c:pt>
                <c:pt idx="1">
                  <c:v>3.2</c:v>
                </c:pt>
                <c:pt idx="2">
                  <c:v>3.1</c:v>
                </c:pt>
                <c:pt idx="3">
                  <c:v>3</c:v>
                </c:pt>
              </c:numCache>
            </c:numRef>
          </c:xVal>
          <c:yVal>
            <c:numRef>
              <c:f>'Lipi Transi Plot   (2)'!$B$5:$E$5</c:f>
              <c:numCache>
                <c:formatCode>General</c:formatCode>
                <c:ptCount val="4"/>
                <c:pt idx="0">
                  <c:v>-4.9800000000000004</c:v>
                </c:pt>
                <c:pt idx="1">
                  <c:v>-4.68</c:v>
                </c:pt>
                <c:pt idx="2">
                  <c:v>-4.4400000000000004</c:v>
                </c:pt>
                <c:pt idx="3">
                  <c:v>-4.1500000000000004</c:v>
                </c:pt>
              </c:numCache>
            </c:numRef>
          </c:yVal>
          <c:smooth val="0"/>
          <c:extLst>
            <c:ext xmlns:c16="http://schemas.microsoft.com/office/drawing/2014/chart" uri="{C3380CC4-5D6E-409C-BE32-E72D297353CC}">
              <c16:uniqueId val="{00000003-D401-466E-9A20-4BFC096DF733}"/>
            </c:ext>
          </c:extLst>
        </c:ser>
        <c:ser>
          <c:idx val="2"/>
          <c:order val="2"/>
          <c:tx>
            <c:v>100mg/l</c:v>
          </c:tx>
          <c:spPr>
            <a:ln w="28575">
              <a:noFill/>
            </a:ln>
          </c:spPr>
          <c:trendline>
            <c:trendlineType val="linear"/>
            <c:dispRSqr val="0"/>
            <c:dispEq val="0"/>
          </c:trendline>
          <c:xVal>
            <c:numRef>
              <c:f>'Lipi Transi Plot   (2)'!$B$3:$E$3</c:f>
              <c:numCache>
                <c:formatCode>General</c:formatCode>
                <c:ptCount val="4"/>
                <c:pt idx="0">
                  <c:v>3.3</c:v>
                </c:pt>
                <c:pt idx="1">
                  <c:v>3.2</c:v>
                </c:pt>
                <c:pt idx="2">
                  <c:v>3.1</c:v>
                </c:pt>
                <c:pt idx="3">
                  <c:v>3</c:v>
                </c:pt>
              </c:numCache>
            </c:numRef>
          </c:xVal>
          <c:yVal>
            <c:numRef>
              <c:f>'Lipi Transi Plot   (2)'!$B$6:$E$6</c:f>
              <c:numCache>
                <c:formatCode>General</c:formatCode>
                <c:ptCount val="4"/>
                <c:pt idx="0">
                  <c:v>-4.9800000000000004</c:v>
                </c:pt>
                <c:pt idx="1">
                  <c:v>-4.74</c:v>
                </c:pt>
                <c:pt idx="2">
                  <c:v>-4.5</c:v>
                </c:pt>
                <c:pt idx="3">
                  <c:v>-4.18</c:v>
                </c:pt>
              </c:numCache>
            </c:numRef>
          </c:yVal>
          <c:smooth val="0"/>
          <c:extLst>
            <c:ext xmlns:c16="http://schemas.microsoft.com/office/drawing/2014/chart" uri="{C3380CC4-5D6E-409C-BE32-E72D297353CC}">
              <c16:uniqueId val="{00000005-D401-466E-9A20-4BFC096DF733}"/>
            </c:ext>
          </c:extLst>
        </c:ser>
        <c:ser>
          <c:idx val="3"/>
          <c:order val="3"/>
          <c:tx>
            <c:v>150mg/l</c:v>
          </c:tx>
          <c:spPr>
            <a:ln w="28575">
              <a:noFill/>
            </a:ln>
          </c:spPr>
          <c:trendline>
            <c:trendlineType val="linear"/>
            <c:dispRSqr val="0"/>
            <c:dispEq val="0"/>
          </c:trendline>
          <c:xVal>
            <c:numRef>
              <c:f>'Lipi Transi Plot   (2)'!$B$3:$E$3</c:f>
              <c:numCache>
                <c:formatCode>General</c:formatCode>
                <c:ptCount val="4"/>
                <c:pt idx="0">
                  <c:v>3.3</c:v>
                </c:pt>
                <c:pt idx="1">
                  <c:v>3.2</c:v>
                </c:pt>
                <c:pt idx="2">
                  <c:v>3.1</c:v>
                </c:pt>
                <c:pt idx="3">
                  <c:v>3</c:v>
                </c:pt>
              </c:numCache>
            </c:numRef>
          </c:xVal>
          <c:yVal>
            <c:numRef>
              <c:f>'Lipi Transi Plot   (2)'!$B$7:$E$7</c:f>
              <c:numCache>
                <c:formatCode>General</c:formatCode>
                <c:ptCount val="4"/>
                <c:pt idx="0">
                  <c:v>-5.0999999999999996</c:v>
                </c:pt>
                <c:pt idx="1">
                  <c:v>-4.8099999999999996</c:v>
                </c:pt>
                <c:pt idx="2">
                  <c:v>-4.54</c:v>
                </c:pt>
                <c:pt idx="3">
                  <c:v>-4.1900000000000004</c:v>
                </c:pt>
              </c:numCache>
            </c:numRef>
          </c:yVal>
          <c:smooth val="0"/>
          <c:extLst>
            <c:ext xmlns:c16="http://schemas.microsoft.com/office/drawing/2014/chart" uri="{C3380CC4-5D6E-409C-BE32-E72D297353CC}">
              <c16:uniqueId val="{00000007-D401-466E-9A20-4BFC096DF733}"/>
            </c:ext>
          </c:extLst>
        </c:ser>
        <c:ser>
          <c:idx val="4"/>
          <c:order val="4"/>
          <c:tx>
            <c:v>200mg/l</c:v>
          </c:tx>
          <c:spPr>
            <a:ln w="28575">
              <a:noFill/>
            </a:ln>
          </c:spPr>
          <c:trendline>
            <c:trendlineType val="linear"/>
            <c:dispRSqr val="0"/>
            <c:dispEq val="0"/>
          </c:trendline>
          <c:xVal>
            <c:numRef>
              <c:f>'Lipi Transi Plot   (2)'!$B$3:$E$3</c:f>
              <c:numCache>
                <c:formatCode>General</c:formatCode>
                <c:ptCount val="4"/>
                <c:pt idx="0">
                  <c:v>3.3</c:v>
                </c:pt>
                <c:pt idx="1">
                  <c:v>3.2</c:v>
                </c:pt>
                <c:pt idx="2">
                  <c:v>3.1</c:v>
                </c:pt>
                <c:pt idx="3">
                  <c:v>3</c:v>
                </c:pt>
              </c:numCache>
            </c:numRef>
          </c:xVal>
          <c:yVal>
            <c:numRef>
              <c:f>'Lipi Transi Plot   (2)'!$B$8:$E$8</c:f>
              <c:numCache>
                <c:formatCode>General</c:formatCode>
                <c:ptCount val="4"/>
                <c:pt idx="0">
                  <c:v>-5.4</c:v>
                </c:pt>
                <c:pt idx="1">
                  <c:v>-4.8899999999999997</c:v>
                </c:pt>
                <c:pt idx="2">
                  <c:v>-4.58</c:v>
                </c:pt>
                <c:pt idx="3">
                  <c:v>-4.21</c:v>
                </c:pt>
              </c:numCache>
            </c:numRef>
          </c:yVal>
          <c:smooth val="0"/>
          <c:extLst>
            <c:ext xmlns:c16="http://schemas.microsoft.com/office/drawing/2014/chart" uri="{C3380CC4-5D6E-409C-BE32-E72D297353CC}">
              <c16:uniqueId val="{00000009-D401-466E-9A20-4BFC096DF733}"/>
            </c:ext>
          </c:extLst>
        </c:ser>
        <c:ser>
          <c:idx val="5"/>
          <c:order val="5"/>
          <c:tx>
            <c:v>250mg/l</c:v>
          </c:tx>
          <c:spPr>
            <a:ln w="28575">
              <a:noFill/>
            </a:ln>
          </c:spPr>
          <c:trendline>
            <c:trendlineType val="linear"/>
            <c:dispRSqr val="0"/>
            <c:dispEq val="0"/>
          </c:trendline>
          <c:xVal>
            <c:numRef>
              <c:f>'Lipi Transi Plot   (2)'!$B$3:$E$3</c:f>
              <c:numCache>
                <c:formatCode>General</c:formatCode>
                <c:ptCount val="4"/>
                <c:pt idx="0">
                  <c:v>3.3</c:v>
                </c:pt>
                <c:pt idx="1">
                  <c:v>3.2</c:v>
                </c:pt>
                <c:pt idx="2">
                  <c:v>3.1</c:v>
                </c:pt>
                <c:pt idx="3">
                  <c:v>3</c:v>
                </c:pt>
              </c:numCache>
            </c:numRef>
          </c:xVal>
          <c:yVal>
            <c:numRef>
              <c:f>'Lipi Transi Plot   (2)'!$B$9:$E$9</c:f>
              <c:numCache>
                <c:formatCode>General</c:formatCode>
                <c:ptCount val="4"/>
                <c:pt idx="0">
                  <c:v>-5.88</c:v>
                </c:pt>
                <c:pt idx="1">
                  <c:v>-4.9400000000000004</c:v>
                </c:pt>
                <c:pt idx="2">
                  <c:v>-4.6500000000000004</c:v>
                </c:pt>
                <c:pt idx="3">
                  <c:v>-4.1100000000000003</c:v>
                </c:pt>
              </c:numCache>
            </c:numRef>
          </c:yVal>
          <c:smooth val="0"/>
          <c:extLst>
            <c:ext xmlns:c16="http://schemas.microsoft.com/office/drawing/2014/chart" uri="{C3380CC4-5D6E-409C-BE32-E72D297353CC}">
              <c16:uniqueId val="{0000000B-D401-466E-9A20-4BFC096DF733}"/>
            </c:ext>
          </c:extLst>
        </c:ser>
        <c:dLbls>
          <c:showLegendKey val="0"/>
          <c:showVal val="0"/>
          <c:showCatName val="0"/>
          <c:showSerName val="0"/>
          <c:showPercent val="0"/>
          <c:showBubbleSize val="0"/>
        </c:dLbls>
        <c:axId val="319935032"/>
        <c:axId val="319934248"/>
      </c:scatterChart>
      <c:valAx>
        <c:axId val="319935032"/>
        <c:scaling>
          <c:orientation val="minMax"/>
        </c:scaling>
        <c:delete val="0"/>
        <c:axPos val="b"/>
        <c:title>
          <c:tx>
            <c:rich>
              <a:bodyPr/>
              <a:lstStyle/>
              <a:p>
                <a:pPr>
                  <a:defRPr/>
                </a:pPr>
                <a:r>
                  <a:rPr lang="en-US"/>
                  <a:t>1000/T(k</a:t>
                </a:r>
                <a:r>
                  <a:rPr lang="en-US" baseline="30000"/>
                  <a:t>-1</a:t>
                </a:r>
                <a:r>
                  <a:rPr lang="en-US"/>
                  <a:t>)</a:t>
                </a:r>
              </a:p>
            </c:rich>
          </c:tx>
          <c:overlay val="0"/>
        </c:title>
        <c:numFmt formatCode="General" sourceLinked="1"/>
        <c:majorTickMark val="out"/>
        <c:minorTickMark val="none"/>
        <c:tickLblPos val="nextTo"/>
        <c:crossAx val="319934248"/>
        <c:crosses val="autoZero"/>
        <c:crossBetween val="midCat"/>
      </c:valAx>
      <c:valAx>
        <c:axId val="319934248"/>
        <c:scaling>
          <c:orientation val="minMax"/>
        </c:scaling>
        <c:delete val="0"/>
        <c:axPos val="l"/>
        <c:title>
          <c:tx>
            <c:rich>
              <a:bodyPr/>
              <a:lstStyle/>
              <a:p>
                <a:pPr>
                  <a:defRPr/>
                </a:pPr>
                <a:r>
                  <a:rPr lang="en-US"/>
                  <a:t>log CR/T</a:t>
                </a:r>
              </a:p>
            </c:rich>
          </c:tx>
          <c:overlay val="0"/>
        </c:title>
        <c:numFmt formatCode="General" sourceLinked="1"/>
        <c:majorTickMark val="out"/>
        <c:minorTickMark val="none"/>
        <c:tickLblPos val="nextTo"/>
        <c:crossAx val="319935032"/>
        <c:crosses val="autoZero"/>
        <c:crossBetween val="midCat"/>
      </c:valAx>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70461761966777936"/>
          <c:y val="0.13725543656073461"/>
          <c:w val="0.15126860168150064"/>
          <c:h val="0.38470570071474636"/>
        </c:manualLayout>
      </c:layout>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0.11004</cdr:x>
      <cdr:y>0.90746</cdr:y>
    </cdr:from>
    <cdr:to>
      <cdr:x>0.8861</cdr:x>
      <cdr:y>1</cdr:y>
    </cdr:to>
    <cdr:sp macro="" textlink="">
      <cdr:nvSpPr>
        <cdr:cNvPr id="2" name="Text Box 1"/>
        <cdr:cNvSpPr txBox="1"/>
      </cdr:nvSpPr>
      <cdr:spPr>
        <a:xfrm xmlns:a="http://schemas.openxmlformats.org/drawingml/2006/main">
          <a:off x="542925" y="3362325"/>
          <a:ext cx="382905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0.05985</cdr:x>
      <cdr:y>0.88432</cdr:y>
    </cdr:from>
    <cdr:to>
      <cdr:x>0.81467</cdr:x>
      <cdr:y>0.99486</cdr:y>
    </cdr:to>
    <cdr:sp macro="" textlink="">
      <cdr:nvSpPr>
        <cdr:cNvPr id="3" name="Text Box 2"/>
        <cdr:cNvSpPr txBox="1"/>
      </cdr:nvSpPr>
      <cdr:spPr>
        <a:xfrm xmlns:a="http://schemas.openxmlformats.org/drawingml/2006/main">
          <a:off x="295274" y="3276600"/>
          <a:ext cx="3724276" cy="4095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1200" b="1" i="0">
              <a:effectLst/>
              <a:latin typeface="Times New Roman" panose="02020603050405020304" pitchFamily="18" charset="0"/>
              <a:ea typeface="+mn-ea"/>
              <a:cs typeface="Times New Roman" panose="02020603050405020304" pitchFamily="18" charset="0"/>
            </a:rPr>
            <a:t>Figure.</a:t>
          </a:r>
          <a:r>
            <a:rPr lang="en-US" sz="1200" b="1" i="0" baseline="0">
              <a:effectLst/>
              <a:latin typeface="Times New Roman" panose="02020603050405020304" pitchFamily="18" charset="0"/>
              <a:ea typeface="+mn-ea"/>
              <a:cs typeface="Times New Roman" panose="02020603050405020304" pitchFamily="18" charset="0"/>
            </a:rPr>
            <a:t> 1</a:t>
          </a:r>
          <a:r>
            <a:rPr lang="en-US" sz="1200" i="1">
              <a:effectLst/>
              <a:latin typeface="Times New Roman" panose="02020603050405020304" pitchFamily="18" charset="0"/>
              <a:ea typeface="+mn-ea"/>
              <a:cs typeface="Times New Roman" panose="02020603050405020304" pitchFamily="18" charset="0"/>
            </a:rPr>
            <a:t>: </a:t>
          </a:r>
          <a:r>
            <a:rPr lang="en-US" sz="1200" i="0">
              <a:effectLst/>
              <a:latin typeface="Times New Roman" panose="02020603050405020304" pitchFamily="18" charset="0"/>
              <a:ea typeface="+mn-ea"/>
              <a:cs typeface="Times New Roman" panose="02020603050405020304" pitchFamily="18" charset="0"/>
            </a:rPr>
            <a:t>Langmuir adsorption isotherm for LPV-RTV</a:t>
          </a:r>
        </a:p>
        <a:p xmlns:a="http://schemas.openxmlformats.org/drawingml/2006/main">
          <a:endParaRPr lang="en-US" sz="1200" i="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732</TotalTime>
  <Pages>23</Pages>
  <Words>6322</Words>
  <Characters>36037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theaisha1707@gmail.com</cp:lastModifiedBy>
  <cp:revision>26</cp:revision>
  <dcterms:created xsi:type="dcterms:W3CDTF">2026-03-04T18:47:00Z</dcterms:created>
  <dcterms:modified xsi:type="dcterms:W3CDTF">2026-03-10T06:41:00Z</dcterms:modified>
</cp:coreProperties>
</file>