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2A48" w14:textId="63979E84" w:rsidR="00A86912" w:rsidRPr="00B4151B" w:rsidRDefault="00B4151B" w:rsidP="00B4151B">
      <w:pPr>
        <w:spacing w:before="240" w:after="240" w:line="240" w:lineRule="auto"/>
        <w:jc w:val="center"/>
        <w:rPr>
          <w:rFonts w:ascii="Times New Roman" w:hAnsi="Times New Roman" w:cs="Times New Roman"/>
          <w:b/>
          <w:bCs/>
          <w:sz w:val="36"/>
          <w:szCs w:val="36"/>
        </w:rPr>
      </w:pPr>
      <w:r w:rsidRPr="00B4151B">
        <w:rPr>
          <w:rFonts w:ascii="Times New Roman" w:hAnsi="Times New Roman" w:cs="Times New Roman"/>
          <w:b/>
          <w:bCs/>
          <w:sz w:val="36"/>
          <w:szCs w:val="36"/>
        </w:rPr>
        <w:t>Intolerant Learners: Correlation Between Tolerance of Ambiguity and Mean Performance Level in Mathematics</w:t>
      </w:r>
    </w:p>
    <w:p w14:paraId="40ED4D76" w14:textId="2C0CFEB6" w:rsidR="00B4151B" w:rsidRPr="0057562D" w:rsidRDefault="00B4151B" w:rsidP="0057562D">
      <w:pPr>
        <w:spacing w:before="240" w:after="240" w:line="240" w:lineRule="auto"/>
        <w:jc w:val="both"/>
        <w:rPr>
          <w:rFonts w:ascii="Times New Roman" w:hAnsi="Times New Roman" w:cs="Times New Roman"/>
          <w:b/>
          <w:bCs/>
          <w:sz w:val="28"/>
          <w:szCs w:val="28"/>
        </w:rPr>
      </w:pPr>
      <w:r w:rsidRPr="0057562D">
        <w:rPr>
          <w:rFonts w:ascii="Times New Roman" w:hAnsi="Times New Roman" w:cs="Times New Roman"/>
          <w:b/>
          <w:bCs/>
          <w:sz w:val="28"/>
          <w:szCs w:val="28"/>
        </w:rPr>
        <w:t>ABSTRACT</w:t>
      </w:r>
    </w:p>
    <w:p w14:paraId="0198B31F" w14:textId="146C80BB" w:rsidR="00B4151B" w:rsidRPr="00B4151B" w:rsidRDefault="0057562D" w:rsidP="0057562D">
      <w:pPr>
        <w:spacing w:before="240" w:after="240" w:line="240" w:lineRule="auto"/>
        <w:jc w:val="both"/>
        <w:rPr>
          <w:rFonts w:ascii="Times New Roman" w:hAnsi="Times New Roman" w:cs="Times New Roman"/>
          <w:sz w:val="24"/>
          <w:szCs w:val="24"/>
        </w:rPr>
      </w:pPr>
      <w:r w:rsidRPr="001669E9">
        <w:rPr>
          <w:rFonts w:ascii="Times New Roman" w:hAnsi="Times New Roman" w:cs="Times New Roman"/>
          <w:sz w:val="24"/>
          <w:szCs w:val="24"/>
        </w:rPr>
        <w:t>This study aim</w:t>
      </w:r>
      <w:r>
        <w:rPr>
          <w:rFonts w:ascii="Times New Roman" w:hAnsi="Times New Roman" w:cs="Times New Roman"/>
          <w:sz w:val="24"/>
          <w:szCs w:val="24"/>
        </w:rPr>
        <w:t>ed</w:t>
      </w:r>
      <w:r w:rsidRPr="001669E9">
        <w:rPr>
          <w:rFonts w:ascii="Times New Roman" w:hAnsi="Times New Roman" w:cs="Times New Roman"/>
          <w:sz w:val="24"/>
          <w:szCs w:val="24"/>
        </w:rPr>
        <w:t xml:space="preserve"> to examine the</w:t>
      </w:r>
      <w:r>
        <w:rPr>
          <w:rFonts w:ascii="Times New Roman" w:hAnsi="Times New Roman" w:cs="Times New Roman"/>
          <w:sz w:val="24"/>
          <w:szCs w:val="24"/>
        </w:rPr>
        <w:t xml:space="preserve"> mean performance level, and the</w:t>
      </w:r>
      <w:r w:rsidRPr="001669E9">
        <w:rPr>
          <w:rFonts w:ascii="Times New Roman" w:hAnsi="Times New Roman" w:cs="Times New Roman"/>
          <w:sz w:val="24"/>
          <w:szCs w:val="24"/>
        </w:rPr>
        <w:t xml:space="preserve"> level of ambiguity that can be tolerated in the classroom, with a specific focus on the subject of mathematics. This study employed a quantitative research method, specifically a descriptive correlational research design. The study involved a sample size of 72 students, selected randomly from the pool of 722 grade 10 students at Camarines Norte National High School for the School Year 2022-2023. Data were collected on the students' mean performance level (MPL), level of tolerance (LoT), and underlying causes. Correlational research was employed to determine the presence and extent of any significant relationship between MPL and LoT. The results revealed that the mean MPL in mathematics of grade 10 student was Outstanding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w:t>
      </w:r>
      <w:r w:rsidRPr="001669E9">
        <w:rPr>
          <w:rFonts w:ascii="Times New Roman" w:hAnsi="Times New Roman" w:cs="Times New Roman"/>
          <w:sz w:val="24"/>
          <w:szCs w:val="24"/>
        </w:rPr>
        <w:t>90.04)</w:t>
      </w:r>
      <w:r>
        <w:rPr>
          <w:rFonts w:ascii="Times New Roman" w:hAnsi="Times New Roman" w:cs="Times New Roman"/>
          <w:sz w:val="24"/>
          <w:szCs w:val="24"/>
        </w:rPr>
        <w:t xml:space="preserve"> and the level of tolerance was Very High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w:t>
      </w:r>
      <w:r>
        <w:rPr>
          <w:rFonts w:ascii="Times New Roman" w:hAnsi="Times New Roman" w:cs="Times New Roman"/>
          <w:sz w:val="24"/>
          <w:szCs w:val="24"/>
        </w:rPr>
        <w:t>63.08)</w:t>
      </w:r>
      <w:r w:rsidRPr="001669E9">
        <w:rPr>
          <w:rFonts w:ascii="Times New Roman" w:hAnsi="Times New Roman" w:cs="Times New Roman"/>
          <w:sz w:val="24"/>
          <w:szCs w:val="24"/>
        </w:rPr>
        <w:t>.</w:t>
      </w:r>
      <w:r>
        <w:rPr>
          <w:rFonts w:ascii="Times New Roman" w:hAnsi="Times New Roman" w:cs="Times New Roman"/>
          <w:sz w:val="24"/>
          <w:szCs w:val="24"/>
        </w:rPr>
        <w:t xml:space="preserve"> Furthermore, the causes for intolerance, specifically Novelty is High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=17.83), and for Complexity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=33.14) and Insolubility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Pr>
          <w:rFonts w:ascii="Times New Roman" w:eastAsiaTheme="minorEastAsia" w:hAnsi="Times New Roman" w:cs="Times New Roman"/>
          <w:sz w:val="24"/>
          <w:szCs w:val="24"/>
        </w:rPr>
        <w:t>=12.11) are both Moderate.</w:t>
      </w:r>
      <w:r w:rsidRPr="001669E9">
        <w:rPr>
          <w:rFonts w:ascii="Times New Roman" w:hAnsi="Times New Roman" w:cs="Times New Roman"/>
          <w:sz w:val="24"/>
          <w:szCs w:val="24"/>
        </w:rPr>
        <w:t xml:space="preserve"> The students' MPL was significantly correlated with LoT (</w:t>
      </w:r>
      <w:r>
        <w:rPr>
          <w:rFonts w:ascii="Times New Roman" w:hAnsi="Times New Roman" w:cs="Times New Roman"/>
          <w:sz w:val="24"/>
          <w:szCs w:val="24"/>
        </w:rPr>
        <w:t>α=</w:t>
      </w:r>
      <w:r w:rsidRPr="001669E9">
        <w:rPr>
          <w:rFonts w:ascii="Times New Roman" w:hAnsi="Times New Roman" w:cs="Times New Roman"/>
          <w:sz w:val="24"/>
          <w:szCs w:val="24"/>
        </w:rPr>
        <w:t>0.05). It was hypothesized that the students have high tolerance for ambiguities due to them being exposed to problem-based learning and inquiry-based approaches positively that influenced their tolerance. It was concluded that MPL is not correlated and does not affect each other.</w:t>
      </w:r>
      <w:r>
        <w:rPr>
          <w:rFonts w:ascii="Times New Roman" w:hAnsi="Times New Roman" w:cs="Times New Roman"/>
          <w:sz w:val="24"/>
          <w:szCs w:val="24"/>
        </w:rPr>
        <w:t xml:space="preserve"> Students can tolerate so much ambiguity, teachers can give them situations that would challenge them to go further with their studies as MPL and level of tolerance were not associated with one another.</w:t>
      </w:r>
    </w:p>
    <w:p w14:paraId="57B37348" w14:textId="5DAA8B27" w:rsidR="00B4151B"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b/>
          <w:bCs/>
          <w:sz w:val="24"/>
          <w:szCs w:val="24"/>
        </w:rPr>
        <w:t>K</w:t>
      </w:r>
      <w:r>
        <w:rPr>
          <w:rFonts w:ascii="Times New Roman" w:hAnsi="Times New Roman" w:cs="Times New Roman"/>
          <w:b/>
          <w:bCs/>
          <w:sz w:val="24"/>
          <w:szCs w:val="24"/>
        </w:rPr>
        <w:t>eywords</w:t>
      </w:r>
      <w:r w:rsidRPr="0057562D">
        <w:rPr>
          <w:rFonts w:ascii="Times New Roman" w:hAnsi="Times New Roman" w:cs="Times New Roman"/>
          <w:b/>
          <w:bCs/>
          <w:sz w:val="24"/>
          <w:szCs w:val="24"/>
        </w:rPr>
        <w:t>:</w:t>
      </w:r>
      <w:r w:rsidRPr="0057562D">
        <w:rPr>
          <w:rFonts w:ascii="Times New Roman" w:hAnsi="Times New Roman" w:cs="Times New Roman"/>
          <w:sz w:val="24"/>
          <w:szCs w:val="24"/>
        </w:rPr>
        <w:t xml:space="preserve"> Intolerant, Learners, Mathematics, Mean Performance Level, Tolerance of Ambiguity</w:t>
      </w:r>
    </w:p>
    <w:p w14:paraId="2BDCD922" w14:textId="77777777" w:rsidR="0057562D" w:rsidRPr="0057562D" w:rsidRDefault="0057562D" w:rsidP="0057562D">
      <w:pPr>
        <w:spacing w:before="240" w:after="240" w:line="240" w:lineRule="auto"/>
        <w:jc w:val="both"/>
        <w:rPr>
          <w:rFonts w:ascii="Times New Roman" w:hAnsi="Times New Roman" w:cs="Times New Roman"/>
          <w:b/>
          <w:bCs/>
          <w:sz w:val="28"/>
          <w:szCs w:val="28"/>
        </w:rPr>
      </w:pPr>
      <w:r w:rsidRPr="0057562D">
        <w:rPr>
          <w:rFonts w:ascii="Times New Roman" w:hAnsi="Times New Roman" w:cs="Times New Roman"/>
          <w:b/>
          <w:bCs/>
          <w:sz w:val="28"/>
          <w:szCs w:val="28"/>
        </w:rPr>
        <w:t>INTRODUCTION</w:t>
      </w:r>
    </w:p>
    <w:p w14:paraId="4F91EB1F"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Change is an inherent part of life, and adaptability is key to navigate the ever-evolving landscape. This holds true in various domains, including education, where students and their academic performance are profoundly influenced by unforeseen shifts and ambiguous circumstances. Academic performance serves as a tangible representation of students' overall progress throughout their educational journey, providing insight into their achievements and areas for improvement. While academic performance is influenced by multiple factors, it is important to note that it does not solely determine a country's overall performance due to various complex factors at play.</w:t>
      </w:r>
    </w:p>
    <w:p w14:paraId="2BF5EC6A"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In the context of the Philippines, a nation striving to establish itself as a leader in education and provide quality education to all its citizens (NEDA, 2016), recent events such as the pandemic and a decline in the education system have presented significant challenges. These challenges have resulted in a notable decline in grades, particularly in subjects like Science and Mathematics (Masambol, 2022), hindering the country's educational ambitions. The Department of Education, as a learner-centered institution, is committed to continuous improvement in order to better serve Filipino learners and the community (DepEd, 2017). However, such improvements come at a cost, and unanticipated shifts in policies can lead to unclear language and confusion among learners. Students, although displaying a certain level of flexibility and tolerance for changes and ambiguity, often find themselves in a state of uncertainty when faced with changes within the classroom.</w:t>
      </w:r>
    </w:p>
    <w:p w14:paraId="147B646B"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Ambiguity, characterized by confusion and multiple possible interpretations, stands as a significant barrier to effective communication (Guilbert, 2002). If learning objectives and instructions are not clearly defined, students and teachers may encounter operational difficulties, ultimately impacting the teaching-learning process and students' performance. To foster meaningful and engaging learning experiences, it is crucial for students to have a crystal-clear understanding of the learning path they are undertaking. However, ambiguity in education can create an environment where students are compelled to learn in a seemingly meaningless manner, leading to a lack of vitality and relevance within the academic community (Suzawa, 2013).</w:t>
      </w:r>
    </w:p>
    <w:p w14:paraId="5CC82267"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 xml:space="preserve">Research indicates that ambiguity has an impact on an individual's tolerance (Comadena, 1984; and Guilbert, 2022). Tolerance for ambiguity has been identified as one of the key factors influencing listening comprehension, </w:t>
      </w:r>
      <w:r w:rsidRPr="0057562D">
        <w:rPr>
          <w:rFonts w:ascii="Times New Roman" w:hAnsi="Times New Roman" w:cs="Times New Roman"/>
          <w:sz w:val="24"/>
          <w:szCs w:val="24"/>
        </w:rPr>
        <w:lastRenderedPageBreak/>
        <w:t>writing performance, and cloze tests. Furthermore, studies suggest that individuals with a moderate tolerance for ambiguity tend to achieve greater success (Soleimani, 2009). From the educational establishment's perspective, instructors sometimes provide unclear lessons and guidance, changing instructions unexpectedly, which can cause confusion and misunderstanding among students. Therefore, it is essential for instructions and educational goals to be clear and unambiguous, facilitating improved communication between instructors and students.</w:t>
      </w:r>
    </w:p>
    <w:p w14:paraId="04DCB8D7"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Given the insights from previous research and the challenges that have arisen, the researcher concludes that all students possess a certain level of tolerance for ambiguity. It has been observed that students display a certain degree of tolerance when faced with unexpected changes and unclear situations. Additionally, classroom rules, the clarity of instructions provided by teachers, and the overall direction of activities have an impact on students' behavior and response.</w:t>
      </w:r>
    </w:p>
    <w:p w14:paraId="24C2E660" w14:textId="22ABC768" w:rsid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The purpose of this study is to examine the level of ambiguity that can be tolerated in the classroom, with a specific focus on the subject of mathematics. The research aims to investigate the underlying causes contributing to intolerance and ascertain whether there exists a significant level of tolerance. Additionally, the study seeks to determine the influence of tolerance on students' performance in mathematics. By shedding light on the connection between ambiguity, tolerance, and academic performance, this research strives to enhance the teaching-learning process between instructors and students, ultimately improving the overall educational experience.</w:t>
      </w:r>
    </w:p>
    <w:p w14:paraId="386DC301" w14:textId="77777777" w:rsidR="0057562D" w:rsidRPr="0057562D" w:rsidRDefault="0057562D" w:rsidP="0057562D">
      <w:pPr>
        <w:spacing w:before="240" w:after="240" w:line="240" w:lineRule="auto"/>
        <w:jc w:val="both"/>
        <w:rPr>
          <w:rFonts w:ascii="Times New Roman" w:hAnsi="Times New Roman" w:cs="Times New Roman"/>
          <w:b/>
          <w:bCs/>
          <w:sz w:val="28"/>
          <w:szCs w:val="28"/>
        </w:rPr>
      </w:pPr>
      <w:r w:rsidRPr="0057562D">
        <w:rPr>
          <w:rFonts w:ascii="Times New Roman" w:hAnsi="Times New Roman" w:cs="Times New Roman"/>
          <w:b/>
          <w:bCs/>
          <w:sz w:val="28"/>
          <w:szCs w:val="28"/>
        </w:rPr>
        <w:t>METHODOLOGY</w:t>
      </w:r>
    </w:p>
    <w:p w14:paraId="1B693488"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This study employed a quantitative research method, specifically a descriptive correlational research design. The aim was to explore the relationship between the level of tolerance of ambiguity and the mean performance level in mathematics among grade 10 students. Data were collected on the students' mean performance level, level of tolerance, and the causes of ambiguity. Statistical analysis was used to determine if there was a correlation between these variables.</w:t>
      </w:r>
    </w:p>
    <w:p w14:paraId="2E110C4A"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Descriptive research was used to describe the mean performance level, level of tolerance of ambiguity, and underlying causes of ambiguity among grade 10 students at Camarines Norte National High School. Correlational research design was employed to determine the presence and extent of any significant relationship between the mean performance level and tolerance of ambiguity.</w:t>
      </w:r>
    </w:p>
    <w:p w14:paraId="5F114647"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The study involved a sample size of 72 students, selected randomly from the 722 grade 10 students at Camarines Norte National High School for the School Year 2022-2023. The sample size was determined using a ratio of 1:10, where one respondent represents every 10 students, which is considered a reliable estimate (Kyriazos, 2018). The students were selected through a probability sampling method, specifically simple random sampling.</w:t>
      </w:r>
    </w:p>
    <w:p w14:paraId="34C1F200"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The respondents in this study were grade 10 students from Camarines Norte National High School, with no consideration given to age, gender, or other demographic profiles. The only requirement was that they were enrolled in the grade 10 class for the specified school year.</w:t>
      </w:r>
    </w:p>
    <w:p w14:paraId="0F6DCC89"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This study employed questionnaires as mean of data gathering. Seven-point Likert scale (Table 1) was utilized, and a modified tolerance of ambiguity scale developed by Budner (1962) was used to test the level of ambiguity of the respondents. It was modified to cater the student’s ability to understand the scale. Words were simplified while maintaining the main goal of the test, evaluating their tolerance of ambiguity.</w:t>
      </w:r>
    </w:p>
    <w:p w14:paraId="4E5216DB" w14:textId="77777777" w:rsidR="0057562D" w:rsidRPr="00390961" w:rsidRDefault="0057562D" w:rsidP="004374DB">
      <w:pPr>
        <w:spacing w:before="240" w:after="240" w:line="240" w:lineRule="auto"/>
        <w:rPr>
          <w:rFonts w:ascii="Times New Roman" w:hAnsi="Times New Roman" w:cs="Times New Roman"/>
          <w:sz w:val="24"/>
          <w:szCs w:val="24"/>
        </w:rPr>
      </w:pPr>
      <w:r w:rsidRPr="00390961">
        <w:rPr>
          <w:rFonts w:ascii="Times New Roman" w:hAnsi="Times New Roman" w:cs="Times New Roman"/>
          <w:sz w:val="24"/>
          <w:szCs w:val="24"/>
        </w:rPr>
        <w:t>Table 1. Seven-Point Likert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554"/>
        <w:gridCol w:w="603"/>
        <w:gridCol w:w="2875"/>
      </w:tblGrid>
      <w:tr w:rsidR="0057562D" w:rsidRPr="00390961" w14:paraId="60E603C1" w14:textId="77777777" w:rsidTr="0057562D">
        <w:tc>
          <w:tcPr>
            <w:tcW w:w="1230" w:type="dxa"/>
            <w:tcBorders>
              <w:top w:val="single" w:sz="12" w:space="0" w:color="auto"/>
            </w:tcBorders>
            <w:vAlign w:val="center"/>
          </w:tcPr>
          <w:p w14:paraId="3E43C14D"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Numerical Scale</w:t>
            </w:r>
          </w:p>
        </w:tc>
        <w:tc>
          <w:tcPr>
            <w:tcW w:w="1554" w:type="dxa"/>
            <w:tcBorders>
              <w:top w:val="single" w:sz="12" w:space="0" w:color="auto"/>
            </w:tcBorders>
            <w:vAlign w:val="center"/>
          </w:tcPr>
          <w:p w14:paraId="485B7679"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Range</w:t>
            </w:r>
          </w:p>
        </w:tc>
        <w:tc>
          <w:tcPr>
            <w:tcW w:w="0" w:type="auto"/>
            <w:tcBorders>
              <w:top w:val="single" w:sz="12" w:space="0" w:color="auto"/>
            </w:tcBorders>
            <w:vAlign w:val="center"/>
          </w:tcPr>
          <w:p w14:paraId="77DCCF14" w14:textId="77777777" w:rsidR="0057562D" w:rsidRPr="00390961" w:rsidRDefault="0057562D" w:rsidP="003B4EAA">
            <w:pPr>
              <w:jc w:val="center"/>
              <w:rPr>
                <w:rFonts w:ascii="Times New Roman" w:hAnsi="Times New Roman" w:cs="Times New Roman"/>
                <w:b/>
                <w:bCs/>
                <w:sz w:val="24"/>
                <w:szCs w:val="24"/>
              </w:rPr>
            </w:pPr>
          </w:p>
        </w:tc>
        <w:tc>
          <w:tcPr>
            <w:tcW w:w="0" w:type="auto"/>
            <w:tcBorders>
              <w:top w:val="single" w:sz="12" w:space="0" w:color="auto"/>
            </w:tcBorders>
            <w:vAlign w:val="center"/>
          </w:tcPr>
          <w:p w14:paraId="6D012B46"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Interpretation</w:t>
            </w:r>
          </w:p>
        </w:tc>
      </w:tr>
      <w:tr w:rsidR="0057562D" w:rsidRPr="00015CD4" w14:paraId="26165532" w14:textId="77777777" w:rsidTr="0057562D">
        <w:tc>
          <w:tcPr>
            <w:tcW w:w="1230" w:type="dxa"/>
            <w:tcBorders>
              <w:top w:val="single" w:sz="4" w:space="0" w:color="auto"/>
            </w:tcBorders>
            <w:vAlign w:val="center"/>
          </w:tcPr>
          <w:p w14:paraId="732AEF88"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7</w:t>
            </w:r>
          </w:p>
        </w:tc>
        <w:tc>
          <w:tcPr>
            <w:tcW w:w="1554" w:type="dxa"/>
            <w:tcBorders>
              <w:top w:val="single" w:sz="4" w:space="0" w:color="auto"/>
            </w:tcBorders>
            <w:vAlign w:val="center"/>
          </w:tcPr>
          <w:p w14:paraId="51342E3D"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6.50-7.00</w:t>
            </w:r>
          </w:p>
        </w:tc>
        <w:tc>
          <w:tcPr>
            <w:tcW w:w="0" w:type="auto"/>
            <w:tcBorders>
              <w:top w:val="single" w:sz="4" w:space="0" w:color="auto"/>
            </w:tcBorders>
            <w:vAlign w:val="center"/>
          </w:tcPr>
          <w:p w14:paraId="59DEC17C"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SA</w:t>
            </w:r>
          </w:p>
        </w:tc>
        <w:tc>
          <w:tcPr>
            <w:tcW w:w="0" w:type="auto"/>
            <w:tcBorders>
              <w:top w:val="single" w:sz="4" w:space="0" w:color="auto"/>
            </w:tcBorders>
            <w:vAlign w:val="center"/>
          </w:tcPr>
          <w:p w14:paraId="51B19E64"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Strongly Agree</w:t>
            </w:r>
          </w:p>
        </w:tc>
      </w:tr>
      <w:tr w:rsidR="0057562D" w:rsidRPr="00015CD4" w14:paraId="39C68791" w14:textId="77777777" w:rsidTr="0057562D">
        <w:tc>
          <w:tcPr>
            <w:tcW w:w="1230" w:type="dxa"/>
            <w:vAlign w:val="center"/>
          </w:tcPr>
          <w:p w14:paraId="41CF2419"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6</w:t>
            </w:r>
          </w:p>
        </w:tc>
        <w:tc>
          <w:tcPr>
            <w:tcW w:w="1554" w:type="dxa"/>
            <w:vAlign w:val="center"/>
          </w:tcPr>
          <w:p w14:paraId="42A8B11E"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5.50-6.49</w:t>
            </w:r>
          </w:p>
        </w:tc>
        <w:tc>
          <w:tcPr>
            <w:tcW w:w="0" w:type="auto"/>
            <w:vAlign w:val="center"/>
          </w:tcPr>
          <w:p w14:paraId="5C9FA42A"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MA</w:t>
            </w:r>
          </w:p>
        </w:tc>
        <w:tc>
          <w:tcPr>
            <w:tcW w:w="0" w:type="auto"/>
            <w:vAlign w:val="center"/>
          </w:tcPr>
          <w:p w14:paraId="7369B80C"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Moderately Agree</w:t>
            </w:r>
          </w:p>
        </w:tc>
      </w:tr>
      <w:tr w:rsidR="0057562D" w:rsidRPr="00015CD4" w14:paraId="3264E987" w14:textId="77777777" w:rsidTr="0057562D">
        <w:tc>
          <w:tcPr>
            <w:tcW w:w="1230" w:type="dxa"/>
            <w:vAlign w:val="center"/>
          </w:tcPr>
          <w:p w14:paraId="104B8C09"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5</w:t>
            </w:r>
          </w:p>
        </w:tc>
        <w:tc>
          <w:tcPr>
            <w:tcW w:w="1554" w:type="dxa"/>
            <w:vAlign w:val="center"/>
          </w:tcPr>
          <w:p w14:paraId="3D47FE40"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4.50-5.49</w:t>
            </w:r>
          </w:p>
        </w:tc>
        <w:tc>
          <w:tcPr>
            <w:tcW w:w="0" w:type="auto"/>
            <w:vAlign w:val="center"/>
          </w:tcPr>
          <w:p w14:paraId="0DF1B3F2"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A</w:t>
            </w:r>
          </w:p>
        </w:tc>
        <w:tc>
          <w:tcPr>
            <w:tcW w:w="0" w:type="auto"/>
            <w:vAlign w:val="center"/>
          </w:tcPr>
          <w:p w14:paraId="0C910476"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Slightly Agree</w:t>
            </w:r>
          </w:p>
        </w:tc>
      </w:tr>
      <w:tr w:rsidR="0057562D" w:rsidRPr="00015CD4" w14:paraId="0031EC87" w14:textId="77777777" w:rsidTr="0057562D">
        <w:tc>
          <w:tcPr>
            <w:tcW w:w="1230" w:type="dxa"/>
            <w:vAlign w:val="center"/>
          </w:tcPr>
          <w:p w14:paraId="645F9E88"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4</w:t>
            </w:r>
          </w:p>
        </w:tc>
        <w:tc>
          <w:tcPr>
            <w:tcW w:w="1554" w:type="dxa"/>
            <w:vAlign w:val="center"/>
          </w:tcPr>
          <w:p w14:paraId="4351B3FA"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3.50-4.49</w:t>
            </w:r>
          </w:p>
        </w:tc>
        <w:tc>
          <w:tcPr>
            <w:tcW w:w="0" w:type="auto"/>
            <w:vAlign w:val="center"/>
          </w:tcPr>
          <w:p w14:paraId="30725F3A"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N</w:t>
            </w:r>
          </w:p>
        </w:tc>
        <w:tc>
          <w:tcPr>
            <w:tcW w:w="0" w:type="auto"/>
            <w:vAlign w:val="center"/>
          </w:tcPr>
          <w:p w14:paraId="2EBC1301"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Neither Agree nor Disagree</w:t>
            </w:r>
          </w:p>
        </w:tc>
      </w:tr>
      <w:tr w:rsidR="0057562D" w:rsidRPr="00015CD4" w14:paraId="384C4701" w14:textId="77777777" w:rsidTr="0057562D">
        <w:tc>
          <w:tcPr>
            <w:tcW w:w="1230" w:type="dxa"/>
            <w:vAlign w:val="center"/>
          </w:tcPr>
          <w:p w14:paraId="164B9E62"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lastRenderedPageBreak/>
              <w:t>3</w:t>
            </w:r>
          </w:p>
        </w:tc>
        <w:tc>
          <w:tcPr>
            <w:tcW w:w="1554" w:type="dxa"/>
            <w:vAlign w:val="center"/>
          </w:tcPr>
          <w:p w14:paraId="6E07D6F0"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2.50-3.49</w:t>
            </w:r>
          </w:p>
        </w:tc>
        <w:tc>
          <w:tcPr>
            <w:tcW w:w="0" w:type="auto"/>
            <w:vAlign w:val="center"/>
          </w:tcPr>
          <w:p w14:paraId="3DCDAC61"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D</w:t>
            </w:r>
          </w:p>
        </w:tc>
        <w:tc>
          <w:tcPr>
            <w:tcW w:w="0" w:type="auto"/>
            <w:vAlign w:val="center"/>
          </w:tcPr>
          <w:p w14:paraId="165AE693"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Slightly Disagree</w:t>
            </w:r>
          </w:p>
        </w:tc>
      </w:tr>
      <w:tr w:rsidR="0057562D" w:rsidRPr="00015CD4" w14:paraId="197220A6" w14:textId="77777777" w:rsidTr="0057562D">
        <w:tc>
          <w:tcPr>
            <w:tcW w:w="1230" w:type="dxa"/>
            <w:vAlign w:val="center"/>
          </w:tcPr>
          <w:p w14:paraId="614CD4A4"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2</w:t>
            </w:r>
          </w:p>
        </w:tc>
        <w:tc>
          <w:tcPr>
            <w:tcW w:w="1554" w:type="dxa"/>
            <w:vAlign w:val="center"/>
          </w:tcPr>
          <w:p w14:paraId="5B868B44"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1.50-2.49</w:t>
            </w:r>
          </w:p>
        </w:tc>
        <w:tc>
          <w:tcPr>
            <w:tcW w:w="0" w:type="auto"/>
            <w:vAlign w:val="center"/>
          </w:tcPr>
          <w:p w14:paraId="53999AED"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MD</w:t>
            </w:r>
          </w:p>
        </w:tc>
        <w:tc>
          <w:tcPr>
            <w:tcW w:w="0" w:type="auto"/>
            <w:vAlign w:val="center"/>
          </w:tcPr>
          <w:p w14:paraId="46D94D2A"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Moderately Disagree</w:t>
            </w:r>
          </w:p>
        </w:tc>
      </w:tr>
      <w:tr w:rsidR="0057562D" w:rsidRPr="00015CD4" w14:paraId="25AF10F8" w14:textId="77777777" w:rsidTr="0057562D">
        <w:trPr>
          <w:trHeight w:val="234"/>
        </w:trPr>
        <w:tc>
          <w:tcPr>
            <w:tcW w:w="1230" w:type="dxa"/>
            <w:tcBorders>
              <w:bottom w:val="single" w:sz="12" w:space="0" w:color="auto"/>
            </w:tcBorders>
            <w:vAlign w:val="center"/>
          </w:tcPr>
          <w:p w14:paraId="4A5B325B"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1</w:t>
            </w:r>
          </w:p>
        </w:tc>
        <w:tc>
          <w:tcPr>
            <w:tcW w:w="1554" w:type="dxa"/>
            <w:tcBorders>
              <w:bottom w:val="single" w:sz="12" w:space="0" w:color="auto"/>
            </w:tcBorders>
            <w:vAlign w:val="center"/>
          </w:tcPr>
          <w:p w14:paraId="27A7B3C9" w14:textId="77777777" w:rsidR="0057562D" w:rsidRPr="00015CD4" w:rsidRDefault="0057562D" w:rsidP="003B4EAA">
            <w:pPr>
              <w:jc w:val="center"/>
              <w:rPr>
                <w:rFonts w:ascii="Times New Roman" w:hAnsi="Times New Roman" w:cs="Times New Roman"/>
                <w:sz w:val="24"/>
                <w:szCs w:val="24"/>
              </w:rPr>
            </w:pPr>
            <w:r>
              <w:rPr>
                <w:rFonts w:ascii="Times New Roman" w:hAnsi="Times New Roman" w:cs="Times New Roman"/>
                <w:sz w:val="24"/>
                <w:szCs w:val="24"/>
              </w:rPr>
              <w:t>1.00-1.49</w:t>
            </w:r>
          </w:p>
        </w:tc>
        <w:tc>
          <w:tcPr>
            <w:tcW w:w="0" w:type="auto"/>
            <w:tcBorders>
              <w:bottom w:val="single" w:sz="12" w:space="0" w:color="auto"/>
            </w:tcBorders>
            <w:vAlign w:val="center"/>
          </w:tcPr>
          <w:p w14:paraId="67A900FB" w14:textId="77777777" w:rsidR="0057562D" w:rsidRPr="00015CD4" w:rsidRDefault="0057562D" w:rsidP="003B4EAA">
            <w:pPr>
              <w:jc w:val="center"/>
              <w:rPr>
                <w:rFonts w:ascii="Times New Roman" w:hAnsi="Times New Roman" w:cs="Times New Roman"/>
                <w:sz w:val="24"/>
                <w:szCs w:val="24"/>
              </w:rPr>
            </w:pPr>
            <w:r w:rsidRPr="00015CD4">
              <w:rPr>
                <w:rFonts w:ascii="Times New Roman" w:hAnsi="Times New Roman" w:cs="Times New Roman"/>
                <w:sz w:val="24"/>
                <w:szCs w:val="24"/>
              </w:rPr>
              <w:t>SD</w:t>
            </w:r>
          </w:p>
        </w:tc>
        <w:tc>
          <w:tcPr>
            <w:tcW w:w="0" w:type="auto"/>
            <w:tcBorders>
              <w:bottom w:val="single" w:sz="12" w:space="0" w:color="auto"/>
            </w:tcBorders>
            <w:vAlign w:val="center"/>
          </w:tcPr>
          <w:p w14:paraId="59978AA7" w14:textId="77777777" w:rsidR="0057562D" w:rsidRPr="00015CD4" w:rsidRDefault="0057562D" w:rsidP="003B4EAA">
            <w:pPr>
              <w:rPr>
                <w:rFonts w:ascii="Times New Roman" w:hAnsi="Times New Roman" w:cs="Times New Roman"/>
                <w:sz w:val="24"/>
                <w:szCs w:val="24"/>
              </w:rPr>
            </w:pPr>
            <w:r w:rsidRPr="00015CD4">
              <w:rPr>
                <w:rFonts w:ascii="Times New Roman" w:hAnsi="Times New Roman" w:cs="Times New Roman"/>
                <w:sz w:val="24"/>
                <w:szCs w:val="24"/>
              </w:rPr>
              <w:t>Strongly Disagree</w:t>
            </w:r>
          </w:p>
        </w:tc>
      </w:tr>
    </w:tbl>
    <w:p w14:paraId="39BA2187" w14:textId="485FEFE6"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To assess the level of ambiguity, this study utilized the following five-point scale to determine the extent of tolerance and intolerance (Table 2). And it was used to determine the three major causes of intolerance of ambiguity, Novelty (N), Complexity (C), and/or Insolubility (I); which were described by the following scale (Table 2).</w:t>
      </w:r>
    </w:p>
    <w:p w14:paraId="4D18B847" w14:textId="77777777" w:rsidR="0057562D" w:rsidRPr="00390961" w:rsidRDefault="0057562D" w:rsidP="004374DB">
      <w:pPr>
        <w:spacing w:before="240" w:after="240" w:line="240" w:lineRule="auto"/>
        <w:rPr>
          <w:rFonts w:ascii="Times New Roman" w:hAnsi="Times New Roman" w:cs="Times New Roman"/>
          <w:sz w:val="24"/>
          <w:szCs w:val="24"/>
        </w:rPr>
      </w:pPr>
      <w:r w:rsidRPr="00390961">
        <w:rPr>
          <w:rFonts w:ascii="Times New Roman" w:hAnsi="Times New Roman" w:cs="Times New Roman"/>
          <w:sz w:val="24"/>
          <w:szCs w:val="24"/>
        </w:rPr>
        <w:t>Table 2. Level of Tolerance of Ambiguity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2063"/>
        <w:gridCol w:w="1563"/>
        <w:gridCol w:w="1563"/>
        <w:gridCol w:w="1563"/>
      </w:tblGrid>
      <w:tr w:rsidR="0057562D" w:rsidRPr="00390961" w14:paraId="2AEC0F6A" w14:textId="77777777" w:rsidTr="003B4EAA">
        <w:tc>
          <w:tcPr>
            <w:tcW w:w="2274" w:type="dxa"/>
            <w:tcBorders>
              <w:top w:val="single" w:sz="12" w:space="0" w:color="auto"/>
              <w:bottom w:val="single" w:sz="2" w:space="0" w:color="auto"/>
            </w:tcBorders>
            <w:vAlign w:val="center"/>
          </w:tcPr>
          <w:p w14:paraId="48624F7D"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Descriptor</w:t>
            </w:r>
          </w:p>
        </w:tc>
        <w:tc>
          <w:tcPr>
            <w:tcW w:w="2063" w:type="dxa"/>
            <w:tcBorders>
              <w:top w:val="single" w:sz="12" w:space="0" w:color="auto"/>
              <w:bottom w:val="single" w:sz="2" w:space="0" w:color="auto"/>
            </w:tcBorders>
            <w:vAlign w:val="center"/>
          </w:tcPr>
          <w:p w14:paraId="7E904420"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Overall Rating Scale</w:t>
            </w:r>
          </w:p>
        </w:tc>
        <w:tc>
          <w:tcPr>
            <w:tcW w:w="1563" w:type="dxa"/>
            <w:tcBorders>
              <w:top w:val="single" w:sz="12" w:space="0" w:color="auto"/>
              <w:bottom w:val="single" w:sz="2" w:space="0" w:color="auto"/>
            </w:tcBorders>
            <w:vAlign w:val="center"/>
          </w:tcPr>
          <w:p w14:paraId="7F927808"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Novelty</w:t>
            </w:r>
          </w:p>
        </w:tc>
        <w:tc>
          <w:tcPr>
            <w:tcW w:w="1563" w:type="dxa"/>
            <w:tcBorders>
              <w:top w:val="single" w:sz="12" w:space="0" w:color="auto"/>
              <w:bottom w:val="single" w:sz="2" w:space="0" w:color="auto"/>
            </w:tcBorders>
            <w:vAlign w:val="center"/>
          </w:tcPr>
          <w:p w14:paraId="3113C737"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Complexity</w:t>
            </w:r>
          </w:p>
        </w:tc>
        <w:tc>
          <w:tcPr>
            <w:tcW w:w="1563" w:type="dxa"/>
            <w:tcBorders>
              <w:top w:val="single" w:sz="12" w:space="0" w:color="auto"/>
              <w:bottom w:val="single" w:sz="2" w:space="0" w:color="auto"/>
            </w:tcBorders>
            <w:vAlign w:val="center"/>
          </w:tcPr>
          <w:p w14:paraId="5ECE49A4"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Insolubility</w:t>
            </w:r>
          </w:p>
        </w:tc>
      </w:tr>
      <w:tr w:rsidR="0057562D" w14:paraId="57CA2078" w14:textId="77777777" w:rsidTr="003B4EAA">
        <w:tc>
          <w:tcPr>
            <w:tcW w:w="2274" w:type="dxa"/>
            <w:tcBorders>
              <w:top w:val="single" w:sz="2" w:space="0" w:color="auto"/>
            </w:tcBorders>
          </w:tcPr>
          <w:p w14:paraId="3D18327F"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Very High</w:t>
            </w:r>
          </w:p>
        </w:tc>
        <w:tc>
          <w:tcPr>
            <w:tcW w:w="2063" w:type="dxa"/>
            <w:tcBorders>
              <w:top w:val="single" w:sz="2" w:space="0" w:color="auto"/>
            </w:tcBorders>
          </w:tcPr>
          <w:p w14:paraId="6455F592"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Above 53</w:t>
            </w:r>
          </w:p>
        </w:tc>
        <w:tc>
          <w:tcPr>
            <w:tcW w:w="1563" w:type="dxa"/>
            <w:tcBorders>
              <w:top w:val="single" w:sz="2" w:space="0" w:color="auto"/>
            </w:tcBorders>
          </w:tcPr>
          <w:p w14:paraId="50BACE29"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Above 19</w:t>
            </w:r>
          </w:p>
        </w:tc>
        <w:tc>
          <w:tcPr>
            <w:tcW w:w="1563" w:type="dxa"/>
            <w:tcBorders>
              <w:top w:val="single" w:sz="2" w:space="0" w:color="auto"/>
            </w:tcBorders>
          </w:tcPr>
          <w:p w14:paraId="2983D8DB"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Above 42</w:t>
            </w:r>
          </w:p>
        </w:tc>
        <w:tc>
          <w:tcPr>
            <w:tcW w:w="1563" w:type="dxa"/>
            <w:tcBorders>
              <w:top w:val="single" w:sz="2" w:space="0" w:color="auto"/>
            </w:tcBorders>
          </w:tcPr>
          <w:p w14:paraId="42231ADB"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Above 15</w:t>
            </w:r>
          </w:p>
        </w:tc>
      </w:tr>
      <w:tr w:rsidR="0057562D" w14:paraId="5404F5E9" w14:textId="77777777" w:rsidTr="003B4EAA">
        <w:tc>
          <w:tcPr>
            <w:tcW w:w="2274" w:type="dxa"/>
          </w:tcPr>
          <w:p w14:paraId="004C7E6E"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High</w:t>
            </w:r>
          </w:p>
        </w:tc>
        <w:tc>
          <w:tcPr>
            <w:tcW w:w="2063" w:type="dxa"/>
          </w:tcPr>
          <w:p w14:paraId="119AE57B"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49-53</w:t>
            </w:r>
          </w:p>
        </w:tc>
        <w:tc>
          <w:tcPr>
            <w:tcW w:w="1563" w:type="dxa"/>
          </w:tcPr>
          <w:p w14:paraId="7E6256E7"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17-19</w:t>
            </w:r>
          </w:p>
        </w:tc>
        <w:tc>
          <w:tcPr>
            <w:tcW w:w="1563" w:type="dxa"/>
          </w:tcPr>
          <w:p w14:paraId="1DACE578"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37-42</w:t>
            </w:r>
          </w:p>
        </w:tc>
        <w:tc>
          <w:tcPr>
            <w:tcW w:w="1563" w:type="dxa"/>
          </w:tcPr>
          <w:p w14:paraId="0CEBFAE6"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13-15</w:t>
            </w:r>
          </w:p>
        </w:tc>
      </w:tr>
      <w:tr w:rsidR="0057562D" w14:paraId="18142B81" w14:textId="77777777" w:rsidTr="003B4EAA">
        <w:tc>
          <w:tcPr>
            <w:tcW w:w="2274" w:type="dxa"/>
          </w:tcPr>
          <w:p w14:paraId="5D5AD9DD"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Moderate</w:t>
            </w:r>
          </w:p>
        </w:tc>
        <w:tc>
          <w:tcPr>
            <w:tcW w:w="2063" w:type="dxa"/>
          </w:tcPr>
          <w:p w14:paraId="0164D48C"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44-48</w:t>
            </w:r>
          </w:p>
        </w:tc>
        <w:tc>
          <w:tcPr>
            <w:tcW w:w="1563" w:type="dxa"/>
          </w:tcPr>
          <w:p w14:paraId="143AA97F"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15-17</w:t>
            </w:r>
          </w:p>
        </w:tc>
        <w:tc>
          <w:tcPr>
            <w:tcW w:w="1563" w:type="dxa"/>
          </w:tcPr>
          <w:p w14:paraId="29852E2D"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31-36</w:t>
            </w:r>
          </w:p>
        </w:tc>
        <w:tc>
          <w:tcPr>
            <w:tcW w:w="1563" w:type="dxa"/>
          </w:tcPr>
          <w:p w14:paraId="75494CCC"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10-12</w:t>
            </w:r>
          </w:p>
        </w:tc>
      </w:tr>
      <w:tr w:rsidR="0057562D" w14:paraId="57A589B8" w14:textId="77777777" w:rsidTr="003B4EAA">
        <w:tc>
          <w:tcPr>
            <w:tcW w:w="2274" w:type="dxa"/>
          </w:tcPr>
          <w:p w14:paraId="58D5B99F"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Low</w:t>
            </w:r>
          </w:p>
        </w:tc>
        <w:tc>
          <w:tcPr>
            <w:tcW w:w="2063" w:type="dxa"/>
          </w:tcPr>
          <w:p w14:paraId="1A3EE6B9"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39-43</w:t>
            </w:r>
          </w:p>
        </w:tc>
        <w:tc>
          <w:tcPr>
            <w:tcW w:w="1563" w:type="dxa"/>
          </w:tcPr>
          <w:p w14:paraId="7A261880"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12-14</w:t>
            </w:r>
          </w:p>
        </w:tc>
        <w:tc>
          <w:tcPr>
            <w:tcW w:w="1563" w:type="dxa"/>
          </w:tcPr>
          <w:p w14:paraId="2286E9C7"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25-30</w:t>
            </w:r>
          </w:p>
        </w:tc>
        <w:tc>
          <w:tcPr>
            <w:tcW w:w="1563" w:type="dxa"/>
          </w:tcPr>
          <w:p w14:paraId="2CC333C3"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7-9</w:t>
            </w:r>
          </w:p>
        </w:tc>
      </w:tr>
      <w:tr w:rsidR="0057562D" w14:paraId="5EFE97B9" w14:textId="77777777" w:rsidTr="003B4EAA">
        <w:tc>
          <w:tcPr>
            <w:tcW w:w="2274" w:type="dxa"/>
            <w:tcBorders>
              <w:bottom w:val="single" w:sz="12" w:space="0" w:color="auto"/>
            </w:tcBorders>
          </w:tcPr>
          <w:p w14:paraId="04A1356F"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Very Low</w:t>
            </w:r>
          </w:p>
        </w:tc>
        <w:tc>
          <w:tcPr>
            <w:tcW w:w="2063" w:type="dxa"/>
            <w:tcBorders>
              <w:bottom w:val="single" w:sz="12" w:space="0" w:color="auto"/>
            </w:tcBorders>
          </w:tcPr>
          <w:p w14:paraId="378B91C8"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Below 39</w:t>
            </w:r>
          </w:p>
        </w:tc>
        <w:tc>
          <w:tcPr>
            <w:tcW w:w="1563" w:type="dxa"/>
            <w:tcBorders>
              <w:bottom w:val="single" w:sz="12" w:space="0" w:color="auto"/>
            </w:tcBorders>
          </w:tcPr>
          <w:p w14:paraId="006470D0"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Below 12</w:t>
            </w:r>
          </w:p>
        </w:tc>
        <w:tc>
          <w:tcPr>
            <w:tcW w:w="1563" w:type="dxa"/>
            <w:tcBorders>
              <w:bottom w:val="single" w:sz="12" w:space="0" w:color="auto"/>
            </w:tcBorders>
          </w:tcPr>
          <w:p w14:paraId="28489628"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Below 25</w:t>
            </w:r>
          </w:p>
        </w:tc>
        <w:tc>
          <w:tcPr>
            <w:tcW w:w="1563" w:type="dxa"/>
            <w:tcBorders>
              <w:bottom w:val="single" w:sz="12" w:space="0" w:color="auto"/>
            </w:tcBorders>
          </w:tcPr>
          <w:p w14:paraId="03B55806"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Below 7</w:t>
            </w:r>
          </w:p>
        </w:tc>
      </w:tr>
    </w:tbl>
    <w:p w14:paraId="61C5E07B" w14:textId="63FDAC41"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To determine the mean performance level (MPL), this study adapted the grades for the 1st to 3rd quarter of the school year. It was determined using the scale on table 3. It was adapted from DepEd Order No. 8, s. 2015 to simplify the description of the students’ academic performance.</w:t>
      </w:r>
    </w:p>
    <w:p w14:paraId="7E1ECB2B" w14:textId="77777777" w:rsidR="0057562D" w:rsidRPr="00390961" w:rsidRDefault="0057562D" w:rsidP="004374DB">
      <w:pPr>
        <w:spacing w:before="240" w:after="240" w:line="240" w:lineRule="auto"/>
        <w:rPr>
          <w:rFonts w:ascii="Times New Roman" w:hAnsi="Times New Roman" w:cs="Times New Roman"/>
          <w:sz w:val="24"/>
          <w:szCs w:val="24"/>
        </w:rPr>
      </w:pPr>
      <w:r w:rsidRPr="00390961">
        <w:rPr>
          <w:rFonts w:ascii="Times New Roman" w:hAnsi="Times New Roman" w:cs="Times New Roman"/>
          <w:sz w:val="24"/>
          <w:szCs w:val="24"/>
        </w:rPr>
        <w:t>Table 3. Determinant of the Student’s MPL*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7562D" w:rsidRPr="00390961" w14:paraId="1A1D7550" w14:textId="77777777" w:rsidTr="003B4EAA">
        <w:tc>
          <w:tcPr>
            <w:tcW w:w="4508" w:type="dxa"/>
            <w:tcBorders>
              <w:top w:val="single" w:sz="12" w:space="0" w:color="auto"/>
              <w:bottom w:val="single" w:sz="2" w:space="0" w:color="auto"/>
            </w:tcBorders>
          </w:tcPr>
          <w:p w14:paraId="7E651F36"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Descriptor</w:t>
            </w:r>
          </w:p>
        </w:tc>
        <w:tc>
          <w:tcPr>
            <w:tcW w:w="4508" w:type="dxa"/>
            <w:tcBorders>
              <w:top w:val="single" w:sz="12" w:space="0" w:color="auto"/>
              <w:bottom w:val="single" w:sz="2" w:space="0" w:color="auto"/>
            </w:tcBorders>
          </w:tcPr>
          <w:p w14:paraId="086B5EB8" w14:textId="77777777" w:rsidR="0057562D" w:rsidRPr="00390961" w:rsidRDefault="0057562D" w:rsidP="003B4EAA">
            <w:pPr>
              <w:jc w:val="center"/>
              <w:rPr>
                <w:rFonts w:ascii="Times New Roman" w:hAnsi="Times New Roman" w:cs="Times New Roman"/>
                <w:b/>
                <w:bCs/>
                <w:sz w:val="24"/>
                <w:szCs w:val="24"/>
              </w:rPr>
            </w:pPr>
            <w:r w:rsidRPr="00390961">
              <w:rPr>
                <w:rFonts w:ascii="Times New Roman" w:hAnsi="Times New Roman" w:cs="Times New Roman"/>
                <w:b/>
                <w:bCs/>
                <w:sz w:val="24"/>
                <w:szCs w:val="24"/>
              </w:rPr>
              <w:t>Performance Scale</w:t>
            </w:r>
          </w:p>
        </w:tc>
      </w:tr>
      <w:tr w:rsidR="0057562D" w14:paraId="00BC019D" w14:textId="77777777" w:rsidTr="003B4EAA">
        <w:tc>
          <w:tcPr>
            <w:tcW w:w="4508" w:type="dxa"/>
            <w:tcBorders>
              <w:top w:val="single" w:sz="2" w:space="0" w:color="auto"/>
            </w:tcBorders>
          </w:tcPr>
          <w:p w14:paraId="772A47F0"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Outstanding</w:t>
            </w:r>
          </w:p>
        </w:tc>
        <w:tc>
          <w:tcPr>
            <w:tcW w:w="4508" w:type="dxa"/>
            <w:tcBorders>
              <w:top w:val="single" w:sz="2" w:space="0" w:color="auto"/>
            </w:tcBorders>
          </w:tcPr>
          <w:p w14:paraId="2C16C623"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90-100</w:t>
            </w:r>
          </w:p>
        </w:tc>
      </w:tr>
      <w:tr w:rsidR="0057562D" w14:paraId="7455AA74" w14:textId="77777777" w:rsidTr="003B4EAA">
        <w:tc>
          <w:tcPr>
            <w:tcW w:w="4508" w:type="dxa"/>
          </w:tcPr>
          <w:p w14:paraId="47968FCB"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Very Satisfactory</w:t>
            </w:r>
          </w:p>
        </w:tc>
        <w:tc>
          <w:tcPr>
            <w:tcW w:w="4508" w:type="dxa"/>
          </w:tcPr>
          <w:p w14:paraId="76173B95"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85-89</w:t>
            </w:r>
          </w:p>
        </w:tc>
      </w:tr>
      <w:tr w:rsidR="0057562D" w14:paraId="3ED4BAB4" w14:textId="77777777" w:rsidTr="003B4EAA">
        <w:tc>
          <w:tcPr>
            <w:tcW w:w="4508" w:type="dxa"/>
          </w:tcPr>
          <w:p w14:paraId="15791091"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Satisfactory</w:t>
            </w:r>
          </w:p>
        </w:tc>
        <w:tc>
          <w:tcPr>
            <w:tcW w:w="4508" w:type="dxa"/>
          </w:tcPr>
          <w:p w14:paraId="607D37DB"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80-84</w:t>
            </w:r>
          </w:p>
        </w:tc>
      </w:tr>
      <w:tr w:rsidR="0057562D" w14:paraId="1E2F128C" w14:textId="77777777" w:rsidTr="003B4EAA">
        <w:tc>
          <w:tcPr>
            <w:tcW w:w="4508" w:type="dxa"/>
          </w:tcPr>
          <w:p w14:paraId="020B65AF"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Fairly Satisfactory</w:t>
            </w:r>
          </w:p>
        </w:tc>
        <w:tc>
          <w:tcPr>
            <w:tcW w:w="4508" w:type="dxa"/>
          </w:tcPr>
          <w:p w14:paraId="0A489955"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75-79</w:t>
            </w:r>
          </w:p>
        </w:tc>
      </w:tr>
      <w:tr w:rsidR="0057562D" w14:paraId="4C681D3F" w14:textId="77777777" w:rsidTr="003B4EAA">
        <w:tc>
          <w:tcPr>
            <w:tcW w:w="4508" w:type="dxa"/>
            <w:tcBorders>
              <w:bottom w:val="single" w:sz="12" w:space="0" w:color="auto"/>
            </w:tcBorders>
          </w:tcPr>
          <w:p w14:paraId="0EE745F7"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Did Not Meet Expectations</w:t>
            </w:r>
          </w:p>
        </w:tc>
        <w:tc>
          <w:tcPr>
            <w:tcW w:w="4508" w:type="dxa"/>
            <w:tcBorders>
              <w:bottom w:val="single" w:sz="12" w:space="0" w:color="auto"/>
            </w:tcBorders>
          </w:tcPr>
          <w:p w14:paraId="5973D967" w14:textId="77777777" w:rsidR="0057562D" w:rsidRDefault="0057562D" w:rsidP="003B4EAA">
            <w:pPr>
              <w:jc w:val="center"/>
              <w:rPr>
                <w:rFonts w:ascii="Times New Roman" w:hAnsi="Times New Roman" w:cs="Times New Roman"/>
                <w:sz w:val="24"/>
                <w:szCs w:val="24"/>
              </w:rPr>
            </w:pPr>
            <w:r>
              <w:rPr>
                <w:rFonts w:ascii="Times New Roman" w:hAnsi="Times New Roman" w:cs="Times New Roman"/>
                <w:sz w:val="24"/>
                <w:szCs w:val="24"/>
              </w:rPr>
              <w:t>Below 75</w:t>
            </w:r>
          </w:p>
        </w:tc>
      </w:tr>
    </w:tbl>
    <w:p w14:paraId="03EED69C" w14:textId="4A2021F5" w:rsidR="0057562D" w:rsidRPr="0057562D" w:rsidRDefault="0057562D" w:rsidP="0057562D">
      <w:pPr>
        <w:spacing w:line="240" w:lineRule="auto"/>
        <w:rPr>
          <w:rFonts w:ascii="Times New Roman" w:hAnsi="Times New Roman" w:cs="Times New Roman"/>
          <w:i/>
          <w:iCs/>
          <w:sz w:val="24"/>
          <w:szCs w:val="24"/>
        </w:rPr>
      </w:pPr>
      <w:r w:rsidRPr="00B92565">
        <w:rPr>
          <w:rFonts w:ascii="Times New Roman" w:hAnsi="Times New Roman" w:cs="Times New Roman"/>
          <w:i/>
          <w:iCs/>
          <w:sz w:val="24"/>
          <w:szCs w:val="24"/>
        </w:rPr>
        <w:t>*Adapted from DepEd Order No. 8, s. 2015</w:t>
      </w:r>
    </w:p>
    <w:p w14:paraId="730ACABC" w14:textId="3C682F64"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The data gathering procedure for this study involved selecting 72 respondents randomly from the pool of 722 Grade 10 students at Camarines Norte National High School. The students were assigned numbers, and the researcher drawn from these numbers to randomly select the participants. Prior to answering the questionnaires, an orientation was conducted to explain the study's purpose, assure the respondents of their right to withdraw, and emphasize the confidentiality and anonymity of the collected data. The researcher provided assistance to students who have questions about the questionnaires.</w:t>
      </w:r>
    </w:p>
    <w:p w14:paraId="00108A62" w14:textId="77777777"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Ethical considerations were taken into account by communicating with the school administration, including the school principal and class advisers, through a letter of communication. Each respondent was given a letter of consent to gather information, and only with their approval and consent that the survey questionnaires be distributed. The data collected were treated as highly confidential and anonymous, following the guidelines of the Data Privacy Act of 2012. No personal names were collected, and only the researcher handled the gathered data. Proper disposal of all responses was ensured after data analysis and interpretation to maintain data security.</w:t>
      </w:r>
    </w:p>
    <w:p w14:paraId="555A333C" w14:textId="15997D4A" w:rsid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Statistical analyses were conducted on the collected data using various tools. Percentage technique, weighted mean, and standard deviation were used to describe and determine the independent variables, such as the mean performance level (MPL), level of tolerance (LoT), and causes of ambiguity. Linear Regression Analysis was employed to assess the cause-and-effect relationship between MPL and LoT among grade 10 students. Additionally, Pearson Moment Correlation was used to evaluate the relationship between MPL and LoT. While Pearson Moment Correlation examined the relationship between variables without assuming causation, Linear Regression Analysis helped in determining whether the level of tolerance of ambiguity influences the mean performance level (MPL) of grade 10 students in Mathematics.</w:t>
      </w:r>
    </w:p>
    <w:p w14:paraId="2719F67E" w14:textId="77777777" w:rsidR="0057562D" w:rsidRPr="0057562D" w:rsidRDefault="0057562D" w:rsidP="0057562D">
      <w:pPr>
        <w:spacing w:before="240" w:after="240" w:line="240" w:lineRule="auto"/>
        <w:jc w:val="both"/>
        <w:rPr>
          <w:rFonts w:ascii="Times New Roman" w:hAnsi="Times New Roman" w:cs="Times New Roman"/>
          <w:b/>
          <w:bCs/>
          <w:sz w:val="28"/>
          <w:szCs w:val="28"/>
        </w:rPr>
      </w:pPr>
      <w:r w:rsidRPr="0057562D">
        <w:rPr>
          <w:rFonts w:ascii="Times New Roman" w:hAnsi="Times New Roman" w:cs="Times New Roman"/>
          <w:b/>
          <w:bCs/>
          <w:sz w:val="28"/>
          <w:szCs w:val="28"/>
        </w:rPr>
        <w:lastRenderedPageBreak/>
        <w:t>RESULTS</w:t>
      </w:r>
    </w:p>
    <w:p w14:paraId="743D3DCD" w14:textId="6C78DEFA" w:rsidR="00A103D4" w:rsidRDefault="00A103D4" w:rsidP="0057562D">
      <w:pPr>
        <w:spacing w:before="240" w:after="240" w:line="240" w:lineRule="auto"/>
        <w:jc w:val="both"/>
        <w:rPr>
          <w:rFonts w:ascii="Times New Roman" w:hAnsi="Times New Roman" w:cs="Times New Roman"/>
          <w:sz w:val="24"/>
          <w:szCs w:val="24"/>
        </w:rPr>
      </w:pPr>
      <w:r w:rsidRPr="00A103D4">
        <w:rPr>
          <w:rFonts w:ascii="Times New Roman" w:hAnsi="Times New Roman" w:cs="Times New Roman"/>
          <w:sz w:val="24"/>
          <w:szCs w:val="24"/>
        </w:rPr>
        <w:t>During the conduct of the survey, it was noted that grade 10 students have varied performance level (MPL). And that they showed higher tolerance to unfavorable situations. However, this study also revealed that the scope and the variables should be taken into account as it was affected by the behavior of the students answering.</w:t>
      </w:r>
    </w:p>
    <w:p w14:paraId="39F76ABE" w14:textId="77777777" w:rsidR="00A103D4" w:rsidRDefault="00A103D4" w:rsidP="00C26705">
      <w:pPr>
        <w:spacing w:before="240"/>
        <w:rPr>
          <w:rFonts w:ascii="Times New Roman" w:hAnsi="Times New Roman" w:cs="Times New Roman"/>
          <w:b/>
          <w:bCs/>
          <w:sz w:val="24"/>
          <w:szCs w:val="24"/>
        </w:rPr>
      </w:pPr>
      <w:r>
        <w:rPr>
          <w:rFonts w:ascii="Times New Roman" w:hAnsi="Times New Roman" w:cs="Times New Roman"/>
          <w:b/>
          <w:bCs/>
          <w:sz w:val="24"/>
          <w:szCs w:val="24"/>
        </w:rPr>
        <w:t>Mean Performance Level in Mathematics and Level of Tolerance of Ambiguity of Grade 10 Students</w:t>
      </w:r>
    </w:p>
    <w:p w14:paraId="63C6BBFC" w14:textId="77777777" w:rsidR="00A103D4" w:rsidRPr="00A103D4" w:rsidRDefault="00A103D4" w:rsidP="004374DB">
      <w:pPr>
        <w:spacing w:before="240" w:after="240" w:line="240" w:lineRule="auto"/>
        <w:rPr>
          <w:rFonts w:ascii="Times New Roman" w:hAnsi="Times New Roman" w:cs="Times New Roman"/>
          <w:sz w:val="24"/>
          <w:szCs w:val="24"/>
        </w:rPr>
      </w:pPr>
      <w:r w:rsidRPr="00A103D4">
        <w:rPr>
          <w:rFonts w:ascii="Times New Roman" w:hAnsi="Times New Roman" w:cs="Times New Roman"/>
          <w:sz w:val="24"/>
          <w:szCs w:val="24"/>
        </w:rPr>
        <w:t>Table 4. Mean Performance Level and Level of Tolerance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442"/>
        <w:gridCol w:w="1572"/>
        <w:gridCol w:w="817"/>
        <w:gridCol w:w="3018"/>
      </w:tblGrid>
      <w:tr w:rsidR="00A103D4" w:rsidRPr="00BD0D69" w14:paraId="0B192E8D" w14:textId="77777777" w:rsidTr="00A103D4">
        <w:tc>
          <w:tcPr>
            <w:tcW w:w="1798" w:type="pct"/>
            <w:tcBorders>
              <w:top w:val="double" w:sz="4" w:space="0" w:color="auto"/>
              <w:bottom w:val="single" w:sz="4" w:space="0" w:color="auto"/>
            </w:tcBorders>
            <w:vAlign w:val="center"/>
          </w:tcPr>
          <w:p w14:paraId="5A269EE4" w14:textId="77777777" w:rsidR="00A103D4" w:rsidRPr="00BD0D69" w:rsidRDefault="00A103D4" w:rsidP="003B4EAA">
            <w:pPr>
              <w:jc w:val="center"/>
              <w:rPr>
                <w:rFonts w:ascii="Times New Roman" w:hAnsi="Times New Roman" w:cs="Times New Roman"/>
                <w:b/>
                <w:bCs/>
                <w:sz w:val="24"/>
                <w:szCs w:val="24"/>
              </w:rPr>
            </w:pPr>
          </w:p>
        </w:tc>
        <w:tc>
          <w:tcPr>
            <w:tcW w:w="674" w:type="pct"/>
            <w:tcBorders>
              <w:top w:val="double" w:sz="4" w:space="0" w:color="auto"/>
              <w:bottom w:val="single" w:sz="4" w:space="0" w:color="auto"/>
            </w:tcBorders>
            <w:vAlign w:val="center"/>
          </w:tcPr>
          <w:p w14:paraId="16AA83B2" w14:textId="77777777" w:rsidR="00A103D4" w:rsidRPr="00BD0D69" w:rsidRDefault="00A103D4"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Mean</w:t>
            </w:r>
          </w:p>
        </w:tc>
        <w:tc>
          <w:tcPr>
            <w:tcW w:w="735" w:type="pct"/>
            <w:tcBorders>
              <w:top w:val="double" w:sz="4" w:space="0" w:color="auto"/>
              <w:bottom w:val="single" w:sz="4" w:space="0" w:color="auto"/>
            </w:tcBorders>
            <w:vAlign w:val="center"/>
          </w:tcPr>
          <w:p w14:paraId="268B089A" w14:textId="77777777" w:rsidR="00A103D4" w:rsidRPr="00BD0D69" w:rsidRDefault="00A103D4"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SD</w:t>
            </w:r>
          </w:p>
        </w:tc>
        <w:tc>
          <w:tcPr>
            <w:tcW w:w="382" w:type="pct"/>
            <w:tcBorders>
              <w:top w:val="double" w:sz="4" w:space="0" w:color="auto"/>
              <w:bottom w:val="single" w:sz="4" w:space="0" w:color="auto"/>
            </w:tcBorders>
          </w:tcPr>
          <w:p w14:paraId="3ED5B39E" w14:textId="77777777" w:rsidR="00A103D4" w:rsidRPr="00BD0D69" w:rsidRDefault="00A103D4" w:rsidP="003B4EAA">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1411" w:type="pct"/>
            <w:tcBorders>
              <w:top w:val="double" w:sz="4" w:space="0" w:color="auto"/>
              <w:bottom w:val="single" w:sz="4" w:space="0" w:color="auto"/>
            </w:tcBorders>
          </w:tcPr>
          <w:p w14:paraId="27588CAA" w14:textId="77777777" w:rsidR="00A103D4" w:rsidRDefault="00A103D4" w:rsidP="003B4EAA">
            <w:pPr>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A103D4" w14:paraId="23525BE6" w14:textId="77777777" w:rsidTr="00A103D4">
        <w:tc>
          <w:tcPr>
            <w:tcW w:w="1798" w:type="pct"/>
            <w:tcBorders>
              <w:top w:val="single" w:sz="4" w:space="0" w:color="auto"/>
            </w:tcBorders>
          </w:tcPr>
          <w:p w14:paraId="601B9410" w14:textId="77777777" w:rsidR="00A103D4" w:rsidRPr="00C1612B" w:rsidRDefault="00A103D4" w:rsidP="003B4EAA">
            <w:pPr>
              <w:rPr>
                <w:rFonts w:ascii="Times New Roman" w:hAnsi="Times New Roman" w:cs="Times New Roman"/>
                <w:sz w:val="24"/>
                <w:szCs w:val="24"/>
              </w:rPr>
            </w:pPr>
            <w:r>
              <w:rPr>
                <w:rFonts w:ascii="Times New Roman" w:hAnsi="Times New Roman" w:cs="Times New Roman"/>
                <w:sz w:val="24"/>
                <w:szCs w:val="24"/>
              </w:rPr>
              <w:t>MPL</w:t>
            </w:r>
          </w:p>
        </w:tc>
        <w:tc>
          <w:tcPr>
            <w:tcW w:w="674" w:type="pct"/>
            <w:tcBorders>
              <w:top w:val="single" w:sz="4" w:space="0" w:color="auto"/>
            </w:tcBorders>
            <w:vAlign w:val="center"/>
          </w:tcPr>
          <w:p w14:paraId="1D0C1689"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90.04</w:t>
            </w:r>
          </w:p>
        </w:tc>
        <w:tc>
          <w:tcPr>
            <w:tcW w:w="735" w:type="pct"/>
            <w:tcBorders>
              <w:top w:val="single" w:sz="4" w:space="0" w:color="auto"/>
            </w:tcBorders>
            <w:vAlign w:val="center"/>
          </w:tcPr>
          <w:p w14:paraId="73C94EBF"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4.1162</w:t>
            </w:r>
          </w:p>
        </w:tc>
        <w:tc>
          <w:tcPr>
            <w:tcW w:w="382" w:type="pct"/>
            <w:vMerge w:val="restart"/>
            <w:tcBorders>
              <w:top w:val="single" w:sz="4" w:space="0" w:color="auto"/>
            </w:tcBorders>
            <w:vAlign w:val="center"/>
          </w:tcPr>
          <w:p w14:paraId="0CDEF272"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72</w:t>
            </w:r>
          </w:p>
        </w:tc>
        <w:tc>
          <w:tcPr>
            <w:tcW w:w="1411" w:type="pct"/>
            <w:tcBorders>
              <w:top w:val="single" w:sz="4" w:space="0" w:color="auto"/>
            </w:tcBorders>
          </w:tcPr>
          <w:p w14:paraId="6007B908"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Outstanding</w:t>
            </w:r>
          </w:p>
        </w:tc>
      </w:tr>
      <w:tr w:rsidR="00A103D4" w14:paraId="1BCB99CE" w14:textId="77777777" w:rsidTr="00A103D4">
        <w:tc>
          <w:tcPr>
            <w:tcW w:w="1798" w:type="pct"/>
            <w:tcBorders>
              <w:bottom w:val="double" w:sz="4" w:space="0" w:color="auto"/>
            </w:tcBorders>
          </w:tcPr>
          <w:p w14:paraId="299C40ED" w14:textId="77777777" w:rsidR="00A103D4" w:rsidRPr="00C1612B" w:rsidRDefault="00A103D4" w:rsidP="003B4EAA">
            <w:pPr>
              <w:rPr>
                <w:rFonts w:ascii="Times New Roman" w:hAnsi="Times New Roman" w:cs="Times New Roman"/>
                <w:sz w:val="24"/>
                <w:szCs w:val="24"/>
              </w:rPr>
            </w:pPr>
            <w:r>
              <w:rPr>
                <w:rFonts w:ascii="Times New Roman" w:hAnsi="Times New Roman" w:cs="Times New Roman"/>
                <w:sz w:val="24"/>
                <w:szCs w:val="24"/>
              </w:rPr>
              <w:t>Level of Tolerance</w:t>
            </w:r>
          </w:p>
        </w:tc>
        <w:tc>
          <w:tcPr>
            <w:tcW w:w="674" w:type="pct"/>
            <w:tcBorders>
              <w:bottom w:val="double" w:sz="4" w:space="0" w:color="auto"/>
            </w:tcBorders>
            <w:vAlign w:val="center"/>
          </w:tcPr>
          <w:p w14:paraId="6A738AAE"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63.08</w:t>
            </w:r>
          </w:p>
        </w:tc>
        <w:tc>
          <w:tcPr>
            <w:tcW w:w="735" w:type="pct"/>
            <w:tcBorders>
              <w:bottom w:val="double" w:sz="4" w:space="0" w:color="auto"/>
            </w:tcBorders>
            <w:vAlign w:val="center"/>
          </w:tcPr>
          <w:p w14:paraId="6D9C1318"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7.1894</w:t>
            </w:r>
          </w:p>
        </w:tc>
        <w:tc>
          <w:tcPr>
            <w:tcW w:w="382" w:type="pct"/>
            <w:vMerge/>
            <w:tcBorders>
              <w:bottom w:val="double" w:sz="4" w:space="0" w:color="auto"/>
            </w:tcBorders>
          </w:tcPr>
          <w:p w14:paraId="1795706A" w14:textId="77777777" w:rsidR="00A103D4" w:rsidRDefault="00A103D4" w:rsidP="003B4EAA">
            <w:pPr>
              <w:jc w:val="center"/>
              <w:rPr>
                <w:rFonts w:ascii="Times New Roman" w:hAnsi="Times New Roman" w:cs="Times New Roman"/>
                <w:sz w:val="24"/>
                <w:szCs w:val="24"/>
              </w:rPr>
            </w:pPr>
          </w:p>
        </w:tc>
        <w:tc>
          <w:tcPr>
            <w:tcW w:w="1411" w:type="pct"/>
            <w:tcBorders>
              <w:bottom w:val="double" w:sz="4" w:space="0" w:color="auto"/>
            </w:tcBorders>
          </w:tcPr>
          <w:p w14:paraId="5B064D2D" w14:textId="77777777" w:rsidR="00A103D4" w:rsidRDefault="00A103D4" w:rsidP="003B4EAA">
            <w:pPr>
              <w:jc w:val="center"/>
              <w:rPr>
                <w:rFonts w:ascii="Times New Roman" w:hAnsi="Times New Roman" w:cs="Times New Roman"/>
                <w:sz w:val="24"/>
                <w:szCs w:val="24"/>
              </w:rPr>
            </w:pPr>
            <w:r>
              <w:rPr>
                <w:rFonts w:ascii="Times New Roman" w:hAnsi="Times New Roman" w:cs="Times New Roman"/>
                <w:sz w:val="24"/>
                <w:szCs w:val="24"/>
              </w:rPr>
              <w:t>Very High</w:t>
            </w:r>
          </w:p>
        </w:tc>
      </w:tr>
    </w:tbl>
    <w:p w14:paraId="06D2D4AC" w14:textId="74666657" w:rsidR="00A103D4" w:rsidRDefault="00A103D4" w:rsidP="0057562D">
      <w:pPr>
        <w:spacing w:before="240" w:after="240" w:line="240" w:lineRule="auto"/>
        <w:jc w:val="both"/>
        <w:rPr>
          <w:rFonts w:ascii="Times New Roman" w:hAnsi="Times New Roman" w:cs="Times New Roman"/>
          <w:sz w:val="24"/>
          <w:szCs w:val="24"/>
        </w:rPr>
      </w:pPr>
      <w:r w:rsidRPr="00A103D4">
        <w:rPr>
          <w:rFonts w:ascii="Times New Roman" w:hAnsi="Times New Roman" w:cs="Times New Roman"/>
          <w:sz w:val="24"/>
          <w:szCs w:val="24"/>
        </w:rPr>
        <w:t>The results revealed that the Mean Performance Level in Mathematics of Grade 10 student in Camarines Norte National High School was on average Outstanding (90.04). This indicates that, on average, the students showed outstanding performance in the subject (See table 4). Furthermore, this has a standard deviation of 4.12, meaning that the data are closer together and are showing homogeneity in terms of their performance.</w:t>
      </w:r>
      <w:r w:rsidR="00AE67A8" w:rsidRPr="00AE67A8">
        <w:rPr>
          <w:rFonts w:ascii="Times New Roman" w:hAnsi="Times New Roman" w:cs="Times New Roman"/>
          <w:sz w:val="24"/>
          <w:szCs w:val="24"/>
        </w:rPr>
        <w:t xml:space="preserve"> </w:t>
      </w:r>
      <w:r w:rsidR="00AE67A8">
        <w:rPr>
          <w:rFonts w:ascii="Times New Roman" w:hAnsi="Times New Roman" w:cs="Times New Roman"/>
          <w:sz w:val="24"/>
          <w:szCs w:val="24"/>
        </w:rPr>
        <w:t>Furthermore, the results also showed that the level of tolerance of ambiguity of the students were very high (63.08) than the average score. However, it also showed that their scores were greatly spread out (SD=7.19), meaning that the level of tolerance of the students can be concluded as heterogeneous.</w:t>
      </w:r>
    </w:p>
    <w:p w14:paraId="097BBBFD" w14:textId="77777777" w:rsidR="00AE67A8" w:rsidRPr="00AE67A8" w:rsidRDefault="00AE67A8" w:rsidP="00AE67A8">
      <w:pPr>
        <w:spacing w:before="240" w:after="240" w:line="240" w:lineRule="auto"/>
        <w:jc w:val="both"/>
        <w:rPr>
          <w:rFonts w:ascii="Times New Roman" w:hAnsi="Times New Roman" w:cs="Times New Roman"/>
          <w:b/>
          <w:bCs/>
          <w:sz w:val="24"/>
          <w:szCs w:val="24"/>
        </w:rPr>
      </w:pPr>
      <w:r w:rsidRPr="00AE67A8">
        <w:rPr>
          <w:rFonts w:ascii="Times New Roman" w:hAnsi="Times New Roman" w:cs="Times New Roman"/>
          <w:b/>
          <w:bCs/>
          <w:sz w:val="24"/>
          <w:szCs w:val="24"/>
        </w:rPr>
        <w:t>Causes for Intolerance Identified from Three Dimensions: Novelty, Complexity, and Insolubility</w:t>
      </w:r>
    </w:p>
    <w:p w14:paraId="34F80AC4" w14:textId="513DB569" w:rsidR="00A103D4" w:rsidRDefault="00AE67A8" w:rsidP="00AE67A8">
      <w:pPr>
        <w:spacing w:before="240" w:after="240" w:line="240" w:lineRule="auto"/>
        <w:jc w:val="both"/>
        <w:rPr>
          <w:rFonts w:ascii="Times New Roman" w:hAnsi="Times New Roman" w:cs="Times New Roman"/>
          <w:sz w:val="24"/>
          <w:szCs w:val="24"/>
        </w:rPr>
      </w:pPr>
      <w:r w:rsidRPr="00AE67A8">
        <w:rPr>
          <w:rFonts w:ascii="Times New Roman" w:hAnsi="Times New Roman" w:cs="Times New Roman"/>
          <w:sz w:val="24"/>
          <w:szCs w:val="24"/>
        </w:rPr>
        <w:t>A wide range of reactions are possible consequences of an individual’s ambiguity tolerance, such as career avoidance, delayed decision making, inaccurate choices, errors made in attributing causality, and other reactions ranging from the general to the situation-specific (McLain, Kefallonitis, &amp; Armani, 2015). The three subscales were also computed to reveal the major source of intolerance of ambiguity.</w:t>
      </w:r>
    </w:p>
    <w:p w14:paraId="0ED38E6A" w14:textId="77777777" w:rsidR="00AE67A8" w:rsidRPr="001605EE" w:rsidRDefault="00AE67A8" w:rsidP="004374DB">
      <w:pPr>
        <w:spacing w:before="240" w:after="240" w:line="240" w:lineRule="auto"/>
        <w:rPr>
          <w:rFonts w:ascii="Times New Roman" w:hAnsi="Times New Roman" w:cs="Times New Roman"/>
          <w:sz w:val="24"/>
          <w:szCs w:val="24"/>
        </w:rPr>
      </w:pPr>
      <w:r w:rsidRPr="001605EE">
        <w:rPr>
          <w:rFonts w:ascii="Times New Roman" w:hAnsi="Times New Roman" w:cs="Times New Roman"/>
          <w:sz w:val="24"/>
          <w:szCs w:val="24"/>
        </w:rPr>
        <w:t>Table 5. Subscales to Determine the Causes for Intolerance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9"/>
        <w:gridCol w:w="1463"/>
        <w:gridCol w:w="1600"/>
        <w:gridCol w:w="1600"/>
        <w:gridCol w:w="1994"/>
      </w:tblGrid>
      <w:tr w:rsidR="00AE67A8" w:rsidRPr="00BD0D69" w14:paraId="15C133F2" w14:textId="77777777" w:rsidTr="00C26705">
        <w:tc>
          <w:tcPr>
            <w:tcW w:w="1888" w:type="pct"/>
            <w:tcBorders>
              <w:top w:val="double" w:sz="4" w:space="0" w:color="auto"/>
              <w:bottom w:val="single" w:sz="4" w:space="0" w:color="auto"/>
            </w:tcBorders>
            <w:vAlign w:val="center"/>
          </w:tcPr>
          <w:p w14:paraId="650B3DE4" w14:textId="77777777" w:rsidR="00AE67A8" w:rsidRPr="00BD0D69" w:rsidRDefault="00AE67A8" w:rsidP="003B4EAA">
            <w:pPr>
              <w:jc w:val="center"/>
              <w:rPr>
                <w:rFonts w:ascii="Times New Roman" w:hAnsi="Times New Roman" w:cs="Times New Roman"/>
                <w:b/>
                <w:bCs/>
                <w:sz w:val="24"/>
                <w:szCs w:val="24"/>
              </w:rPr>
            </w:pPr>
            <w:r>
              <w:rPr>
                <w:rFonts w:ascii="Times New Roman" w:hAnsi="Times New Roman" w:cs="Times New Roman"/>
                <w:b/>
                <w:bCs/>
                <w:sz w:val="24"/>
                <w:szCs w:val="24"/>
              </w:rPr>
              <w:t>Causes for Intolerance</w:t>
            </w:r>
          </w:p>
        </w:tc>
        <w:tc>
          <w:tcPr>
            <w:tcW w:w="684" w:type="pct"/>
            <w:tcBorders>
              <w:top w:val="double" w:sz="4" w:space="0" w:color="auto"/>
              <w:bottom w:val="single" w:sz="4" w:space="0" w:color="auto"/>
            </w:tcBorders>
            <w:vAlign w:val="center"/>
          </w:tcPr>
          <w:p w14:paraId="7B52354E" w14:textId="77777777" w:rsidR="00AE67A8" w:rsidRPr="00BD0D69" w:rsidRDefault="00AE67A8"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Mean</w:t>
            </w:r>
          </w:p>
        </w:tc>
        <w:tc>
          <w:tcPr>
            <w:tcW w:w="748" w:type="pct"/>
            <w:tcBorders>
              <w:top w:val="double" w:sz="4" w:space="0" w:color="auto"/>
              <w:bottom w:val="single" w:sz="4" w:space="0" w:color="auto"/>
            </w:tcBorders>
            <w:vAlign w:val="center"/>
          </w:tcPr>
          <w:p w14:paraId="1BD3FD9B" w14:textId="77777777" w:rsidR="00AE67A8" w:rsidRPr="00BD0D69" w:rsidRDefault="00AE67A8"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SD</w:t>
            </w:r>
          </w:p>
        </w:tc>
        <w:tc>
          <w:tcPr>
            <w:tcW w:w="748" w:type="pct"/>
            <w:tcBorders>
              <w:top w:val="double" w:sz="4" w:space="0" w:color="auto"/>
              <w:bottom w:val="single" w:sz="4" w:space="0" w:color="auto"/>
            </w:tcBorders>
          </w:tcPr>
          <w:p w14:paraId="2EB4D7FC" w14:textId="77777777" w:rsidR="00AE67A8" w:rsidRPr="00BD0D69" w:rsidRDefault="00AE67A8" w:rsidP="003B4EAA">
            <w:pPr>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932" w:type="pct"/>
            <w:tcBorders>
              <w:top w:val="double" w:sz="4" w:space="0" w:color="auto"/>
              <w:bottom w:val="single" w:sz="4" w:space="0" w:color="auto"/>
            </w:tcBorders>
          </w:tcPr>
          <w:p w14:paraId="6ACEAC9F" w14:textId="77777777" w:rsidR="00AE67A8" w:rsidRPr="00BD0D69" w:rsidRDefault="00AE67A8" w:rsidP="003B4EAA">
            <w:pPr>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rsidR="00AE67A8" w14:paraId="34151082" w14:textId="77777777" w:rsidTr="00C26705">
        <w:tc>
          <w:tcPr>
            <w:tcW w:w="1888" w:type="pct"/>
            <w:tcBorders>
              <w:top w:val="single" w:sz="4" w:space="0" w:color="auto"/>
            </w:tcBorders>
          </w:tcPr>
          <w:p w14:paraId="2FF278D9" w14:textId="77777777" w:rsidR="00AE67A8" w:rsidRPr="00C1612B" w:rsidRDefault="00AE67A8" w:rsidP="003B4EAA">
            <w:pPr>
              <w:rPr>
                <w:rFonts w:ascii="Times New Roman" w:hAnsi="Times New Roman" w:cs="Times New Roman"/>
                <w:sz w:val="24"/>
                <w:szCs w:val="24"/>
              </w:rPr>
            </w:pPr>
            <w:r>
              <w:rPr>
                <w:rFonts w:ascii="Times New Roman" w:hAnsi="Times New Roman" w:cs="Times New Roman"/>
                <w:sz w:val="24"/>
                <w:szCs w:val="24"/>
              </w:rPr>
              <w:t>Novelty (N)</w:t>
            </w:r>
          </w:p>
        </w:tc>
        <w:tc>
          <w:tcPr>
            <w:tcW w:w="684" w:type="pct"/>
            <w:tcBorders>
              <w:top w:val="single" w:sz="4" w:space="0" w:color="auto"/>
            </w:tcBorders>
            <w:vAlign w:val="center"/>
          </w:tcPr>
          <w:p w14:paraId="0412DD93"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17.83</w:t>
            </w:r>
          </w:p>
        </w:tc>
        <w:tc>
          <w:tcPr>
            <w:tcW w:w="748" w:type="pct"/>
            <w:tcBorders>
              <w:top w:val="single" w:sz="4" w:space="0" w:color="auto"/>
            </w:tcBorders>
            <w:vAlign w:val="center"/>
          </w:tcPr>
          <w:p w14:paraId="62CB017B"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3.39</w:t>
            </w:r>
          </w:p>
        </w:tc>
        <w:tc>
          <w:tcPr>
            <w:tcW w:w="748" w:type="pct"/>
            <w:vMerge w:val="restart"/>
            <w:tcBorders>
              <w:top w:val="single" w:sz="4" w:space="0" w:color="auto"/>
            </w:tcBorders>
            <w:vAlign w:val="center"/>
          </w:tcPr>
          <w:p w14:paraId="2104A48D"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72</w:t>
            </w:r>
          </w:p>
        </w:tc>
        <w:tc>
          <w:tcPr>
            <w:tcW w:w="932" w:type="pct"/>
            <w:tcBorders>
              <w:top w:val="single" w:sz="4" w:space="0" w:color="auto"/>
            </w:tcBorders>
          </w:tcPr>
          <w:p w14:paraId="4A297908"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High</w:t>
            </w:r>
          </w:p>
        </w:tc>
      </w:tr>
      <w:tr w:rsidR="00AE67A8" w14:paraId="267E4254" w14:textId="77777777" w:rsidTr="00C26705">
        <w:tc>
          <w:tcPr>
            <w:tcW w:w="1888" w:type="pct"/>
          </w:tcPr>
          <w:p w14:paraId="27271495" w14:textId="77777777" w:rsidR="00AE67A8" w:rsidRPr="00C1612B" w:rsidRDefault="00AE67A8" w:rsidP="003B4EAA">
            <w:pPr>
              <w:rPr>
                <w:rFonts w:ascii="Times New Roman" w:hAnsi="Times New Roman" w:cs="Times New Roman"/>
                <w:sz w:val="24"/>
                <w:szCs w:val="24"/>
              </w:rPr>
            </w:pPr>
            <w:r>
              <w:rPr>
                <w:rFonts w:ascii="Times New Roman" w:hAnsi="Times New Roman" w:cs="Times New Roman"/>
                <w:sz w:val="24"/>
                <w:szCs w:val="24"/>
              </w:rPr>
              <w:t>Complexity (C)</w:t>
            </w:r>
          </w:p>
        </w:tc>
        <w:tc>
          <w:tcPr>
            <w:tcW w:w="684" w:type="pct"/>
            <w:vAlign w:val="center"/>
          </w:tcPr>
          <w:p w14:paraId="214D6B4D"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33.14</w:t>
            </w:r>
          </w:p>
        </w:tc>
        <w:tc>
          <w:tcPr>
            <w:tcW w:w="748" w:type="pct"/>
            <w:vAlign w:val="center"/>
          </w:tcPr>
          <w:p w14:paraId="321A3447"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5.73</w:t>
            </w:r>
          </w:p>
        </w:tc>
        <w:tc>
          <w:tcPr>
            <w:tcW w:w="748" w:type="pct"/>
            <w:vMerge/>
          </w:tcPr>
          <w:p w14:paraId="32545053" w14:textId="77777777" w:rsidR="00AE67A8" w:rsidRDefault="00AE67A8" w:rsidP="003B4EAA">
            <w:pPr>
              <w:jc w:val="center"/>
              <w:rPr>
                <w:rFonts w:ascii="Times New Roman" w:hAnsi="Times New Roman" w:cs="Times New Roman"/>
                <w:sz w:val="24"/>
                <w:szCs w:val="24"/>
              </w:rPr>
            </w:pPr>
          </w:p>
        </w:tc>
        <w:tc>
          <w:tcPr>
            <w:tcW w:w="932" w:type="pct"/>
          </w:tcPr>
          <w:p w14:paraId="679A5365"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Moderate</w:t>
            </w:r>
          </w:p>
        </w:tc>
      </w:tr>
      <w:tr w:rsidR="00AE67A8" w14:paraId="5AFB8002" w14:textId="77777777" w:rsidTr="00C26705">
        <w:tc>
          <w:tcPr>
            <w:tcW w:w="1888" w:type="pct"/>
            <w:tcBorders>
              <w:bottom w:val="double" w:sz="4" w:space="0" w:color="auto"/>
            </w:tcBorders>
          </w:tcPr>
          <w:p w14:paraId="54C354ED" w14:textId="77777777" w:rsidR="00AE67A8" w:rsidRPr="00C1612B" w:rsidRDefault="00AE67A8" w:rsidP="003B4EAA">
            <w:pPr>
              <w:rPr>
                <w:rFonts w:ascii="Times New Roman" w:hAnsi="Times New Roman" w:cs="Times New Roman"/>
                <w:sz w:val="24"/>
                <w:szCs w:val="24"/>
              </w:rPr>
            </w:pPr>
            <w:r>
              <w:rPr>
                <w:rFonts w:ascii="Times New Roman" w:hAnsi="Times New Roman" w:cs="Times New Roman"/>
                <w:sz w:val="24"/>
                <w:szCs w:val="24"/>
              </w:rPr>
              <w:t>Insolubility (I)</w:t>
            </w:r>
          </w:p>
        </w:tc>
        <w:tc>
          <w:tcPr>
            <w:tcW w:w="684" w:type="pct"/>
            <w:tcBorders>
              <w:bottom w:val="double" w:sz="4" w:space="0" w:color="auto"/>
            </w:tcBorders>
            <w:vAlign w:val="center"/>
          </w:tcPr>
          <w:p w14:paraId="649DDBB7"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12.11</w:t>
            </w:r>
          </w:p>
        </w:tc>
        <w:tc>
          <w:tcPr>
            <w:tcW w:w="748" w:type="pct"/>
            <w:tcBorders>
              <w:bottom w:val="double" w:sz="4" w:space="0" w:color="auto"/>
            </w:tcBorders>
            <w:vAlign w:val="center"/>
          </w:tcPr>
          <w:p w14:paraId="1702F099"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3.43</w:t>
            </w:r>
          </w:p>
        </w:tc>
        <w:tc>
          <w:tcPr>
            <w:tcW w:w="748" w:type="pct"/>
            <w:vMerge/>
            <w:tcBorders>
              <w:bottom w:val="double" w:sz="4" w:space="0" w:color="auto"/>
            </w:tcBorders>
          </w:tcPr>
          <w:p w14:paraId="66D4CD62" w14:textId="77777777" w:rsidR="00AE67A8" w:rsidRDefault="00AE67A8" w:rsidP="003B4EAA">
            <w:pPr>
              <w:jc w:val="center"/>
              <w:rPr>
                <w:rFonts w:ascii="Times New Roman" w:hAnsi="Times New Roman" w:cs="Times New Roman"/>
                <w:sz w:val="24"/>
                <w:szCs w:val="24"/>
              </w:rPr>
            </w:pPr>
          </w:p>
        </w:tc>
        <w:tc>
          <w:tcPr>
            <w:tcW w:w="932" w:type="pct"/>
            <w:tcBorders>
              <w:bottom w:val="double" w:sz="4" w:space="0" w:color="auto"/>
            </w:tcBorders>
          </w:tcPr>
          <w:p w14:paraId="0CD82476" w14:textId="77777777" w:rsidR="00AE67A8" w:rsidRDefault="00AE67A8" w:rsidP="003B4EAA">
            <w:pPr>
              <w:jc w:val="center"/>
              <w:rPr>
                <w:rFonts w:ascii="Times New Roman" w:hAnsi="Times New Roman" w:cs="Times New Roman"/>
                <w:sz w:val="24"/>
                <w:szCs w:val="24"/>
              </w:rPr>
            </w:pPr>
            <w:r>
              <w:rPr>
                <w:rFonts w:ascii="Times New Roman" w:hAnsi="Times New Roman" w:cs="Times New Roman"/>
                <w:sz w:val="24"/>
                <w:szCs w:val="24"/>
              </w:rPr>
              <w:t>Moderate</w:t>
            </w:r>
          </w:p>
        </w:tc>
      </w:tr>
    </w:tbl>
    <w:p w14:paraId="16C3C7D7" w14:textId="7395EC72" w:rsidR="00AE67A8" w:rsidRDefault="00C26705" w:rsidP="00AE67A8">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results shows (Table 5) that</w:t>
      </w:r>
      <w:r w:rsidRPr="00C26705">
        <w:rPr>
          <w:rFonts w:ascii="Times New Roman" w:hAnsi="Times New Roman" w:cs="Times New Roman"/>
          <w:sz w:val="24"/>
          <w:szCs w:val="24"/>
        </w:rPr>
        <w:t xml:space="preserve"> the subscale scores determining the causes for intolerance of ambiguity among the 72 Grade 10 respondents. Results showed that Novelty (N) obtained the highest mean of 17.83 (SD = 3.39), interpreted as High, indicating that unfamiliar situations are the most prominent source of discomfort among students. Complexity (C) yielded a mean of 33.14 (SD = 5.73), while Insolubility (I) recorded a mean of 12.11 (SD = 3.43), both interpreted as Moderate. These findings suggest that while students exhibit some difficulty with complex and unsolvable problems, novel or unfamiliar situations pose the greatest challenge to their tolerance of ambiguity.</w:t>
      </w:r>
    </w:p>
    <w:p w14:paraId="08BF4A83" w14:textId="77777777" w:rsidR="00C26705" w:rsidRPr="00C26705" w:rsidRDefault="00C26705" w:rsidP="00C26705">
      <w:pPr>
        <w:spacing w:before="240" w:after="240" w:line="240" w:lineRule="auto"/>
        <w:jc w:val="both"/>
        <w:rPr>
          <w:rFonts w:ascii="Times New Roman" w:hAnsi="Times New Roman" w:cs="Times New Roman"/>
          <w:b/>
          <w:bCs/>
          <w:sz w:val="24"/>
          <w:szCs w:val="24"/>
        </w:rPr>
      </w:pPr>
      <w:r w:rsidRPr="00C26705">
        <w:rPr>
          <w:rFonts w:ascii="Times New Roman" w:hAnsi="Times New Roman" w:cs="Times New Roman"/>
          <w:b/>
          <w:bCs/>
          <w:sz w:val="24"/>
          <w:szCs w:val="24"/>
        </w:rPr>
        <w:t>Finding the Significant Relationship Between MPL and Level of Tolerance</w:t>
      </w:r>
    </w:p>
    <w:p w14:paraId="1452969A" w14:textId="115ECBEB" w:rsidR="00C26705" w:rsidRDefault="00C26705" w:rsidP="00C26705">
      <w:pPr>
        <w:spacing w:before="240" w:after="240" w:line="240" w:lineRule="auto"/>
        <w:jc w:val="both"/>
        <w:rPr>
          <w:rFonts w:ascii="Times New Roman" w:hAnsi="Times New Roman" w:cs="Times New Roman"/>
          <w:sz w:val="24"/>
          <w:szCs w:val="24"/>
        </w:rPr>
      </w:pPr>
      <w:r w:rsidRPr="00C26705">
        <w:rPr>
          <w:rFonts w:ascii="Times New Roman" w:hAnsi="Times New Roman" w:cs="Times New Roman"/>
          <w:sz w:val="24"/>
          <w:szCs w:val="24"/>
        </w:rPr>
        <w:t>It was hypothesized that the mean performance level in mathematics is not significantly correlated with the level of tolerance for ambiguity of grade 10 students. Table 6 shows the correlation between MPL and the level of tolerance. Figure 1 shows the scatterplot view of each student in relation to their MPL and level of tolerance.</w:t>
      </w:r>
    </w:p>
    <w:p w14:paraId="19ED70D4" w14:textId="77777777" w:rsidR="00C26705" w:rsidRDefault="00C26705" w:rsidP="00C26705">
      <w:pPr>
        <w:spacing w:after="0"/>
        <w:jc w:val="both"/>
        <w:rPr>
          <w:rFonts w:ascii="Times New Roman" w:hAnsi="Times New Roman" w:cs="Times New Roman"/>
          <w:sz w:val="24"/>
          <w:szCs w:val="24"/>
        </w:rPr>
      </w:pPr>
      <w:r w:rsidRPr="00C23653">
        <w:rPr>
          <w:rFonts w:ascii="Times New Roman" w:hAnsi="Times New Roman" w:cs="Times New Roman"/>
          <w:noProof/>
          <w:sz w:val="24"/>
          <w:szCs w:val="24"/>
        </w:rPr>
        <w:lastRenderedPageBreak/>
        <w:drawing>
          <wp:inline distT="0" distB="0" distL="0" distR="0" wp14:anchorId="45D95C5C" wp14:editId="3EB91D33">
            <wp:extent cx="1847900" cy="1828800"/>
            <wp:effectExtent l="0" t="0" r="0" b="0"/>
            <wp:docPr id="887828672" name="Picture 1" descr="A picture containing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28672" name="Picture 1" descr="A picture containing screenshot, line, design&#10;&#10;Description automatically generated"/>
                    <pic:cNvPicPr/>
                  </pic:nvPicPr>
                  <pic:blipFill>
                    <a:blip r:embed="rId7">
                      <a:biLevel thresh="75000"/>
                      <a:extLst>
                        <a:ext uri="{BEBA8EAE-BF5A-486C-A8C5-ECC9F3942E4B}">
                          <a14:imgProps xmlns:a14="http://schemas.microsoft.com/office/drawing/2010/main">
                            <a14:imgLayer r:embed="rId8">
                              <a14:imgEffect>
                                <a14:saturation sat="0"/>
                              </a14:imgEffect>
                            </a14:imgLayer>
                          </a14:imgProps>
                        </a:ext>
                      </a:extLst>
                    </a:blip>
                    <a:stretch>
                      <a:fillRect/>
                    </a:stretch>
                  </pic:blipFill>
                  <pic:spPr>
                    <a:xfrm>
                      <a:off x="0" y="0"/>
                      <a:ext cx="1847900" cy="1828800"/>
                    </a:xfrm>
                    <a:prstGeom prst="rect">
                      <a:avLst/>
                    </a:prstGeom>
                  </pic:spPr>
                </pic:pic>
              </a:graphicData>
            </a:graphic>
          </wp:inline>
        </w:drawing>
      </w:r>
    </w:p>
    <w:p w14:paraId="450E2F89" w14:textId="77777777" w:rsidR="00C26705" w:rsidRPr="00C26705" w:rsidRDefault="00C26705" w:rsidP="004374DB">
      <w:pPr>
        <w:spacing w:before="240" w:after="240" w:line="240" w:lineRule="auto"/>
        <w:jc w:val="both"/>
        <w:rPr>
          <w:rFonts w:ascii="Times New Roman" w:hAnsi="Times New Roman" w:cs="Times New Roman"/>
          <w:sz w:val="24"/>
          <w:szCs w:val="24"/>
        </w:rPr>
      </w:pPr>
      <w:r w:rsidRPr="00C26705">
        <w:rPr>
          <w:rFonts w:ascii="Times New Roman" w:hAnsi="Times New Roman" w:cs="Times New Roman"/>
          <w:sz w:val="24"/>
          <w:szCs w:val="24"/>
        </w:rPr>
        <w:t>Figure 1. Correlation between MPL (</w:t>
      </w:r>
      <w:r w:rsidRPr="00C26705">
        <w:rPr>
          <w:rFonts w:ascii="Times New Roman" w:hAnsi="Times New Roman" w:cs="Times New Roman"/>
          <w:i/>
          <w:iCs/>
          <w:sz w:val="24"/>
          <w:szCs w:val="24"/>
        </w:rPr>
        <w:t>x-values</w:t>
      </w:r>
      <w:r w:rsidRPr="00C26705">
        <w:rPr>
          <w:rFonts w:ascii="Times New Roman" w:hAnsi="Times New Roman" w:cs="Times New Roman"/>
          <w:sz w:val="24"/>
          <w:szCs w:val="24"/>
        </w:rPr>
        <w:t>) and Level of Tolerance (</w:t>
      </w:r>
      <w:r w:rsidRPr="00C26705">
        <w:rPr>
          <w:rFonts w:ascii="Times New Roman" w:hAnsi="Times New Roman" w:cs="Times New Roman"/>
          <w:i/>
          <w:iCs/>
          <w:sz w:val="24"/>
          <w:szCs w:val="24"/>
        </w:rPr>
        <w:t>y-values</w:t>
      </w:r>
      <w:r w:rsidRPr="00C26705">
        <w:rPr>
          <w:rFonts w:ascii="Times New Roman" w:hAnsi="Times New Roman" w:cs="Times New Roman"/>
          <w:sz w:val="24"/>
          <w:szCs w:val="24"/>
        </w:rPr>
        <w:t>)</w:t>
      </w:r>
    </w:p>
    <w:p w14:paraId="1C6C934A" w14:textId="33E2CC51" w:rsidR="00C26705" w:rsidRPr="00C26705" w:rsidRDefault="00C26705" w:rsidP="00C26705">
      <w:pPr>
        <w:spacing w:before="240"/>
        <w:jc w:val="both"/>
        <w:rPr>
          <w:rFonts w:ascii="Times New Roman" w:hAnsi="Times New Roman" w:cs="Times New Roman"/>
          <w:sz w:val="24"/>
          <w:szCs w:val="24"/>
        </w:rPr>
      </w:pPr>
      <w:r w:rsidRPr="00C26705">
        <w:rPr>
          <w:rFonts w:ascii="Times New Roman" w:hAnsi="Times New Roman" w:cs="Times New Roman"/>
          <w:sz w:val="24"/>
          <w:szCs w:val="24"/>
        </w:rPr>
        <w:t>As seen on Figure 1, the scatterplot displays a widely dispersed pattern of data points with no discernible linear trend, further confirming the absence of a meaningful relationship between MPL and the level of tolerance of ambiguity. The data points are scattered randomly across the plot without clustering along any upward or downward trajectory, which is consistent with the near-zero correlation coefficient obtained. This visual representation reinforces the statistical finding that the mean performance level in mathematics and the level of tolerance of ambiguity among Grade 10 students are not associated with one another.</w:t>
      </w:r>
    </w:p>
    <w:p w14:paraId="4C426F4A" w14:textId="78CAF02B" w:rsidR="00C26705" w:rsidRPr="00C26705" w:rsidRDefault="00C26705" w:rsidP="004374DB">
      <w:pPr>
        <w:spacing w:before="240" w:after="240"/>
        <w:rPr>
          <w:rFonts w:ascii="Times New Roman" w:hAnsi="Times New Roman" w:cs="Times New Roman"/>
          <w:sz w:val="24"/>
          <w:szCs w:val="24"/>
        </w:rPr>
      </w:pPr>
      <w:r w:rsidRPr="00C26705">
        <w:rPr>
          <w:rFonts w:ascii="Times New Roman" w:hAnsi="Times New Roman" w:cs="Times New Roman"/>
          <w:sz w:val="24"/>
          <w:szCs w:val="24"/>
        </w:rPr>
        <w:t>Table 6. Correlation between MPL and Level of Tolerance</w:t>
      </w:r>
    </w:p>
    <w:tbl>
      <w:tblPr>
        <w:tblStyle w:val="TableGrid"/>
        <w:tblW w:w="9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990"/>
        <w:gridCol w:w="990"/>
        <w:gridCol w:w="540"/>
        <w:gridCol w:w="630"/>
        <w:gridCol w:w="1620"/>
        <w:gridCol w:w="1080"/>
        <w:gridCol w:w="1163"/>
      </w:tblGrid>
      <w:tr w:rsidR="00C26705" w14:paraId="218C2F19" w14:textId="77777777" w:rsidTr="003B4EAA">
        <w:tc>
          <w:tcPr>
            <w:tcW w:w="2425" w:type="dxa"/>
            <w:tcBorders>
              <w:top w:val="double" w:sz="4" w:space="0" w:color="auto"/>
              <w:bottom w:val="single" w:sz="4" w:space="0" w:color="auto"/>
            </w:tcBorders>
            <w:vAlign w:val="center"/>
          </w:tcPr>
          <w:p w14:paraId="2BB43F87"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Compared Groups</w:t>
            </w:r>
          </w:p>
        </w:tc>
        <w:tc>
          <w:tcPr>
            <w:tcW w:w="990" w:type="dxa"/>
            <w:tcBorders>
              <w:top w:val="double" w:sz="4" w:space="0" w:color="auto"/>
              <w:bottom w:val="single" w:sz="4" w:space="0" w:color="auto"/>
            </w:tcBorders>
            <w:vAlign w:val="center"/>
          </w:tcPr>
          <w:p w14:paraId="3CF5E91F"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Mean</w:t>
            </w:r>
          </w:p>
        </w:tc>
        <w:tc>
          <w:tcPr>
            <w:tcW w:w="990" w:type="dxa"/>
            <w:tcBorders>
              <w:top w:val="double" w:sz="4" w:space="0" w:color="auto"/>
              <w:bottom w:val="single" w:sz="4" w:space="0" w:color="auto"/>
            </w:tcBorders>
            <w:vAlign w:val="center"/>
          </w:tcPr>
          <w:p w14:paraId="40FD2440"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SD</w:t>
            </w:r>
          </w:p>
        </w:tc>
        <w:tc>
          <w:tcPr>
            <w:tcW w:w="540" w:type="dxa"/>
            <w:tcBorders>
              <w:top w:val="double" w:sz="4" w:space="0" w:color="auto"/>
              <w:bottom w:val="single" w:sz="4" w:space="0" w:color="auto"/>
            </w:tcBorders>
            <w:vAlign w:val="center"/>
          </w:tcPr>
          <w:p w14:paraId="4A648ADC"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n</w:t>
            </w:r>
          </w:p>
        </w:tc>
        <w:tc>
          <w:tcPr>
            <w:tcW w:w="630" w:type="dxa"/>
            <w:tcBorders>
              <w:top w:val="double" w:sz="4" w:space="0" w:color="auto"/>
              <w:bottom w:val="single" w:sz="4" w:space="0" w:color="auto"/>
            </w:tcBorders>
            <w:vAlign w:val="center"/>
          </w:tcPr>
          <w:p w14:paraId="0E2FEB13"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df</w:t>
            </w:r>
          </w:p>
        </w:tc>
        <w:tc>
          <w:tcPr>
            <w:tcW w:w="1620" w:type="dxa"/>
            <w:tcBorders>
              <w:top w:val="double" w:sz="4" w:space="0" w:color="auto"/>
              <w:bottom w:val="single" w:sz="4" w:space="0" w:color="auto"/>
            </w:tcBorders>
            <w:vAlign w:val="center"/>
          </w:tcPr>
          <w:p w14:paraId="5F59E083"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 xml:space="preserve">Correlation </w:t>
            </w:r>
            <w:r w:rsidRPr="00BD0D69">
              <w:rPr>
                <w:rFonts w:ascii="Times New Roman" w:hAnsi="Times New Roman" w:cs="Times New Roman"/>
                <w:b/>
                <w:bCs/>
                <w:i/>
                <w:iCs/>
                <w:sz w:val="24"/>
                <w:szCs w:val="24"/>
              </w:rPr>
              <w:t>r</w:t>
            </w:r>
          </w:p>
        </w:tc>
        <w:tc>
          <w:tcPr>
            <w:tcW w:w="1080" w:type="dxa"/>
            <w:tcBorders>
              <w:top w:val="double" w:sz="4" w:space="0" w:color="auto"/>
              <w:bottom w:val="single" w:sz="4" w:space="0" w:color="auto"/>
            </w:tcBorders>
            <w:vAlign w:val="center"/>
          </w:tcPr>
          <w:p w14:paraId="1606ECAA"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i/>
                <w:iCs/>
                <w:sz w:val="24"/>
                <w:szCs w:val="24"/>
              </w:rPr>
              <w:t>p</w:t>
            </w:r>
            <w:r w:rsidRPr="00BD0D69">
              <w:rPr>
                <w:rFonts w:ascii="Times New Roman" w:hAnsi="Times New Roman" w:cs="Times New Roman"/>
                <w:b/>
                <w:bCs/>
                <w:sz w:val="24"/>
                <w:szCs w:val="24"/>
              </w:rPr>
              <w:t>-value</w:t>
            </w:r>
          </w:p>
        </w:tc>
        <w:tc>
          <w:tcPr>
            <w:tcW w:w="0" w:type="auto"/>
            <w:tcBorders>
              <w:top w:val="double" w:sz="4" w:space="0" w:color="auto"/>
              <w:bottom w:val="single" w:sz="4" w:space="0" w:color="auto"/>
            </w:tcBorders>
            <w:vAlign w:val="center"/>
          </w:tcPr>
          <w:p w14:paraId="22B1FEE4" w14:textId="77777777" w:rsidR="00C26705" w:rsidRPr="00BD0D69" w:rsidRDefault="00C26705"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Decision</w:t>
            </w:r>
          </w:p>
        </w:tc>
      </w:tr>
      <w:tr w:rsidR="00C26705" w14:paraId="02C649B8" w14:textId="77777777" w:rsidTr="003B4EAA">
        <w:tc>
          <w:tcPr>
            <w:tcW w:w="2425" w:type="dxa"/>
            <w:tcBorders>
              <w:top w:val="single" w:sz="4" w:space="0" w:color="auto"/>
            </w:tcBorders>
          </w:tcPr>
          <w:p w14:paraId="19F78363" w14:textId="77777777" w:rsidR="00C26705" w:rsidRDefault="00C26705" w:rsidP="003B4EAA">
            <w:pPr>
              <w:rPr>
                <w:rFonts w:ascii="Times New Roman" w:hAnsi="Times New Roman" w:cs="Times New Roman"/>
                <w:sz w:val="24"/>
                <w:szCs w:val="24"/>
              </w:rPr>
            </w:pPr>
            <w:r>
              <w:rPr>
                <w:rFonts w:ascii="Times New Roman" w:hAnsi="Times New Roman" w:cs="Times New Roman"/>
                <w:sz w:val="24"/>
                <w:szCs w:val="24"/>
              </w:rPr>
              <w:t>MPL</w:t>
            </w:r>
          </w:p>
          <w:p w14:paraId="4778345F" w14:textId="77777777" w:rsidR="00C26705" w:rsidRPr="00BD0D69" w:rsidRDefault="00C26705" w:rsidP="003B4EAA">
            <w:pPr>
              <w:rPr>
                <w:rFonts w:ascii="Times New Roman" w:hAnsi="Times New Roman" w:cs="Times New Roman"/>
                <w:i/>
                <w:iCs/>
                <w:sz w:val="24"/>
                <w:szCs w:val="24"/>
              </w:rPr>
            </w:pPr>
            <w:r w:rsidRPr="00BD0D69">
              <w:rPr>
                <w:rFonts w:ascii="Times New Roman" w:hAnsi="Times New Roman" w:cs="Times New Roman"/>
                <w:i/>
                <w:iCs/>
                <w:sz w:val="24"/>
                <w:szCs w:val="24"/>
              </w:rPr>
              <w:t>(x values)</w:t>
            </w:r>
          </w:p>
        </w:tc>
        <w:tc>
          <w:tcPr>
            <w:tcW w:w="990" w:type="dxa"/>
            <w:tcBorders>
              <w:top w:val="single" w:sz="4" w:space="0" w:color="auto"/>
            </w:tcBorders>
            <w:vAlign w:val="center"/>
          </w:tcPr>
          <w:p w14:paraId="697DFE52"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90.04</w:t>
            </w:r>
          </w:p>
        </w:tc>
        <w:tc>
          <w:tcPr>
            <w:tcW w:w="990" w:type="dxa"/>
            <w:tcBorders>
              <w:top w:val="single" w:sz="4" w:space="0" w:color="auto"/>
            </w:tcBorders>
            <w:vAlign w:val="center"/>
          </w:tcPr>
          <w:p w14:paraId="21927984"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4.1162</w:t>
            </w:r>
          </w:p>
        </w:tc>
        <w:tc>
          <w:tcPr>
            <w:tcW w:w="540" w:type="dxa"/>
            <w:vMerge w:val="restart"/>
            <w:tcBorders>
              <w:top w:val="single" w:sz="4" w:space="0" w:color="auto"/>
            </w:tcBorders>
            <w:vAlign w:val="center"/>
          </w:tcPr>
          <w:p w14:paraId="0B4C7BBF"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72</w:t>
            </w:r>
          </w:p>
        </w:tc>
        <w:tc>
          <w:tcPr>
            <w:tcW w:w="630" w:type="dxa"/>
            <w:vMerge w:val="restart"/>
            <w:tcBorders>
              <w:top w:val="single" w:sz="4" w:space="0" w:color="auto"/>
            </w:tcBorders>
            <w:vAlign w:val="center"/>
          </w:tcPr>
          <w:p w14:paraId="10340A1C"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70</w:t>
            </w:r>
          </w:p>
        </w:tc>
        <w:tc>
          <w:tcPr>
            <w:tcW w:w="1620" w:type="dxa"/>
            <w:vMerge w:val="restart"/>
            <w:tcBorders>
              <w:top w:val="single" w:sz="4" w:space="0" w:color="auto"/>
            </w:tcBorders>
            <w:vAlign w:val="center"/>
          </w:tcPr>
          <w:p w14:paraId="37747EBB"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-0.0318</w:t>
            </w:r>
          </w:p>
        </w:tc>
        <w:tc>
          <w:tcPr>
            <w:tcW w:w="1080" w:type="dxa"/>
            <w:vMerge w:val="restart"/>
            <w:tcBorders>
              <w:top w:val="single" w:sz="4" w:space="0" w:color="auto"/>
            </w:tcBorders>
            <w:vAlign w:val="center"/>
          </w:tcPr>
          <w:p w14:paraId="0B2EAC5F"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0.7960</w:t>
            </w:r>
          </w:p>
        </w:tc>
        <w:tc>
          <w:tcPr>
            <w:tcW w:w="0" w:type="auto"/>
            <w:vMerge w:val="restart"/>
            <w:tcBorders>
              <w:top w:val="single" w:sz="4" w:space="0" w:color="auto"/>
            </w:tcBorders>
            <w:vAlign w:val="center"/>
          </w:tcPr>
          <w:p w14:paraId="18976339" w14:textId="77777777" w:rsidR="00C26705" w:rsidRPr="00C23653" w:rsidRDefault="00C26705" w:rsidP="003B4EAA">
            <w:pPr>
              <w:jc w:val="center"/>
              <w:rPr>
                <w:rFonts w:ascii="Times New Roman" w:hAnsi="Times New Roman" w:cs="Times New Roman"/>
                <w:sz w:val="24"/>
                <w:szCs w:val="24"/>
              </w:rPr>
            </w:pPr>
            <w:r>
              <w:rPr>
                <w:rFonts w:ascii="Times New Roman" w:hAnsi="Times New Roman" w:cs="Times New Roman"/>
                <w:sz w:val="24"/>
                <w:szCs w:val="24"/>
              </w:rPr>
              <w:t>Accept H</w:t>
            </w:r>
            <w:r>
              <w:rPr>
                <w:rFonts w:ascii="Times New Roman" w:hAnsi="Times New Roman" w:cs="Times New Roman"/>
                <w:sz w:val="24"/>
                <w:szCs w:val="24"/>
                <w:vertAlign w:val="subscript"/>
              </w:rPr>
              <w:t>o</w:t>
            </w:r>
          </w:p>
        </w:tc>
      </w:tr>
      <w:tr w:rsidR="00C26705" w14:paraId="5D9F5DAB" w14:textId="77777777" w:rsidTr="003B4EAA">
        <w:tc>
          <w:tcPr>
            <w:tcW w:w="2425" w:type="dxa"/>
            <w:tcBorders>
              <w:bottom w:val="double" w:sz="4" w:space="0" w:color="auto"/>
            </w:tcBorders>
          </w:tcPr>
          <w:p w14:paraId="0C06BA50" w14:textId="77777777" w:rsidR="00C26705" w:rsidRDefault="00C26705" w:rsidP="003B4EAA">
            <w:pPr>
              <w:rPr>
                <w:rFonts w:ascii="Times New Roman" w:hAnsi="Times New Roman" w:cs="Times New Roman"/>
                <w:sz w:val="24"/>
                <w:szCs w:val="24"/>
              </w:rPr>
            </w:pPr>
            <w:r>
              <w:rPr>
                <w:rFonts w:ascii="Times New Roman" w:hAnsi="Times New Roman" w:cs="Times New Roman"/>
                <w:sz w:val="24"/>
                <w:szCs w:val="24"/>
              </w:rPr>
              <w:t>Level of Tolerance</w:t>
            </w:r>
          </w:p>
          <w:p w14:paraId="792657D1" w14:textId="77777777" w:rsidR="00C26705" w:rsidRPr="00BD0D69" w:rsidRDefault="00C26705" w:rsidP="003B4EAA">
            <w:pPr>
              <w:rPr>
                <w:rFonts w:ascii="Times New Roman" w:hAnsi="Times New Roman" w:cs="Times New Roman"/>
                <w:i/>
                <w:iCs/>
                <w:sz w:val="24"/>
                <w:szCs w:val="24"/>
              </w:rPr>
            </w:pPr>
            <w:r w:rsidRPr="00BD0D69">
              <w:rPr>
                <w:rFonts w:ascii="Times New Roman" w:hAnsi="Times New Roman" w:cs="Times New Roman"/>
                <w:i/>
                <w:iCs/>
                <w:sz w:val="24"/>
                <w:szCs w:val="24"/>
              </w:rPr>
              <w:t>(y values)</w:t>
            </w:r>
          </w:p>
        </w:tc>
        <w:tc>
          <w:tcPr>
            <w:tcW w:w="990" w:type="dxa"/>
            <w:tcBorders>
              <w:bottom w:val="double" w:sz="4" w:space="0" w:color="auto"/>
            </w:tcBorders>
            <w:vAlign w:val="center"/>
          </w:tcPr>
          <w:p w14:paraId="4F03EC12"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63.08</w:t>
            </w:r>
          </w:p>
        </w:tc>
        <w:tc>
          <w:tcPr>
            <w:tcW w:w="990" w:type="dxa"/>
            <w:tcBorders>
              <w:bottom w:val="double" w:sz="4" w:space="0" w:color="auto"/>
            </w:tcBorders>
            <w:vAlign w:val="center"/>
          </w:tcPr>
          <w:p w14:paraId="64844288" w14:textId="77777777" w:rsidR="00C26705" w:rsidRDefault="00C26705" w:rsidP="003B4EAA">
            <w:pPr>
              <w:jc w:val="center"/>
              <w:rPr>
                <w:rFonts w:ascii="Times New Roman" w:hAnsi="Times New Roman" w:cs="Times New Roman"/>
                <w:sz w:val="24"/>
                <w:szCs w:val="24"/>
              </w:rPr>
            </w:pPr>
            <w:r>
              <w:rPr>
                <w:rFonts w:ascii="Times New Roman" w:hAnsi="Times New Roman" w:cs="Times New Roman"/>
                <w:sz w:val="24"/>
                <w:szCs w:val="24"/>
              </w:rPr>
              <w:t>7.1894</w:t>
            </w:r>
          </w:p>
        </w:tc>
        <w:tc>
          <w:tcPr>
            <w:tcW w:w="540" w:type="dxa"/>
            <w:vMerge/>
            <w:tcBorders>
              <w:bottom w:val="double" w:sz="4" w:space="0" w:color="auto"/>
            </w:tcBorders>
          </w:tcPr>
          <w:p w14:paraId="40F94CFF" w14:textId="77777777" w:rsidR="00C26705" w:rsidRDefault="00C26705" w:rsidP="003B4EAA">
            <w:pPr>
              <w:rPr>
                <w:rFonts w:ascii="Times New Roman" w:hAnsi="Times New Roman" w:cs="Times New Roman"/>
                <w:sz w:val="24"/>
                <w:szCs w:val="24"/>
              </w:rPr>
            </w:pPr>
          </w:p>
        </w:tc>
        <w:tc>
          <w:tcPr>
            <w:tcW w:w="630" w:type="dxa"/>
            <w:vMerge/>
            <w:tcBorders>
              <w:bottom w:val="double" w:sz="4" w:space="0" w:color="auto"/>
            </w:tcBorders>
          </w:tcPr>
          <w:p w14:paraId="370BBA90" w14:textId="77777777" w:rsidR="00C26705" w:rsidRDefault="00C26705" w:rsidP="003B4EAA">
            <w:pPr>
              <w:rPr>
                <w:rFonts w:ascii="Times New Roman" w:hAnsi="Times New Roman" w:cs="Times New Roman"/>
                <w:sz w:val="24"/>
                <w:szCs w:val="24"/>
              </w:rPr>
            </w:pPr>
          </w:p>
        </w:tc>
        <w:tc>
          <w:tcPr>
            <w:tcW w:w="1620" w:type="dxa"/>
            <w:vMerge/>
            <w:tcBorders>
              <w:bottom w:val="double" w:sz="4" w:space="0" w:color="auto"/>
            </w:tcBorders>
          </w:tcPr>
          <w:p w14:paraId="5800FDAE" w14:textId="77777777" w:rsidR="00C26705" w:rsidRDefault="00C26705" w:rsidP="003B4EAA">
            <w:pPr>
              <w:rPr>
                <w:rFonts w:ascii="Times New Roman" w:hAnsi="Times New Roman" w:cs="Times New Roman"/>
                <w:sz w:val="24"/>
                <w:szCs w:val="24"/>
              </w:rPr>
            </w:pPr>
          </w:p>
        </w:tc>
        <w:tc>
          <w:tcPr>
            <w:tcW w:w="1080" w:type="dxa"/>
            <w:vMerge/>
            <w:tcBorders>
              <w:bottom w:val="double" w:sz="4" w:space="0" w:color="auto"/>
            </w:tcBorders>
          </w:tcPr>
          <w:p w14:paraId="3910CE1C" w14:textId="77777777" w:rsidR="00C26705" w:rsidRDefault="00C26705" w:rsidP="003B4EAA">
            <w:pPr>
              <w:rPr>
                <w:rFonts w:ascii="Times New Roman" w:hAnsi="Times New Roman" w:cs="Times New Roman"/>
                <w:sz w:val="24"/>
                <w:szCs w:val="24"/>
              </w:rPr>
            </w:pPr>
          </w:p>
        </w:tc>
        <w:tc>
          <w:tcPr>
            <w:tcW w:w="0" w:type="auto"/>
            <w:vMerge/>
            <w:tcBorders>
              <w:bottom w:val="double" w:sz="4" w:space="0" w:color="auto"/>
            </w:tcBorders>
          </w:tcPr>
          <w:p w14:paraId="54BFD01A" w14:textId="77777777" w:rsidR="00C26705" w:rsidRDefault="00C26705" w:rsidP="003B4EAA">
            <w:pPr>
              <w:rPr>
                <w:rFonts w:ascii="Times New Roman" w:hAnsi="Times New Roman" w:cs="Times New Roman"/>
                <w:sz w:val="24"/>
                <w:szCs w:val="24"/>
              </w:rPr>
            </w:pPr>
          </w:p>
        </w:tc>
      </w:tr>
    </w:tbl>
    <w:p w14:paraId="2E07EB36" w14:textId="233F6861" w:rsidR="00C26705" w:rsidRDefault="00C26705" w:rsidP="00C26705">
      <w:pPr>
        <w:spacing w:before="240" w:after="240" w:line="240" w:lineRule="auto"/>
        <w:jc w:val="both"/>
        <w:rPr>
          <w:rFonts w:ascii="Times New Roman" w:hAnsi="Times New Roman" w:cs="Times New Roman"/>
          <w:sz w:val="24"/>
          <w:szCs w:val="24"/>
        </w:rPr>
      </w:pPr>
      <w:r w:rsidRPr="00C26705">
        <w:rPr>
          <w:rFonts w:ascii="Times New Roman" w:hAnsi="Times New Roman" w:cs="Times New Roman"/>
          <w:sz w:val="24"/>
          <w:szCs w:val="24"/>
        </w:rPr>
        <w:t>It is shown that the computed p-value of 0.7960 is greater than the alpha value of 0.05, it is safe to assume that there is no significant correlation between the mean performance level in mathematics and the level of tolerance. Also, even though the correlation r is -0.0318, that means negative weak relationship, it can be neglected as there was no association between the two variables (Table 6).</w:t>
      </w:r>
    </w:p>
    <w:p w14:paraId="0C9869B6" w14:textId="77777777" w:rsidR="004374DB" w:rsidRPr="004374DB" w:rsidRDefault="004374DB" w:rsidP="004374DB">
      <w:pPr>
        <w:spacing w:before="240" w:after="240" w:line="240" w:lineRule="auto"/>
        <w:jc w:val="both"/>
        <w:rPr>
          <w:rFonts w:ascii="Times New Roman" w:hAnsi="Times New Roman" w:cs="Times New Roman"/>
          <w:b/>
          <w:bCs/>
          <w:sz w:val="24"/>
          <w:szCs w:val="24"/>
        </w:rPr>
      </w:pPr>
      <w:r w:rsidRPr="004374DB">
        <w:rPr>
          <w:rFonts w:ascii="Times New Roman" w:hAnsi="Times New Roman" w:cs="Times New Roman"/>
          <w:b/>
          <w:bCs/>
          <w:sz w:val="24"/>
          <w:szCs w:val="24"/>
        </w:rPr>
        <w:t>Determining whether MPL is affected by Level of Tolerance</w:t>
      </w:r>
    </w:p>
    <w:p w14:paraId="41C39983" w14:textId="25A3B7DA" w:rsidR="004374DB" w:rsidRDefault="004374DB" w:rsidP="004374DB">
      <w:pPr>
        <w:spacing w:before="240" w:after="240" w:line="240" w:lineRule="auto"/>
        <w:jc w:val="both"/>
        <w:rPr>
          <w:rFonts w:ascii="Times New Roman" w:hAnsi="Times New Roman" w:cs="Times New Roman"/>
          <w:sz w:val="24"/>
          <w:szCs w:val="24"/>
        </w:rPr>
      </w:pPr>
      <w:r w:rsidRPr="004374DB">
        <w:rPr>
          <w:rFonts w:ascii="Times New Roman" w:hAnsi="Times New Roman" w:cs="Times New Roman"/>
          <w:sz w:val="24"/>
          <w:szCs w:val="24"/>
        </w:rPr>
        <w:t>It was also hypothesized that the mean performance level in mathematics is not affected by the level of tolerance of ambiguity. Table 7 shows the linear regression between MPL and level of tolerance, meanwhile figure 2 shows the scatterplot for MPL and level of tolerance.</w:t>
      </w:r>
    </w:p>
    <w:p w14:paraId="7A200F12" w14:textId="77777777" w:rsidR="004374DB" w:rsidRDefault="004374DB" w:rsidP="004374DB">
      <w:pPr>
        <w:spacing w:before="240" w:after="240" w:line="240" w:lineRule="auto"/>
        <w:jc w:val="both"/>
        <w:rPr>
          <w:rFonts w:ascii="Times New Roman" w:hAnsi="Times New Roman" w:cs="Times New Roman"/>
          <w:sz w:val="24"/>
          <w:szCs w:val="24"/>
        </w:rPr>
      </w:pPr>
      <w:r w:rsidRPr="00C23653">
        <w:rPr>
          <w:rFonts w:ascii="Times New Roman" w:hAnsi="Times New Roman" w:cs="Times New Roman"/>
          <w:noProof/>
          <w:sz w:val="24"/>
          <w:szCs w:val="24"/>
        </w:rPr>
        <w:drawing>
          <wp:inline distT="0" distB="0" distL="0" distR="0" wp14:anchorId="50FB97D7" wp14:editId="5EFCF6FC">
            <wp:extent cx="2092036" cy="1401799"/>
            <wp:effectExtent l="0" t="0" r="3810" b="8255"/>
            <wp:docPr id="2032259914" name="Picture 1" descr="A picture containing diagram,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59914" name="Picture 1" descr="A picture containing diagram, text, screenshot&#10;&#10;Description automatically generated"/>
                    <pic:cNvPicPr/>
                  </pic:nvPicPr>
                  <pic:blipFill>
                    <a:blip r:embed="rId9"/>
                    <a:stretch>
                      <a:fillRect/>
                    </a:stretch>
                  </pic:blipFill>
                  <pic:spPr>
                    <a:xfrm>
                      <a:off x="0" y="0"/>
                      <a:ext cx="2113850" cy="1416416"/>
                    </a:xfrm>
                    <a:prstGeom prst="rect">
                      <a:avLst/>
                    </a:prstGeom>
                  </pic:spPr>
                </pic:pic>
              </a:graphicData>
            </a:graphic>
          </wp:inline>
        </w:drawing>
      </w:r>
    </w:p>
    <w:p w14:paraId="3AEF10C3" w14:textId="77777777" w:rsidR="004374DB" w:rsidRDefault="004374DB" w:rsidP="004374DB">
      <w:pPr>
        <w:spacing w:before="240" w:after="240" w:line="240" w:lineRule="auto"/>
        <w:jc w:val="both"/>
        <w:rPr>
          <w:rFonts w:ascii="Times New Roman" w:hAnsi="Times New Roman" w:cs="Times New Roman"/>
          <w:sz w:val="24"/>
          <w:szCs w:val="24"/>
        </w:rPr>
      </w:pPr>
      <w:r w:rsidRPr="004374DB">
        <w:rPr>
          <w:rFonts w:ascii="Times New Roman" w:hAnsi="Times New Roman" w:cs="Times New Roman"/>
          <w:sz w:val="24"/>
          <w:szCs w:val="24"/>
        </w:rPr>
        <w:t>Figure 2. Scatterplot for MPL and Level of Tolerance</w:t>
      </w:r>
    </w:p>
    <w:p w14:paraId="7AF76969" w14:textId="0093D134" w:rsidR="004374DB" w:rsidRPr="004374DB" w:rsidRDefault="004374DB" w:rsidP="004374DB">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As shown in figure 2, the scatterplot shows that the best of fit line has negative slope (-0.01819), and is almost perfectly horizontal, meaning no association can be predicted with the two variables.</w:t>
      </w:r>
    </w:p>
    <w:p w14:paraId="0062DFFC" w14:textId="77777777" w:rsidR="004374DB" w:rsidRPr="004374DB" w:rsidRDefault="004374DB" w:rsidP="004374DB">
      <w:pPr>
        <w:spacing w:before="240" w:after="240" w:line="240" w:lineRule="auto"/>
        <w:rPr>
          <w:rFonts w:ascii="Times New Roman" w:hAnsi="Times New Roman" w:cs="Times New Roman"/>
          <w:sz w:val="24"/>
          <w:szCs w:val="24"/>
        </w:rPr>
      </w:pPr>
      <w:r w:rsidRPr="004374DB">
        <w:rPr>
          <w:rFonts w:ascii="Times New Roman" w:hAnsi="Times New Roman" w:cs="Times New Roman"/>
          <w:sz w:val="24"/>
          <w:szCs w:val="24"/>
        </w:rPr>
        <w:t>Table 7. Linear Regression between MPL and Level of Tolerance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
        <w:gridCol w:w="1850"/>
        <w:gridCol w:w="1029"/>
        <w:gridCol w:w="888"/>
        <w:gridCol w:w="1352"/>
        <w:gridCol w:w="1709"/>
        <w:gridCol w:w="1029"/>
        <w:gridCol w:w="1301"/>
      </w:tblGrid>
      <w:tr w:rsidR="004374DB" w14:paraId="52B47055" w14:textId="77777777" w:rsidTr="004374DB">
        <w:tc>
          <w:tcPr>
            <w:tcW w:w="719" w:type="pct"/>
            <w:tcBorders>
              <w:top w:val="double" w:sz="4" w:space="0" w:color="auto"/>
              <w:bottom w:val="single" w:sz="4" w:space="0" w:color="auto"/>
            </w:tcBorders>
            <w:vAlign w:val="center"/>
          </w:tcPr>
          <w:p w14:paraId="6C378389" w14:textId="77777777" w:rsidR="004374DB" w:rsidRPr="00BD0D69" w:rsidRDefault="004374DB"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lastRenderedPageBreak/>
              <w:t>Compared Groups</w:t>
            </w:r>
          </w:p>
        </w:tc>
        <w:tc>
          <w:tcPr>
            <w:tcW w:w="865" w:type="pct"/>
            <w:tcBorders>
              <w:top w:val="double" w:sz="4" w:space="0" w:color="auto"/>
              <w:bottom w:val="single" w:sz="4" w:space="0" w:color="auto"/>
            </w:tcBorders>
          </w:tcPr>
          <w:p w14:paraId="28BE196E" w14:textId="77777777" w:rsidR="004374DB" w:rsidRDefault="004374DB" w:rsidP="003B4EAA">
            <w:pPr>
              <w:jc w:val="center"/>
              <w:rPr>
                <w:rFonts w:ascii="Times New Roman" w:hAnsi="Times New Roman" w:cs="Times New Roman"/>
                <w:b/>
                <w:bCs/>
                <w:sz w:val="24"/>
                <w:szCs w:val="24"/>
              </w:rPr>
            </w:pPr>
            <w:r>
              <w:rPr>
                <w:rFonts w:ascii="Times New Roman" w:hAnsi="Times New Roman" w:cs="Times New Roman"/>
                <w:b/>
                <w:bCs/>
                <w:sz w:val="24"/>
                <w:szCs w:val="24"/>
              </w:rPr>
              <w:t>Observations</w:t>
            </w:r>
          </w:p>
        </w:tc>
        <w:tc>
          <w:tcPr>
            <w:tcW w:w="481" w:type="pct"/>
            <w:tcBorders>
              <w:top w:val="double" w:sz="4" w:space="0" w:color="auto"/>
              <w:bottom w:val="single" w:sz="4" w:space="0" w:color="auto"/>
            </w:tcBorders>
            <w:vAlign w:val="center"/>
          </w:tcPr>
          <w:p w14:paraId="1FE2602A" w14:textId="77777777" w:rsidR="004374DB" w:rsidRPr="00BD0D69" w:rsidRDefault="004374DB" w:rsidP="003B4EAA">
            <w:pPr>
              <w:jc w:val="center"/>
              <w:rPr>
                <w:rFonts w:ascii="Times New Roman" w:hAnsi="Times New Roman" w:cs="Times New Roman"/>
                <w:b/>
                <w:bCs/>
                <w:sz w:val="24"/>
                <w:szCs w:val="24"/>
              </w:rPr>
            </w:pPr>
            <w:r>
              <w:rPr>
                <w:rFonts w:ascii="Times New Roman" w:hAnsi="Times New Roman" w:cs="Times New Roman"/>
                <w:b/>
                <w:bCs/>
                <w:sz w:val="24"/>
                <w:szCs w:val="24"/>
              </w:rPr>
              <w:t>R</w:t>
            </w:r>
          </w:p>
        </w:tc>
        <w:tc>
          <w:tcPr>
            <w:tcW w:w="415" w:type="pct"/>
            <w:tcBorders>
              <w:top w:val="double" w:sz="4" w:space="0" w:color="auto"/>
              <w:bottom w:val="single" w:sz="4" w:space="0" w:color="auto"/>
            </w:tcBorders>
            <w:vAlign w:val="center"/>
          </w:tcPr>
          <w:p w14:paraId="4A8FDE82" w14:textId="77777777" w:rsidR="004374DB" w:rsidRPr="00467A81" w:rsidRDefault="004374DB" w:rsidP="003B4EAA">
            <w:pPr>
              <w:jc w:val="center"/>
              <w:rPr>
                <w:rFonts w:ascii="Times New Roman" w:hAnsi="Times New Roman" w:cs="Times New Roman"/>
                <w:b/>
                <w:bCs/>
                <w:sz w:val="24"/>
                <w:szCs w:val="24"/>
                <w:vertAlign w:val="superscript"/>
              </w:rPr>
            </w:pPr>
            <w:r>
              <w:rPr>
                <w:rFonts w:ascii="Times New Roman" w:hAnsi="Times New Roman" w:cs="Times New Roman"/>
                <w:b/>
                <w:bCs/>
                <w:sz w:val="24"/>
                <w:szCs w:val="24"/>
              </w:rPr>
              <w:t>R</w:t>
            </w:r>
            <w:r>
              <w:rPr>
                <w:rFonts w:ascii="Times New Roman" w:hAnsi="Times New Roman" w:cs="Times New Roman"/>
                <w:b/>
                <w:bCs/>
                <w:sz w:val="24"/>
                <w:szCs w:val="24"/>
                <w:vertAlign w:val="superscript"/>
              </w:rPr>
              <w:t>2</w:t>
            </w:r>
          </w:p>
        </w:tc>
        <w:tc>
          <w:tcPr>
            <w:tcW w:w="632" w:type="pct"/>
            <w:tcBorders>
              <w:top w:val="double" w:sz="4" w:space="0" w:color="auto"/>
              <w:bottom w:val="single" w:sz="4" w:space="0" w:color="auto"/>
            </w:tcBorders>
            <w:vAlign w:val="center"/>
          </w:tcPr>
          <w:p w14:paraId="0C58045C" w14:textId="77777777" w:rsidR="004374DB" w:rsidRPr="00BD0D69" w:rsidRDefault="004374DB" w:rsidP="003B4EAA">
            <w:pPr>
              <w:jc w:val="center"/>
              <w:rPr>
                <w:rFonts w:ascii="Times New Roman" w:hAnsi="Times New Roman" w:cs="Times New Roman"/>
                <w:b/>
                <w:bCs/>
                <w:sz w:val="24"/>
                <w:szCs w:val="24"/>
              </w:rPr>
            </w:pPr>
            <w:r>
              <w:rPr>
                <w:rFonts w:ascii="Times New Roman" w:hAnsi="Times New Roman" w:cs="Times New Roman"/>
                <w:b/>
                <w:bCs/>
                <w:sz w:val="24"/>
                <w:szCs w:val="24"/>
              </w:rPr>
              <w:t>Slope</w:t>
            </w:r>
          </w:p>
        </w:tc>
        <w:tc>
          <w:tcPr>
            <w:tcW w:w="799" w:type="pct"/>
            <w:tcBorders>
              <w:top w:val="double" w:sz="4" w:space="0" w:color="auto"/>
              <w:bottom w:val="single" w:sz="4" w:space="0" w:color="auto"/>
            </w:tcBorders>
            <w:vAlign w:val="center"/>
          </w:tcPr>
          <w:p w14:paraId="27ABFCD0" w14:textId="77777777" w:rsidR="004374DB" w:rsidRPr="00BD0D69" w:rsidRDefault="004374DB" w:rsidP="003B4EAA">
            <w:pPr>
              <w:jc w:val="center"/>
              <w:rPr>
                <w:rFonts w:ascii="Times New Roman" w:hAnsi="Times New Roman" w:cs="Times New Roman"/>
                <w:b/>
                <w:bCs/>
                <w:sz w:val="24"/>
                <w:szCs w:val="24"/>
              </w:rPr>
            </w:pPr>
            <w:r>
              <w:rPr>
                <w:rFonts w:ascii="Times New Roman" w:hAnsi="Times New Roman" w:cs="Times New Roman"/>
                <w:b/>
                <w:bCs/>
                <w:sz w:val="24"/>
                <w:szCs w:val="24"/>
              </w:rPr>
              <w:t>Significance Level</w:t>
            </w:r>
          </w:p>
        </w:tc>
        <w:tc>
          <w:tcPr>
            <w:tcW w:w="481" w:type="pct"/>
            <w:tcBorders>
              <w:top w:val="double" w:sz="4" w:space="0" w:color="auto"/>
              <w:bottom w:val="single" w:sz="4" w:space="0" w:color="auto"/>
            </w:tcBorders>
            <w:vAlign w:val="center"/>
          </w:tcPr>
          <w:p w14:paraId="0C0E84AB" w14:textId="77777777" w:rsidR="004374DB" w:rsidRPr="00BD0D69" w:rsidRDefault="004374DB" w:rsidP="003B4EAA">
            <w:pPr>
              <w:jc w:val="center"/>
              <w:rPr>
                <w:rFonts w:ascii="Times New Roman" w:hAnsi="Times New Roman" w:cs="Times New Roman"/>
                <w:b/>
                <w:bCs/>
                <w:sz w:val="24"/>
                <w:szCs w:val="24"/>
              </w:rPr>
            </w:pPr>
            <w:r w:rsidRPr="00BD0D69">
              <w:rPr>
                <w:rFonts w:ascii="Times New Roman" w:hAnsi="Times New Roman" w:cs="Times New Roman"/>
                <w:b/>
                <w:bCs/>
                <w:i/>
                <w:iCs/>
                <w:sz w:val="24"/>
                <w:szCs w:val="24"/>
              </w:rPr>
              <w:t>p</w:t>
            </w:r>
            <w:r w:rsidRPr="00BD0D69">
              <w:rPr>
                <w:rFonts w:ascii="Times New Roman" w:hAnsi="Times New Roman" w:cs="Times New Roman"/>
                <w:b/>
                <w:bCs/>
                <w:sz w:val="24"/>
                <w:szCs w:val="24"/>
              </w:rPr>
              <w:t>-value</w:t>
            </w:r>
          </w:p>
        </w:tc>
        <w:tc>
          <w:tcPr>
            <w:tcW w:w="608" w:type="pct"/>
            <w:tcBorders>
              <w:top w:val="double" w:sz="4" w:space="0" w:color="auto"/>
              <w:bottom w:val="single" w:sz="4" w:space="0" w:color="auto"/>
            </w:tcBorders>
            <w:vAlign w:val="center"/>
          </w:tcPr>
          <w:p w14:paraId="24044414" w14:textId="77777777" w:rsidR="004374DB" w:rsidRPr="00BD0D69" w:rsidRDefault="004374DB" w:rsidP="003B4EAA">
            <w:pPr>
              <w:jc w:val="center"/>
              <w:rPr>
                <w:rFonts w:ascii="Times New Roman" w:hAnsi="Times New Roman" w:cs="Times New Roman"/>
                <w:b/>
                <w:bCs/>
                <w:sz w:val="24"/>
                <w:szCs w:val="24"/>
              </w:rPr>
            </w:pPr>
            <w:r w:rsidRPr="00BD0D69">
              <w:rPr>
                <w:rFonts w:ascii="Times New Roman" w:hAnsi="Times New Roman" w:cs="Times New Roman"/>
                <w:b/>
                <w:bCs/>
                <w:sz w:val="24"/>
                <w:szCs w:val="24"/>
              </w:rPr>
              <w:t>Decision</w:t>
            </w:r>
          </w:p>
        </w:tc>
      </w:tr>
      <w:tr w:rsidR="004374DB" w14:paraId="25408F5D" w14:textId="77777777" w:rsidTr="004374DB">
        <w:tc>
          <w:tcPr>
            <w:tcW w:w="719" w:type="pct"/>
            <w:tcBorders>
              <w:top w:val="single" w:sz="4" w:space="0" w:color="auto"/>
            </w:tcBorders>
          </w:tcPr>
          <w:p w14:paraId="6F464824" w14:textId="77777777" w:rsidR="004374DB" w:rsidRPr="00D05555" w:rsidRDefault="004374DB" w:rsidP="003B4EAA">
            <w:pPr>
              <w:rPr>
                <w:rFonts w:ascii="Times New Roman" w:hAnsi="Times New Roman" w:cs="Times New Roman"/>
                <w:sz w:val="24"/>
                <w:szCs w:val="24"/>
              </w:rPr>
            </w:pPr>
            <w:r>
              <w:rPr>
                <w:rFonts w:ascii="Times New Roman" w:hAnsi="Times New Roman" w:cs="Times New Roman"/>
                <w:sz w:val="24"/>
                <w:szCs w:val="24"/>
              </w:rPr>
              <w:t>MPL</w:t>
            </w:r>
          </w:p>
        </w:tc>
        <w:tc>
          <w:tcPr>
            <w:tcW w:w="865" w:type="pct"/>
            <w:tcBorders>
              <w:top w:val="single" w:sz="4" w:space="0" w:color="auto"/>
            </w:tcBorders>
          </w:tcPr>
          <w:p w14:paraId="764A700E" w14:textId="77777777" w:rsidR="004374DB" w:rsidRDefault="004374DB" w:rsidP="003B4EAA">
            <w:pPr>
              <w:jc w:val="center"/>
              <w:rPr>
                <w:rFonts w:ascii="Times New Roman" w:hAnsi="Times New Roman" w:cs="Times New Roman"/>
                <w:sz w:val="24"/>
                <w:szCs w:val="24"/>
              </w:rPr>
            </w:pPr>
          </w:p>
        </w:tc>
        <w:tc>
          <w:tcPr>
            <w:tcW w:w="481" w:type="pct"/>
            <w:vMerge w:val="restart"/>
            <w:tcBorders>
              <w:top w:val="single" w:sz="4" w:space="0" w:color="auto"/>
            </w:tcBorders>
            <w:vAlign w:val="center"/>
          </w:tcPr>
          <w:p w14:paraId="20B9C758" w14:textId="77777777" w:rsidR="004374DB" w:rsidRDefault="004374DB" w:rsidP="003B4EAA">
            <w:pPr>
              <w:jc w:val="center"/>
              <w:rPr>
                <w:rFonts w:ascii="Times New Roman" w:hAnsi="Times New Roman" w:cs="Times New Roman"/>
                <w:sz w:val="24"/>
                <w:szCs w:val="24"/>
              </w:rPr>
            </w:pPr>
            <w:r>
              <w:rPr>
                <w:rFonts w:ascii="Times New Roman" w:hAnsi="Times New Roman" w:cs="Times New Roman"/>
                <w:sz w:val="24"/>
                <w:szCs w:val="24"/>
              </w:rPr>
              <w:t>0.0317</w:t>
            </w:r>
          </w:p>
        </w:tc>
        <w:tc>
          <w:tcPr>
            <w:tcW w:w="415" w:type="pct"/>
            <w:vMerge w:val="restart"/>
            <w:tcBorders>
              <w:top w:val="single" w:sz="4" w:space="0" w:color="auto"/>
            </w:tcBorders>
            <w:vAlign w:val="center"/>
          </w:tcPr>
          <w:p w14:paraId="122130FF" w14:textId="77777777" w:rsidR="004374DB" w:rsidRDefault="004374DB" w:rsidP="003B4EAA">
            <w:pPr>
              <w:jc w:val="center"/>
              <w:rPr>
                <w:rFonts w:ascii="Times New Roman" w:hAnsi="Times New Roman" w:cs="Times New Roman"/>
                <w:sz w:val="24"/>
                <w:szCs w:val="24"/>
              </w:rPr>
            </w:pPr>
            <w:r>
              <w:rPr>
                <w:rFonts w:ascii="Times New Roman" w:hAnsi="Times New Roman" w:cs="Times New Roman"/>
                <w:sz w:val="24"/>
                <w:szCs w:val="24"/>
              </w:rPr>
              <w:t>0.001</w:t>
            </w:r>
          </w:p>
        </w:tc>
        <w:tc>
          <w:tcPr>
            <w:tcW w:w="632" w:type="pct"/>
            <w:vMerge w:val="restart"/>
            <w:tcBorders>
              <w:top w:val="single" w:sz="4" w:space="0" w:color="auto"/>
            </w:tcBorders>
            <w:vAlign w:val="center"/>
          </w:tcPr>
          <w:p w14:paraId="1E6158B1" w14:textId="77777777" w:rsidR="004374DB" w:rsidRDefault="004374DB" w:rsidP="003B4EAA">
            <w:pPr>
              <w:jc w:val="center"/>
              <w:rPr>
                <w:rFonts w:ascii="Times New Roman" w:hAnsi="Times New Roman" w:cs="Times New Roman"/>
                <w:sz w:val="24"/>
                <w:szCs w:val="24"/>
              </w:rPr>
            </w:pPr>
            <w:r>
              <w:rPr>
                <w:rFonts w:ascii="Times New Roman" w:hAnsi="Times New Roman" w:cs="Times New Roman"/>
                <w:sz w:val="24"/>
                <w:szCs w:val="24"/>
              </w:rPr>
              <w:t>-0.01819</w:t>
            </w:r>
          </w:p>
        </w:tc>
        <w:tc>
          <w:tcPr>
            <w:tcW w:w="799" w:type="pct"/>
            <w:vMerge w:val="restart"/>
            <w:tcBorders>
              <w:top w:val="single" w:sz="4" w:space="0" w:color="auto"/>
            </w:tcBorders>
            <w:vAlign w:val="center"/>
          </w:tcPr>
          <w:p w14:paraId="17943EAB" w14:textId="77777777" w:rsidR="004374DB" w:rsidRDefault="004374DB" w:rsidP="003B4EAA">
            <w:pPr>
              <w:jc w:val="center"/>
              <w:rPr>
                <w:rFonts w:ascii="Times New Roman" w:hAnsi="Times New Roman" w:cs="Times New Roman"/>
                <w:sz w:val="24"/>
                <w:szCs w:val="24"/>
              </w:rPr>
            </w:pPr>
            <w:r>
              <w:rPr>
                <w:rFonts w:ascii="Times New Roman" w:hAnsi="Times New Roman" w:cs="Times New Roman"/>
                <w:sz w:val="24"/>
                <w:szCs w:val="24"/>
              </w:rPr>
              <w:t>0.05</w:t>
            </w:r>
          </w:p>
        </w:tc>
        <w:tc>
          <w:tcPr>
            <w:tcW w:w="481" w:type="pct"/>
            <w:vMerge w:val="restart"/>
            <w:tcBorders>
              <w:top w:val="single" w:sz="4" w:space="0" w:color="auto"/>
            </w:tcBorders>
            <w:vAlign w:val="center"/>
          </w:tcPr>
          <w:p w14:paraId="2D34DAB9" w14:textId="77777777" w:rsidR="004374DB" w:rsidRDefault="004374DB" w:rsidP="003B4EAA">
            <w:pPr>
              <w:jc w:val="center"/>
              <w:rPr>
                <w:rFonts w:ascii="Times New Roman" w:hAnsi="Times New Roman" w:cs="Times New Roman"/>
                <w:sz w:val="24"/>
                <w:szCs w:val="24"/>
              </w:rPr>
            </w:pPr>
            <w:r>
              <w:rPr>
                <w:rFonts w:ascii="Times New Roman" w:hAnsi="Times New Roman" w:cs="Times New Roman"/>
                <w:sz w:val="24"/>
                <w:szCs w:val="24"/>
              </w:rPr>
              <w:t>0.7915</w:t>
            </w:r>
          </w:p>
        </w:tc>
        <w:tc>
          <w:tcPr>
            <w:tcW w:w="608" w:type="pct"/>
            <w:vMerge w:val="restart"/>
            <w:tcBorders>
              <w:top w:val="single" w:sz="4" w:space="0" w:color="auto"/>
            </w:tcBorders>
            <w:vAlign w:val="center"/>
          </w:tcPr>
          <w:p w14:paraId="5FB7B250" w14:textId="77777777" w:rsidR="004374DB" w:rsidRPr="00C23653" w:rsidRDefault="004374DB" w:rsidP="003B4EAA">
            <w:pPr>
              <w:jc w:val="center"/>
              <w:rPr>
                <w:rFonts w:ascii="Times New Roman" w:hAnsi="Times New Roman" w:cs="Times New Roman"/>
                <w:sz w:val="24"/>
                <w:szCs w:val="24"/>
              </w:rPr>
            </w:pPr>
            <w:r>
              <w:rPr>
                <w:rFonts w:ascii="Times New Roman" w:hAnsi="Times New Roman" w:cs="Times New Roman"/>
                <w:sz w:val="24"/>
                <w:szCs w:val="24"/>
              </w:rPr>
              <w:t>Accept H</w:t>
            </w:r>
            <w:r>
              <w:rPr>
                <w:rFonts w:ascii="Times New Roman" w:hAnsi="Times New Roman" w:cs="Times New Roman"/>
                <w:sz w:val="24"/>
                <w:szCs w:val="24"/>
                <w:vertAlign w:val="subscript"/>
              </w:rPr>
              <w:t>o</w:t>
            </w:r>
          </w:p>
        </w:tc>
      </w:tr>
      <w:tr w:rsidR="004374DB" w14:paraId="5A089539" w14:textId="77777777" w:rsidTr="004374DB">
        <w:tc>
          <w:tcPr>
            <w:tcW w:w="719" w:type="pct"/>
            <w:tcBorders>
              <w:bottom w:val="double" w:sz="4" w:space="0" w:color="auto"/>
            </w:tcBorders>
          </w:tcPr>
          <w:p w14:paraId="38C8B6A1" w14:textId="77777777" w:rsidR="004374DB" w:rsidRPr="00D05555" w:rsidRDefault="004374DB" w:rsidP="003B4EAA">
            <w:pPr>
              <w:rPr>
                <w:rFonts w:ascii="Times New Roman" w:hAnsi="Times New Roman" w:cs="Times New Roman"/>
                <w:sz w:val="24"/>
                <w:szCs w:val="24"/>
              </w:rPr>
            </w:pPr>
            <w:r>
              <w:rPr>
                <w:rFonts w:ascii="Times New Roman" w:hAnsi="Times New Roman" w:cs="Times New Roman"/>
                <w:sz w:val="24"/>
                <w:szCs w:val="24"/>
              </w:rPr>
              <w:t>Level of Tolerance</w:t>
            </w:r>
          </w:p>
        </w:tc>
        <w:tc>
          <w:tcPr>
            <w:tcW w:w="865" w:type="pct"/>
            <w:tcBorders>
              <w:bottom w:val="double" w:sz="4" w:space="0" w:color="auto"/>
            </w:tcBorders>
          </w:tcPr>
          <w:p w14:paraId="07132226" w14:textId="77777777" w:rsidR="004374DB" w:rsidRDefault="004374DB" w:rsidP="003B4EAA">
            <w:pPr>
              <w:jc w:val="center"/>
              <w:rPr>
                <w:rFonts w:ascii="Times New Roman" w:hAnsi="Times New Roman" w:cs="Times New Roman"/>
                <w:sz w:val="24"/>
                <w:szCs w:val="24"/>
              </w:rPr>
            </w:pPr>
            <w:r>
              <w:rPr>
                <w:rFonts w:ascii="Times New Roman" w:hAnsi="Times New Roman" w:cs="Times New Roman"/>
                <w:sz w:val="24"/>
                <w:szCs w:val="24"/>
              </w:rPr>
              <w:t>72</w:t>
            </w:r>
          </w:p>
        </w:tc>
        <w:tc>
          <w:tcPr>
            <w:tcW w:w="481" w:type="pct"/>
            <w:vMerge/>
            <w:tcBorders>
              <w:bottom w:val="double" w:sz="4" w:space="0" w:color="auto"/>
            </w:tcBorders>
            <w:vAlign w:val="center"/>
          </w:tcPr>
          <w:p w14:paraId="0411AF40" w14:textId="77777777" w:rsidR="004374DB" w:rsidRDefault="004374DB" w:rsidP="003B4EAA">
            <w:pPr>
              <w:jc w:val="center"/>
              <w:rPr>
                <w:rFonts w:ascii="Times New Roman" w:hAnsi="Times New Roman" w:cs="Times New Roman"/>
                <w:sz w:val="24"/>
                <w:szCs w:val="24"/>
              </w:rPr>
            </w:pPr>
          </w:p>
        </w:tc>
        <w:tc>
          <w:tcPr>
            <w:tcW w:w="415" w:type="pct"/>
            <w:vMerge/>
            <w:tcBorders>
              <w:bottom w:val="double" w:sz="4" w:space="0" w:color="auto"/>
            </w:tcBorders>
            <w:vAlign w:val="center"/>
          </w:tcPr>
          <w:p w14:paraId="357CDA81" w14:textId="77777777" w:rsidR="004374DB" w:rsidRDefault="004374DB" w:rsidP="003B4EAA">
            <w:pPr>
              <w:jc w:val="center"/>
              <w:rPr>
                <w:rFonts w:ascii="Times New Roman" w:hAnsi="Times New Roman" w:cs="Times New Roman"/>
                <w:sz w:val="24"/>
                <w:szCs w:val="24"/>
              </w:rPr>
            </w:pPr>
          </w:p>
        </w:tc>
        <w:tc>
          <w:tcPr>
            <w:tcW w:w="632" w:type="pct"/>
            <w:vMerge/>
            <w:tcBorders>
              <w:bottom w:val="double" w:sz="4" w:space="0" w:color="auto"/>
            </w:tcBorders>
          </w:tcPr>
          <w:p w14:paraId="11D75FCE" w14:textId="77777777" w:rsidR="004374DB" w:rsidRDefault="004374DB" w:rsidP="003B4EAA">
            <w:pPr>
              <w:rPr>
                <w:rFonts w:ascii="Times New Roman" w:hAnsi="Times New Roman" w:cs="Times New Roman"/>
                <w:sz w:val="24"/>
                <w:szCs w:val="24"/>
              </w:rPr>
            </w:pPr>
          </w:p>
        </w:tc>
        <w:tc>
          <w:tcPr>
            <w:tcW w:w="799" w:type="pct"/>
            <w:vMerge/>
            <w:tcBorders>
              <w:bottom w:val="double" w:sz="4" w:space="0" w:color="auto"/>
            </w:tcBorders>
          </w:tcPr>
          <w:p w14:paraId="0E832C9E" w14:textId="77777777" w:rsidR="004374DB" w:rsidRDefault="004374DB" w:rsidP="003B4EAA">
            <w:pPr>
              <w:rPr>
                <w:rFonts w:ascii="Times New Roman" w:hAnsi="Times New Roman" w:cs="Times New Roman"/>
                <w:sz w:val="24"/>
                <w:szCs w:val="24"/>
              </w:rPr>
            </w:pPr>
          </w:p>
        </w:tc>
        <w:tc>
          <w:tcPr>
            <w:tcW w:w="481" w:type="pct"/>
            <w:vMerge/>
            <w:tcBorders>
              <w:bottom w:val="double" w:sz="4" w:space="0" w:color="auto"/>
            </w:tcBorders>
          </w:tcPr>
          <w:p w14:paraId="59536783" w14:textId="77777777" w:rsidR="004374DB" w:rsidRDefault="004374DB" w:rsidP="003B4EAA">
            <w:pPr>
              <w:rPr>
                <w:rFonts w:ascii="Times New Roman" w:hAnsi="Times New Roman" w:cs="Times New Roman"/>
                <w:sz w:val="24"/>
                <w:szCs w:val="24"/>
              </w:rPr>
            </w:pPr>
          </w:p>
        </w:tc>
        <w:tc>
          <w:tcPr>
            <w:tcW w:w="608" w:type="pct"/>
            <w:vMerge/>
            <w:tcBorders>
              <w:bottom w:val="double" w:sz="4" w:space="0" w:color="auto"/>
            </w:tcBorders>
          </w:tcPr>
          <w:p w14:paraId="6FB6FCAE" w14:textId="77777777" w:rsidR="004374DB" w:rsidRDefault="004374DB" w:rsidP="003B4EAA">
            <w:pPr>
              <w:rPr>
                <w:rFonts w:ascii="Times New Roman" w:hAnsi="Times New Roman" w:cs="Times New Roman"/>
                <w:sz w:val="24"/>
                <w:szCs w:val="24"/>
              </w:rPr>
            </w:pPr>
          </w:p>
        </w:tc>
      </w:tr>
    </w:tbl>
    <w:p w14:paraId="2F601D70" w14:textId="5D8819BD" w:rsidR="004374DB" w:rsidRDefault="004374DB" w:rsidP="004374DB">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It is shown that the correlation coefficient R of 0.0317 for linear relationship indicates that it is closer to zero. This goes to show that the relationship is almost non-existent and negligible. Furthermore, the value of R-squared of 0.001 which is closer to zero, it means that the predictor (level of tolerance) indicates that the response variable (MPL) cannot be explained by the predictor variable. This means that the level of tolerance does not affect the mean performance level in mathematics of grade 10 students. Also, the p-value of 0.7915 is significantly higher than the significance level of 0.05, therefore, it can be said that we fail to reject the null hypothesis and that the mean performance level in mathematics is not affected by the tolerance of ambiguity.</w:t>
      </w:r>
    </w:p>
    <w:p w14:paraId="35DF7B22" w14:textId="77777777" w:rsidR="0057562D" w:rsidRPr="0057562D" w:rsidRDefault="0057562D" w:rsidP="0057562D">
      <w:pPr>
        <w:spacing w:before="240" w:after="240" w:line="240" w:lineRule="auto"/>
        <w:jc w:val="both"/>
        <w:rPr>
          <w:rFonts w:ascii="Times New Roman" w:hAnsi="Times New Roman" w:cs="Times New Roman"/>
          <w:b/>
          <w:bCs/>
          <w:sz w:val="28"/>
          <w:szCs w:val="28"/>
        </w:rPr>
      </w:pPr>
      <w:r w:rsidRPr="0057562D">
        <w:rPr>
          <w:rFonts w:ascii="Times New Roman" w:hAnsi="Times New Roman" w:cs="Times New Roman"/>
          <w:b/>
          <w:bCs/>
          <w:sz w:val="28"/>
          <w:szCs w:val="28"/>
        </w:rPr>
        <w:t>DISCUSSION</w:t>
      </w:r>
    </w:p>
    <w:p w14:paraId="378CABC2" w14:textId="77777777" w:rsidR="00474961" w:rsidRPr="00474961" w:rsidRDefault="00474961" w:rsidP="00474961">
      <w:pPr>
        <w:spacing w:before="240" w:after="240" w:line="240" w:lineRule="auto"/>
        <w:jc w:val="both"/>
        <w:rPr>
          <w:rFonts w:ascii="Times New Roman" w:hAnsi="Times New Roman" w:cs="Times New Roman"/>
          <w:sz w:val="24"/>
          <w:szCs w:val="24"/>
        </w:rPr>
      </w:pPr>
      <w:r w:rsidRPr="00474961">
        <w:rPr>
          <w:rFonts w:ascii="Times New Roman" w:hAnsi="Times New Roman" w:cs="Times New Roman"/>
          <w:sz w:val="24"/>
          <w:szCs w:val="24"/>
        </w:rPr>
        <w:t>This study sought to determine the mean performance level in mathematics of grade 10 students by gathering their grade for the first until third quarter of the school year. Furthermore, they took test on tolerance of ambiguity scale to determine their level of tolerance.</w:t>
      </w:r>
    </w:p>
    <w:p w14:paraId="2AA60972" w14:textId="77777777" w:rsidR="00474961" w:rsidRPr="00474961" w:rsidRDefault="00474961" w:rsidP="00474961">
      <w:pPr>
        <w:spacing w:before="240" w:after="240" w:line="240" w:lineRule="auto"/>
        <w:jc w:val="both"/>
        <w:rPr>
          <w:rFonts w:ascii="Times New Roman" w:hAnsi="Times New Roman" w:cs="Times New Roman"/>
          <w:sz w:val="24"/>
          <w:szCs w:val="24"/>
        </w:rPr>
      </w:pPr>
      <w:r w:rsidRPr="00474961">
        <w:rPr>
          <w:rFonts w:ascii="Times New Roman" w:hAnsi="Times New Roman" w:cs="Times New Roman"/>
          <w:sz w:val="24"/>
          <w:szCs w:val="24"/>
        </w:rPr>
        <w:t xml:space="preserve">The result was contrary to the results of PISA in Math that showed that the Philippines fall below the average OECD (Luz, 2022). This could be due to teachers being more lenient and considerate on grading students. Furthermore, this showed that the students may indicate higher MPL but does not necessarily reflect on the overall learning of the students. Furthermore, the results also showed that the level of tolerance of ambiguity of the students were very high (63.08) than the average score. However, it also showed that their scores were greatly spread out (SD=7.19), meaning that the level of tolerance of the students can be concluded as heterogeneous. </w:t>
      </w:r>
    </w:p>
    <w:p w14:paraId="3EC51755" w14:textId="77777777" w:rsidR="00474961" w:rsidRPr="00474961" w:rsidRDefault="00474961" w:rsidP="00474961">
      <w:pPr>
        <w:spacing w:before="240" w:after="240" w:line="240" w:lineRule="auto"/>
        <w:jc w:val="both"/>
        <w:rPr>
          <w:rFonts w:ascii="Times New Roman" w:hAnsi="Times New Roman" w:cs="Times New Roman"/>
          <w:sz w:val="24"/>
          <w:szCs w:val="24"/>
        </w:rPr>
      </w:pPr>
      <w:r w:rsidRPr="00474961">
        <w:rPr>
          <w:rFonts w:ascii="Times New Roman" w:hAnsi="Times New Roman" w:cs="Times New Roman"/>
          <w:sz w:val="24"/>
          <w:szCs w:val="24"/>
        </w:rPr>
        <w:t>This study revealed that the students have high tolerance of ambiguity due to them being exposed to problem-based learning and inquiry-based approaches positively that influenced the students' tolerance of ambiguity (Yu, Wang, &amp; Xia, 2022). These active learning methods promoted students' ability to handle uncertainty and engage in complex problem-solving tasks.</w:t>
      </w:r>
    </w:p>
    <w:p w14:paraId="2A1CE535" w14:textId="77777777" w:rsidR="00474961" w:rsidRPr="00474961" w:rsidRDefault="00474961" w:rsidP="00474961">
      <w:pPr>
        <w:spacing w:before="240" w:after="240" w:line="240" w:lineRule="auto"/>
        <w:jc w:val="both"/>
        <w:rPr>
          <w:rFonts w:ascii="Times New Roman" w:hAnsi="Times New Roman" w:cs="Times New Roman"/>
          <w:sz w:val="24"/>
          <w:szCs w:val="24"/>
        </w:rPr>
      </w:pPr>
      <w:r w:rsidRPr="00474961">
        <w:rPr>
          <w:rFonts w:ascii="Times New Roman" w:hAnsi="Times New Roman" w:cs="Times New Roman"/>
          <w:sz w:val="24"/>
          <w:szCs w:val="24"/>
        </w:rPr>
        <w:t>On the other hand, it was revealed that that the students have high novelty tolerance, and moderate tolerance on complexity and insolubility. This means that the students are generally tolerant and that the causes for intolerance are not present among them. It was also in conjunction with the results of high level of tolerance that was previously reported. Therefore, it safe to assume that the students in general are not intolerant and the causes for intolerance are not present.</w:t>
      </w:r>
    </w:p>
    <w:p w14:paraId="3191E71D" w14:textId="77777777" w:rsidR="00474961" w:rsidRPr="00474961" w:rsidRDefault="00474961" w:rsidP="00474961">
      <w:pPr>
        <w:spacing w:before="240" w:after="240" w:line="240" w:lineRule="auto"/>
        <w:jc w:val="both"/>
        <w:rPr>
          <w:rFonts w:ascii="Times New Roman" w:hAnsi="Times New Roman" w:cs="Times New Roman"/>
          <w:sz w:val="24"/>
          <w:szCs w:val="24"/>
        </w:rPr>
      </w:pPr>
      <w:r w:rsidRPr="00474961">
        <w:rPr>
          <w:rFonts w:ascii="Times New Roman" w:hAnsi="Times New Roman" w:cs="Times New Roman"/>
          <w:sz w:val="24"/>
          <w:szCs w:val="24"/>
        </w:rPr>
        <w:t>Regarding the relationship between MPL and the level of tolerance of ambiguity, the Pearson Moment Correlation analysis yielded a correlation coefficient of r = -0.0318 and a p-value of 0.7960, which is substantially greater than the significance level of 0.05. This confirms that there is no significant correlation between the two variables, and the null hypothesis is accepted. The near-zero negative correlation suggests only a negligible inverse relationship, which is practically meaningless and can be disregarded. This finding is consistent with the view that academic grades, particularly those shaped by teacher-assigned marks, may not be sufficiently sensitive to detect psychological dispositions such as tolerance of ambiguity (Soleimani, 2009). The independence of these two variables implies that a student’s capacity to tolerate unclear or novel situations does not necessarily translate into higher or lower mathematics grades, at least when performance is measured through quarterly grades.</w:t>
      </w:r>
    </w:p>
    <w:p w14:paraId="08FA4042" w14:textId="455C1A9A" w:rsidR="003319FA" w:rsidRDefault="00474961" w:rsidP="00474961">
      <w:pPr>
        <w:spacing w:before="240" w:after="240" w:line="240" w:lineRule="auto"/>
        <w:jc w:val="both"/>
        <w:rPr>
          <w:rFonts w:ascii="Times New Roman" w:hAnsi="Times New Roman" w:cs="Times New Roman"/>
          <w:sz w:val="24"/>
          <w:szCs w:val="24"/>
        </w:rPr>
      </w:pPr>
      <w:r w:rsidRPr="00474961">
        <w:rPr>
          <w:rFonts w:ascii="Times New Roman" w:hAnsi="Times New Roman" w:cs="Times New Roman"/>
          <w:sz w:val="24"/>
          <w:szCs w:val="24"/>
        </w:rPr>
        <w:t xml:space="preserve">The linear regression analysis further supports this conclusion. The regression model produced an R-value of 0.0317, an R-squared value of 0.001, a slope of -0.01819, and a p-value of 0.7915 — all of which confirm that the level of tolerance of ambiguity is not a significant predictor of the mean performance level in mathematics. The coefficient of determination (R² = 0.001) indicates that less than one percent of the variance in MPL can be attributed to the level of tolerance, rendering the model practically ineffective as a predictor. The near-horizontal best-fit line visible in the scatterplot (Figure 2) visually reinforces this statistical outcome. These results are in </w:t>
      </w:r>
      <w:r w:rsidRPr="00474961">
        <w:rPr>
          <w:rFonts w:ascii="Times New Roman" w:hAnsi="Times New Roman" w:cs="Times New Roman"/>
          <w:sz w:val="24"/>
          <w:szCs w:val="24"/>
        </w:rPr>
        <w:lastRenderedPageBreak/>
        <w:t>contrast with prior studies suggesting that ambiguity tolerance influences academic outcomes (Comadena, 1984; McLain et al., 2015), which may be attributed to the context-specific nature of the present study, particularly the use of quarterly grades as a performance measure rather than standardized assessments. Taken together, the correlation and regression findings affirm that MPL and the level of tolerance of ambiguity operate as independent dimensions among Grade 10 students in this context.</w:t>
      </w:r>
    </w:p>
    <w:p w14:paraId="5C6AFE96" w14:textId="77777777" w:rsidR="0057562D" w:rsidRPr="0057562D" w:rsidRDefault="0057562D" w:rsidP="0057562D">
      <w:pPr>
        <w:spacing w:before="240" w:after="240" w:line="240" w:lineRule="auto"/>
        <w:jc w:val="both"/>
        <w:rPr>
          <w:rFonts w:ascii="Times New Roman" w:hAnsi="Times New Roman" w:cs="Times New Roman"/>
          <w:b/>
          <w:sz w:val="28"/>
          <w:szCs w:val="28"/>
        </w:rPr>
      </w:pPr>
      <w:r w:rsidRPr="0057562D">
        <w:rPr>
          <w:rFonts w:ascii="Times New Roman" w:hAnsi="Times New Roman" w:cs="Times New Roman"/>
          <w:b/>
          <w:sz w:val="28"/>
          <w:szCs w:val="28"/>
        </w:rPr>
        <w:t>CONCLUSION</w:t>
      </w:r>
    </w:p>
    <w:p w14:paraId="2689CBBD" w14:textId="4401CC3C" w:rsidR="0057562D" w:rsidRP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Based on the findings of the study, it was concluded that the mean performance level in mathematics of grade 10 students was outstanding, but it does not necessarily reflect their actual performance as there are other factors that affects it. The level of tolerance of ambiguity of the students was generally very high, and that the causes for intolerance weren’t present as the subscales were high in novelty, and moderate in complexity and insolubility. Finally, it was concluded that MPL and the level of tolerance of ambiguity were not correlated and does not affect each other.</w:t>
      </w:r>
    </w:p>
    <w:p w14:paraId="42F0C023" w14:textId="1D9EBEE8" w:rsidR="0057562D" w:rsidRDefault="0057562D" w:rsidP="0057562D">
      <w:pPr>
        <w:spacing w:before="240" w:after="240" w:line="240" w:lineRule="auto"/>
        <w:jc w:val="both"/>
        <w:rPr>
          <w:rFonts w:ascii="Times New Roman" w:hAnsi="Times New Roman" w:cs="Times New Roman"/>
          <w:sz w:val="24"/>
          <w:szCs w:val="24"/>
        </w:rPr>
      </w:pPr>
      <w:r w:rsidRPr="0057562D">
        <w:rPr>
          <w:rFonts w:ascii="Times New Roman" w:hAnsi="Times New Roman" w:cs="Times New Roman"/>
          <w:sz w:val="24"/>
          <w:szCs w:val="24"/>
        </w:rPr>
        <w:t>Based on the abovementioned findings and conclusions, the following recommendations were given: as the MPL of the students were high but does not reflect the actual assessment of independent groups, MPL is not as safe variable for a research such like this as it was affected by the subjectivity of the rating teachers. Students can tolerate so much ambiguity that it safe to give them situations that would challenge them to go further with their studies as MPL and level of tolerance were not associated with one another. For future researchers, it would be advisable to increase the number of respondents and a wider scope to study. Policymakers, education department, schools, and teachers must take into account the importance of high tolerance of student to give them appropriate strategies and content that would be beneficial to them. Furthermore, they must look into other measuring tool to determine their MPL as this study revealed it to be inaccurate tool for assessment.</w:t>
      </w:r>
    </w:p>
    <w:p w14:paraId="65436BC6" w14:textId="3552C17D" w:rsidR="0057562D" w:rsidRPr="0057562D" w:rsidRDefault="0057562D" w:rsidP="0057562D">
      <w:pPr>
        <w:spacing w:before="240" w:after="240" w:line="240" w:lineRule="auto"/>
        <w:jc w:val="both"/>
        <w:rPr>
          <w:rFonts w:ascii="Times New Roman" w:hAnsi="Times New Roman" w:cs="Times New Roman"/>
          <w:b/>
          <w:sz w:val="28"/>
          <w:szCs w:val="28"/>
        </w:rPr>
      </w:pPr>
      <w:r w:rsidRPr="0057562D">
        <w:rPr>
          <w:rFonts w:ascii="Times New Roman" w:hAnsi="Times New Roman" w:cs="Times New Roman"/>
          <w:b/>
          <w:sz w:val="28"/>
          <w:szCs w:val="28"/>
        </w:rPr>
        <w:t>REFERENCES</w:t>
      </w:r>
    </w:p>
    <w:p w14:paraId="6B1873D1" w14:textId="7B715C44"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Comadena, M. E. (1984). Brainstorming Groups. Small Group Behavior, 15(2), 251–264. </w:t>
      </w:r>
      <w:hyperlink r:id="rId10" w:history="1">
        <w:r w:rsidRPr="00056286">
          <w:rPr>
            <w:rStyle w:val="Hyperlink"/>
            <w:rFonts w:ascii="Times New Roman" w:hAnsi="Times New Roman" w:cs="Times New Roman"/>
            <w:color w:val="auto"/>
            <w:sz w:val="24"/>
            <w:szCs w:val="24"/>
          </w:rPr>
          <w:t>https://doi.org/10.1177/104649648401500207</w:t>
        </w:r>
      </w:hyperlink>
      <w:r w:rsidRPr="00056286">
        <w:rPr>
          <w:rFonts w:ascii="Times New Roman" w:hAnsi="Times New Roman" w:cs="Times New Roman"/>
          <w:sz w:val="24"/>
          <w:szCs w:val="24"/>
        </w:rPr>
        <w:t xml:space="preserve"> </w:t>
      </w:r>
    </w:p>
    <w:p w14:paraId="24200640" w14:textId="56911EBA"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Department of Education. (2017). Vision, Mission, Core Values, and Mandate | Department of Education. Deped.gov.ph. </w:t>
      </w:r>
      <w:hyperlink r:id="rId11" w:history="1">
        <w:r w:rsidRPr="00056286">
          <w:rPr>
            <w:rStyle w:val="Hyperlink"/>
            <w:rFonts w:ascii="Times New Roman" w:hAnsi="Times New Roman" w:cs="Times New Roman"/>
            <w:color w:val="auto"/>
            <w:sz w:val="24"/>
            <w:szCs w:val="24"/>
          </w:rPr>
          <w:t>https://www.deped.gov.ph/about-deped/vision-mission-core-values-and-mandate/</w:t>
        </w:r>
      </w:hyperlink>
      <w:r w:rsidRPr="00056286">
        <w:rPr>
          <w:rFonts w:ascii="Times New Roman" w:hAnsi="Times New Roman" w:cs="Times New Roman"/>
          <w:sz w:val="24"/>
          <w:szCs w:val="24"/>
        </w:rPr>
        <w:t xml:space="preserve"> </w:t>
      </w:r>
    </w:p>
    <w:p w14:paraId="7B9C7952" w14:textId="1BA4770F"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Guilbert, J-J. (2002). The Ambiguous and Bewitching Power of Knowledge, Skills and Attitudes Leads to Confusing Statements of Learning Objectives. Education for Health: Change in Learning &amp; Practice, 15(3), 362–369. </w:t>
      </w:r>
      <w:hyperlink r:id="rId12" w:history="1">
        <w:r w:rsidRPr="00056286">
          <w:rPr>
            <w:rStyle w:val="Hyperlink"/>
            <w:rFonts w:ascii="Times New Roman" w:hAnsi="Times New Roman" w:cs="Times New Roman"/>
            <w:color w:val="auto"/>
            <w:sz w:val="24"/>
            <w:szCs w:val="24"/>
          </w:rPr>
          <w:t>https://doi.org/10.1080/1357628021000012688</w:t>
        </w:r>
      </w:hyperlink>
      <w:r w:rsidRPr="00056286">
        <w:rPr>
          <w:rFonts w:ascii="Times New Roman" w:hAnsi="Times New Roman" w:cs="Times New Roman"/>
          <w:sz w:val="24"/>
          <w:szCs w:val="24"/>
        </w:rPr>
        <w:t xml:space="preserve"> </w:t>
      </w:r>
    </w:p>
    <w:p w14:paraId="3CE74835" w14:textId="3571FF41"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Juan Miguel Luz. (2022, February 24). PISA AND WHAT IT REVEALED ABOUT THE QUALITY OF OUR EDUCATION SYSTEM. Retrieved from FEU Public Policy Center website: </w:t>
      </w:r>
      <w:hyperlink r:id="rId13" w:anchor=":~:text=The%20average%20score%20for%20the" w:history="1">
        <w:r w:rsidRPr="00056286">
          <w:rPr>
            <w:rStyle w:val="Hyperlink"/>
            <w:rFonts w:ascii="Times New Roman" w:hAnsi="Times New Roman" w:cs="Times New Roman"/>
            <w:color w:val="auto"/>
            <w:sz w:val="24"/>
            <w:szCs w:val="24"/>
          </w:rPr>
          <w:t>https://publicpolicy.feu.org.ph/news/pisa-and-what-it-revealed-about-the-quality-of-our-education-system/#:~:text=The%20average%20score%20for%20the</w:t>
        </w:r>
      </w:hyperlink>
      <w:r w:rsidRPr="00056286">
        <w:rPr>
          <w:rFonts w:ascii="Times New Roman" w:hAnsi="Times New Roman" w:cs="Times New Roman"/>
          <w:sz w:val="24"/>
          <w:szCs w:val="24"/>
        </w:rPr>
        <w:t xml:space="preserve"> </w:t>
      </w:r>
    </w:p>
    <w:p w14:paraId="0FC9F831" w14:textId="40828DD7"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Kyriazos, T. A. (2018). Applied Psychometrics: Sample Size and Sample Power Considerations in Factor Analysis (EFA, CFA) and SEM in General. Psychology, 09(08), 2207–2230. </w:t>
      </w:r>
      <w:hyperlink r:id="rId14" w:history="1">
        <w:r w:rsidRPr="00056286">
          <w:rPr>
            <w:rStyle w:val="Hyperlink"/>
            <w:rFonts w:ascii="Times New Roman" w:hAnsi="Times New Roman" w:cs="Times New Roman"/>
            <w:color w:val="auto"/>
            <w:sz w:val="24"/>
            <w:szCs w:val="24"/>
          </w:rPr>
          <w:t>https://doi.org/10.4236/psych.2018.98126</w:t>
        </w:r>
      </w:hyperlink>
      <w:r w:rsidRPr="00056286">
        <w:rPr>
          <w:rFonts w:ascii="Times New Roman" w:hAnsi="Times New Roman" w:cs="Times New Roman"/>
          <w:sz w:val="24"/>
          <w:szCs w:val="24"/>
        </w:rPr>
        <w:t xml:space="preserve"> </w:t>
      </w:r>
    </w:p>
    <w:p w14:paraId="52432898" w14:textId="1591F07E"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lang w:val="it-IT"/>
        </w:rPr>
      </w:pPr>
      <w:r w:rsidRPr="00056286">
        <w:rPr>
          <w:rFonts w:ascii="Times New Roman" w:hAnsi="Times New Roman" w:cs="Times New Roman"/>
          <w:sz w:val="24"/>
          <w:szCs w:val="24"/>
        </w:rPr>
        <w:t xml:space="preserve">Magsambol, B. (2022, June 24). LIST: 5 education issues that the next DepEd chief needs to address. </w:t>
      </w:r>
      <w:r w:rsidRPr="00056286">
        <w:rPr>
          <w:rFonts w:ascii="Times New Roman" w:hAnsi="Times New Roman" w:cs="Times New Roman"/>
          <w:sz w:val="24"/>
          <w:szCs w:val="24"/>
          <w:lang w:val="it-IT"/>
        </w:rPr>
        <w:t xml:space="preserve">RAPPLER. </w:t>
      </w:r>
      <w:hyperlink r:id="rId15" w:history="1">
        <w:r w:rsidRPr="00056286">
          <w:rPr>
            <w:rStyle w:val="Hyperlink"/>
            <w:rFonts w:ascii="Times New Roman" w:hAnsi="Times New Roman" w:cs="Times New Roman"/>
            <w:color w:val="auto"/>
            <w:sz w:val="24"/>
            <w:szCs w:val="24"/>
            <w:lang w:val="it-IT"/>
          </w:rPr>
          <w:t>https://www.rappler.com/newsbreak/iq/list-education-issues-next-deped-chief-needs-to-address/</w:t>
        </w:r>
      </w:hyperlink>
      <w:r w:rsidRPr="00056286">
        <w:rPr>
          <w:rFonts w:ascii="Times New Roman" w:hAnsi="Times New Roman" w:cs="Times New Roman"/>
          <w:sz w:val="24"/>
          <w:szCs w:val="24"/>
          <w:lang w:val="it-IT"/>
        </w:rPr>
        <w:t xml:space="preserve"> </w:t>
      </w:r>
    </w:p>
    <w:p w14:paraId="75794348" w14:textId="62D5AE61"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McLain, D. L., Kefallonitis, E., &amp; Armani, K. (2015). Ambiguity tolerance in organizations: definitional clarification and perspectives on future research. Frontiers in Psychology, 6. </w:t>
      </w:r>
      <w:hyperlink r:id="rId16" w:history="1">
        <w:r w:rsidRPr="00056286">
          <w:rPr>
            <w:rStyle w:val="Hyperlink"/>
            <w:rFonts w:ascii="Times New Roman" w:hAnsi="Times New Roman" w:cs="Times New Roman"/>
            <w:color w:val="auto"/>
            <w:sz w:val="24"/>
            <w:szCs w:val="24"/>
          </w:rPr>
          <w:t>https://doi.org/10.3389/fpsyg.2015.00344</w:t>
        </w:r>
      </w:hyperlink>
      <w:r w:rsidRPr="00056286">
        <w:rPr>
          <w:rFonts w:ascii="Times New Roman" w:hAnsi="Times New Roman" w:cs="Times New Roman"/>
          <w:sz w:val="24"/>
          <w:szCs w:val="24"/>
        </w:rPr>
        <w:t xml:space="preserve"> </w:t>
      </w:r>
    </w:p>
    <w:p w14:paraId="481708DB" w14:textId="6078BBE6"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NEDA. (2016). AmBisyon Natin 2040 – The Philippines in 2040. A prosperous, middle-class society where no one is poor A healthy and resilient society A smart and innovative society A high-trust society. NEDA. </w:t>
      </w:r>
      <w:hyperlink r:id="rId17" w:history="1">
        <w:r w:rsidRPr="00056286">
          <w:rPr>
            <w:rStyle w:val="Hyperlink"/>
            <w:rFonts w:ascii="Times New Roman" w:hAnsi="Times New Roman" w:cs="Times New Roman"/>
            <w:color w:val="auto"/>
            <w:sz w:val="24"/>
            <w:szCs w:val="24"/>
          </w:rPr>
          <w:t>https://2040.neda.gov.ph/</w:t>
        </w:r>
      </w:hyperlink>
      <w:r w:rsidRPr="00056286">
        <w:rPr>
          <w:rFonts w:ascii="Times New Roman" w:hAnsi="Times New Roman" w:cs="Times New Roman"/>
          <w:sz w:val="24"/>
          <w:szCs w:val="24"/>
        </w:rPr>
        <w:t xml:space="preserve"> </w:t>
      </w:r>
    </w:p>
    <w:p w14:paraId="36BBA262" w14:textId="77777777"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Soleimani, A. (2009). Differences in listening comprehension among high-, middle-, and low-  ambiguity tolerant Iranian EFL learners [Unpublished master’s thesis].</w:t>
      </w:r>
    </w:p>
    <w:p w14:paraId="575167DC" w14:textId="158C5CDF" w:rsidR="00056286"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t xml:space="preserve">Suzawa, G. S. (2013). The learning teacher: role of ambiguity in education. Journal of Pedagogy / Pedagogický Casopis, 4(2), 220–236. </w:t>
      </w:r>
      <w:hyperlink r:id="rId18" w:history="1">
        <w:r w:rsidRPr="00056286">
          <w:rPr>
            <w:rStyle w:val="Hyperlink"/>
            <w:rFonts w:ascii="Times New Roman" w:hAnsi="Times New Roman" w:cs="Times New Roman"/>
            <w:color w:val="auto"/>
            <w:sz w:val="24"/>
            <w:szCs w:val="24"/>
          </w:rPr>
          <w:t>https://doi.org/10.2478/jped-2013-0012</w:t>
        </w:r>
      </w:hyperlink>
      <w:r w:rsidRPr="00056286">
        <w:rPr>
          <w:rFonts w:ascii="Times New Roman" w:hAnsi="Times New Roman" w:cs="Times New Roman"/>
          <w:sz w:val="24"/>
          <w:szCs w:val="24"/>
        </w:rPr>
        <w:t xml:space="preserve"> </w:t>
      </w:r>
    </w:p>
    <w:p w14:paraId="451ABB7B" w14:textId="5676365E" w:rsidR="0057562D" w:rsidRPr="00056286" w:rsidRDefault="00056286" w:rsidP="00056286">
      <w:pPr>
        <w:pStyle w:val="ListParagraph"/>
        <w:numPr>
          <w:ilvl w:val="0"/>
          <w:numId w:val="1"/>
        </w:numPr>
        <w:spacing w:before="240" w:after="240" w:line="240" w:lineRule="auto"/>
        <w:jc w:val="both"/>
        <w:rPr>
          <w:rFonts w:ascii="Times New Roman" w:hAnsi="Times New Roman" w:cs="Times New Roman"/>
          <w:sz w:val="24"/>
          <w:szCs w:val="24"/>
        </w:rPr>
      </w:pPr>
      <w:r w:rsidRPr="00056286">
        <w:rPr>
          <w:rFonts w:ascii="Times New Roman" w:hAnsi="Times New Roman" w:cs="Times New Roman"/>
          <w:sz w:val="24"/>
          <w:szCs w:val="24"/>
        </w:rPr>
        <w:lastRenderedPageBreak/>
        <w:t xml:space="preserve">Yu, M., Wang, H., &amp; Xia, G. (2022). The Review on the Role of Ambiguity of Tolerance and Resilience on Students’ Engagement. Frontiers in Psychology, 12. </w:t>
      </w:r>
      <w:hyperlink r:id="rId19" w:history="1">
        <w:r w:rsidRPr="00056286">
          <w:rPr>
            <w:rStyle w:val="Hyperlink"/>
            <w:rFonts w:ascii="Times New Roman" w:hAnsi="Times New Roman" w:cs="Times New Roman"/>
            <w:color w:val="auto"/>
            <w:sz w:val="24"/>
            <w:szCs w:val="24"/>
          </w:rPr>
          <w:t>https://doi.org/10.3389/fpsyg.2021.828894</w:t>
        </w:r>
      </w:hyperlink>
      <w:r w:rsidRPr="00056286">
        <w:rPr>
          <w:rFonts w:ascii="Times New Roman" w:hAnsi="Times New Roman" w:cs="Times New Roman"/>
          <w:sz w:val="24"/>
          <w:szCs w:val="24"/>
        </w:rPr>
        <w:t xml:space="preserve"> </w:t>
      </w:r>
    </w:p>
    <w:p w14:paraId="521862DB" w14:textId="77777777" w:rsidR="00B4151B" w:rsidRDefault="00B4151B" w:rsidP="0057562D">
      <w:pPr>
        <w:spacing w:before="240" w:after="240" w:line="240" w:lineRule="auto"/>
        <w:jc w:val="both"/>
        <w:rPr>
          <w:rFonts w:ascii="Times New Roman" w:hAnsi="Times New Roman" w:cs="Times New Roman"/>
          <w:sz w:val="24"/>
          <w:szCs w:val="24"/>
        </w:rPr>
      </w:pPr>
    </w:p>
    <w:p w14:paraId="12DB45A0" w14:textId="77777777" w:rsidR="00B4151B" w:rsidRPr="0001312E" w:rsidRDefault="00B4151B" w:rsidP="0057562D">
      <w:pPr>
        <w:spacing w:before="240" w:after="240" w:line="240" w:lineRule="auto"/>
        <w:jc w:val="both"/>
        <w:rPr>
          <w:rFonts w:ascii="Times New Roman" w:hAnsi="Times New Roman" w:cs="Times New Roman"/>
          <w:sz w:val="24"/>
          <w:szCs w:val="24"/>
        </w:rPr>
      </w:pPr>
    </w:p>
    <w:sectPr w:rsidR="00B4151B" w:rsidRPr="0001312E" w:rsidSect="0001312E">
      <w:pgSz w:w="11906" w:h="16838"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4E9B" w14:textId="77777777" w:rsidR="0077699B" w:rsidRDefault="0077699B" w:rsidP="0001312E">
      <w:pPr>
        <w:spacing w:after="0" w:line="240" w:lineRule="auto"/>
      </w:pPr>
      <w:r>
        <w:separator/>
      </w:r>
    </w:p>
  </w:endnote>
  <w:endnote w:type="continuationSeparator" w:id="0">
    <w:p w14:paraId="161EE03C" w14:textId="77777777" w:rsidR="0077699B" w:rsidRDefault="0077699B" w:rsidP="0001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F3EA" w14:textId="77777777" w:rsidR="0077699B" w:rsidRDefault="0077699B" w:rsidP="0001312E">
      <w:pPr>
        <w:spacing w:after="0" w:line="240" w:lineRule="auto"/>
      </w:pPr>
      <w:r>
        <w:separator/>
      </w:r>
    </w:p>
  </w:footnote>
  <w:footnote w:type="continuationSeparator" w:id="0">
    <w:p w14:paraId="4E54C0FD" w14:textId="77777777" w:rsidR="0077699B" w:rsidRDefault="0077699B" w:rsidP="00013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9701A"/>
    <w:multiLevelType w:val="hybridMultilevel"/>
    <w:tmpl w:val="CE1C7ED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26970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2E"/>
    <w:rsid w:val="0001312E"/>
    <w:rsid w:val="00056286"/>
    <w:rsid w:val="003319FA"/>
    <w:rsid w:val="00390961"/>
    <w:rsid w:val="004374DB"/>
    <w:rsid w:val="00474961"/>
    <w:rsid w:val="005615A9"/>
    <w:rsid w:val="0057562D"/>
    <w:rsid w:val="00733545"/>
    <w:rsid w:val="0077699B"/>
    <w:rsid w:val="00776E93"/>
    <w:rsid w:val="009026E7"/>
    <w:rsid w:val="009250F4"/>
    <w:rsid w:val="00A103D4"/>
    <w:rsid w:val="00A86912"/>
    <w:rsid w:val="00AE67A8"/>
    <w:rsid w:val="00B31F7F"/>
    <w:rsid w:val="00B4151B"/>
    <w:rsid w:val="00C26705"/>
    <w:rsid w:val="00E425E1"/>
    <w:rsid w:val="00F6465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B7F1"/>
  <w15:chartTrackingRefBased/>
  <w15:docId w15:val="{2D44C479-9BCB-416B-938C-3368B878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12E"/>
    <w:rPr>
      <w:rFonts w:eastAsiaTheme="majorEastAsia" w:cstheme="majorBidi"/>
      <w:color w:val="272727" w:themeColor="text1" w:themeTint="D8"/>
    </w:rPr>
  </w:style>
  <w:style w:type="paragraph" w:styleId="Title">
    <w:name w:val="Title"/>
    <w:basedOn w:val="Normal"/>
    <w:next w:val="Normal"/>
    <w:link w:val="TitleChar"/>
    <w:uiPriority w:val="10"/>
    <w:qFormat/>
    <w:rsid w:val="00013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12E"/>
    <w:pPr>
      <w:spacing w:before="160"/>
      <w:jc w:val="center"/>
    </w:pPr>
    <w:rPr>
      <w:i/>
      <w:iCs/>
      <w:color w:val="404040" w:themeColor="text1" w:themeTint="BF"/>
    </w:rPr>
  </w:style>
  <w:style w:type="character" w:customStyle="1" w:styleId="QuoteChar">
    <w:name w:val="Quote Char"/>
    <w:basedOn w:val="DefaultParagraphFont"/>
    <w:link w:val="Quote"/>
    <w:uiPriority w:val="29"/>
    <w:rsid w:val="0001312E"/>
    <w:rPr>
      <w:i/>
      <w:iCs/>
      <w:color w:val="404040" w:themeColor="text1" w:themeTint="BF"/>
    </w:rPr>
  </w:style>
  <w:style w:type="paragraph" w:styleId="ListParagraph">
    <w:name w:val="List Paragraph"/>
    <w:basedOn w:val="Normal"/>
    <w:uiPriority w:val="34"/>
    <w:qFormat/>
    <w:rsid w:val="0001312E"/>
    <w:pPr>
      <w:ind w:left="720"/>
      <w:contextualSpacing/>
    </w:pPr>
  </w:style>
  <w:style w:type="character" w:styleId="IntenseEmphasis">
    <w:name w:val="Intense Emphasis"/>
    <w:basedOn w:val="DefaultParagraphFont"/>
    <w:uiPriority w:val="21"/>
    <w:qFormat/>
    <w:rsid w:val="0001312E"/>
    <w:rPr>
      <w:i/>
      <w:iCs/>
      <w:color w:val="0F4761" w:themeColor="accent1" w:themeShade="BF"/>
    </w:rPr>
  </w:style>
  <w:style w:type="paragraph" w:styleId="IntenseQuote">
    <w:name w:val="Intense Quote"/>
    <w:basedOn w:val="Normal"/>
    <w:next w:val="Normal"/>
    <w:link w:val="IntenseQuoteChar"/>
    <w:uiPriority w:val="30"/>
    <w:qFormat/>
    <w:rsid w:val="00013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12E"/>
    <w:rPr>
      <w:i/>
      <w:iCs/>
      <w:color w:val="0F4761" w:themeColor="accent1" w:themeShade="BF"/>
    </w:rPr>
  </w:style>
  <w:style w:type="character" w:styleId="IntenseReference">
    <w:name w:val="Intense Reference"/>
    <w:basedOn w:val="DefaultParagraphFont"/>
    <w:uiPriority w:val="32"/>
    <w:qFormat/>
    <w:rsid w:val="0001312E"/>
    <w:rPr>
      <w:b/>
      <w:bCs/>
      <w:smallCaps/>
      <w:color w:val="0F4761" w:themeColor="accent1" w:themeShade="BF"/>
      <w:spacing w:val="5"/>
    </w:rPr>
  </w:style>
  <w:style w:type="paragraph" w:styleId="Header">
    <w:name w:val="header"/>
    <w:basedOn w:val="Normal"/>
    <w:link w:val="HeaderChar"/>
    <w:uiPriority w:val="99"/>
    <w:unhideWhenUsed/>
    <w:rsid w:val="00013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12E"/>
  </w:style>
  <w:style w:type="paragraph" w:styleId="Footer">
    <w:name w:val="footer"/>
    <w:basedOn w:val="Normal"/>
    <w:link w:val="FooterChar"/>
    <w:uiPriority w:val="99"/>
    <w:unhideWhenUsed/>
    <w:rsid w:val="0001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12E"/>
  </w:style>
  <w:style w:type="table" w:styleId="TableGrid">
    <w:name w:val="Table Grid"/>
    <w:basedOn w:val="TableNormal"/>
    <w:uiPriority w:val="39"/>
    <w:qFormat/>
    <w:rsid w:val="005756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6286"/>
    <w:rPr>
      <w:color w:val="467886" w:themeColor="hyperlink"/>
      <w:u w:val="single"/>
    </w:rPr>
  </w:style>
  <w:style w:type="character" w:styleId="UnresolvedMention">
    <w:name w:val="Unresolved Mention"/>
    <w:basedOn w:val="DefaultParagraphFont"/>
    <w:uiPriority w:val="99"/>
    <w:semiHidden/>
    <w:unhideWhenUsed/>
    <w:rsid w:val="00056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publicpolicy.feu.org.ph/news/pisa-and-what-it-revealed-about-the-quality-of-our-education-system/" TargetMode="External"/><Relationship Id="rId18" Type="http://schemas.openxmlformats.org/officeDocument/2006/relationships/hyperlink" Target="https://doi.org/10.2478/jped-2013-001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1080/1357628021000012688" TargetMode="External"/><Relationship Id="rId17" Type="http://schemas.openxmlformats.org/officeDocument/2006/relationships/hyperlink" Target="https://2040.neda.gov.ph/" TargetMode="External"/><Relationship Id="rId2" Type="http://schemas.openxmlformats.org/officeDocument/2006/relationships/styles" Target="styles.xml"/><Relationship Id="rId16" Type="http://schemas.openxmlformats.org/officeDocument/2006/relationships/hyperlink" Target="https://doi.org/10.3389/fpsyg.2015.0034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eped.gov.ph/about-deped/vision-mission-core-values-and-mandate/" TargetMode="External"/><Relationship Id="rId5" Type="http://schemas.openxmlformats.org/officeDocument/2006/relationships/footnotes" Target="footnotes.xml"/><Relationship Id="rId15" Type="http://schemas.openxmlformats.org/officeDocument/2006/relationships/hyperlink" Target="https://www.rappler.com/newsbreak/iq/list-education-issues-next-deped-chief-needs-to-address/" TargetMode="External"/><Relationship Id="rId10" Type="http://schemas.openxmlformats.org/officeDocument/2006/relationships/hyperlink" Target="https://doi.org/10.1177/104649648401500207" TargetMode="External"/><Relationship Id="rId19" Type="http://schemas.openxmlformats.org/officeDocument/2006/relationships/hyperlink" Target="https://doi.org/10.3389/fpsyg.2021.828894"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4236/psych.2018.98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3922</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ROMMEL LEOP</dc:creator>
  <cp:keywords/>
  <dc:description/>
  <cp:lastModifiedBy>theaisha1707@gmail.com</cp:lastModifiedBy>
  <cp:revision>6</cp:revision>
  <dcterms:created xsi:type="dcterms:W3CDTF">2026-03-09T23:29:00Z</dcterms:created>
  <dcterms:modified xsi:type="dcterms:W3CDTF">2026-03-10T06:48:00Z</dcterms:modified>
</cp:coreProperties>
</file>