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B5EC1" w14:textId="77777777" w:rsidR="00CB0D79" w:rsidRPr="0060188E" w:rsidRDefault="00CB0D79" w:rsidP="0060188E">
      <w:pPr>
        <w:spacing w:line="360" w:lineRule="auto"/>
        <w:jc w:val="center"/>
        <w:rPr>
          <w:rFonts w:ascii="Times New Roman" w:hAnsi="Times New Roman" w:cs="Times New Roman"/>
          <w:b/>
          <w:bCs/>
        </w:rPr>
      </w:pPr>
      <w:r w:rsidRPr="0060188E">
        <w:rPr>
          <w:rFonts w:ascii="Times New Roman" w:hAnsi="Times New Roman" w:cs="Times New Roman"/>
          <w:b/>
          <w:bCs/>
        </w:rPr>
        <w:t>The Principle of Receivable-Based National Development: A Doctrinal Shift from Debt-Financed State Development</w:t>
      </w:r>
    </w:p>
    <w:p w14:paraId="7CAEF11B" w14:textId="70F0BC38" w:rsidR="00CB0D79" w:rsidRPr="0060188E" w:rsidRDefault="00CB0D79" w:rsidP="0060188E">
      <w:pPr>
        <w:spacing w:line="360" w:lineRule="auto"/>
        <w:rPr>
          <w:rFonts w:ascii="Times New Roman" w:hAnsi="Times New Roman" w:cs="Times New Roman"/>
          <w:b/>
          <w:bCs/>
        </w:rPr>
      </w:pPr>
      <w:bookmarkStart w:id="0" w:name="_GoBack"/>
      <w:bookmarkEnd w:id="0"/>
      <w:r w:rsidRPr="0060188E">
        <w:rPr>
          <w:rFonts w:ascii="Times New Roman" w:hAnsi="Times New Roman" w:cs="Times New Roman"/>
          <w:b/>
          <w:bCs/>
        </w:rPr>
        <w:t xml:space="preserve">Abstract </w:t>
      </w:r>
    </w:p>
    <w:p w14:paraId="5E64A320"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 xml:space="preserve">This article advances a doctrinal shift in state development from debt-financed growth toward receivable-based national development. Postwar development orthodoxy has institutionalized sovereign borrowing as an indispensable financing tool, embedding states in long-term liabilities, fiscal dependency, and recurrent crises. Drawing on law and political economy, the article argues that debt-based development is not merely a technical policy choice but a doctrinal framework that reshapes sovereignty and constrains democratic fiscal autonomy. As an alternative, it conceptualizes the state as a creditor endowed with enforceable legal and economic claims—taxation authority, natural resource entitlements, state-owned enterprise revenues, and </w:t>
      </w:r>
      <w:proofErr w:type="gramStart"/>
      <w:r w:rsidRPr="0060188E">
        <w:rPr>
          <w:rFonts w:ascii="Times New Roman" w:hAnsi="Times New Roman" w:cs="Times New Roman"/>
        </w:rPr>
        <w:t>international</w:t>
      </w:r>
      <w:proofErr w:type="gramEnd"/>
      <w:r w:rsidRPr="0060188E">
        <w:rPr>
          <w:rFonts w:ascii="Times New Roman" w:hAnsi="Times New Roman" w:cs="Times New Roman"/>
        </w:rPr>
        <w:t xml:space="preserve"> receivables—that can be mobilized to finance development without accumulating new debt. Through doctrinal analysis and comparative political economy, the article demonstrates how receivable-based development reorients financing from liability accumulation to asset realization, strengthens fiscal sovereignty, and advances intergenerational justice. The contribution lies in reframing development finance as a juridical question grounded in sovereign rights rather than market dependency. The receivable-based framework offers a coherent, normatively grounded pathway toward sustainable national prosperity within contemporary global capitalism.</w:t>
      </w:r>
    </w:p>
    <w:p w14:paraId="55D2E874" w14:textId="028E88D0" w:rsidR="00CB0D79" w:rsidRPr="0060188E" w:rsidRDefault="00CB0D79" w:rsidP="0060188E">
      <w:pPr>
        <w:spacing w:line="360" w:lineRule="auto"/>
        <w:rPr>
          <w:rFonts w:ascii="Times New Roman" w:hAnsi="Times New Roman" w:cs="Times New Roman"/>
          <w:b/>
          <w:bCs/>
        </w:rPr>
      </w:pPr>
      <w:r w:rsidRPr="0060188E">
        <w:rPr>
          <w:rFonts w:ascii="Times New Roman" w:hAnsi="Times New Roman" w:cs="Times New Roman"/>
          <w:b/>
          <w:bCs/>
        </w:rPr>
        <w:t xml:space="preserve">Keywords </w:t>
      </w:r>
    </w:p>
    <w:p w14:paraId="6EB0EDE2" w14:textId="64E58863" w:rsidR="00524793"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Sovereign Debt; Development Doctrine; Receivables; Fiscal Sovereignty; Political Economy</w:t>
      </w:r>
    </w:p>
    <w:p w14:paraId="288D0B66" w14:textId="77777777" w:rsidR="00CB0D79" w:rsidRPr="0060188E" w:rsidRDefault="00CB0D79" w:rsidP="0060188E">
      <w:pPr>
        <w:spacing w:line="360" w:lineRule="auto"/>
        <w:rPr>
          <w:rFonts w:ascii="Times New Roman" w:hAnsi="Times New Roman" w:cs="Times New Roman"/>
          <w:b/>
          <w:bCs/>
        </w:rPr>
      </w:pPr>
      <w:r w:rsidRPr="0060188E">
        <w:rPr>
          <w:rFonts w:ascii="Times New Roman" w:hAnsi="Times New Roman" w:cs="Times New Roman"/>
          <w:b/>
          <w:bCs/>
        </w:rPr>
        <w:t xml:space="preserve">1. </w:t>
      </w:r>
      <w:proofErr w:type="gramStart"/>
      <w:r w:rsidRPr="0060188E">
        <w:rPr>
          <w:rFonts w:ascii="Times New Roman" w:hAnsi="Times New Roman" w:cs="Times New Roman"/>
          <w:b/>
          <w:bCs/>
        </w:rPr>
        <w:t>INTRODUCTION .</w:t>
      </w:r>
      <w:proofErr w:type="gramEnd"/>
    </w:p>
    <w:p w14:paraId="45FB0100"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Since the end of World War II, modern state development has been structurally intertwined with access to public debt. Debt-financed development has evolved into a dominant doctrine institutionalized through international financial architectures such as the Bretton Woods system, the International Monetary Fund (IMF), and the World Bank</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¹ ]</w:t>
      </w:r>
      <w:r w:rsidRPr="0060188E">
        <w:rPr>
          <w:rFonts w:ascii="Times New Roman" w:hAnsi="Times New Roman" w:cs="Times New Roman"/>
        </w:rPr>
        <w:t>Public borrowing has been framed as an indispensable instrument to close fiscal gaps, finance infrastructure, and accelerate economic growth.</w:t>
      </w:r>
    </w:p>
    <w:p w14:paraId="1D72362C" w14:textId="0395E3A0"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lastRenderedPageBreak/>
        <w:t>However, empirical experience demonstrates a structural contradiction. Rather than generating sustainable prosperity, public debt frequently produces long-term fiscal burdens, chronic deficits, and recurring economic crises</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²]</w:t>
      </w:r>
      <w:r w:rsidRPr="0060188E">
        <w:rPr>
          <w:rFonts w:ascii="Times New Roman" w:hAnsi="Times New Roman" w:cs="Times New Roman"/>
        </w:rPr>
        <w:t xml:space="preserve"> In many developing states, this condition culminates in what is widely described as a </w:t>
      </w:r>
      <w:r w:rsidRPr="0060188E">
        <w:rPr>
          <w:rFonts w:ascii="Times New Roman" w:hAnsi="Times New Roman" w:cs="Times New Roman"/>
          <w:i/>
          <w:iCs/>
        </w:rPr>
        <w:t>debt trap</w:t>
      </w:r>
      <w:r w:rsidRPr="0060188E">
        <w:rPr>
          <w:rFonts w:ascii="Times New Roman" w:hAnsi="Times New Roman" w:cs="Times New Roman"/>
        </w:rPr>
        <w:t>, where economic policy autonomy is progressively eroded.</w:t>
      </w:r>
      <w:r w:rsidRPr="0060188E">
        <w:rPr>
          <w:rFonts w:ascii="Times New Roman" w:hAnsi="Times New Roman" w:cs="Times New Roman"/>
          <w:highlight w:val="yellow"/>
        </w:rPr>
        <w:t>[³]</w:t>
      </w:r>
    </w:p>
    <w:p w14:paraId="5823A4AC"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Against this background, this article introduces an alternative yet largely neglected paradigm: receivable-based national development. This principle rejects the assumption that the state must permanently occupy the position of a debtor. Instead, it conceptualizes the state as a creditor, capable of financing development through the mobilization of its legitimate legal and economic claims—such as taxation rights, natural resource royalties, and international receivables—without generating new debt obligations.</w:t>
      </w:r>
    </w:p>
    <w:p w14:paraId="6A71440E"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This study addresses four central questions</w:t>
      </w:r>
      <w:proofErr w:type="gramStart"/>
      <w:r w:rsidRPr="0060188E">
        <w:rPr>
          <w:rFonts w:ascii="Times New Roman" w:hAnsi="Times New Roman" w:cs="Times New Roman"/>
        </w:rPr>
        <w:t>:</w:t>
      </w:r>
      <w:proofErr w:type="gramEnd"/>
      <w:r w:rsidRPr="0060188E">
        <w:rPr>
          <w:rFonts w:ascii="Times New Roman" w:hAnsi="Times New Roman" w:cs="Times New Roman"/>
        </w:rPr>
        <w:br/>
        <w:t>(1) Why has debt-based development failed to realize national welfare?</w:t>
      </w:r>
      <w:r w:rsidRPr="0060188E">
        <w:rPr>
          <w:rFonts w:ascii="Times New Roman" w:hAnsi="Times New Roman" w:cs="Times New Roman"/>
        </w:rPr>
        <w:br/>
        <w:t>(2) What constitutes receivable-based development and its legal foundations?</w:t>
      </w:r>
      <w:r w:rsidRPr="0060188E">
        <w:rPr>
          <w:rFonts w:ascii="Times New Roman" w:hAnsi="Times New Roman" w:cs="Times New Roman"/>
        </w:rPr>
        <w:br/>
        <w:t>(3) How do debt-based and receivable-based paradigms differ conceptually, philosophically, and practically?</w:t>
      </w:r>
      <w:r w:rsidRPr="0060188E">
        <w:rPr>
          <w:rFonts w:ascii="Times New Roman" w:hAnsi="Times New Roman" w:cs="Times New Roman"/>
        </w:rPr>
        <w:br/>
        <w:t>(4) How can the receivable principle be operationalized within national development policy?</w:t>
      </w:r>
    </w:p>
    <w:p w14:paraId="4194E50A"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However, decades of empirical experience challenge this orthodoxy. Rather than producing sustainable prosperity, debt-financed development has frequently generated structural fiscal fragility, chronic deficits, and recurrent crises. For many developing and post-colonial states, public debt has evolved into a mechanism of dependency that constrains policy autonomy, redistributes national income toward creditors, and undermines intergenerational justice. Under such conditions, development increasingly serves the imperatives of debt servicing rather than the realization of public welfare.</w:t>
      </w:r>
    </w:p>
    <w:p w14:paraId="08238D2C"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This article argues that the persistence of debt-based development reflects not its effectiveness, but its doctrinal dominance. Development discourse has largely failed to conceptualize viable alternatives that do not rely on the permanent expansion of sovereign liabilities. Against this backdrop, the article introduces the principle of receivable-based national development as a doctrinal reconstruction of state financing. Rather than positioning the state as a perpetual debtor, this principle redefines the state as a creditor endowed with enforceable legal and economic claims.</w:t>
      </w:r>
    </w:p>
    <w:p w14:paraId="56EB90F9"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lastRenderedPageBreak/>
        <w:t>Receivable-based development emphasizes the mobilization of inherent state rights—such as taxation authority, natural resource entitlements, state-owned enterprise revenues, and international claims—as primary sources of development finance. In doing so, it shifts development theory from a liability-centered paradigm toward an asset-centered and sovereignty-based framework.</w:t>
      </w:r>
    </w:p>
    <w:p w14:paraId="2E164CCC" w14:textId="05936BA9"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The central contribution of this article lies in its reconceptualization of development finance as a juridical and doctrinal question, not merely a technical or macroeconomic one. By reconstructing development through the lens of receivables, the article offers a normative and institutional alternative capable of addressing the structural failures of debt-based development.</w:t>
      </w:r>
    </w:p>
    <w:p w14:paraId="3B02EFF0" w14:textId="77777777" w:rsidR="00CB0D79" w:rsidRPr="0060188E" w:rsidRDefault="00CB0D79" w:rsidP="0060188E">
      <w:pPr>
        <w:spacing w:line="360" w:lineRule="auto"/>
        <w:rPr>
          <w:rFonts w:ascii="Times New Roman" w:hAnsi="Times New Roman" w:cs="Times New Roman"/>
          <w:b/>
          <w:bCs/>
        </w:rPr>
      </w:pPr>
      <w:r w:rsidRPr="0060188E">
        <w:rPr>
          <w:rFonts w:ascii="Times New Roman" w:hAnsi="Times New Roman" w:cs="Times New Roman"/>
          <w:b/>
          <w:bCs/>
        </w:rPr>
        <w:t xml:space="preserve">2. CONCEPTUAL FOUNDATIONS </w:t>
      </w:r>
    </w:p>
    <w:p w14:paraId="7ABB96FC"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Public debt, in its essence, represents the consumption of uncertain future income. Historically, debt functioned as a survival mechanism rather than an instrument of structural exploitation</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⁴]</w:t>
      </w:r>
      <w:r w:rsidRPr="0060188E">
        <w:rPr>
          <w:rFonts w:ascii="Times New Roman" w:hAnsi="Times New Roman" w:cs="Times New Roman"/>
        </w:rPr>
        <w:t xml:space="preserve"> Yet, when institutionalized as a prerequisite for national development, debt transforms into a systemic constraint.</w:t>
      </w:r>
    </w:p>
    <w:p w14:paraId="099C48B9"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Large-scale infrastructure projects financed by debt—such as highways, ports, dams, and airports—require long-term maintenance, while economic returns often materialize slowly or not at all. In contrast, debt servicing obligations are immediate and rigid. This temporal asymmetry lies at the heart of fiscal fragility in debt-dependent states</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⁵]</w:t>
      </w:r>
    </w:p>
    <w:p w14:paraId="437E003C" w14:textId="73F3FEC0" w:rsidR="00C47C7D"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As a consequence, governments become structurally unable to exit continuous borrowing. Core public expenditures—civil servant salaries, education, healthcare, defense, subsidies, and infrastructure—must be financed regardless of revenue volatility. When taxation and exports prove insufficient, borrowing emerges as the most politically expedient option</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⁶]</w:t>
      </w:r>
      <w:r w:rsidRPr="0060188E">
        <w:rPr>
          <w:rFonts w:ascii="Times New Roman" w:hAnsi="Times New Roman" w:cs="Times New Roman"/>
        </w:rPr>
        <w:t xml:space="preserve"> Debt thus evolves into a politically rational but economically destructive </w:t>
      </w:r>
      <w:r w:rsidR="00C323C5" w:rsidRPr="0060188E">
        <w:rPr>
          <w:rFonts w:ascii="Times New Roman" w:hAnsi="Times New Roman" w:cs="Times New Roman"/>
        </w:rPr>
        <w:t>solution</w:t>
      </w:r>
    </w:p>
    <w:p w14:paraId="7C32FDA4" w14:textId="77777777" w:rsidR="00C323C5" w:rsidRPr="0060188E" w:rsidRDefault="00C323C5" w:rsidP="0060188E">
      <w:pPr>
        <w:spacing w:line="360" w:lineRule="auto"/>
        <w:rPr>
          <w:rFonts w:ascii="Times New Roman" w:hAnsi="Times New Roman" w:cs="Times New Roman"/>
        </w:rPr>
      </w:pPr>
    </w:p>
    <w:p w14:paraId="55D6F662" w14:textId="5C22F0D5"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 xml:space="preserve">2.1 Debt Doctrine in Development History </w:t>
      </w:r>
    </w:p>
    <w:p w14:paraId="32B7014B"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 xml:space="preserve">The institutional consolidation of debt-based development can be traced to the Bretton Woods Conference of 1944, which established the IMF and the World Bank as the central architects of </w:t>
      </w:r>
      <w:r w:rsidRPr="0060188E">
        <w:rPr>
          <w:rFonts w:ascii="Times New Roman" w:hAnsi="Times New Roman" w:cs="Times New Roman"/>
        </w:rPr>
        <w:lastRenderedPageBreak/>
        <w:t>the postwar financial order. These institutions promoted public borrowing as the primary mechanism for stabilization and long-term development financing</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⁷]</w:t>
      </w:r>
    </w:p>
    <w:p w14:paraId="31B95F1B"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During the 1970s–1980s, debt crises triggered by oil shocks and rising interest rates led to the imposition of Structural Adjustment Programs (SAPs). These programs—mandating privatization, deregulation, and fiscal austerity—reinforced debt dependency while imposing severe social costs</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⁸]</w:t>
      </w:r>
    </w:p>
    <w:p w14:paraId="2F8265E0"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Debt thus evolved beyond an economic instrument into a mechanism of political conditionality, constraining domestic policy space and, in some cases, enabling foreign control over strategic assets</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⁹]</w:t>
      </w:r>
    </w:p>
    <w:p w14:paraId="388B1EC3"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 xml:space="preserve">2.2 Critique of the Debt Doctrine </w:t>
      </w:r>
    </w:p>
    <w:p w14:paraId="4C27F741"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Debt produces not only principal obligations but compounding interest burdens that absorb fiscal capacity—a phenomenon known as debt overhang</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¹⁰]</w:t>
      </w:r>
      <w:r w:rsidRPr="0060188E">
        <w:rPr>
          <w:rFonts w:ascii="Times New Roman" w:hAnsi="Times New Roman" w:cs="Times New Roman"/>
        </w:rPr>
        <w:t xml:space="preserve"> Under such conditions, national budgets prioritize creditor confidence over public welfare.</w:t>
      </w:r>
    </w:p>
    <w:p w14:paraId="20D45ABE" w14:textId="6877262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From an ethical standpoint, debt-based development raises questions of intergenerational justice. Future generations inherit obligations without necessarily benefiting from the projects financed. Non-productive debt may even qualify as odious debt, lacking moral and legal legitimacy</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¹¹</w:t>
      </w:r>
    </w:p>
    <w:p w14:paraId="0DA9FEDF"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 xml:space="preserve">2.3. Receivable-Based Development </w:t>
      </w:r>
    </w:p>
    <w:p w14:paraId="4DA36E4D"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Receivable-based development repositions the state as a rights-bearing subject rather than a liability-bearing debtor. State receivables include enforceable claims arising from taxation, natural resource exploitation, state-owned enterprises, and international agreements.</w:t>
      </w:r>
    </w:p>
    <w:p w14:paraId="746035D5" w14:textId="20A2373F" w:rsidR="00C47C7D"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Philosophically, this paradigm constitutes a reconstruction of sovereignty in development theory. Development is financed through assets and legal entitlements rather than obligations that erode autonomy</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¹²]</w:t>
      </w:r>
    </w:p>
    <w:p w14:paraId="05D79A2D" w14:textId="77777777" w:rsidR="008B67C0" w:rsidRPr="0060188E" w:rsidRDefault="008B67C0" w:rsidP="0060188E">
      <w:pPr>
        <w:spacing w:line="360" w:lineRule="auto"/>
        <w:rPr>
          <w:rFonts w:ascii="Times New Roman" w:hAnsi="Times New Roman" w:cs="Times New Roman"/>
          <w:b/>
          <w:bCs/>
        </w:rPr>
      </w:pPr>
    </w:p>
    <w:p w14:paraId="5684D16A" w14:textId="38509101"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3. Discussion</w:t>
      </w:r>
    </w:p>
    <w:p w14:paraId="58F15388"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3.1 The Modern Monetary System and Structural Debt Dependence</w:t>
      </w:r>
    </w:p>
    <w:p w14:paraId="3130D380"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lastRenderedPageBreak/>
        <w:t>The modern monetary system is frequently portrayed as a neutral mechanism facilitating economic exchange. However, behind this claim of neutrality lies an internal structure that inherently requires continuous economic growth. This requirement is not merely the consequence of policy choices or human behavior, but a direct outcome of the design of debt- and interest-based monetary systems</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¹³]</w:t>
      </w:r>
    </w:p>
    <w:p w14:paraId="392EB4A9"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In such systems, money is predominantly created through credit. As a result, economic actors—including states—are compelled to pursue perpetual growth in order to service interest-bearing obligations. When growth stagnates, fiscal crises emerge. Consequently, debt-based development is not an incidental policy choice but a structural necessity imposed by the monetary system itself</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¹⁴]</w:t>
      </w:r>
    </w:p>
    <w:p w14:paraId="30FB3BC5" w14:textId="4D5FD16B"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This structural dependency explains why many states, despite repeated crises, remain locked into cycles of borrowing. Debt becomes normalized as an unavoidable instrument of governance, even when it systematically undermines fiscal sovereignty and social welfare.</w:t>
      </w:r>
    </w:p>
    <w:p w14:paraId="3D1E6C23" w14:textId="53DBC401"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The modern monetary system is often presented in mainstream economic discourse as a neutral and technical framework for facilitating exchange, investment, and growth. Yet such neutrality is largely illusory. At its core, the contemporary monetary order is structurally embedded in debt creation, where money enters circulation primarily through credit mechanisms extended by financial institutions and sovereign borrowing instruments. This structural design produces a systemic dependence on continuous economic expansion to sustain interest-bearing obligations.</w:t>
      </w:r>
    </w:p>
    <w:p w14:paraId="53274B7D"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In a debt-based monetary system, growth is not merely desirable but compulsory. States must expand their fiscal base continuously to service principal and interest payments, regardless of social, ecological, or demographic constraints. When growth decelerates—as occurs during global downturns, commodity shocks, or pandemics—fiscal stress rapidly escalates into sovereign crises. Under these conditions, public debt ceases to function as a counter-cyclical instrument and instead becomes a permanent feature of governance.</w:t>
      </w:r>
    </w:p>
    <w:p w14:paraId="2587CCE8"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 xml:space="preserve">This dynamic explains why debt-financed development persists despite repeated empirical failures. Debt is normalized not because it is effective, but because the monetary system itself leaves states with limited alternatives. The result is a form of structural coercion, in which policy autonomy is constrained by the imperative to maintain creditworthiness, investor confidence, and </w:t>
      </w:r>
      <w:r w:rsidRPr="0060188E">
        <w:rPr>
          <w:rFonts w:ascii="Times New Roman" w:hAnsi="Times New Roman" w:cs="Times New Roman"/>
        </w:rPr>
        <w:lastRenderedPageBreak/>
        <w:t>access to international capital markets. Consequently, fiscal sovereignty is gradually subordinated to the logic of financial markets rather than democratic or developmental priorities.</w:t>
      </w:r>
    </w:p>
    <w:p w14:paraId="069AA58B" w14:textId="77777777" w:rsidR="00B008EC" w:rsidRPr="0060188E" w:rsidRDefault="00B008EC" w:rsidP="0060188E">
      <w:pPr>
        <w:spacing w:line="360" w:lineRule="auto"/>
        <w:rPr>
          <w:rFonts w:ascii="Times New Roman" w:hAnsi="Times New Roman" w:cs="Times New Roman"/>
        </w:rPr>
      </w:pPr>
      <w:r w:rsidRPr="0060188E">
        <w:rPr>
          <w:rFonts w:ascii="Times New Roman" w:hAnsi="Times New Roman" w:cs="Times New Roman"/>
        </w:rPr>
        <w:t>Based on the latest report from the Lowy Institute and a synthesis of economic data as of early 2026, the following analysis presents a detailed projection of the debt repayment burden faced by the world’s 75 poorest countries in relation to China (Lowy Institute, 2024; World Bank, 2025).</w:t>
      </w:r>
    </w:p>
    <w:p w14:paraId="75CD797E" w14:textId="77777777" w:rsidR="00B008EC" w:rsidRPr="0060188E" w:rsidRDefault="00B008EC" w:rsidP="0060188E">
      <w:pPr>
        <w:spacing w:line="360" w:lineRule="auto"/>
        <w:rPr>
          <w:rFonts w:ascii="Times New Roman" w:hAnsi="Times New Roman" w:cs="Times New Roman"/>
        </w:rPr>
      </w:pPr>
      <w:r w:rsidRPr="0060188E">
        <w:rPr>
          <w:rFonts w:ascii="Times New Roman" w:hAnsi="Times New Roman" w:cs="Times New Roman"/>
          <w:b/>
          <w:bCs/>
        </w:rPr>
        <w:t>3.1.1 Record-Level Repayments (2025–2026)</w:t>
      </w:r>
    </w:p>
    <w:p w14:paraId="66BAD939" w14:textId="77777777" w:rsidR="00B008EC" w:rsidRPr="0060188E" w:rsidRDefault="00B008EC" w:rsidP="0060188E">
      <w:pPr>
        <w:numPr>
          <w:ilvl w:val="0"/>
          <w:numId w:val="17"/>
        </w:numPr>
        <w:spacing w:line="360" w:lineRule="auto"/>
        <w:rPr>
          <w:rFonts w:ascii="Times New Roman" w:hAnsi="Times New Roman" w:cs="Times New Roman"/>
        </w:rPr>
      </w:pPr>
      <w:r w:rsidRPr="0060188E">
        <w:rPr>
          <w:rFonts w:ascii="Times New Roman" w:hAnsi="Times New Roman" w:cs="Times New Roman"/>
        </w:rPr>
        <w:t>Total Obligations: A total of 75 of the world’s poorest countries (classified under the IDA/World Bank category) are scheduled to repay US$22.2 billion (approximately Rp350+ trillion) to China in 2025, with similarly high levels of repayment expected to continue into 2026 (Lowy Institute, 2024).</w:t>
      </w:r>
    </w:p>
    <w:p w14:paraId="292C42B0" w14:textId="77777777" w:rsidR="00B008EC" w:rsidRPr="0060188E" w:rsidRDefault="00B008EC" w:rsidP="0060188E">
      <w:pPr>
        <w:numPr>
          <w:ilvl w:val="0"/>
          <w:numId w:val="17"/>
        </w:numPr>
        <w:spacing w:line="360" w:lineRule="auto"/>
        <w:rPr>
          <w:rFonts w:ascii="Times New Roman" w:hAnsi="Times New Roman" w:cs="Times New Roman"/>
        </w:rPr>
      </w:pPr>
      <w:r w:rsidRPr="0060188E">
        <w:rPr>
          <w:rFonts w:ascii="Times New Roman" w:hAnsi="Times New Roman" w:cs="Times New Roman"/>
        </w:rPr>
        <w:t>Global Debt Concentration: This figure accounts for approximately two-thirds (2/3) of total debt repayments by all developing countries to China, amounting to US$35 billion (Horn, Reinhart, &amp; Trebesch, 2019; Lowy Institute, 2024).</w:t>
      </w:r>
    </w:p>
    <w:p w14:paraId="220731C1" w14:textId="77777777" w:rsidR="00B008EC" w:rsidRPr="0060188E" w:rsidRDefault="00B008EC" w:rsidP="0060188E">
      <w:pPr>
        <w:numPr>
          <w:ilvl w:val="0"/>
          <w:numId w:val="17"/>
        </w:numPr>
        <w:spacing w:line="360" w:lineRule="auto"/>
        <w:rPr>
          <w:rFonts w:ascii="Times New Roman" w:hAnsi="Times New Roman" w:cs="Times New Roman"/>
        </w:rPr>
      </w:pPr>
      <w:r w:rsidRPr="0060188E">
        <w:rPr>
          <w:rFonts w:ascii="Times New Roman" w:hAnsi="Times New Roman" w:cs="Times New Roman"/>
        </w:rPr>
        <w:t>Shift in China’s Role: China has transitioned from being primarily a major lender to becoming the principal debt collector for the developing world, as new lending has declined sharply while repayments on earlier Belt and Road Initiative (BRI) projects have matured (Parks et al., 2023; Ray et al., 2022).</w:t>
      </w:r>
    </w:p>
    <w:p w14:paraId="090C8E76" w14:textId="77777777" w:rsidR="00B008EC" w:rsidRPr="0060188E" w:rsidRDefault="00B008EC" w:rsidP="0060188E">
      <w:pPr>
        <w:spacing w:line="360" w:lineRule="auto"/>
        <w:rPr>
          <w:rFonts w:ascii="Times New Roman" w:hAnsi="Times New Roman" w:cs="Times New Roman"/>
          <w:b/>
          <w:bCs/>
        </w:rPr>
      </w:pPr>
      <w:r w:rsidRPr="0060188E">
        <w:rPr>
          <w:rFonts w:ascii="Times New Roman" w:hAnsi="Times New Roman" w:cs="Times New Roman"/>
          <w:b/>
          <w:bCs/>
        </w:rPr>
        <w:t>3.1.2 Countries Experiencing Significant Impact</w:t>
      </w:r>
    </w:p>
    <w:p w14:paraId="41C1F412" w14:textId="77777777" w:rsidR="00B008EC" w:rsidRPr="0060188E" w:rsidRDefault="00B008EC" w:rsidP="0060188E">
      <w:pPr>
        <w:spacing w:line="360" w:lineRule="auto"/>
        <w:rPr>
          <w:rFonts w:ascii="Times New Roman" w:hAnsi="Times New Roman" w:cs="Times New Roman"/>
        </w:rPr>
      </w:pPr>
      <w:r w:rsidRPr="0060188E">
        <w:rPr>
          <w:rFonts w:ascii="Times New Roman" w:hAnsi="Times New Roman" w:cs="Times New Roman"/>
        </w:rPr>
        <w:t>The report identifies several regions facing the greatest pressure from these repayment schedules:</w:t>
      </w:r>
    </w:p>
    <w:p w14:paraId="48BD4103" w14:textId="77777777" w:rsidR="00B008EC" w:rsidRPr="0060188E" w:rsidRDefault="00B008EC" w:rsidP="0060188E">
      <w:pPr>
        <w:numPr>
          <w:ilvl w:val="0"/>
          <w:numId w:val="18"/>
        </w:numPr>
        <w:spacing w:line="360" w:lineRule="auto"/>
        <w:rPr>
          <w:rFonts w:ascii="Times New Roman" w:hAnsi="Times New Roman" w:cs="Times New Roman"/>
        </w:rPr>
      </w:pPr>
      <w:r w:rsidRPr="0060188E">
        <w:rPr>
          <w:rFonts w:ascii="Times New Roman" w:hAnsi="Times New Roman" w:cs="Times New Roman"/>
        </w:rPr>
        <w:t>Southeast Asia: Laos represents a critical case, with outstanding debt to China exceeding US$10 billion (approximately 100% of its GDP), largely associated with energy infrastructure and railway development projects (Lowy Institute, 2024; World Bank, 2025).</w:t>
      </w:r>
    </w:p>
    <w:p w14:paraId="1F73EE34" w14:textId="77777777" w:rsidR="00B008EC" w:rsidRPr="0060188E" w:rsidRDefault="00B008EC" w:rsidP="0060188E">
      <w:pPr>
        <w:numPr>
          <w:ilvl w:val="0"/>
          <w:numId w:val="18"/>
        </w:numPr>
        <w:spacing w:line="360" w:lineRule="auto"/>
        <w:rPr>
          <w:rFonts w:ascii="Times New Roman" w:hAnsi="Times New Roman" w:cs="Times New Roman"/>
        </w:rPr>
      </w:pPr>
      <w:r w:rsidRPr="0060188E">
        <w:rPr>
          <w:rFonts w:ascii="Times New Roman" w:hAnsi="Times New Roman" w:cs="Times New Roman"/>
        </w:rPr>
        <w:t>Pacific Region: Countries such as Tonga, Samoa, and Vanuatu face elevated fiscal risks due to debt repayment obligations that are disproportionate to their domestic revenue capacities (ADB, 2023).</w:t>
      </w:r>
    </w:p>
    <w:p w14:paraId="3D85F9C3" w14:textId="77777777" w:rsidR="00B008EC" w:rsidRPr="0060188E" w:rsidRDefault="00B008EC" w:rsidP="0060188E">
      <w:pPr>
        <w:numPr>
          <w:ilvl w:val="0"/>
          <w:numId w:val="18"/>
        </w:numPr>
        <w:spacing w:line="360" w:lineRule="auto"/>
        <w:rPr>
          <w:rFonts w:ascii="Times New Roman" w:hAnsi="Times New Roman" w:cs="Times New Roman"/>
        </w:rPr>
      </w:pPr>
      <w:r w:rsidRPr="0060188E">
        <w:rPr>
          <w:rFonts w:ascii="Times New Roman" w:hAnsi="Times New Roman" w:cs="Times New Roman"/>
        </w:rPr>
        <w:lastRenderedPageBreak/>
        <w:t>Africa: Angola, Ethiopia, and Egypt are among the countries with substantial repayment commitments that place significant strain on national budgets (IMF, 2024; World Bank, 2025).</w:t>
      </w:r>
    </w:p>
    <w:p w14:paraId="57CB8282" w14:textId="77777777" w:rsidR="00B008EC" w:rsidRPr="0060188E" w:rsidRDefault="00B008EC" w:rsidP="0060188E">
      <w:pPr>
        <w:spacing w:line="360" w:lineRule="auto"/>
        <w:rPr>
          <w:rFonts w:ascii="Times New Roman" w:hAnsi="Times New Roman" w:cs="Times New Roman"/>
          <w:b/>
          <w:bCs/>
        </w:rPr>
      </w:pPr>
      <w:r w:rsidRPr="0060188E">
        <w:rPr>
          <w:rFonts w:ascii="Times New Roman" w:hAnsi="Times New Roman" w:cs="Times New Roman"/>
          <w:b/>
          <w:bCs/>
        </w:rPr>
        <w:t>3.1.3 Economic Implications for Domestic Budgets</w:t>
      </w:r>
    </w:p>
    <w:p w14:paraId="355A98CF" w14:textId="77777777" w:rsidR="00B008EC" w:rsidRPr="0060188E" w:rsidRDefault="00B008EC" w:rsidP="0060188E">
      <w:pPr>
        <w:spacing w:line="360" w:lineRule="auto"/>
        <w:rPr>
          <w:rFonts w:ascii="Times New Roman" w:hAnsi="Times New Roman" w:cs="Times New Roman"/>
        </w:rPr>
      </w:pPr>
      <w:r w:rsidRPr="0060188E">
        <w:rPr>
          <w:rFonts w:ascii="Times New Roman" w:hAnsi="Times New Roman" w:cs="Times New Roman"/>
        </w:rPr>
        <w:t>The magnitude of these repayments is expected to generate fiscal pressure and compel reductions in key public sectors:</w:t>
      </w:r>
    </w:p>
    <w:p w14:paraId="6FA50008" w14:textId="77777777" w:rsidR="00B008EC" w:rsidRPr="0060188E" w:rsidRDefault="00B008EC" w:rsidP="0060188E">
      <w:pPr>
        <w:numPr>
          <w:ilvl w:val="0"/>
          <w:numId w:val="19"/>
        </w:numPr>
        <w:spacing w:line="360" w:lineRule="auto"/>
        <w:rPr>
          <w:rFonts w:ascii="Times New Roman" w:hAnsi="Times New Roman" w:cs="Times New Roman"/>
        </w:rPr>
      </w:pPr>
      <w:r w:rsidRPr="0060188E">
        <w:rPr>
          <w:rFonts w:ascii="Times New Roman" w:hAnsi="Times New Roman" w:cs="Times New Roman"/>
        </w:rPr>
        <w:t>Contraction of Public Services: Approximately 25% of government expenditure in these low-income countries is absorbed by interest and principal payments to China (Lowy Institute, 2024).</w:t>
      </w:r>
    </w:p>
    <w:p w14:paraId="27FF3402" w14:textId="77777777" w:rsidR="00B008EC" w:rsidRPr="0060188E" w:rsidRDefault="00B008EC" w:rsidP="0060188E">
      <w:pPr>
        <w:numPr>
          <w:ilvl w:val="0"/>
          <w:numId w:val="19"/>
        </w:numPr>
        <w:spacing w:line="360" w:lineRule="auto"/>
        <w:rPr>
          <w:rFonts w:ascii="Times New Roman" w:hAnsi="Times New Roman" w:cs="Times New Roman"/>
        </w:rPr>
      </w:pPr>
      <w:r w:rsidRPr="0060188E">
        <w:rPr>
          <w:rFonts w:ascii="Times New Roman" w:hAnsi="Times New Roman" w:cs="Times New Roman"/>
        </w:rPr>
        <w:t>Vulnerable Sectors: Budget allocations for healthcare, education, and climate change adaptation are particularly at risk due to the diversion of resources toward debt servicing (UNDP, 2023; IMF, 2024).</w:t>
      </w:r>
    </w:p>
    <w:p w14:paraId="047B095F" w14:textId="77777777" w:rsidR="00B008EC" w:rsidRPr="0060188E" w:rsidRDefault="00B008EC" w:rsidP="0060188E">
      <w:pPr>
        <w:spacing w:line="360" w:lineRule="auto"/>
        <w:rPr>
          <w:rFonts w:ascii="Times New Roman" w:hAnsi="Times New Roman" w:cs="Times New Roman"/>
          <w:b/>
          <w:bCs/>
        </w:rPr>
      </w:pPr>
      <w:r w:rsidRPr="0060188E">
        <w:rPr>
          <w:rFonts w:ascii="Times New Roman" w:hAnsi="Times New Roman" w:cs="Times New Roman"/>
          <w:b/>
          <w:bCs/>
        </w:rPr>
        <w:t>3.1.4 Characteristics of Chinese Lending</w:t>
      </w:r>
    </w:p>
    <w:p w14:paraId="7F23306A" w14:textId="77777777" w:rsidR="00B008EC" w:rsidRPr="0060188E" w:rsidRDefault="00B008EC" w:rsidP="0060188E">
      <w:pPr>
        <w:numPr>
          <w:ilvl w:val="0"/>
          <w:numId w:val="20"/>
        </w:numPr>
        <w:spacing w:line="360" w:lineRule="auto"/>
        <w:rPr>
          <w:rFonts w:ascii="Times New Roman" w:hAnsi="Times New Roman" w:cs="Times New Roman"/>
        </w:rPr>
      </w:pPr>
      <w:r w:rsidRPr="0060188E">
        <w:rPr>
          <w:rFonts w:ascii="Times New Roman" w:hAnsi="Times New Roman" w:cs="Times New Roman"/>
        </w:rPr>
        <w:t>Interest Rates: Chinese loans typically carry interest rates of around 4%, which are substantially higher than concessional loans provided by the World Bank or Japan, where rates are generally below 1% (Ray et al., 2022; World Bank, 2025).</w:t>
      </w:r>
    </w:p>
    <w:p w14:paraId="53C11CB5" w14:textId="0521B9D7" w:rsidR="00B008EC" w:rsidRPr="0060188E" w:rsidRDefault="00B008EC" w:rsidP="0060188E">
      <w:pPr>
        <w:numPr>
          <w:ilvl w:val="0"/>
          <w:numId w:val="20"/>
        </w:numPr>
        <w:spacing w:line="360" w:lineRule="auto"/>
        <w:rPr>
          <w:rFonts w:ascii="Times New Roman" w:hAnsi="Times New Roman" w:cs="Times New Roman"/>
        </w:rPr>
      </w:pPr>
      <w:r w:rsidRPr="0060188E">
        <w:rPr>
          <w:rFonts w:ascii="Times New Roman" w:hAnsi="Times New Roman" w:cs="Times New Roman"/>
        </w:rPr>
        <w:t>Debt Accumulation: China now holds more than 50% of the bilateral debt of the world’s poorest countries, surpassing the combined debt owed to all Paris Club creditor nations (Horn et al., 2019; Lowy Institute, 2024).</w:t>
      </w:r>
    </w:p>
    <w:p w14:paraId="65CCB998"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3.2 Receivables as an Alternative Development Paradigm</w:t>
      </w:r>
    </w:p>
    <w:p w14:paraId="79F8E9D6"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Receivable-based development challenges the foundational assumption that the state must function primarily as a debtor in the development process. Instead, it introduces a paradigmatic reversal: the state is reconceptualized as a creditor endowed with enforceable economic and legal claims. This shift alters the ontological position of the state within the political economy of development—from a liability-bearing entity to an asset-holding sovereign.</w:t>
      </w:r>
    </w:p>
    <w:p w14:paraId="5D2FACFA"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 xml:space="preserve">Receivables, in this context, refer to all legitimate claims that the state is legally entitled to enforce against domestic and international actors. Unlike debt, which creates future obligations, </w:t>
      </w:r>
      <w:r w:rsidRPr="0060188E">
        <w:rPr>
          <w:rFonts w:ascii="Times New Roman" w:hAnsi="Times New Roman" w:cs="Times New Roman"/>
        </w:rPr>
        <w:lastRenderedPageBreak/>
        <w:t>receivables represent already-existing rights that have not yet been fully realized. Development financing thus becomes a process of asset activation rather than liability accumulation.</w:t>
      </w:r>
    </w:p>
    <w:p w14:paraId="090BE4F1"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The significance of this paradigm lies not only in its fiscal implications but also in its normative orientation. By prioritizing receivables, development policy emphasizes justice, legality, and sovereignty over market dependency. It shifts attention from borrowing external capital to enforcing domestic and international obligations owed to the state, thereby re-centering development within a framework of rights rather than concessions.</w:t>
      </w:r>
    </w:p>
    <w:p w14:paraId="040C139F"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Against the backdrop of structural debt dependency, receivable-based development introduces a fundamentally different logic. While debt positions the state as a perpetual obligor, receivables reposition the state as a rights-holder and creditor. This paradigm shift alters not only fiscal strategy but also the legal identity of the state within the development process.</w:t>
      </w:r>
    </w:p>
    <w:p w14:paraId="5E5974E8"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State receivables consist of legally enforceable claims against third parties, including individuals, corporations, and foreign entities. In development terms, receivables encompass all legitimate economic claims that can be mobilized to finance public goods without creating new liabilities</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¹⁵]</w:t>
      </w:r>
    </w:p>
    <w:p w14:paraId="28E6C053"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Such receivables include:</w:t>
      </w:r>
    </w:p>
    <w:p w14:paraId="376CF40A" w14:textId="77777777" w:rsidR="00C47C7D" w:rsidRPr="0060188E" w:rsidRDefault="00C47C7D" w:rsidP="0060188E">
      <w:pPr>
        <w:numPr>
          <w:ilvl w:val="0"/>
          <w:numId w:val="1"/>
        </w:numPr>
        <w:spacing w:line="360" w:lineRule="auto"/>
        <w:rPr>
          <w:rFonts w:ascii="Times New Roman" w:hAnsi="Times New Roman" w:cs="Times New Roman"/>
        </w:rPr>
      </w:pPr>
      <w:r w:rsidRPr="0060188E">
        <w:rPr>
          <w:rFonts w:ascii="Times New Roman" w:hAnsi="Times New Roman" w:cs="Times New Roman"/>
        </w:rPr>
        <w:t>Tax receivables, arising from unpaid or under-collected taxes;</w:t>
      </w:r>
    </w:p>
    <w:p w14:paraId="69DAECD6" w14:textId="77777777" w:rsidR="00C47C7D" w:rsidRPr="0060188E" w:rsidRDefault="00C47C7D" w:rsidP="0060188E">
      <w:pPr>
        <w:numPr>
          <w:ilvl w:val="0"/>
          <w:numId w:val="1"/>
        </w:numPr>
        <w:spacing w:line="360" w:lineRule="auto"/>
        <w:rPr>
          <w:rFonts w:ascii="Times New Roman" w:hAnsi="Times New Roman" w:cs="Times New Roman"/>
        </w:rPr>
      </w:pPr>
      <w:r w:rsidRPr="0060188E">
        <w:rPr>
          <w:rFonts w:ascii="Times New Roman" w:hAnsi="Times New Roman" w:cs="Times New Roman"/>
        </w:rPr>
        <w:t>Natural resource receivables, including royalties, dividends, and compensation from extractive industries;</w:t>
      </w:r>
    </w:p>
    <w:p w14:paraId="0EBCB958" w14:textId="77777777" w:rsidR="00C47C7D" w:rsidRPr="0060188E" w:rsidRDefault="00C47C7D" w:rsidP="0060188E">
      <w:pPr>
        <w:numPr>
          <w:ilvl w:val="0"/>
          <w:numId w:val="1"/>
        </w:numPr>
        <w:spacing w:line="360" w:lineRule="auto"/>
        <w:rPr>
          <w:rFonts w:ascii="Times New Roman" w:hAnsi="Times New Roman" w:cs="Times New Roman"/>
        </w:rPr>
      </w:pPr>
      <w:r w:rsidRPr="0060188E">
        <w:rPr>
          <w:rFonts w:ascii="Times New Roman" w:hAnsi="Times New Roman" w:cs="Times New Roman"/>
        </w:rPr>
        <w:t>State-owned enterprise (SOE) receivables, derived from commercial activities and retained earnings;</w:t>
      </w:r>
    </w:p>
    <w:p w14:paraId="791F1226" w14:textId="77777777" w:rsidR="00C47C7D" w:rsidRPr="0060188E" w:rsidRDefault="00C47C7D" w:rsidP="0060188E">
      <w:pPr>
        <w:numPr>
          <w:ilvl w:val="0"/>
          <w:numId w:val="1"/>
        </w:numPr>
        <w:spacing w:line="360" w:lineRule="auto"/>
        <w:rPr>
          <w:rFonts w:ascii="Times New Roman" w:hAnsi="Times New Roman" w:cs="Times New Roman"/>
        </w:rPr>
      </w:pPr>
      <w:r w:rsidRPr="0060188E">
        <w:rPr>
          <w:rFonts w:ascii="Times New Roman" w:hAnsi="Times New Roman" w:cs="Times New Roman"/>
        </w:rPr>
        <w:t>International receivables, such as treaty-based claims, cross-border compensation, and credit-line arrangements.</w:t>
      </w:r>
    </w:p>
    <w:p w14:paraId="507A6F49" w14:textId="2C3E29B8"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By mobilizing these claims, development financing shifts from liability accumulation to asset realization.</w:t>
      </w:r>
    </w:p>
    <w:p w14:paraId="285A972B" w14:textId="28A4AC80"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3.3 Philosophical and Juridical Foundations of Receivable-Based Development</w:t>
      </w:r>
    </w:p>
    <w:p w14:paraId="40B5F275"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lastRenderedPageBreak/>
        <w:t>Philosophically, receivable-based development affirms the state as a sovereign subject endowed with inherent rights rather than as a dependent debtor. This perspective resonates with classical theories of sovereignty, which emphasize control over fiscal resources as a core attribute of statehood</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¹⁶]</w:t>
      </w:r>
    </w:p>
    <w:p w14:paraId="1F233C89"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From a juridical standpoint, receivables are grounded in enforceable legal norms. Tax obligations, royalty agreements, and contractual claims constitute binding legal relationships. Failure to collect such receivables represents not merely administrative inefficiency but a dereliction of sovereign authority.</w:t>
      </w:r>
    </w:p>
    <w:p w14:paraId="5F3CF5FE" w14:textId="21872F0A"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In contrast, debt-based development often subjects states to external legal regimes and conditionalities that override domestic priorities. Receivable-based development thus constitutes a reconstruction of sovereignty, restoring legal and fiscal autonomy within the development process.</w:t>
      </w:r>
    </w:p>
    <w:p w14:paraId="36660724" w14:textId="1C896D90"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From a philosophical standpoint, receivable-based development is rooted in classical and contemporary theories of sovereignty that define fiscal authority as an essential attribute of statehood. Sovereignty is not merely territorial control, but the capacity to command resources, enforce obligations, and allocate wealth in accordance with public purposes. When states rely excessively on debt, this capacity is diluted by external conditionalities and creditor dominance.</w:t>
      </w:r>
    </w:p>
    <w:p w14:paraId="032CC49A"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Receivable-based development restores this philosophical conception of sovereignty by grounding development financing in enforceable rights. Tax obligations, royalty agreements, concession contracts, and treaty-based claims are not optional revenues; they are juridical expressions of sovereign authority. Failure to collect or enforce them reflects not only administrative weakness but a deeper erosion of state power.</w:t>
      </w:r>
    </w:p>
    <w:p w14:paraId="677EF739"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Juridically, receivables occupy a fundamentally different legal position from debt. While debt subjects states to external legal regimes—often governed by foreign jurisdictions or international arbitration—receivables are embedded within domestic legal systems or reciprocal international agreements. This distinction has profound implications for autonomy, accountability, and democratic control. Receivable-based development thus reconstructs sovereignty not rhetorically, but institutionally and legally.</w:t>
      </w:r>
    </w:p>
    <w:p w14:paraId="0CDF3727"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3.4 Economic and Practical Dimensions</w:t>
      </w:r>
    </w:p>
    <w:p w14:paraId="6B4D5355"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lastRenderedPageBreak/>
        <w:t>From an economic perspective, receivable-based development enhances fiscal efficiency by strengthening state budgets without generating interest burdens. Effective collection of tax and royalty receivables directly increases public liquidity, enabling investment in infrastructure, education, healthcare, and social welfare</w:t>
      </w:r>
      <w:proofErr w:type="gramStart"/>
      <w:r w:rsidRPr="0060188E">
        <w:rPr>
          <w:rFonts w:ascii="Times New Roman" w:hAnsi="Times New Roman" w:cs="Times New Roman"/>
        </w:rPr>
        <w:t>.</w:t>
      </w:r>
      <w:r w:rsidRPr="0060188E">
        <w:rPr>
          <w:rFonts w:ascii="Times New Roman" w:hAnsi="Times New Roman" w:cs="Times New Roman"/>
          <w:highlight w:val="yellow"/>
        </w:rPr>
        <w:t>[</w:t>
      </w:r>
      <w:proofErr w:type="gramEnd"/>
      <w:r w:rsidRPr="0060188E">
        <w:rPr>
          <w:rFonts w:ascii="Times New Roman" w:hAnsi="Times New Roman" w:cs="Times New Roman"/>
          <w:highlight w:val="yellow"/>
        </w:rPr>
        <w:t>¹⁷]</w:t>
      </w:r>
    </w:p>
    <w:p w14:paraId="1082C6A3"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Furthermore, receivables generate a multiplier effect. Unlike debt-financed spending—where a portion of public revenue is diverted to interest payments—receivable-based financing retains value within the domestic economy.</w:t>
      </w:r>
    </w:p>
    <w:p w14:paraId="69AEA06D" w14:textId="39955313"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International receivables also play a critical role. Claims arising from cross-border cooperation, resource leasing, or environmental compensation can be institutionalized as long-term development assets. Such mechanisms transform international engagement from dependency into reciprocal legal obligation.</w:t>
      </w:r>
    </w:p>
    <w:p w14:paraId="6A539DCB" w14:textId="327911DA"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Economically, receivable-based development enhances fiscal resilience by increasing public liquidity without imposing interest burdens. Effective mobilization of tax receivables, natural resource royalties, and SOE revenues directly expands fiscal space, enabling sustained investment in public goods. Unlike debt-financed expenditures, receivable-based financing does not divert future revenues toward debt servicing, allowing greater retention of value within the national economy.</w:t>
      </w:r>
    </w:p>
    <w:p w14:paraId="24D971A7"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Moreover, receivables generate positive multiplier effects. Resources collected through taxation and royalties circulate domestically through wages, public procurement, and social programs, reinforcing aggregate demand and productive capacity. In contrast, debt servicing often channels public funds outward to foreign creditors, producing capital leakage rather than domestic accumulation.</w:t>
      </w:r>
    </w:p>
    <w:p w14:paraId="44E9E5A4"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International receivables further extend this logic. Claims arising from cross-border resource exploitation, environmental damage, or unequal trade arrangements can be institutionalized as long-term development assets. When strategically managed, international receivables transform global engagement from asymmetrical dependency into reciprocal legal obligation, reinforcing the state’s bargaining position in international relations.</w:t>
      </w:r>
    </w:p>
    <w:p w14:paraId="5C1B937A"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3.5 Models of Receivable-Based Development</w:t>
      </w:r>
    </w:p>
    <w:p w14:paraId="28F5936D"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lastRenderedPageBreak/>
        <w:t>The operationalization of receivable-based development requires an integrated institutional framework capable of identifying, valuing, and enforcing state claims. Three complementary models can be distinguished.</w:t>
      </w:r>
    </w:p>
    <w:p w14:paraId="702589D9"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(a) Internal Receivable Model</w:t>
      </w:r>
      <w:r w:rsidRPr="0060188E">
        <w:rPr>
          <w:rFonts w:ascii="Times New Roman" w:hAnsi="Times New Roman" w:cs="Times New Roman"/>
        </w:rPr>
        <w:br/>
        <w:t>This model prioritizes optimization of domestic receivables, particularly taxation, natural resource royalties, and SOE earnings. Legal reform, administrative capacity, and enforcement mechanisms are central to this approach. Strengthening compliance, reducing illicit financial flows, and renegotiating extractive contracts become key development strategies.</w:t>
      </w:r>
    </w:p>
    <w:p w14:paraId="6B262E15"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(b) External Receivable Model</w:t>
      </w:r>
      <w:r w:rsidRPr="0060188E">
        <w:rPr>
          <w:rFonts w:ascii="Times New Roman" w:hAnsi="Times New Roman" w:cs="Times New Roman"/>
        </w:rPr>
        <w:br/>
        <w:t>The external model focuses on international claims, including treaty-based compensation, cross-border resource rents, and historical or environmental liabilities. Economic diplomacy plays a decisive role, shifting the emphasis from loan negotiation to claim enforcement and reciprocal obligation.</w:t>
      </w:r>
    </w:p>
    <w:p w14:paraId="50631EC5" w14:textId="6C4F1781"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(c) Integrative Model</w:t>
      </w:r>
      <w:r w:rsidRPr="0060188E">
        <w:rPr>
          <w:rFonts w:ascii="Times New Roman" w:hAnsi="Times New Roman" w:cs="Times New Roman"/>
        </w:rPr>
        <w:br/>
      </w:r>
      <w:proofErr w:type="gramStart"/>
      <w:r w:rsidRPr="0060188E">
        <w:rPr>
          <w:rFonts w:ascii="Times New Roman" w:hAnsi="Times New Roman" w:cs="Times New Roman"/>
        </w:rPr>
        <w:t>The</w:t>
      </w:r>
      <w:proofErr w:type="gramEnd"/>
      <w:r w:rsidRPr="0060188E">
        <w:rPr>
          <w:rFonts w:ascii="Times New Roman" w:hAnsi="Times New Roman" w:cs="Times New Roman"/>
        </w:rPr>
        <w:t xml:space="preserve"> integrative model combines internal and external receivables into a unified national financing architecture. Under this model, debt is relegated to a residual and exceptional role, used only when receivable mobilization proves insufficient. Development financing thus becomes structurally anchored in assets rather than liabilities.</w:t>
      </w:r>
      <w:r w:rsidRPr="0060188E">
        <w:rPr>
          <w:rFonts w:ascii="Times New Roman" w:hAnsi="Times New Roman" w:cs="Times New Roman"/>
          <w:b/>
          <w:bCs/>
        </w:rPr>
        <w:t xml:space="preserve"> </w:t>
      </w:r>
    </w:p>
    <w:p w14:paraId="05A04A5B"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The implementation of receivable-based development requires strategic integration across multiple models:</w:t>
      </w:r>
    </w:p>
    <w:p w14:paraId="71512FEA"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(a) Internal Receivable Model</w:t>
      </w:r>
    </w:p>
    <w:p w14:paraId="52A82050"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This model emphasizes optimization of domestic receivables, including taxation, royalties, and SOE revenues. Legal enforcement mechanisms play a central role in addressing delinquent state receivables.</w:t>
      </w:r>
    </w:p>
    <w:p w14:paraId="16EC8417"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(b) External Receivable Model</w:t>
      </w:r>
    </w:p>
    <w:p w14:paraId="0A9436D5"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This model focuses on international claims, treaty-based compensation, and cross-border receivables. Economic diplomacy becomes an instrument for asserting sovereign claims rather than securing loans.</w:t>
      </w:r>
    </w:p>
    <w:p w14:paraId="73084000"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lastRenderedPageBreak/>
        <w:t>(c) Integrative Model</w:t>
      </w:r>
    </w:p>
    <w:p w14:paraId="1E8C29CD"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The integrative model combines internal and external receivables into a unified development financing framework. Receivables function as the primary pillar of national development funding, reducing reliance on debt to a residual option.</w:t>
      </w:r>
    </w:p>
    <w:p w14:paraId="4CDC8364"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b/>
          <w:bCs/>
        </w:rPr>
        <w:t>3.6 Policy and Legal Implications of Receivable-Based Development.</w:t>
      </w:r>
    </w:p>
    <w:p w14:paraId="42A973B0"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The adoption of receivable-based national development carries significant legal, institutional, and policy implications. Unlike debt-based strategies, which prioritize access to credit markets, receivable-based development requires the strengthening of sovereign enforcement capacity. This entails reforms in tax administration, contract enforcement, public asset governance, and international legal strategy.</w:t>
      </w:r>
    </w:p>
    <w:p w14:paraId="79C7F10A"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First, domestic legal systems must be reoriented toward effective realization of state receivables. Tax law enforcement, anti-avoidance measures, and transparency in extractive industries become central instruments of development policy. Weak collection of taxes and royalties should be understood not as administrative shortcomings, but as structural impediments to sovereignty and welfare.</w:t>
      </w:r>
    </w:p>
    <w:p w14:paraId="0676FF21"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Second, state-owned enterprises must be repositioned as strategic development assets rather than fiscal burdens. Retained earnings, dividends, and operational surpluses should be legally safeguarded and integrated into national development planning. This requires governance reforms that insulate SOEs from political capture while preserving public accountability.</w:t>
      </w:r>
    </w:p>
    <w:p w14:paraId="1E263715"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Third, at the international level, receivable-based development necessitates a shift in economic diplomacy. Rather than prioritizing loan negotiations, states must develop legal strategies to assert treaty-based claims, resource compensation rights, and environmental liabilities. International receivables should be institutionalized through multilateral and bilateral mechanisms that recognize reciprocal obligation rather than creditor dominance.</w:t>
      </w:r>
    </w:p>
    <w:p w14:paraId="3B1BECE8"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Finally, debt should be relegated to a residual and exceptional role. Borrowing may remain permissible for short-term stabilization or extraordinary circumstances, but it should no longer constitute the structural foundation of development finance. Legal debt ceilings and constitutional fiscal rules can serve as safeguards to prevent regression into debt dependency.</w:t>
      </w:r>
    </w:p>
    <w:p w14:paraId="395C56AD" w14:textId="019F0F4F" w:rsidR="003A6DF8" w:rsidRPr="0060188E" w:rsidRDefault="003A6DF8" w:rsidP="0060188E">
      <w:pPr>
        <w:spacing w:line="360" w:lineRule="auto"/>
        <w:rPr>
          <w:rFonts w:ascii="Times New Roman" w:hAnsi="Times New Roman" w:cs="Times New Roman"/>
          <w:b/>
          <w:bCs/>
        </w:rPr>
      </w:pPr>
      <w:r w:rsidRPr="0060188E">
        <w:rPr>
          <w:rFonts w:ascii="Times New Roman" w:hAnsi="Times New Roman" w:cs="Times New Roman"/>
          <w:b/>
          <w:bCs/>
        </w:rPr>
        <w:lastRenderedPageBreak/>
        <w:t>3.7 Contribution to the Literature</w:t>
      </w:r>
    </w:p>
    <w:p w14:paraId="2675EEE2"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This article contributes to the literature in three principal ways. First, it advances a doctrinal critique of debt-based development by demonstrating that sovereign borrowing is not merely a technical fiscal instrument, but a structurally embedded paradigm that reshapes sovereignty, legal authority, and development priorities. While existing studies have extensively examined debt sustainability, dependency, and crisis cycles, they rarely interrogate debt as a doctrinal foundation of development itself. This article fills that gap by reframing debt as a normative and juridical issue.</w:t>
      </w:r>
    </w:p>
    <w:p w14:paraId="155A2B3F"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Second, the article introduces receivable-based national development as a novel conceptual and legal framework. Unlike conventional alternatives that focus on debt restructuring, aid reform, or monetary expansion, receivable-based development reconceptualizes the state as a creditor rather than a debtor. This shift contributes a new analytical lens to development theory, public finance, and law by emphasizing enforceable state claims—taxation rights, natural resource entitlements, SOE revenues, and international receivables—as primary development assets.</w:t>
      </w:r>
    </w:p>
    <w:p w14:paraId="192573E9" w14:textId="67BC2201"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Third, the article bridges legal theory and political economy by demonstrating how sovereignty can be operationalized through receivable enforcement. In doing so, it extends interdisciplinary scholarship on development beyond macroeconomic indicators toward institutional capacity, legal authority, and normative legitimacy. The receivable-based framework thus offers both theoretical innovation and practical relevance for states seeking sustainable and autonomous development pathways.</w:t>
      </w:r>
    </w:p>
    <w:p w14:paraId="7BE7AC64"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 xml:space="preserve">4. CONCLUSION </w:t>
      </w:r>
    </w:p>
    <w:p w14:paraId="5B59EFFF" w14:textId="77777777" w:rsidR="003A6DF8"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This article demonstrates that debt-based development is not merely an economic strategy but a doctrinal framework that structurally undermines state sovereignty, fiscal autonomy, and intergenerational justice.</w:t>
      </w:r>
    </w:p>
    <w:p w14:paraId="0451AC02" w14:textId="77777777" w:rsidR="003A6DF8"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 xml:space="preserve"> Historical experience and theoretical analysis reveal that debt-financed development perpetuates dependency, crisis cycles, and political subordination.</w:t>
      </w:r>
      <w:r w:rsidR="003A6DF8" w:rsidRPr="0060188E">
        <w:rPr>
          <w:rFonts w:ascii="Times New Roman" w:hAnsi="Times New Roman" w:cs="Times New Roman"/>
        </w:rPr>
        <w:t xml:space="preserve"> </w:t>
      </w:r>
      <w:r w:rsidRPr="0060188E">
        <w:rPr>
          <w:rFonts w:ascii="Times New Roman" w:hAnsi="Times New Roman" w:cs="Times New Roman"/>
        </w:rPr>
        <w:t xml:space="preserve">In response, this study advances receivable-based national development as a doctrinal alternative grounded in legal rights, sovereign authority, and sustainable economics. By mobilizing inherent state receivables—rather </w:t>
      </w:r>
      <w:r w:rsidRPr="0060188E">
        <w:rPr>
          <w:rFonts w:ascii="Times New Roman" w:hAnsi="Times New Roman" w:cs="Times New Roman"/>
        </w:rPr>
        <w:lastRenderedPageBreak/>
        <w:t>than accumulating new liabilities—states can finance development while preserving autonomy and equity.</w:t>
      </w:r>
      <w:r w:rsidR="003A6DF8" w:rsidRPr="0060188E">
        <w:rPr>
          <w:rFonts w:ascii="Times New Roman" w:hAnsi="Times New Roman" w:cs="Times New Roman"/>
        </w:rPr>
        <w:t xml:space="preserve"> </w:t>
      </w:r>
    </w:p>
    <w:p w14:paraId="43DEE431" w14:textId="1F936739" w:rsidR="003A6DF8" w:rsidRPr="00BE1C03" w:rsidRDefault="00BE1C03" w:rsidP="0060188E">
      <w:pPr>
        <w:spacing w:line="360" w:lineRule="auto"/>
        <w:rPr>
          <w:rFonts w:ascii="Times New Roman" w:hAnsi="Times New Roman" w:cs="Times New Roman"/>
        </w:rPr>
      </w:pPr>
      <w:r w:rsidRPr="00BE1C03">
        <w:rPr>
          <w:rFonts w:ascii="Times New Roman" w:hAnsi="Times New Roman" w:cs="Times New Roman"/>
        </w:rPr>
        <w:t>"Drawing on historical experience and theoretical analysis, this study demonstrates that reliance on sovereign borrowing deepens structural dependency, perpetuates recurrent crises, and subordinates public welfare to the interests of creditors."</w:t>
      </w:r>
    </w:p>
    <w:p w14:paraId="4FE24736" w14:textId="212D318B"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 xml:space="preserve">In response, the article advances receivable-based national development as a doctrinal alternative grounded in legal rights, sovereign authority, and sustainable political economy. By mobilizing inherent state receivables—rather than accumulating new liabilities—states can finance development while preserving autonomy, equity, and democratic control over public resources. </w:t>
      </w:r>
    </w:p>
    <w:p w14:paraId="01702B49" w14:textId="5D137E54"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Receivable-based development reconstructs sovereignty within contemporary development theory. It reframes development not as the continuous mortgaging of the future, but as the realization of rights already possessed in the present. As such, it offers a coherent and normatively grounded pathway toward sustainable national prosperity and genuine economic independence.</w:t>
      </w:r>
    </w:p>
    <w:p w14:paraId="47393582" w14:textId="77777777" w:rsidR="003A6DF8" w:rsidRPr="0060188E" w:rsidRDefault="003A6DF8" w:rsidP="0060188E">
      <w:pPr>
        <w:spacing w:line="360" w:lineRule="auto"/>
        <w:rPr>
          <w:rFonts w:ascii="Times New Roman" w:hAnsi="Times New Roman" w:cs="Times New Roman"/>
          <w:b/>
          <w:bCs/>
        </w:rPr>
      </w:pPr>
    </w:p>
    <w:p w14:paraId="42727012" w14:textId="77777777" w:rsidR="003A6DF8" w:rsidRPr="0060188E" w:rsidRDefault="003A6DF8" w:rsidP="0060188E">
      <w:pPr>
        <w:spacing w:line="360" w:lineRule="auto"/>
        <w:jc w:val="center"/>
        <w:rPr>
          <w:rFonts w:ascii="Times New Roman" w:hAnsi="Times New Roman" w:cs="Times New Roman"/>
          <w:b/>
          <w:bCs/>
        </w:rPr>
      </w:pPr>
      <w:bookmarkStart w:id="1" w:name="_Hlk218406401"/>
    </w:p>
    <w:p w14:paraId="75AECDF2" w14:textId="77777777" w:rsidR="003A6DF8" w:rsidRPr="0060188E" w:rsidRDefault="003A6DF8" w:rsidP="0060188E">
      <w:pPr>
        <w:spacing w:line="360" w:lineRule="auto"/>
        <w:jc w:val="center"/>
        <w:rPr>
          <w:rFonts w:ascii="Times New Roman" w:hAnsi="Times New Roman" w:cs="Times New Roman"/>
          <w:b/>
          <w:bCs/>
        </w:rPr>
      </w:pPr>
    </w:p>
    <w:p w14:paraId="45F28BD2" w14:textId="77777777" w:rsidR="003A6DF8" w:rsidRDefault="003A6DF8" w:rsidP="0060188E">
      <w:pPr>
        <w:spacing w:line="360" w:lineRule="auto"/>
        <w:rPr>
          <w:rFonts w:ascii="Times New Roman" w:hAnsi="Times New Roman" w:cs="Times New Roman"/>
          <w:b/>
          <w:bCs/>
        </w:rPr>
      </w:pPr>
    </w:p>
    <w:p w14:paraId="12025384" w14:textId="77777777" w:rsidR="00BE1C03" w:rsidRDefault="00BE1C03" w:rsidP="0060188E">
      <w:pPr>
        <w:spacing w:line="360" w:lineRule="auto"/>
        <w:rPr>
          <w:rFonts w:ascii="Times New Roman" w:hAnsi="Times New Roman" w:cs="Times New Roman"/>
          <w:b/>
          <w:bCs/>
        </w:rPr>
      </w:pPr>
    </w:p>
    <w:p w14:paraId="7D101894" w14:textId="77777777" w:rsidR="00BE1C03" w:rsidRDefault="00BE1C03" w:rsidP="0060188E">
      <w:pPr>
        <w:spacing w:line="360" w:lineRule="auto"/>
        <w:rPr>
          <w:rFonts w:ascii="Times New Roman" w:hAnsi="Times New Roman" w:cs="Times New Roman"/>
          <w:b/>
          <w:bCs/>
        </w:rPr>
      </w:pPr>
    </w:p>
    <w:p w14:paraId="44111982" w14:textId="77777777" w:rsidR="00BE1C03" w:rsidRDefault="00BE1C03" w:rsidP="0060188E">
      <w:pPr>
        <w:spacing w:line="360" w:lineRule="auto"/>
        <w:rPr>
          <w:rFonts w:ascii="Times New Roman" w:hAnsi="Times New Roman" w:cs="Times New Roman"/>
          <w:b/>
          <w:bCs/>
        </w:rPr>
      </w:pPr>
    </w:p>
    <w:p w14:paraId="4AD0923E" w14:textId="77777777" w:rsidR="00BE1C03" w:rsidRDefault="00BE1C03" w:rsidP="0060188E">
      <w:pPr>
        <w:spacing w:line="360" w:lineRule="auto"/>
        <w:rPr>
          <w:rFonts w:ascii="Times New Roman" w:hAnsi="Times New Roman" w:cs="Times New Roman"/>
          <w:b/>
          <w:bCs/>
        </w:rPr>
      </w:pPr>
    </w:p>
    <w:p w14:paraId="29BC6370" w14:textId="77777777" w:rsidR="00BE1C03" w:rsidRDefault="00BE1C03" w:rsidP="0060188E">
      <w:pPr>
        <w:spacing w:line="360" w:lineRule="auto"/>
        <w:rPr>
          <w:rFonts w:ascii="Times New Roman" w:hAnsi="Times New Roman" w:cs="Times New Roman"/>
          <w:b/>
          <w:bCs/>
        </w:rPr>
      </w:pPr>
    </w:p>
    <w:p w14:paraId="1789C9EC" w14:textId="77777777" w:rsidR="00BE1C03" w:rsidRPr="0060188E" w:rsidRDefault="00BE1C03" w:rsidP="0060188E">
      <w:pPr>
        <w:spacing w:line="360" w:lineRule="auto"/>
        <w:rPr>
          <w:rFonts w:ascii="Times New Roman" w:hAnsi="Times New Roman" w:cs="Times New Roman"/>
          <w:b/>
          <w:bCs/>
        </w:rPr>
      </w:pPr>
    </w:p>
    <w:p w14:paraId="5A8620DD" w14:textId="54AC7D78" w:rsidR="003A6DF8" w:rsidRPr="0060188E" w:rsidRDefault="003A6DF8" w:rsidP="0060188E">
      <w:pPr>
        <w:spacing w:line="360" w:lineRule="auto"/>
        <w:jc w:val="center"/>
        <w:rPr>
          <w:rFonts w:ascii="Times New Roman" w:hAnsi="Times New Roman" w:cs="Times New Roman"/>
          <w:b/>
          <w:bCs/>
        </w:rPr>
      </w:pPr>
      <w:bookmarkStart w:id="2" w:name="_Hlk218437957"/>
      <w:r w:rsidRPr="0060188E">
        <w:rPr>
          <w:rFonts w:ascii="Times New Roman" w:hAnsi="Times New Roman" w:cs="Times New Roman"/>
          <w:b/>
          <w:bCs/>
        </w:rPr>
        <w:t>REFERENCES</w:t>
      </w:r>
      <w:bookmarkEnd w:id="1"/>
    </w:p>
    <w:p w14:paraId="4E798E1B" w14:textId="77777777" w:rsidR="00F2132A" w:rsidRPr="0060188E" w:rsidRDefault="00F2132A" w:rsidP="0060188E">
      <w:pPr>
        <w:numPr>
          <w:ilvl w:val="0"/>
          <w:numId w:val="4"/>
        </w:numPr>
        <w:spacing w:line="360" w:lineRule="auto"/>
        <w:rPr>
          <w:rFonts w:ascii="Times New Roman" w:hAnsi="Times New Roman" w:cs="Times New Roman"/>
        </w:rPr>
      </w:pPr>
      <w:r w:rsidRPr="0060188E">
        <w:rPr>
          <w:rFonts w:ascii="Times New Roman" w:hAnsi="Times New Roman" w:cs="Times New Roman"/>
        </w:rPr>
        <w:lastRenderedPageBreak/>
        <w:t xml:space="preserve">John Maynard Keynes, </w:t>
      </w:r>
      <w:proofErr w:type="gramStart"/>
      <w:r w:rsidRPr="0060188E">
        <w:rPr>
          <w:rFonts w:ascii="Times New Roman" w:hAnsi="Times New Roman" w:cs="Times New Roman"/>
          <w:i/>
          <w:iCs/>
        </w:rPr>
        <w:t>The</w:t>
      </w:r>
      <w:proofErr w:type="gramEnd"/>
      <w:r w:rsidRPr="0060188E">
        <w:rPr>
          <w:rFonts w:ascii="Times New Roman" w:hAnsi="Times New Roman" w:cs="Times New Roman"/>
          <w:i/>
          <w:iCs/>
        </w:rPr>
        <w:t xml:space="preserve"> Bretton Woods Agreements</w:t>
      </w:r>
      <w:r w:rsidRPr="0060188E">
        <w:rPr>
          <w:rFonts w:ascii="Times New Roman" w:hAnsi="Times New Roman" w:cs="Times New Roman"/>
        </w:rPr>
        <w:t xml:space="preserve"> (Washington, DC: IMF Archives, 1944).</w:t>
      </w:r>
    </w:p>
    <w:p w14:paraId="284D708F" w14:textId="77777777" w:rsidR="00F2132A" w:rsidRPr="0060188E" w:rsidRDefault="00F2132A" w:rsidP="0060188E">
      <w:pPr>
        <w:numPr>
          <w:ilvl w:val="0"/>
          <w:numId w:val="4"/>
        </w:numPr>
        <w:spacing w:line="360" w:lineRule="auto"/>
        <w:rPr>
          <w:rFonts w:ascii="Times New Roman" w:hAnsi="Times New Roman" w:cs="Times New Roman"/>
        </w:rPr>
      </w:pPr>
      <w:r w:rsidRPr="0060188E">
        <w:rPr>
          <w:rFonts w:ascii="Times New Roman" w:hAnsi="Times New Roman" w:cs="Times New Roman"/>
        </w:rPr>
        <w:t xml:space="preserve">Carmen M. Reinhart and Kenneth Rogoff, </w:t>
      </w:r>
      <w:r w:rsidRPr="0060188E">
        <w:rPr>
          <w:rFonts w:ascii="Times New Roman" w:hAnsi="Times New Roman" w:cs="Times New Roman"/>
          <w:i/>
          <w:iCs/>
        </w:rPr>
        <w:t>This Time Is Different: Eight Centuries of Financial Folly</w:t>
      </w:r>
      <w:r w:rsidRPr="0060188E">
        <w:rPr>
          <w:rFonts w:ascii="Times New Roman" w:hAnsi="Times New Roman" w:cs="Times New Roman"/>
        </w:rPr>
        <w:t xml:space="preserve"> (Princeton: Princeton University Press, 2009).</w:t>
      </w:r>
    </w:p>
    <w:p w14:paraId="3DE3F41E" w14:textId="77777777" w:rsidR="00F2132A" w:rsidRPr="0060188E" w:rsidRDefault="00F2132A" w:rsidP="0060188E">
      <w:pPr>
        <w:numPr>
          <w:ilvl w:val="0"/>
          <w:numId w:val="4"/>
        </w:numPr>
        <w:spacing w:line="360" w:lineRule="auto"/>
        <w:rPr>
          <w:rFonts w:ascii="Times New Roman" w:hAnsi="Times New Roman" w:cs="Times New Roman"/>
        </w:rPr>
      </w:pPr>
      <w:r w:rsidRPr="0060188E">
        <w:rPr>
          <w:rFonts w:ascii="Times New Roman" w:hAnsi="Times New Roman" w:cs="Times New Roman"/>
        </w:rPr>
        <w:t xml:space="preserve">UNCTAD, </w:t>
      </w:r>
      <w:r w:rsidRPr="0060188E">
        <w:rPr>
          <w:rFonts w:ascii="Times New Roman" w:hAnsi="Times New Roman" w:cs="Times New Roman"/>
          <w:i/>
          <w:iCs/>
        </w:rPr>
        <w:t>From Debt Crisis to Development Crisis</w:t>
      </w:r>
      <w:r w:rsidRPr="0060188E">
        <w:rPr>
          <w:rFonts w:ascii="Times New Roman" w:hAnsi="Times New Roman" w:cs="Times New Roman"/>
        </w:rPr>
        <w:t xml:space="preserve"> (Geneva: United Nations, 2022).</w:t>
      </w:r>
    </w:p>
    <w:p w14:paraId="71FDF7D5" w14:textId="77777777" w:rsidR="00F2132A" w:rsidRPr="0060188E" w:rsidRDefault="00F2132A" w:rsidP="0060188E">
      <w:pPr>
        <w:numPr>
          <w:ilvl w:val="0"/>
          <w:numId w:val="5"/>
        </w:numPr>
        <w:spacing w:line="360" w:lineRule="auto"/>
        <w:rPr>
          <w:rFonts w:ascii="Times New Roman" w:hAnsi="Times New Roman" w:cs="Times New Roman"/>
        </w:rPr>
      </w:pPr>
      <w:r w:rsidRPr="0060188E">
        <w:rPr>
          <w:rFonts w:ascii="Times New Roman" w:hAnsi="Times New Roman" w:cs="Times New Roman"/>
        </w:rPr>
        <w:t xml:space="preserve">David Graeber, </w:t>
      </w:r>
      <w:r w:rsidRPr="0060188E">
        <w:rPr>
          <w:rFonts w:ascii="Times New Roman" w:hAnsi="Times New Roman" w:cs="Times New Roman"/>
          <w:i/>
          <w:iCs/>
        </w:rPr>
        <w:t>Debt: The First 5,000 Years</w:t>
      </w:r>
      <w:r w:rsidRPr="0060188E">
        <w:rPr>
          <w:rFonts w:ascii="Times New Roman" w:hAnsi="Times New Roman" w:cs="Times New Roman"/>
        </w:rPr>
        <w:t xml:space="preserve"> (Brooklyn: Melville House, 2011).</w:t>
      </w:r>
    </w:p>
    <w:p w14:paraId="3719889C" w14:textId="77777777" w:rsidR="00F2132A" w:rsidRPr="0060188E" w:rsidRDefault="00F2132A" w:rsidP="0060188E">
      <w:pPr>
        <w:numPr>
          <w:ilvl w:val="0"/>
          <w:numId w:val="5"/>
        </w:numPr>
        <w:spacing w:line="360" w:lineRule="auto"/>
        <w:rPr>
          <w:rFonts w:ascii="Times New Roman" w:hAnsi="Times New Roman" w:cs="Times New Roman"/>
        </w:rPr>
      </w:pPr>
      <w:r w:rsidRPr="0060188E">
        <w:rPr>
          <w:rFonts w:ascii="Times New Roman" w:hAnsi="Times New Roman" w:cs="Times New Roman"/>
        </w:rPr>
        <w:t xml:space="preserve">Hyman P. Minsky, </w:t>
      </w:r>
      <w:r w:rsidRPr="0060188E">
        <w:rPr>
          <w:rFonts w:ascii="Times New Roman" w:hAnsi="Times New Roman" w:cs="Times New Roman"/>
          <w:i/>
          <w:iCs/>
        </w:rPr>
        <w:t>Stabilizing an Unstable Economy</w:t>
      </w:r>
      <w:r w:rsidRPr="0060188E">
        <w:rPr>
          <w:rFonts w:ascii="Times New Roman" w:hAnsi="Times New Roman" w:cs="Times New Roman"/>
        </w:rPr>
        <w:t xml:space="preserve"> (New Haven: Yale University Press, 1986).</w:t>
      </w:r>
    </w:p>
    <w:p w14:paraId="699AA79B" w14:textId="77777777" w:rsidR="00F2132A" w:rsidRPr="0060188E" w:rsidRDefault="00F2132A" w:rsidP="0060188E">
      <w:pPr>
        <w:numPr>
          <w:ilvl w:val="0"/>
          <w:numId w:val="5"/>
        </w:numPr>
        <w:spacing w:line="360" w:lineRule="auto"/>
        <w:rPr>
          <w:rFonts w:ascii="Times New Roman" w:hAnsi="Times New Roman" w:cs="Times New Roman"/>
        </w:rPr>
      </w:pPr>
      <w:r w:rsidRPr="0060188E">
        <w:rPr>
          <w:rFonts w:ascii="Times New Roman" w:hAnsi="Times New Roman" w:cs="Times New Roman"/>
        </w:rPr>
        <w:t xml:space="preserve">Joseph E. Stiglitz, </w:t>
      </w:r>
      <w:r w:rsidRPr="0060188E">
        <w:rPr>
          <w:rFonts w:ascii="Times New Roman" w:hAnsi="Times New Roman" w:cs="Times New Roman"/>
          <w:i/>
          <w:iCs/>
        </w:rPr>
        <w:t>Globalization and Its Discontents</w:t>
      </w:r>
      <w:r w:rsidRPr="0060188E">
        <w:rPr>
          <w:rFonts w:ascii="Times New Roman" w:hAnsi="Times New Roman" w:cs="Times New Roman"/>
        </w:rPr>
        <w:t xml:space="preserve"> (New York: Norton, 2002).</w:t>
      </w:r>
    </w:p>
    <w:p w14:paraId="6D1CC477" w14:textId="77777777" w:rsidR="00F2132A" w:rsidRPr="0060188E" w:rsidRDefault="00F2132A" w:rsidP="0060188E">
      <w:pPr>
        <w:spacing w:line="360" w:lineRule="auto"/>
        <w:rPr>
          <w:rFonts w:ascii="Times New Roman" w:hAnsi="Times New Roman" w:cs="Times New Roman"/>
          <w:b/>
          <w:bCs/>
        </w:rPr>
      </w:pPr>
    </w:p>
    <w:p w14:paraId="2B670E06" w14:textId="77777777" w:rsidR="00F2132A" w:rsidRPr="0060188E" w:rsidRDefault="00F2132A" w:rsidP="0060188E">
      <w:pPr>
        <w:numPr>
          <w:ilvl w:val="0"/>
          <w:numId w:val="6"/>
        </w:numPr>
        <w:spacing w:line="360" w:lineRule="auto"/>
        <w:rPr>
          <w:rFonts w:ascii="Times New Roman" w:hAnsi="Times New Roman" w:cs="Times New Roman"/>
        </w:rPr>
      </w:pPr>
      <w:r w:rsidRPr="0060188E">
        <w:rPr>
          <w:rFonts w:ascii="Times New Roman" w:hAnsi="Times New Roman" w:cs="Times New Roman"/>
        </w:rPr>
        <w:t xml:space="preserve">Eric Helleiner, </w:t>
      </w:r>
      <w:r w:rsidRPr="0060188E">
        <w:rPr>
          <w:rFonts w:ascii="Times New Roman" w:hAnsi="Times New Roman" w:cs="Times New Roman"/>
          <w:i/>
          <w:iCs/>
        </w:rPr>
        <w:t>States and the Reemergence of Global Finance</w:t>
      </w:r>
      <w:r w:rsidRPr="0060188E">
        <w:rPr>
          <w:rFonts w:ascii="Times New Roman" w:hAnsi="Times New Roman" w:cs="Times New Roman"/>
        </w:rPr>
        <w:t xml:space="preserve"> (Ithaca: Cornell University Press, 1994).</w:t>
      </w:r>
    </w:p>
    <w:p w14:paraId="2B91C59C" w14:textId="77777777" w:rsidR="00F2132A" w:rsidRPr="0060188E" w:rsidRDefault="00F2132A" w:rsidP="0060188E">
      <w:pPr>
        <w:numPr>
          <w:ilvl w:val="0"/>
          <w:numId w:val="6"/>
        </w:numPr>
        <w:spacing w:line="360" w:lineRule="auto"/>
        <w:rPr>
          <w:rFonts w:ascii="Times New Roman" w:hAnsi="Times New Roman" w:cs="Times New Roman"/>
        </w:rPr>
      </w:pPr>
      <w:r w:rsidRPr="0060188E">
        <w:rPr>
          <w:rFonts w:ascii="Times New Roman" w:hAnsi="Times New Roman" w:cs="Times New Roman"/>
        </w:rPr>
        <w:t xml:space="preserve">Ha-Joon Chang, </w:t>
      </w:r>
      <w:r w:rsidRPr="0060188E">
        <w:rPr>
          <w:rFonts w:ascii="Times New Roman" w:hAnsi="Times New Roman" w:cs="Times New Roman"/>
          <w:i/>
          <w:iCs/>
        </w:rPr>
        <w:t>Kicking Away the Ladder</w:t>
      </w:r>
      <w:r w:rsidRPr="0060188E">
        <w:rPr>
          <w:rFonts w:ascii="Times New Roman" w:hAnsi="Times New Roman" w:cs="Times New Roman"/>
        </w:rPr>
        <w:t xml:space="preserve"> (London: Anthem Press, 2002).</w:t>
      </w:r>
    </w:p>
    <w:p w14:paraId="1256CBD0" w14:textId="77777777" w:rsidR="00F2132A" w:rsidRPr="0060188E" w:rsidRDefault="00F2132A" w:rsidP="0060188E">
      <w:pPr>
        <w:numPr>
          <w:ilvl w:val="0"/>
          <w:numId w:val="6"/>
        </w:numPr>
        <w:spacing w:line="360" w:lineRule="auto"/>
        <w:rPr>
          <w:rFonts w:ascii="Times New Roman" w:hAnsi="Times New Roman" w:cs="Times New Roman"/>
        </w:rPr>
      </w:pPr>
      <w:r w:rsidRPr="0060188E">
        <w:rPr>
          <w:rFonts w:ascii="Times New Roman" w:hAnsi="Times New Roman" w:cs="Times New Roman"/>
        </w:rPr>
        <w:t xml:space="preserve">Michael Hudson, </w:t>
      </w:r>
      <w:r w:rsidRPr="0060188E">
        <w:rPr>
          <w:rFonts w:ascii="Times New Roman" w:hAnsi="Times New Roman" w:cs="Times New Roman"/>
          <w:i/>
          <w:iCs/>
        </w:rPr>
        <w:t>Super Imperialism</w:t>
      </w:r>
      <w:r w:rsidRPr="0060188E">
        <w:rPr>
          <w:rFonts w:ascii="Times New Roman" w:hAnsi="Times New Roman" w:cs="Times New Roman"/>
        </w:rPr>
        <w:t xml:space="preserve"> (London: Pluto Press, 2003).</w:t>
      </w:r>
    </w:p>
    <w:p w14:paraId="6F10B54A" w14:textId="77777777" w:rsidR="00F2132A" w:rsidRPr="0060188E" w:rsidRDefault="00F2132A" w:rsidP="0060188E">
      <w:pPr>
        <w:numPr>
          <w:ilvl w:val="0"/>
          <w:numId w:val="7"/>
        </w:numPr>
        <w:spacing w:line="360" w:lineRule="auto"/>
        <w:rPr>
          <w:rFonts w:ascii="Times New Roman" w:hAnsi="Times New Roman" w:cs="Times New Roman"/>
        </w:rPr>
      </w:pPr>
      <w:r w:rsidRPr="0060188E">
        <w:rPr>
          <w:rFonts w:ascii="Times New Roman" w:hAnsi="Times New Roman" w:cs="Times New Roman"/>
        </w:rPr>
        <w:t xml:space="preserve">Paul Krugman, “Debt Overhangs and Economic Depression,” </w:t>
      </w:r>
      <w:r w:rsidRPr="0060188E">
        <w:rPr>
          <w:rFonts w:ascii="Times New Roman" w:hAnsi="Times New Roman" w:cs="Times New Roman"/>
          <w:i/>
          <w:iCs/>
        </w:rPr>
        <w:t>Journal of Economic Perspectives</w:t>
      </w:r>
      <w:r w:rsidRPr="0060188E">
        <w:rPr>
          <w:rFonts w:ascii="Times New Roman" w:hAnsi="Times New Roman" w:cs="Times New Roman"/>
        </w:rPr>
        <w:t xml:space="preserve"> 2, no. 3 (1988).</w:t>
      </w:r>
    </w:p>
    <w:p w14:paraId="6F07CDF8" w14:textId="77777777" w:rsidR="00F2132A" w:rsidRPr="0060188E" w:rsidRDefault="00F2132A" w:rsidP="0060188E">
      <w:pPr>
        <w:numPr>
          <w:ilvl w:val="0"/>
          <w:numId w:val="7"/>
        </w:numPr>
        <w:spacing w:line="360" w:lineRule="auto"/>
        <w:rPr>
          <w:rFonts w:ascii="Times New Roman" w:hAnsi="Times New Roman" w:cs="Times New Roman"/>
        </w:rPr>
      </w:pPr>
      <w:r w:rsidRPr="0060188E">
        <w:rPr>
          <w:rFonts w:ascii="Times New Roman" w:hAnsi="Times New Roman" w:cs="Times New Roman"/>
        </w:rPr>
        <w:t xml:space="preserve">Alexander Sack, </w:t>
      </w:r>
      <w:r w:rsidRPr="0060188E">
        <w:rPr>
          <w:rFonts w:ascii="Times New Roman" w:hAnsi="Times New Roman" w:cs="Times New Roman"/>
          <w:i/>
          <w:iCs/>
        </w:rPr>
        <w:t>Les effets des transformations des États sur leurs dettes publiques</w:t>
      </w:r>
      <w:r w:rsidRPr="0060188E">
        <w:rPr>
          <w:rFonts w:ascii="Times New Roman" w:hAnsi="Times New Roman" w:cs="Times New Roman"/>
        </w:rPr>
        <w:t xml:space="preserve"> (Paris: Recueil Sirey, 1927).</w:t>
      </w:r>
    </w:p>
    <w:p w14:paraId="19758720" w14:textId="77777777" w:rsidR="00F2132A" w:rsidRPr="0060188E" w:rsidRDefault="00F2132A" w:rsidP="0060188E">
      <w:pPr>
        <w:spacing w:line="360" w:lineRule="auto"/>
        <w:rPr>
          <w:rFonts w:ascii="Times New Roman" w:hAnsi="Times New Roman" w:cs="Times New Roman"/>
        </w:rPr>
      </w:pPr>
    </w:p>
    <w:p w14:paraId="070C3888" w14:textId="77777777" w:rsidR="00F2132A" w:rsidRPr="0060188E" w:rsidRDefault="00F2132A" w:rsidP="0060188E">
      <w:pPr>
        <w:numPr>
          <w:ilvl w:val="0"/>
          <w:numId w:val="8"/>
        </w:numPr>
        <w:spacing w:line="360" w:lineRule="auto"/>
        <w:rPr>
          <w:rFonts w:ascii="Times New Roman" w:hAnsi="Times New Roman" w:cs="Times New Roman"/>
        </w:rPr>
      </w:pPr>
      <w:r w:rsidRPr="0060188E">
        <w:rPr>
          <w:rFonts w:ascii="Times New Roman" w:hAnsi="Times New Roman" w:cs="Times New Roman"/>
        </w:rPr>
        <w:t xml:space="preserve">Karl Polanyi, </w:t>
      </w:r>
      <w:proofErr w:type="gramStart"/>
      <w:r w:rsidRPr="0060188E">
        <w:rPr>
          <w:rFonts w:ascii="Times New Roman" w:hAnsi="Times New Roman" w:cs="Times New Roman"/>
          <w:i/>
          <w:iCs/>
        </w:rPr>
        <w:t>The</w:t>
      </w:r>
      <w:proofErr w:type="gramEnd"/>
      <w:r w:rsidRPr="0060188E">
        <w:rPr>
          <w:rFonts w:ascii="Times New Roman" w:hAnsi="Times New Roman" w:cs="Times New Roman"/>
          <w:i/>
          <w:iCs/>
        </w:rPr>
        <w:t xml:space="preserve"> Great Transformation</w:t>
      </w:r>
      <w:r w:rsidRPr="0060188E">
        <w:rPr>
          <w:rFonts w:ascii="Times New Roman" w:hAnsi="Times New Roman" w:cs="Times New Roman"/>
        </w:rPr>
        <w:t xml:space="preserve"> (Boston: Beacon Press, 1944).</w:t>
      </w:r>
    </w:p>
    <w:p w14:paraId="34A23135" w14:textId="77777777" w:rsidR="00F2132A" w:rsidRPr="0060188E" w:rsidRDefault="00F2132A" w:rsidP="0060188E">
      <w:pPr>
        <w:numPr>
          <w:ilvl w:val="0"/>
          <w:numId w:val="9"/>
        </w:numPr>
        <w:spacing w:line="360" w:lineRule="auto"/>
        <w:rPr>
          <w:rFonts w:ascii="Times New Roman" w:hAnsi="Times New Roman" w:cs="Times New Roman"/>
        </w:rPr>
      </w:pPr>
      <w:r w:rsidRPr="0060188E">
        <w:rPr>
          <w:rFonts w:ascii="Times New Roman" w:hAnsi="Times New Roman" w:cs="Times New Roman"/>
        </w:rPr>
        <w:t xml:space="preserve">Joseph Huber, “Modern Money Theory and the Debt-Based Monetary System,” </w:t>
      </w:r>
      <w:r w:rsidRPr="0060188E">
        <w:rPr>
          <w:rFonts w:ascii="Times New Roman" w:hAnsi="Times New Roman" w:cs="Times New Roman"/>
          <w:i/>
          <w:iCs/>
        </w:rPr>
        <w:t>Kybernetes</w:t>
      </w:r>
      <w:r w:rsidRPr="0060188E">
        <w:rPr>
          <w:rFonts w:ascii="Times New Roman" w:hAnsi="Times New Roman" w:cs="Times New Roman"/>
        </w:rPr>
        <w:t xml:space="preserve"> 40, no. 3–4 (2011).</w:t>
      </w:r>
    </w:p>
    <w:p w14:paraId="4D4684E9" w14:textId="77777777" w:rsidR="00F2132A" w:rsidRPr="0060188E" w:rsidRDefault="00F2132A" w:rsidP="0060188E">
      <w:pPr>
        <w:numPr>
          <w:ilvl w:val="0"/>
          <w:numId w:val="9"/>
        </w:numPr>
        <w:spacing w:line="360" w:lineRule="auto"/>
        <w:rPr>
          <w:rFonts w:ascii="Times New Roman" w:hAnsi="Times New Roman" w:cs="Times New Roman"/>
        </w:rPr>
      </w:pPr>
      <w:r w:rsidRPr="0060188E">
        <w:rPr>
          <w:rFonts w:ascii="Times New Roman" w:hAnsi="Times New Roman" w:cs="Times New Roman"/>
        </w:rPr>
        <w:t xml:space="preserve">Hyman P. Minsky, </w:t>
      </w:r>
      <w:r w:rsidRPr="0060188E">
        <w:rPr>
          <w:rFonts w:ascii="Times New Roman" w:hAnsi="Times New Roman" w:cs="Times New Roman"/>
          <w:i/>
          <w:iCs/>
        </w:rPr>
        <w:t>Stabilizing an Unstable Economy</w:t>
      </w:r>
      <w:r w:rsidRPr="0060188E">
        <w:rPr>
          <w:rFonts w:ascii="Times New Roman" w:hAnsi="Times New Roman" w:cs="Times New Roman"/>
        </w:rPr>
        <w:t xml:space="preserve"> (New Haven: Yale University Press, 1986).</w:t>
      </w:r>
    </w:p>
    <w:p w14:paraId="2ED8C029" w14:textId="130846A9" w:rsidR="00F2132A" w:rsidRPr="0060188E" w:rsidRDefault="00F2132A" w:rsidP="0060188E">
      <w:pPr>
        <w:numPr>
          <w:ilvl w:val="0"/>
          <w:numId w:val="10"/>
        </w:numPr>
        <w:spacing w:line="360" w:lineRule="auto"/>
        <w:rPr>
          <w:rFonts w:ascii="Times New Roman" w:hAnsi="Times New Roman" w:cs="Times New Roman"/>
        </w:rPr>
      </w:pPr>
      <w:r w:rsidRPr="0060188E">
        <w:rPr>
          <w:rFonts w:ascii="Times New Roman" w:hAnsi="Times New Roman" w:cs="Times New Roman"/>
        </w:rPr>
        <w:lastRenderedPageBreak/>
        <w:t xml:space="preserve">UNCTAD, </w:t>
      </w:r>
      <w:r w:rsidRPr="0060188E">
        <w:rPr>
          <w:rFonts w:ascii="Times New Roman" w:hAnsi="Times New Roman" w:cs="Times New Roman"/>
          <w:i/>
          <w:iCs/>
        </w:rPr>
        <w:t>Public Finance and Development Alternatives</w:t>
      </w:r>
      <w:r w:rsidRPr="0060188E">
        <w:rPr>
          <w:rFonts w:ascii="Times New Roman" w:hAnsi="Times New Roman" w:cs="Times New Roman"/>
        </w:rPr>
        <w:t xml:space="preserve"> (Geneva: United Nations, 2021).</w:t>
      </w:r>
    </w:p>
    <w:p w14:paraId="51757B2C" w14:textId="77777777" w:rsidR="00F2132A" w:rsidRPr="0060188E" w:rsidRDefault="00F2132A" w:rsidP="0060188E">
      <w:pPr>
        <w:numPr>
          <w:ilvl w:val="0"/>
          <w:numId w:val="11"/>
        </w:numPr>
        <w:spacing w:line="360" w:lineRule="auto"/>
        <w:rPr>
          <w:rFonts w:ascii="Times New Roman" w:hAnsi="Times New Roman" w:cs="Times New Roman"/>
        </w:rPr>
      </w:pPr>
      <w:r w:rsidRPr="0060188E">
        <w:rPr>
          <w:rFonts w:ascii="Times New Roman" w:hAnsi="Times New Roman" w:cs="Times New Roman"/>
        </w:rPr>
        <w:t xml:space="preserve">Jean Bodin, </w:t>
      </w:r>
      <w:r w:rsidRPr="0060188E">
        <w:rPr>
          <w:rFonts w:ascii="Times New Roman" w:hAnsi="Times New Roman" w:cs="Times New Roman"/>
          <w:i/>
          <w:iCs/>
        </w:rPr>
        <w:t>Six Books of the Commonwealth</w:t>
      </w:r>
      <w:r w:rsidRPr="0060188E">
        <w:rPr>
          <w:rFonts w:ascii="Times New Roman" w:hAnsi="Times New Roman" w:cs="Times New Roman"/>
        </w:rPr>
        <w:t xml:space="preserve"> (1576), trans. M.J. Tooley (Oxford: Blackwell, 1955).</w:t>
      </w:r>
    </w:p>
    <w:p w14:paraId="781BBE95" w14:textId="77777777" w:rsidR="00842237" w:rsidRPr="0060188E" w:rsidRDefault="00F2132A"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Mariana Mazzucato, </w:t>
      </w:r>
      <w:proofErr w:type="gramStart"/>
      <w:r w:rsidRPr="0060188E">
        <w:rPr>
          <w:rFonts w:ascii="Times New Roman" w:hAnsi="Times New Roman" w:cs="Times New Roman"/>
          <w:i/>
          <w:iCs/>
        </w:rPr>
        <w:t>The</w:t>
      </w:r>
      <w:proofErr w:type="gramEnd"/>
      <w:r w:rsidRPr="0060188E">
        <w:rPr>
          <w:rFonts w:ascii="Times New Roman" w:hAnsi="Times New Roman" w:cs="Times New Roman"/>
          <w:i/>
          <w:iCs/>
        </w:rPr>
        <w:t xml:space="preserve"> Entrepreneurial State</w:t>
      </w:r>
      <w:r w:rsidRPr="0060188E">
        <w:rPr>
          <w:rFonts w:ascii="Times New Roman" w:hAnsi="Times New Roman" w:cs="Times New Roman"/>
        </w:rPr>
        <w:t xml:space="preserve"> (London: Anthem Press, 2013).</w:t>
      </w:r>
    </w:p>
    <w:p w14:paraId="77B6CA09"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ADB. (2023). </w:t>
      </w:r>
      <w:r w:rsidRPr="0060188E">
        <w:rPr>
          <w:rFonts w:ascii="Times New Roman" w:hAnsi="Times New Roman" w:cs="Times New Roman"/>
          <w:i/>
          <w:iCs/>
        </w:rPr>
        <w:t>Pacific debt sustainability and fiscal risks</w:t>
      </w:r>
      <w:r w:rsidRPr="0060188E">
        <w:rPr>
          <w:rFonts w:ascii="Times New Roman" w:hAnsi="Times New Roman" w:cs="Times New Roman"/>
        </w:rPr>
        <w:t>. Asian Development Bank.</w:t>
      </w:r>
    </w:p>
    <w:p w14:paraId="1F90800B"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Horn, S., Reinhart, C. M., &amp; Trebesch, C. (2019). China’s overseas lending. </w:t>
      </w:r>
      <w:r w:rsidRPr="0060188E">
        <w:rPr>
          <w:rFonts w:ascii="Times New Roman" w:hAnsi="Times New Roman" w:cs="Times New Roman"/>
          <w:i/>
          <w:iCs/>
        </w:rPr>
        <w:t>Journal of International Economics, 133</w:t>
      </w:r>
      <w:r w:rsidRPr="0060188E">
        <w:rPr>
          <w:rFonts w:ascii="Times New Roman" w:hAnsi="Times New Roman" w:cs="Times New Roman"/>
        </w:rPr>
        <w:t>, 103539.</w:t>
      </w:r>
    </w:p>
    <w:p w14:paraId="60A44648"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IMF. (2024). </w:t>
      </w:r>
      <w:r w:rsidRPr="0060188E">
        <w:rPr>
          <w:rFonts w:ascii="Times New Roman" w:hAnsi="Times New Roman" w:cs="Times New Roman"/>
          <w:i/>
          <w:iCs/>
        </w:rPr>
        <w:t>Global debt monitor 2024</w:t>
      </w:r>
      <w:r w:rsidRPr="0060188E">
        <w:rPr>
          <w:rFonts w:ascii="Times New Roman" w:hAnsi="Times New Roman" w:cs="Times New Roman"/>
        </w:rPr>
        <w:t>. International Monetary Fund.</w:t>
      </w:r>
    </w:p>
    <w:p w14:paraId="5E10C782"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Lowy Institute. (2024). </w:t>
      </w:r>
      <w:r w:rsidRPr="0060188E">
        <w:rPr>
          <w:rFonts w:ascii="Times New Roman" w:hAnsi="Times New Roman" w:cs="Times New Roman"/>
          <w:i/>
          <w:iCs/>
        </w:rPr>
        <w:t>Belt and Road debt and China’s global lending</w:t>
      </w:r>
      <w:r w:rsidRPr="0060188E">
        <w:rPr>
          <w:rFonts w:ascii="Times New Roman" w:hAnsi="Times New Roman" w:cs="Times New Roman"/>
        </w:rPr>
        <w:t>. Lowy Institute.</w:t>
      </w:r>
    </w:p>
    <w:p w14:paraId="0E64F609"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Parks, B., et al. (2023). </w:t>
      </w:r>
      <w:r w:rsidRPr="0060188E">
        <w:rPr>
          <w:rFonts w:ascii="Times New Roman" w:hAnsi="Times New Roman" w:cs="Times New Roman"/>
          <w:i/>
          <w:iCs/>
        </w:rPr>
        <w:t>Banking on the Belt and Road</w:t>
      </w:r>
      <w:r w:rsidRPr="0060188E">
        <w:rPr>
          <w:rFonts w:ascii="Times New Roman" w:hAnsi="Times New Roman" w:cs="Times New Roman"/>
        </w:rPr>
        <w:t>. AidData, William &amp; Mary.</w:t>
      </w:r>
    </w:p>
    <w:p w14:paraId="07CAB01F"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Ray, R., Gallagher, K., &amp; Kring, W. (2022). </w:t>
      </w:r>
      <w:r w:rsidRPr="0060188E">
        <w:rPr>
          <w:rFonts w:ascii="Times New Roman" w:hAnsi="Times New Roman" w:cs="Times New Roman"/>
          <w:i/>
          <w:iCs/>
        </w:rPr>
        <w:t>China’s overseas lending: A review of interest rates and debt risks</w:t>
      </w:r>
      <w:r w:rsidRPr="0060188E">
        <w:rPr>
          <w:rFonts w:ascii="Times New Roman" w:hAnsi="Times New Roman" w:cs="Times New Roman"/>
        </w:rPr>
        <w:t>. Boston University Global Development Policy Center.</w:t>
      </w:r>
    </w:p>
    <w:p w14:paraId="2970D84B"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UNDP. (2023). </w:t>
      </w:r>
      <w:r w:rsidRPr="0060188E">
        <w:rPr>
          <w:rFonts w:ascii="Times New Roman" w:hAnsi="Times New Roman" w:cs="Times New Roman"/>
          <w:i/>
          <w:iCs/>
        </w:rPr>
        <w:t>Debt, development, and climate vulnerability</w:t>
      </w:r>
      <w:r w:rsidRPr="0060188E">
        <w:rPr>
          <w:rFonts w:ascii="Times New Roman" w:hAnsi="Times New Roman" w:cs="Times New Roman"/>
        </w:rPr>
        <w:t>. United Nations Development Programme.</w:t>
      </w:r>
    </w:p>
    <w:p w14:paraId="281CFE41" w14:textId="546E604A"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World Bank. (2025). </w:t>
      </w:r>
      <w:r w:rsidRPr="0060188E">
        <w:rPr>
          <w:rFonts w:ascii="Times New Roman" w:hAnsi="Times New Roman" w:cs="Times New Roman"/>
          <w:i/>
          <w:iCs/>
        </w:rPr>
        <w:t>International debt statistics 2025</w:t>
      </w:r>
      <w:r w:rsidRPr="0060188E">
        <w:rPr>
          <w:rFonts w:ascii="Times New Roman" w:hAnsi="Times New Roman" w:cs="Times New Roman"/>
        </w:rPr>
        <w:t>. World Bank Group.</w:t>
      </w:r>
    </w:p>
    <w:p w14:paraId="5002190F" w14:textId="77777777" w:rsidR="00842237" w:rsidRPr="0060188E" w:rsidRDefault="00842237" w:rsidP="0060188E">
      <w:pPr>
        <w:spacing w:line="360" w:lineRule="auto"/>
        <w:rPr>
          <w:rFonts w:ascii="Times New Roman" w:hAnsi="Times New Roman" w:cs="Times New Roman"/>
          <w:b/>
          <w:bCs/>
        </w:rPr>
      </w:pPr>
    </w:p>
    <w:p w14:paraId="6B205EB0" w14:textId="77777777" w:rsidR="00F2132A" w:rsidRPr="0060188E" w:rsidRDefault="00F2132A" w:rsidP="0060188E">
      <w:pPr>
        <w:spacing w:line="360" w:lineRule="auto"/>
        <w:rPr>
          <w:rFonts w:ascii="Times New Roman" w:hAnsi="Times New Roman" w:cs="Times New Roman"/>
          <w:b/>
          <w:bCs/>
        </w:rPr>
      </w:pPr>
    </w:p>
    <w:p w14:paraId="53DD731C" w14:textId="77777777" w:rsidR="00F2132A" w:rsidRPr="0060188E" w:rsidRDefault="00F2132A" w:rsidP="0060188E">
      <w:pPr>
        <w:spacing w:line="360" w:lineRule="auto"/>
        <w:rPr>
          <w:rFonts w:ascii="Times New Roman" w:hAnsi="Times New Roman" w:cs="Times New Roman"/>
          <w:b/>
          <w:bCs/>
        </w:rPr>
      </w:pPr>
    </w:p>
    <w:p w14:paraId="66A7A53C" w14:textId="77777777" w:rsidR="003A6DF8" w:rsidRPr="0060188E" w:rsidRDefault="003A6DF8" w:rsidP="0060188E">
      <w:pPr>
        <w:spacing w:line="360" w:lineRule="auto"/>
        <w:rPr>
          <w:rFonts w:ascii="Times New Roman" w:hAnsi="Times New Roman" w:cs="Times New Roman"/>
        </w:rPr>
      </w:pPr>
    </w:p>
    <w:p w14:paraId="487ADEAA" w14:textId="77777777" w:rsidR="003A6DF8" w:rsidRPr="0060188E" w:rsidRDefault="003A6DF8" w:rsidP="0060188E">
      <w:pPr>
        <w:spacing w:line="360" w:lineRule="auto"/>
        <w:rPr>
          <w:rFonts w:ascii="Times New Roman" w:hAnsi="Times New Roman" w:cs="Times New Roman"/>
        </w:rPr>
      </w:pPr>
    </w:p>
    <w:p w14:paraId="2CBD00DE" w14:textId="77777777" w:rsidR="003A6DF8" w:rsidRPr="0060188E" w:rsidRDefault="003A6DF8" w:rsidP="0060188E">
      <w:pPr>
        <w:spacing w:line="360" w:lineRule="auto"/>
        <w:rPr>
          <w:rFonts w:ascii="Times New Roman" w:hAnsi="Times New Roman" w:cs="Times New Roman"/>
        </w:rPr>
      </w:pPr>
    </w:p>
    <w:p w14:paraId="69D707B5" w14:textId="77777777" w:rsidR="003A6DF8" w:rsidRPr="0060188E" w:rsidRDefault="003A6DF8" w:rsidP="0060188E">
      <w:pPr>
        <w:spacing w:line="360" w:lineRule="auto"/>
        <w:rPr>
          <w:rFonts w:ascii="Times New Roman" w:hAnsi="Times New Roman" w:cs="Times New Roman"/>
        </w:rPr>
      </w:pPr>
    </w:p>
    <w:bookmarkEnd w:id="2"/>
    <w:p w14:paraId="3D8E9182" w14:textId="77777777" w:rsidR="003A6DF8" w:rsidRPr="0060188E" w:rsidRDefault="003A6DF8" w:rsidP="0060188E">
      <w:pPr>
        <w:spacing w:line="360" w:lineRule="auto"/>
        <w:rPr>
          <w:rFonts w:ascii="Times New Roman" w:hAnsi="Times New Roman" w:cs="Times New Roman"/>
        </w:rPr>
      </w:pPr>
    </w:p>
    <w:sectPr w:rsidR="003A6DF8" w:rsidRPr="0060188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6F75B" w14:textId="77777777" w:rsidR="008F37BF" w:rsidRDefault="008F37BF" w:rsidP="003A6DF8">
      <w:pPr>
        <w:spacing w:after="0" w:line="240" w:lineRule="auto"/>
      </w:pPr>
      <w:r>
        <w:separator/>
      </w:r>
    </w:p>
  </w:endnote>
  <w:endnote w:type="continuationSeparator" w:id="0">
    <w:p w14:paraId="3BFB2B57" w14:textId="77777777" w:rsidR="008F37BF" w:rsidRDefault="008F37BF" w:rsidP="003A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947C5" w14:textId="77777777" w:rsidR="008F37BF" w:rsidRDefault="008F37BF" w:rsidP="003A6DF8">
      <w:pPr>
        <w:spacing w:after="0" w:line="240" w:lineRule="auto"/>
      </w:pPr>
      <w:r>
        <w:separator/>
      </w:r>
    </w:p>
  </w:footnote>
  <w:footnote w:type="continuationSeparator" w:id="0">
    <w:p w14:paraId="42EEFA52" w14:textId="77777777" w:rsidR="008F37BF" w:rsidRDefault="008F37BF" w:rsidP="003A6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786105"/>
      <w:docPartObj>
        <w:docPartGallery w:val="Page Numbers (Top of Page)"/>
        <w:docPartUnique/>
      </w:docPartObj>
    </w:sdtPr>
    <w:sdtEndPr>
      <w:rPr>
        <w:noProof/>
      </w:rPr>
    </w:sdtEndPr>
    <w:sdtContent>
      <w:p w14:paraId="2B6FF438" w14:textId="68A07FF6" w:rsidR="003A6DF8" w:rsidRDefault="003A6DF8">
        <w:pPr>
          <w:pStyle w:val="Header"/>
          <w:jc w:val="right"/>
        </w:pPr>
        <w:r>
          <w:fldChar w:fldCharType="begin"/>
        </w:r>
        <w:r>
          <w:instrText xml:space="preserve"> PAGE   \* MERGEFORMAT </w:instrText>
        </w:r>
        <w:r>
          <w:fldChar w:fldCharType="separate"/>
        </w:r>
        <w:r w:rsidR="00AF1569">
          <w:rPr>
            <w:noProof/>
          </w:rPr>
          <w:t>16</w:t>
        </w:r>
        <w:r>
          <w:rPr>
            <w:noProof/>
          </w:rPr>
          <w:fldChar w:fldCharType="end"/>
        </w:r>
      </w:p>
    </w:sdtContent>
  </w:sdt>
  <w:p w14:paraId="4A94F146" w14:textId="77777777" w:rsidR="003A6DF8" w:rsidRDefault="003A6D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F9B"/>
    <w:multiLevelType w:val="multilevel"/>
    <w:tmpl w:val="CD8C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01F3C"/>
    <w:multiLevelType w:val="multilevel"/>
    <w:tmpl w:val="E96A2E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740D55"/>
    <w:multiLevelType w:val="multilevel"/>
    <w:tmpl w:val="4ACC0C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652026"/>
    <w:multiLevelType w:val="multilevel"/>
    <w:tmpl w:val="114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D24ED"/>
    <w:multiLevelType w:val="multilevel"/>
    <w:tmpl w:val="C4B6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49250A"/>
    <w:multiLevelType w:val="multilevel"/>
    <w:tmpl w:val="2DC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90FAF"/>
    <w:multiLevelType w:val="multilevel"/>
    <w:tmpl w:val="9D1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EC3702"/>
    <w:multiLevelType w:val="multilevel"/>
    <w:tmpl w:val="30E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4E7D18"/>
    <w:multiLevelType w:val="multilevel"/>
    <w:tmpl w:val="9FC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E063BD"/>
    <w:multiLevelType w:val="multilevel"/>
    <w:tmpl w:val="16B8CD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FD5188"/>
    <w:multiLevelType w:val="multilevel"/>
    <w:tmpl w:val="3440F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C92F80"/>
    <w:multiLevelType w:val="multilevel"/>
    <w:tmpl w:val="01CE8F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DC2407"/>
    <w:multiLevelType w:val="multilevel"/>
    <w:tmpl w:val="E5E0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8D3099"/>
    <w:multiLevelType w:val="multilevel"/>
    <w:tmpl w:val="123288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646274"/>
    <w:multiLevelType w:val="hybridMultilevel"/>
    <w:tmpl w:val="9D068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1E06"/>
    <w:multiLevelType w:val="multilevel"/>
    <w:tmpl w:val="E5E0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FB2000"/>
    <w:multiLevelType w:val="multilevel"/>
    <w:tmpl w:val="8C90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E96E41"/>
    <w:multiLevelType w:val="multilevel"/>
    <w:tmpl w:val="17D2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E9156E"/>
    <w:multiLevelType w:val="multilevel"/>
    <w:tmpl w:val="C352DB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332EC0"/>
    <w:multiLevelType w:val="multilevel"/>
    <w:tmpl w:val="731430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4"/>
  </w:num>
  <w:num w:numId="3">
    <w:abstractNumId w:val="12"/>
  </w:num>
  <w:num w:numId="4">
    <w:abstractNumId w:val="15"/>
  </w:num>
  <w:num w:numId="5">
    <w:abstractNumId w:val="10"/>
  </w:num>
  <w:num w:numId="6">
    <w:abstractNumId w:val="9"/>
  </w:num>
  <w:num w:numId="7">
    <w:abstractNumId w:val="13"/>
  </w:num>
  <w:num w:numId="8">
    <w:abstractNumId w:val="1"/>
  </w:num>
  <w:num w:numId="9">
    <w:abstractNumId w:val="11"/>
  </w:num>
  <w:num w:numId="10">
    <w:abstractNumId w:val="2"/>
  </w:num>
  <w:num w:numId="11">
    <w:abstractNumId w:val="19"/>
  </w:num>
  <w:num w:numId="12">
    <w:abstractNumId w:val="18"/>
  </w:num>
  <w:num w:numId="13">
    <w:abstractNumId w:val="17"/>
  </w:num>
  <w:num w:numId="14">
    <w:abstractNumId w:val="5"/>
  </w:num>
  <w:num w:numId="15">
    <w:abstractNumId w:val="8"/>
  </w:num>
  <w:num w:numId="16">
    <w:abstractNumId w:val="3"/>
  </w:num>
  <w:num w:numId="17">
    <w:abstractNumId w:val="6"/>
  </w:num>
  <w:num w:numId="18">
    <w:abstractNumId w:val="0"/>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79"/>
    <w:rsid w:val="000A2A1F"/>
    <w:rsid w:val="000E2487"/>
    <w:rsid w:val="00144679"/>
    <w:rsid w:val="001839F9"/>
    <w:rsid w:val="0020452B"/>
    <w:rsid w:val="002D1C06"/>
    <w:rsid w:val="0034145C"/>
    <w:rsid w:val="003A6DF8"/>
    <w:rsid w:val="004252FA"/>
    <w:rsid w:val="00480806"/>
    <w:rsid w:val="00520B50"/>
    <w:rsid w:val="00524793"/>
    <w:rsid w:val="005D0142"/>
    <w:rsid w:val="005F4B8C"/>
    <w:rsid w:val="0060188E"/>
    <w:rsid w:val="006531F9"/>
    <w:rsid w:val="0067340D"/>
    <w:rsid w:val="00704A5F"/>
    <w:rsid w:val="00751909"/>
    <w:rsid w:val="0080216F"/>
    <w:rsid w:val="00842237"/>
    <w:rsid w:val="008B67C0"/>
    <w:rsid w:val="008F37BF"/>
    <w:rsid w:val="00903F24"/>
    <w:rsid w:val="00951E06"/>
    <w:rsid w:val="00AB5DB3"/>
    <w:rsid w:val="00AF1569"/>
    <w:rsid w:val="00B008EC"/>
    <w:rsid w:val="00B025C3"/>
    <w:rsid w:val="00BE1C03"/>
    <w:rsid w:val="00C241B9"/>
    <w:rsid w:val="00C323C5"/>
    <w:rsid w:val="00C47C7D"/>
    <w:rsid w:val="00CB0D79"/>
    <w:rsid w:val="00CB0DB5"/>
    <w:rsid w:val="00CC2E12"/>
    <w:rsid w:val="00CE2922"/>
    <w:rsid w:val="00D163A5"/>
    <w:rsid w:val="00D8359F"/>
    <w:rsid w:val="00ED0F53"/>
    <w:rsid w:val="00F155D0"/>
    <w:rsid w:val="00F2132A"/>
    <w:rsid w:val="00FE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0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D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D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D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D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D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D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D79"/>
    <w:rPr>
      <w:rFonts w:eastAsiaTheme="majorEastAsia" w:cstheme="majorBidi"/>
      <w:color w:val="272727" w:themeColor="text1" w:themeTint="D8"/>
    </w:rPr>
  </w:style>
  <w:style w:type="paragraph" w:styleId="Title">
    <w:name w:val="Title"/>
    <w:basedOn w:val="Normal"/>
    <w:next w:val="Normal"/>
    <w:link w:val="TitleChar"/>
    <w:uiPriority w:val="10"/>
    <w:qFormat/>
    <w:rsid w:val="00CB0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D79"/>
    <w:pPr>
      <w:spacing w:before="160"/>
      <w:jc w:val="center"/>
    </w:pPr>
    <w:rPr>
      <w:i/>
      <w:iCs/>
      <w:color w:val="404040" w:themeColor="text1" w:themeTint="BF"/>
    </w:rPr>
  </w:style>
  <w:style w:type="character" w:customStyle="1" w:styleId="QuoteChar">
    <w:name w:val="Quote Char"/>
    <w:basedOn w:val="DefaultParagraphFont"/>
    <w:link w:val="Quote"/>
    <w:uiPriority w:val="29"/>
    <w:rsid w:val="00CB0D79"/>
    <w:rPr>
      <w:i/>
      <w:iCs/>
      <w:color w:val="404040" w:themeColor="text1" w:themeTint="BF"/>
    </w:rPr>
  </w:style>
  <w:style w:type="paragraph" w:styleId="ListParagraph">
    <w:name w:val="List Paragraph"/>
    <w:basedOn w:val="Normal"/>
    <w:uiPriority w:val="34"/>
    <w:qFormat/>
    <w:rsid w:val="00CB0D79"/>
    <w:pPr>
      <w:ind w:left="720"/>
      <w:contextualSpacing/>
    </w:pPr>
  </w:style>
  <w:style w:type="character" w:styleId="IntenseEmphasis">
    <w:name w:val="Intense Emphasis"/>
    <w:basedOn w:val="DefaultParagraphFont"/>
    <w:uiPriority w:val="21"/>
    <w:qFormat/>
    <w:rsid w:val="00CB0D79"/>
    <w:rPr>
      <w:i/>
      <w:iCs/>
      <w:color w:val="2F5496" w:themeColor="accent1" w:themeShade="BF"/>
    </w:rPr>
  </w:style>
  <w:style w:type="paragraph" w:styleId="IntenseQuote">
    <w:name w:val="Intense Quote"/>
    <w:basedOn w:val="Normal"/>
    <w:next w:val="Normal"/>
    <w:link w:val="IntenseQuoteChar"/>
    <w:uiPriority w:val="30"/>
    <w:qFormat/>
    <w:rsid w:val="00CB0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D79"/>
    <w:rPr>
      <w:i/>
      <w:iCs/>
      <w:color w:val="2F5496" w:themeColor="accent1" w:themeShade="BF"/>
    </w:rPr>
  </w:style>
  <w:style w:type="character" w:styleId="IntenseReference">
    <w:name w:val="Intense Reference"/>
    <w:basedOn w:val="DefaultParagraphFont"/>
    <w:uiPriority w:val="32"/>
    <w:qFormat/>
    <w:rsid w:val="00CB0D79"/>
    <w:rPr>
      <w:b/>
      <w:bCs/>
      <w:smallCaps/>
      <w:color w:val="2F5496" w:themeColor="accent1" w:themeShade="BF"/>
      <w:spacing w:val="5"/>
    </w:rPr>
  </w:style>
  <w:style w:type="paragraph" w:styleId="Header">
    <w:name w:val="header"/>
    <w:basedOn w:val="Normal"/>
    <w:link w:val="HeaderChar"/>
    <w:uiPriority w:val="99"/>
    <w:unhideWhenUsed/>
    <w:rsid w:val="003A6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DF8"/>
  </w:style>
  <w:style w:type="paragraph" w:styleId="Footer">
    <w:name w:val="footer"/>
    <w:basedOn w:val="Normal"/>
    <w:link w:val="FooterChar"/>
    <w:uiPriority w:val="99"/>
    <w:unhideWhenUsed/>
    <w:rsid w:val="003A6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0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D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D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D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D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D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D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D79"/>
    <w:rPr>
      <w:rFonts w:eastAsiaTheme="majorEastAsia" w:cstheme="majorBidi"/>
      <w:color w:val="272727" w:themeColor="text1" w:themeTint="D8"/>
    </w:rPr>
  </w:style>
  <w:style w:type="paragraph" w:styleId="Title">
    <w:name w:val="Title"/>
    <w:basedOn w:val="Normal"/>
    <w:next w:val="Normal"/>
    <w:link w:val="TitleChar"/>
    <w:uiPriority w:val="10"/>
    <w:qFormat/>
    <w:rsid w:val="00CB0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D79"/>
    <w:pPr>
      <w:spacing w:before="160"/>
      <w:jc w:val="center"/>
    </w:pPr>
    <w:rPr>
      <w:i/>
      <w:iCs/>
      <w:color w:val="404040" w:themeColor="text1" w:themeTint="BF"/>
    </w:rPr>
  </w:style>
  <w:style w:type="character" w:customStyle="1" w:styleId="QuoteChar">
    <w:name w:val="Quote Char"/>
    <w:basedOn w:val="DefaultParagraphFont"/>
    <w:link w:val="Quote"/>
    <w:uiPriority w:val="29"/>
    <w:rsid w:val="00CB0D79"/>
    <w:rPr>
      <w:i/>
      <w:iCs/>
      <w:color w:val="404040" w:themeColor="text1" w:themeTint="BF"/>
    </w:rPr>
  </w:style>
  <w:style w:type="paragraph" w:styleId="ListParagraph">
    <w:name w:val="List Paragraph"/>
    <w:basedOn w:val="Normal"/>
    <w:uiPriority w:val="34"/>
    <w:qFormat/>
    <w:rsid w:val="00CB0D79"/>
    <w:pPr>
      <w:ind w:left="720"/>
      <w:contextualSpacing/>
    </w:pPr>
  </w:style>
  <w:style w:type="character" w:styleId="IntenseEmphasis">
    <w:name w:val="Intense Emphasis"/>
    <w:basedOn w:val="DefaultParagraphFont"/>
    <w:uiPriority w:val="21"/>
    <w:qFormat/>
    <w:rsid w:val="00CB0D79"/>
    <w:rPr>
      <w:i/>
      <w:iCs/>
      <w:color w:val="2F5496" w:themeColor="accent1" w:themeShade="BF"/>
    </w:rPr>
  </w:style>
  <w:style w:type="paragraph" w:styleId="IntenseQuote">
    <w:name w:val="Intense Quote"/>
    <w:basedOn w:val="Normal"/>
    <w:next w:val="Normal"/>
    <w:link w:val="IntenseQuoteChar"/>
    <w:uiPriority w:val="30"/>
    <w:qFormat/>
    <w:rsid w:val="00CB0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D79"/>
    <w:rPr>
      <w:i/>
      <w:iCs/>
      <w:color w:val="2F5496" w:themeColor="accent1" w:themeShade="BF"/>
    </w:rPr>
  </w:style>
  <w:style w:type="character" w:styleId="IntenseReference">
    <w:name w:val="Intense Reference"/>
    <w:basedOn w:val="DefaultParagraphFont"/>
    <w:uiPriority w:val="32"/>
    <w:qFormat/>
    <w:rsid w:val="00CB0D79"/>
    <w:rPr>
      <w:b/>
      <w:bCs/>
      <w:smallCaps/>
      <w:color w:val="2F5496" w:themeColor="accent1" w:themeShade="BF"/>
      <w:spacing w:val="5"/>
    </w:rPr>
  </w:style>
  <w:style w:type="paragraph" w:styleId="Header">
    <w:name w:val="header"/>
    <w:basedOn w:val="Normal"/>
    <w:link w:val="HeaderChar"/>
    <w:uiPriority w:val="99"/>
    <w:unhideWhenUsed/>
    <w:rsid w:val="003A6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DF8"/>
  </w:style>
  <w:style w:type="paragraph" w:styleId="Footer">
    <w:name w:val="footer"/>
    <w:basedOn w:val="Normal"/>
    <w:link w:val="FooterChar"/>
    <w:uiPriority w:val="99"/>
    <w:unhideWhenUsed/>
    <w:rsid w:val="003A6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4664</Words>
  <Characters>26585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Aulia</dc:creator>
  <cp:keywords/>
  <dc:description/>
  <cp:lastModifiedBy>qwert</cp:lastModifiedBy>
  <cp:revision>4</cp:revision>
  <dcterms:created xsi:type="dcterms:W3CDTF">2026-01-13T15:08:00Z</dcterms:created>
  <dcterms:modified xsi:type="dcterms:W3CDTF">2026-03-10T08:58:00Z</dcterms:modified>
</cp:coreProperties>
</file>