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B5DAA" w14:textId="77777777" w:rsidR="00677E95" w:rsidRPr="00677E95" w:rsidRDefault="00677E95" w:rsidP="00F742BF">
      <w:pPr>
        <w:jc w:val="both"/>
        <w:rPr>
          <w:rFonts w:ascii="Arial" w:hAnsi="Arial" w:cs="Arial"/>
          <w:b/>
          <w:bCs/>
          <w:color w:val="000000" w:themeColor="text1"/>
        </w:rPr>
      </w:pPr>
      <w:r w:rsidRPr="00677E95">
        <w:rPr>
          <w:rFonts w:ascii="Arial" w:hAnsi="Arial" w:cs="Arial"/>
          <w:b/>
          <w:bCs/>
          <w:color w:val="000000" w:themeColor="text1"/>
        </w:rPr>
        <w:t xml:space="preserve">Clinicopathological and Radiographic Patterns of Pediatric Ameloblastoma in Lagos, Nigeria </w:t>
      </w:r>
    </w:p>
    <w:p w14:paraId="42514D55" w14:textId="4974FD6A" w:rsidR="00AE315C" w:rsidRPr="00AE315C" w:rsidRDefault="00552A25" w:rsidP="00AE315C">
      <w:pPr>
        <w:jc w:val="both"/>
        <w:rPr>
          <w:rFonts w:ascii="Arial" w:hAnsi="Arial" w:cs="Arial"/>
          <w:b/>
          <w:bCs/>
          <w:color w:val="000000" w:themeColor="text1"/>
        </w:rPr>
      </w:pPr>
      <w:r w:rsidRPr="00552A25">
        <w:rPr>
          <w:rFonts w:ascii="Arial" w:hAnsi="Arial" w:cs="Arial"/>
          <w:b/>
          <w:bCs/>
          <w:color w:val="000000" w:themeColor="text1"/>
        </w:rPr>
        <w:t>Abstract</w:t>
      </w:r>
    </w:p>
    <w:p w14:paraId="49CDFE5F" w14:textId="5854D4CF" w:rsidR="00AE315C" w:rsidRPr="00AE315C" w:rsidRDefault="00AE315C" w:rsidP="00AE315C">
      <w:pPr>
        <w:jc w:val="both"/>
        <w:rPr>
          <w:rFonts w:ascii="Arial" w:hAnsi="Arial" w:cs="Arial"/>
          <w:b/>
          <w:bCs/>
          <w:color w:val="000000" w:themeColor="text1"/>
        </w:rPr>
      </w:pPr>
      <w:r w:rsidRPr="00AE315C">
        <w:rPr>
          <w:rFonts w:ascii="Arial" w:hAnsi="Arial" w:cs="Arial"/>
          <w:b/>
          <w:bCs/>
          <w:color w:val="000000" w:themeColor="text1"/>
        </w:rPr>
        <w:t xml:space="preserve">Background: </w:t>
      </w:r>
      <w:r w:rsidRPr="00AE315C">
        <w:rPr>
          <w:rFonts w:ascii="Arial" w:hAnsi="Arial" w:cs="Arial"/>
          <w:color w:val="000000" w:themeColor="text1"/>
        </w:rPr>
        <w:t>Pediatric ameloblastoma is an uncommon odontogenic tumor that demonstrates clinicopathologic characteristics distinct from adult cases. Precise delineation of demographic distribution, anatomic predilection, radiographic presentation, and histopathologic subtypes is essential for risk-adapted surgical planning and improved long-term outcomes.</w:t>
      </w:r>
    </w:p>
    <w:p w14:paraId="00A32F74" w14:textId="74E034C1" w:rsidR="00AE315C" w:rsidRPr="00AE315C" w:rsidRDefault="00AE315C" w:rsidP="00AE315C">
      <w:pPr>
        <w:jc w:val="both"/>
        <w:rPr>
          <w:rFonts w:ascii="Arial" w:hAnsi="Arial" w:cs="Arial"/>
          <w:b/>
          <w:bCs/>
          <w:color w:val="000000" w:themeColor="text1"/>
        </w:rPr>
      </w:pPr>
      <w:r w:rsidRPr="00AE315C">
        <w:rPr>
          <w:rFonts w:ascii="Arial" w:hAnsi="Arial" w:cs="Arial"/>
          <w:b/>
          <w:bCs/>
          <w:color w:val="000000" w:themeColor="text1"/>
        </w:rPr>
        <w:t xml:space="preserve">Objective: </w:t>
      </w:r>
      <w:r w:rsidRPr="00AE315C">
        <w:rPr>
          <w:rFonts w:ascii="Arial" w:hAnsi="Arial" w:cs="Arial"/>
          <w:color w:val="000000" w:themeColor="text1"/>
        </w:rPr>
        <w:t>To characterize the demographic, clinical, radiographic, and histopathological features of ameloblastoma in children and adolescents treated at a tertiary referral center in Lagos State, Nigeria, and to evaluate predictors of biologic tumor type.</w:t>
      </w:r>
    </w:p>
    <w:p w14:paraId="7423282D" w14:textId="7B544BA0" w:rsidR="00AE315C" w:rsidRPr="00AE315C" w:rsidRDefault="00AE315C" w:rsidP="00AE315C">
      <w:pPr>
        <w:jc w:val="both"/>
        <w:rPr>
          <w:rFonts w:ascii="Arial" w:hAnsi="Arial" w:cs="Arial"/>
          <w:b/>
          <w:bCs/>
          <w:color w:val="000000" w:themeColor="text1"/>
        </w:rPr>
      </w:pPr>
      <w:r w:rsidRPr="00AE315C">
        <w:rPr>
          <w:rFonts w:ascii="Arial" w:hAnsi="Arial" w:cs="Arial"/>
          <w:b/>
          <w:bCs/>
          <w:color w:val="000000" w:themeColor="text1"/>
        </w:rPr>
        <w:t xml:space="preserve">Methods: </w:t>
      </w:r>
      <w:r w:rsidRPr="00AE315C">
        <w:rPr>
          <w:rFonts w:ascii="Arial" w:hAnsi="Arial" w:cs="Arial"/>
          <w:color w:val="000000" w:themeColor="text1"/>
        </w:rPr>
        <w:t>A retrospective cross-sectional study was conducte</w:t>
      </w:r>
      <w:r w:rsidR="00B55DFC">
        <w:rPr>
          <w:rFonts w:ascii="Arial" w:hAnsi="Arial" w:cs="Arial"/>
          <w:color w:val="000000" w:themeColor="text1"/>
        </w:rPr>
        <w:t xml:space="preserve">d among 63 patients </w:t>
      </w:r>
      <w:bookmarkStart w:id="0" w:name="_GoBack"/>
      <w:bookmarkEnd w:id="0"/>
      <w:r w:rsidRPr="00AE315C">
        <w:rPr>
          <w:rFonts w:ascii="Arial" w:hAnsi="Arial" w:cs="Arial"/>
          <w:color w:val="000000" w:themeColor="text1"/>
        </w:rPr>
        <w:t xml:space="preserve"> </w:t>
      </w:r>
      <w:r w:rsidR="00B55DFC">
        <w:rPr>
          <w:rFonts w:ascii="Arial" w:hAnsi="Arial" w:cs="Arial"/>
          <w:color w:val="000000" w:themeColor="text1"/>
        </w:rPr>
        <w:t>≤</w:t>
      </w:r>
      <w:r w:rsidRPr="00AE315C">
        <w:rPr>
          <w:rFonts w:ascii="Arial" w:hAnsi="Arial" w:cs="Arial"/>
          <w:color w:val="000000" w:themeColor="text1"/>
        </w:rPr>
        <w:t xml:space="preserve">18 years diagnosed with ameloblastoma between </w:t>
      </w:r>
      <w:r w:rsidRPr="00D30DBE">
        <w:rPr>
          <w:rFonts w:ascii="Arial" w:hAnsi="Arial" w:cs="Arial"/>
          <w:color w:val="000000" w:themeColor="text1"/>
        </w:rPr>
        <w:t>2</w:t>
      </w:r>
      <w:r w:rsidR="005A021D" w:rsidRPr="00D30DBE">
        <w:rPr>
          <w:rFonts w:ascii="Arial" w:hAnsi="Arial" w:cs="Arial"/>
          <w:color w:val="000000" w:themeColor="text1"/>
        </w:rPr>
        <w:t>013</w:t>
      </w:r>
      <w:r w:rsidRPr="00D30DBE">
        <w:rPr>
          <w:rFonts w:ascii="Arial" w:hAnsi="Arial" w:cs="Arial"/>
          <w:color w:val="000000" w:themeColor="text1"/>
        </w:rPr>
        <w:t xml:space="preserve"> and 2025</w:t>
      </w:r>
      <w:r w:rsidRPr="00AE315C">
        <w:rPr>
          <w:rFonts w:ascii="Arial" w:hAnsi="Arial" w:cs="Arial"/>
          <w:color w:val="000000" w:themeColor="text1"/>
        </w:rPr>
        <w:t>. Data collected included age, sex, duration of symptoms, tumor site, radiographic appearance, and histopathologic classification according to the 2022 WHO criteria. Associations between biologic type (</w:t>
      </w:r>
      <w:proofErr w:type="spellStart"/>
      <w:r w:rsidRPr="00AE315C">
        <w:rPr>
          <w:rFonts w:ascii="Arial" w:hAnsi="Arial" w:cs="Arial"/>
          <w:color w:val="000000" w:themeColor="text1"/>
        </w:rPr>
        <w:t>unicystic</w:t>
      </w:r>
      <w:proofErr w:type="spellEnd"/>
      <w:r w:rsidRPr="00AE315C">
        <w:rPr>
          <w:rFonts w:ascii="Arial" w:hAnsi="Arial" w:cs="Arial"/>
          <w:color w:val="000000" w:themeColor="text1"/>
        </w:rPr>
        <w:t xml:space="preserve"> vs. conventional) and clinical variables were examined using chi-square or Fisher’s exact tests. Binary logistic regression analysis was performed to identify independent predictors of conventional ameloblastoma among 59 cases with specified classification.</w:t>
      </w:r>
    </w:p>
    <w:p w14:paraId="5A6C7F0A" w14:textId="0ABADE3A" w:rsidR="00AE315C" w:rsidRPr="00AE315C" w:rsidRDefault="00AE315C" w:rsidP="00AE315C">
      <w:pPr>
        <w:jc w:val="both"/>
        <w:rPr>
          <w:rFonts w:ascii="Arial" w:hAnsi="Arial" w:cs="Arial"/>
          <w:b/>
          <w:bCs/>
          <w:color w:val="000000" w:themeColor="text1"/>
        </w:rPr>
      </w:pPr>
      <w:r w:rsidRPr="00AE315C">
        <w:rPr>
          <w:rFonts w:ascii="Arial" w:hAnsi="Arial" w:cs="Arial"/>
          <w:b/>
          <w:bCs/>
          <w:color w:val="000000" w:themeColor="text1"/>
        </w:rPr>
        <w:t xml:space="preserve">Results: </w:t>
      </w:r>
      <w:r w:rsidRPr="00AE315C">
        <w:rPr>
          <w:rFonts w:ascii="Arial" w:hAnsi="Arial" w:cs="Arial"/>
          <w:color w:val="000000" w:themeColor="text1"/>
        </w:rPr>
        <w:t xml:space="preserve">The majority of patients were aged 11–15 years (42.9%), followed by 16–18 years (38.1%); no cases occurred below 6 years. Males predominated (63.5%). Tumors overwhelmingly involved the mandible (90.5%), with maxillary lesions accounting for 3.2%. Conventional ameloblastoma constituted 49.2% of cases, </w:t>
      </w:r>
      <w:proofErr w:type="spellStart"/>
      <w:r w:rsidRPr="00AE315C">
        <w:rPr>
          <w:rFonts w:ascii="Arial" w:hAnsi="Arial" w:cs="Arial"/>
          <w:color w:val="000000" w:themeColor="text1"/>
        </w:rPr>
        <w:t>unicystic</w:t>
      </w:r>
      <w:proofErr w:type="spellEnd"/>
      <w:r w:rsidRPr="00AE315C">
        <w:rPr>
          <w:rFonts w:ascii="Arial" w:hAnsi="Arial" w:cs="Arial"/>
          <w:color w:val="000000" w:themeColor="text1"/>
        </w:rPr>
        <w:t xml:space="preserve"> </w:t>
      </w:r>
      <w:proofErr w:type="spellStart"/>
      <w:r w:rsidRPr="00AE315C">
        <w:rPr>
          <w:rFonts w:ascii="Arial" w:hAnsi="Arial" w:cs="Arial"/>
          <w:color w:val="000000" w:themeColor="text1"/>
        </w:rPr>
        <w:t>ameloblastoma</w:t>
      </w:r>
      <w:proofErr w:type="spellEnd"/>
      <w:r w:rsidRPr="00AE315C">
        <w:rPr>
          <w:rFonts w:ascii="Arial" w:hAnsi="Arial" w:cs="Arial"/>
          <w:color w:val="000000" w:themeColor="text1"/>
        </w:rPr>
        <w:t xml:space="preserve"> 44.4%, and 6.3% were unspecified. Plexiform architecture predominated among conventional tumors (25.4% of total cohort), whereas the mural variant was most frequent among </w:t>
      </w:r>
      <w:proofErr w:type="spellStart"/>
      <w:r w:rsidRPr="00AE315C">
        <w:rPr>
          <w:rFonts w:ascii="Arial" w:hAnsi="Arial" w:cs="Arial"/>
          <w:color w:val="000000" w:themeColor="text1"/>
        </w:rPr>
        <w:t>unicystic</w:t>
      </w:r>
      <w:proofErr w:type="spellEnd"/>
      <w:r w:rsidRPr="00AE315C">
        <w:rPr>
          <w:rFonts w:ascii="Arial" w:hAnsi="Arial" w:cs="Arial"/>
          <w:color w:val="000000" w:themeColor="text1"/>
        </w:rPr>
        <w:t xml:space="preserve"> lesions (22.2%). Radiographic appearance demonstrated a strong association with biologic type: 96.4% of </w:t>
      </w:r>
      <w:proofErr w:type="spellStart"/>
      <w:r w:rsidRPr="00AE315C">
        <w:rPr>
          <w:rFonts w:ascii="Arial" w:hAnsi="Arial" w:cs="Arial"/>
          <w:color w:val="000000" w:themeColor="text1"/>
        </w:rPr>
        <w:t>unicystic</w:t>
      </w:r>
      <w:proofErr w:type="spellEnd"/>
      <w:r w:rsidRPr="00AE315C">
        <w:rPr>
          <w:rFonts w:ascii="Arial" w:hAnsi="Arial" w:cs="Arial"/>
          <w:color w:val="000000" w:themeColor="text1"/>
        </w:rPr>
        <w:t xml:space="preserve"> tumors were </w:t>
      </w:r>
      <w:proofErr w:type="spellStart"/>
      <w:r w:rsidRPr="00AE315C">
        <w:rPr>
          <w:rFonts w:ascii="Arial" w:hAnsi="Arial" w:cs="Arial"/>
          <w:color w:val="000000" w:themeColor="text1"/>
        </w:rPr>
        <w:t>unilocular</w:t>
      </w:r>
      <w:proofErr w:type="spellEnd"/>
      <w:r w:rsidRPr="00AE315C">
        <w:rPr>
          <w:rFonts w:ascii="Arial" w:hAnsi="Arial" w:cs="Arial"/>
          <w:color w:val="000000" w:themeColor="text1"/>
        </w:rPr>
        <w:t>, while 96.8% of conventional tumors were multilocular (p &lt; 0.001). On multivariable analysis, increasing age (OR 1.328 per year; 95% CI 1.067–1.654; p = 0.011), male sex (OR 4.208; 95% CI 1.516–11.681; p = 0.006), and multilocular radiographic pattern (OR 133.2; 95% CI 12.61–1407.3; p &lt; 0.001) independently predicted conventional ameloblastoma. Duration of symptoms was not significantly associated with biologic type</w:t>
      </w:r>
      <w:r w:rsidRPr="00AE315C">
        <w:rPr>
          <w:rFonts w:ascii="Arial" w:hAnsi="Arial" w:cs="Arial"/>
          <w:b/>
          <w:bCs/>
          <w:color w:val="000000" w:themeColor="text1"/>
        </w:rPr>
        <w:t>.</w:t>
      </w:r>
    </w:p>
    <w:p w14:paraId="21D6801F" w14:textId="77777777" w:rsidR="00AE315C" w:rsidRPr="00AE315C" w:rsidRDefault="00AE315C" w:rsidP="00AE315C">
      <w:pPr>
        <w:jc w:val="both"/>
        <w:rPr>
          <w:rFonts w:ascii="Arial" w:hAnsi="Arial" w:cs="Arial"/>
          <w:color w:val="000000" w:themeColor="text1"/>
        </w:rPr>
      </w:pPr>
      <w:r w:rsidRPr="00AE315C">
        <w:rPr>
          <w:rFonts w:ascii="Arial" w:hAnsi="Arial" w:cs="Arial"/>
          <w:b/>
          <w:bCs/>
          <w:color w:val="000000" w:themeColor="text1"/>
        </w:rPr>
        <w:t xml:space="preserve">Conclusion: </w:t>
      </w:r>
      <w:r w:rsidRPr="00AE315C">
        <w:rPr>
          <w:rFonts w:ascii="Arial" w:hAnsi="Arial" w:cs="Arial"/>
          <w:color w:val="000000" w:themeColor="text1"/>
        </w:rPr>
        <w:t xml:space="preserve">Pediatric ameloblastoma in this cohort demonstrated teenage predominance, significant male preponderance in conventional tumors, and marked mandibular localization. Conventional </w:t>
      </w:r>
      <w:proofErr w:type="spellStart"/>
      <w:r w:rsidRPr="00AE315C">
        <w:rPr>
          <w:rFonts w:ascii="Arial" w:hAnsi="Arial" w:cs="Arial"/>
          <w:color w:val="000000" w:themeColor="text1"/>
        </w:rPr>
        <w:t>ameloblastoma</w:t>
      </w:r>
      <w:proofErr w:type="spellEnd"/>
      <w:r w:rsidRPr="00AE315C">
        <w:rPr>
          <w:rFonts w:ascii="Arial" w:hAnsi="Arial" w:cs="Arial"/>
          <w:color w:val="000000" w:themeColor="text1"/>
        </w:rPr>
        <w:t xml:space="preserve"> slightly exceeded </w:t>
      </w:r>
      <w:proofErr w:type="spellStart"/>
      <w:r w:rsidRPr="00AE315C">
        <w:rPr>
          <w:rFonts w:ascii="Arial" w:hAnsi="Arial" w:cs="Arial"/>
          <w:color w:val="000000" w:themeColor="text1"/>
        </w:rPr>
        <w:t>unicystic</w:t>
      </w:r>
      <w:proofErr w:type="spellEnd"/>
      <w:r w:rsidRPr="00AE315C">
        <w:rPr>
          <w:rFonts w:ascii="Arial" w:hAnsi="Arial" w:cs="Arial"/>
          <w:color w:val="000000" w:themeColor="text1"/>
        </w:rPr>
        <w:t xml:space="preserve"> </w:t>
      </w:r>
      <w:proofErr w:type="spellStart"/>
      <w:r w:rsidRPr="00AE315C">
        <w:rPr>
          <w:rFonts w:ascii="Arial" w:hAnsi="Arial" w:cs="Arial"/>
          <w:color w:val="000000" w:themeColor="text1"/>
        </w:rPr>
        <w:t>ameloblastoma</w:t>
      </w:r>
      <w:proofErr w:type="spellEnd"/>
      <w:r w:rsidRPr="00AE315C">
        <w:rPr>
          <w:rFonts w:ascii="Arial" w:hAnsi="Arial" w:cs="Arial"/>
          <w:color w:val="000000" w:themeColor="text1"/>
        </w:rPr>
        <w:t xml:space="preserve">. Multilocular radiographic appearance, older age, and male sex were strong independent predictors of conventional histology. These findings underscore the </w:t>
      </w:r>
      <w:r w:rsidRPr="00AE315C">
        <w:rPr>
          <w:rFonts w:ascii="Arial" w:hAnsi="Arial" w:cs="Arial"/>
          <w:color w:val="000000" w:themeColor="text1"/>
        </w:rPr>
        <w:lastRenderedPageBreak/>
        <w:t>importance of integrating demographic and imaging features with histopathologic classification to guide surgical decision-making in pediatric patients.</w:t>
      </w:r>
    </w:p>
    <w:p w14:paraId="3C54125A" w14:textId="282A9AC9" w:rsidR="00552A25" w:rsidRDefault="00552A25" w:rsidP="00F742BF">
      <w:pPr>
        <w:jc w:val="both"/>
        <w:rPr>
          <w:rFonts w:ascii="Arial" w:hAnsi="Arial" w:cs="Arial"/>
          <w:color w:val="000000" w:themeColor="text1"/>
        </w:rPr>
      </w:pPr>
      <w:r w:rsidRPr="00552A25">
        <w:rPr>
          <w:rFonts w:ascii="Arial" w:hAnsi="Arial" w:cs="Arial"/>
          <w:b/>
          <w:bCs/>
          <w:color w:val="000000" w:themeColor="text1"/>
        </w:rPr>
        <w:t>Keywords:</w:t>
      </w:r>
      <w:r w:rsidRPr="00552A25">
        <w:rPr>
          <w:rFonts w:ascii="Arial" w:hAnsi="Arial" w:cs="Arial"/>
          <w:color w:val="000000" w:themeColor="text1"/>
        </w:rPr>
        <w:t xml:space="preserve"> Pediatric ameloblastoma, odontogenic tumor, histopathology</w:t>
      </w:r>
      <w:r>
        <w:rPr>
          <w:rFonts w:ascii="Arial" w:hAnsi="Arial" w:cs="Arial"/>
          <w:color w:val="000000" w:themeColor="text1"/>
        </w:rPr>
        <w:t xml:space="preserve">, </w:t>
      </w:r>
      <w:r w:rsidRPr="00552A25">
        <w:rPr>
          <w:rFonts w:ascii="Arial" w:hAnsi="Arial" w:cs="Arial"/>
          <w:color w:val="000000" w:themeColor="text1"/>
        </w:rPr>
        <w:t>Radiography.</w:t>
      </w:r>
    </w:p>
    <w:p w14:paraId="031BBCF9" w14:textId="77777777" w:rsidR="00AE315C" w:rsidRDefault="00AE315C" w:rsidP="00F742BF">
      <w:pPr>
        <w:jc w:val="both"/>
        <w:rPr>
          <w:rFonts w:ascii="Arial" w:hAnsi="Arial" w:cs="Arial"/>
          <w:b/>
          <w:bCs/>
          <w:color w:val="000000" w:themeColor="text1"/>
        </w:rPr>
      </w:pPr>
    </w:p>
    <w:p w14:paraId="3AFA19A0" w14:textId="5B19AD57" w:rsidR="00F742BF" w:rsidRPr="00552A25" w:rsidRDefault="00F742BF" w:rsidP="00F742BF">
      <w:pPr>
        <w:jc w:val="both"/>
        <w:rPr>
          <w:rFonts w:ascii="Arial" w:hAnsi="Arial" w:cs="Arial"/>
          <w:b/>
          <w:bCs/>
          <w:color w:val="000000" w:themeColor="text1"/>
        </w:rPr>
      </w:pPr>
      <w:r w:rsidRPr="00552A25">
        <w:rPr>
          <w:rFonts w:ascii="Arial" w:hAnsi="Arial" w:cs="Arial"/>
          <w:b/>
          <w:bCs/>
          <w:color w:val="000000" w:themeColor="text1"/>
        </w:rPr>
        <w:t>Introduction</w:t>
      </w:r>
    </w:p>
    <w:p w14:paraId="6410877E" w14:textId="4F47C044" w:rsidR="00994CCF" w:rsidRPr="00377A6F" w:rsidRDefault="00994CCF" w:rsidP="00994CCF">
      <w:pPr>
        <w:jc w:val="both"/>
        <w:rPr>
          <w:rFonts w:ascii="Arial" w:hAnsi="Arial" w:cs="Arial"/>
          <w:color w:val="000000" w:themeColor="text1"/>
        </w:rPr>
      </w:pPr>
      <w:r w:rsidRPr="00377A6F">
        <w:rPr>
          <w:rFonts w:ascii="Arial" w:hAnsi="Arial" w:cs="Arial"/>
          <w:color w:val="000000" w:themeColor="text1"/>
        </w:rPr>
        <w:t xml:space="preserve">Ameloblastoma is the most common benign odontogenic tumor, arising from tooth-forming tissues, and represents a significant proportion of jaw tumors, accounting for 13–54% of all cases across age groups, with a peak incidence in the third and fourth decades of life (1). Despite its overall prevalence, ameloblastoma comprises only approximately 1% of all oral tumors (2,3). In pediatric populations, the tumor is relatively rare, representing merely 10–15% of reported cases (1,2,4), yet it poses unique clinical and therapeutic challenges due to differences in tumor behavior, craniofacial growth considerations, and recurrence patterns compared to adults. Anatomically, the mandible is affected in approximately 80% of cases, while the maxilla accounts for the remaining 20% (1,2). Although ameloblastoma is histologically benign, it is locally aggressive and can cause significant destruction of jaw structures if not appropriately managed. The 2022 World Health Organization (WHO) classification categorizes ameloblastoma into four major subtypes: conventional, </w:t>
      </w:r>
      <w:proofErr w:type="spellStart"/>
      <w:r w:rsidRPr="00377A6F">
        <w:rPr>
          <w:rFonts w:ascii="Arial" w:hAnsi="Arial" w:cs="Arial"/>
          <w:color w:val="000000" w:themeColor="text1"/>
        </w:rPr>
        <w:t>unicystic</w:t>
      </w:r>
      <w:proofErr w:type="spellEnd"/>
      <w:r w:rsidRPr="00377A6F">
        <w:rPr>
          <w:rFonts w:ascii="Arial" w:hAnsi="Arial" w:cs="Arial"/>
          <w:color w:val="000000" w:themeColor="text1"/>
        </w:rPr>
        <w:t xml:space="preserve">, </w:t>
      </w:r>
      <w:proofErr w:type="spellStart"/>
      <w:r w:rsidRPr="00377A6F">
        <w:rPr>
          <w:rFonts w:ascii="Arial" w:hAnsi="Arial" w:cs="Arial"/>
          <w:color w:val="000000" w:themeColor="text1"/>
        </w:rPr>
        <w:t>extraosseous</w:t>
      </w:r>
      <w:proofErr w:type="spellEnd"/>
      <w:r w:rsidRPr="00377A6F">
        <w:rPr>
          <w:rFonts w:ascii="Arial" w:hAnsi="Arial" w:cs="Arial"/>
          <w:color w:val="000000" w:themeColor="text1"/>
        </w:rPr>
        <w:t xml:space="preserve">/peripheral, and metastasizing (2,5). Among these, </w:t>
      </w:r>
      <w:proofErr w:type="spellStart"/>
      <w:r w:rsidRPr="00377A6F">
        <w:rPr>
          <w:rFonts w:ascii="Arial" w:hAnsi="Arial" w:cs="Arial"/>
          <w:color w:val="000000" w:themeColor="text1"/>
        </w:rPr>
        <w:t>unicystic</w:t>
      </w:r>
      <w:proofErr w:type="spellEnd"/>
      <w:r w:rsidRPr="00377A6F">
        <w:rPr>
          <w:rFonts w:ascii="Arial" w:hAnsi="Arial" w:cs="Arial"/>
          <w:color w:val="000000" w:themeColor="text1"/>
        </w:rPr>
        <w:t xml:space="preserve"> </w:t>
      </w:r>
      <w:proofErr w:type="spellStart"/>
      <w:r w:rsidRPr="00377A6F">
        <w:rPr>
          <w:rFonts w:ascii="Arial" w:hAnsi="Arial" w:cs="Arial"/>
          <w:color w:val="000000" w:themeColor="text1"/>
        </w:rPr>
        <w:t>ameloblastomas</w:t>
      </w:r>
      <w:proofErr w:type="spellEnd"/>
      <w:r w:rsidRPr="00377A6F">
        <w:rPr>
          <w:rFonts w:ascii="Arial" w:hAnsi="Arial" w:cs="Arial"/>
          <w:color w:val="000000" w:themeColor="text1"/>
        </w:rPr>
        <w:t xml:space="preserve"> are further subclassified based on the degree of mural infiltration into adjacent bone, a distinction that carries important implications for surgical planning and prognosis (4,5).</w:t>
      </w:r>
    </w:p>
    <w:p w14:paraId="2C9BBDF9" w14:textId="4197503A" w:rsidR="00994CCF" w:rsidRPr="00377A6F" w:rsidRDefault="00994CCF" w:rsidP="00994CCF">
      <w:pPr>
        <w:jc w:val="both"/>
        <w:rPr>
          <w:rFonts w:ascii="Arial" w:hAnsi="Arial" w:cs="Arial"/>
          <w:color w:val="000000" w:themeColor="text1"/>
        </w:rPr>
      </w:pPr>
      <w:r w:rsidRPr="00377A6F">
        <w:rPr>
          <w:rFonts w:ascii="Arial" w:hAnsi="Arial" w:cs="Arial"/>
          <w:color w:val="000000" w:themeColor="text1"/>
        </w:rPr>
        <w:t xml:space="preserve">Pediatric ameloblastoma presents a particularly complex clinical scenario. Studies indicate that the </w:t>
      </w:r>
      <w:proofErr w:type="spellStart"/>
      <w:r w:rsidRPr="00377A6F">
        <w:rPr>
          <w:rFonts w:ascii="Arial" w:hAnsi="Arial" w:cs="Arial"/>
          <w:color w:val="000000" w:themeColor="text1"/>
        </w:rPr>
        <w:t>unicystic</w:t>
      </w:r>
      <w:proofErr w:type="spellEnd"/>
      <w:r w:rsidRPr="00377A6F">
        <w:rPr>
          <w:rFonts w:ascii="Arial" w:hAnsi="Arial" w:cs="Arial"/>
          <w:color w:val="000000" w:themeColor="text1"/>
        </w:rPr>
        <w:t xml:space="preserve"> subtype predominates in children, accounting for approximately 76.5% of cases (6,7). Despite the relatively indolent histopathology, pediatric cases exhibit higher recurrence rates than adult cohorts, emphasizing the need for careful treatment planning and prolonged follow-up (6,7). This observation highlights a critical gap in the literature: while the general characteristics of ameloblastoma are well described, evidence specific to pediatric populations—especially regarding subtype distribution, recurrence patterns, and optimal management strategies—remains limited.</w:t>
      </w:r>
    </w:p>
    <w:p w14:paraId="6D7B7489" w14:textId="0EA7CD18" w:rsidR="00994CCF" w:rsidRPr="00377A6F" w:rsidRDefault="00994CCF" w:rsidP="00994CCF">
      <w:pPr>
        <w:jc w:val="both"/>
        <w:rPr>
          <w:rFonts w:ascii="Arial" w:hAnsi="Arial" w:cs="Arial"/>
          <w:color w:val="000000" w:themeColor="text1"/>
        </w:rPr>
      </w:pPr>
      <w:r w:rsidRPr="00377A6F">
        <w:rPr>
          <w:rFonts w:ascii="Arial" w:hAnsi="Arial" w:cs="Arial"/>
          <w:color w:val="000000" w:themeColor="text1"/>
        </w:rPr>
        <w:t>At the molecular level, ameloblastoma pathogenesis involves multiple dysregulated signaling pathways, including sonic hedgehog (SHH), mitogen-activated protein kinase (MAPK), and WNT/β-catenin, which interact with gene mutations and cytogenetic alterations to drive oncogenic transformation of odontogenic epithelium and dental lamina remnants (8,9). Understanding these pathways not only informs the biological behavior of the tumor but also has potential implications for targeted therapies, which remain largely unexplored in pediatric populations.</w:t>
      </w:r>
    </w:p>
    <w:p w14:paraId="155E53D4" w14:textId="4FE93B5D" w:rsidR="00994CCF" w:rsidRPr="00377A6F" w:rsidRDefault="00994CCF" w:rsidP="00994CCF">
      <w:pPr>
        <w:jc w:val="both"/>
        <w:rPr>
          <w:rFonts w:ascii="Arial" w:hAnsi="Arial" w:cs="Arial"/>
          <w:color w:val="000000" w:themeColor="text1"/>
        </w:rPr>
      </w:pPr>
      <w:r w:rsidRPr="00377A6F">
        <w:rPr>
          <w:rFonts w:ascii="Arial" w:hAnsi="Arial" w:cs="Arial"/>
          <w:color w:val="000000" w:themeColor="text1"/>
        </w:rPr>
        <w:lastRenderedPageBreak/>
        <w:t xml:space="preserve">The locally aggressive nature and high recurrence potential of ameloblastoma significantly influence surgical management. Current recommendations suggest resection margins of at least 1 cm of clinically normal bone to minimize recurrence risk (10). </w:t>
      </w:r>
      <w:proofErr w:type="spellStart"/>
      <w:r w:rsidRPr="00377A6F">
        <w:rPr>
          <w:rFonts w:ascii="Arial" w:hAnsi="Arial" w:cs="Arial"/>
          <w:color w:val="000000" w:themeColor="text1"/>
        </w:rPr>
        <w:t>Radiographically</w:t>
      </w:r>
      <w:proofErr w:type="spellEnd"/>
      <w:r w:rsidRPr="00377A6F">
        <w:rPr>
          <w:rFonts w:ascii="Arial" w:hAnsi="Arial" w:cs="Arial"/>
          <w:color w:val="000000" w:themeColor="text1"/>
        </w:rPr>
        <w:t xml:space="preserve">, </w:t>
      </w:r>
      <w:proofErr w:type="spellStart"/>
      <w:r w:rsidRPr="00377A6F">
        <w:rPr>
          <w:rFonts w:ascii="Arial" w:hAnsi="Arial" w:cs="Arial"/>
          <w:color w:val="000000" w:themeColor="text1"/>
        </w:rPr>
        <w:t>ameloblastomas</w:t>
      </w:r>
      <w:proofErr w:type="spellEnd"/>
      <w:r w:rsidRPr="00377A6F">
        <w:rPr>
          <w:rFonts w:ascii="Arial" w:hAnsi="Arial" w:cs="Arial"/>
          <w:color w:val="000000" w:themeColor="text1"/>
        </w:rPr>
        <w:t xml:space="preserve"> typically present as </w:t>
      </w:r>
      <w:proofErr w:type="spellStart"/>
      <w:r w:rsidRPr="00377A6F">
        <w:rPr>
          <w:rFonts w:ascii="Arial" w:hAnsi="Arial" w:cs="Arial"/>
          <w:color w:val="000000" w:themeColor="text1"/>
        </w:rPr>
        <w:t>multilocular</w:t>
      </w:r>
      <w:proofErr w:type="spellEnd"/>
      <w:r w:rsidRPr="00377A6F">
        <w:rPr>
          <w:rFonts w:ascii="Arial" w:hAnsi="Arial" w:cs="Arial"/>
          <w:color w:val="000000" w:themeColor="text1"/>
        </w:rPr>
        <w:t xml:space="preserve">, cyst-like </w:t>
      </w:r>
      <w:proofErr w:type="spellStart"/>
      <w:r w:rsidRPr="00377A6F">
        <w:rPr>
          <w:rFonts w:ascii="Arial" w:hAnsi="Arial" w:cs="Arial"/>
          <w:color w:val="000000" w:themeColor="text1"/>
        </w:rPr>
        <w:t>radiolucencies</w:t>
      </w:r>
      <w:proofErr w:type="spellEnd"/>
      <w:r w:rsidRPr="00377A6F">
        <w:rPr>
          <w:rFonts w:ascii="Arial" w:hAnsi="Arial" w:cs="Arial"/>
          <w:color w:val="000000" w:themeColor="text1"/>
        </w:rPr>
        <w:t xml:space="preserve"> with well-defined borders; however, in children, unilocular presentations are more common, underscoring the need for careful imaging assessment during diagnosis and treatment planning (11). Clinically, the tumor usually manifests as a slowly enlarging jaw swelling that may result in cortical expansion, tooth displacement, and increased mobility (12).</w:t>
      </w:r>
    </w:p>
    <w:p w14:paraId="138D6D02" w14:textId="1F53C165" w:rsidR="00552A25" w:rsidRDefault="00994CCF" w:rsidP="00126B2F">
      <w:pPr>
        <w:jc w:val="both"/>
        <w:rPr>
          <w:rFonts w:ascii="Arial" w:hAnsi="Arial" w:cs="Arial"/>
          <w:color w:val="000000" w:themeColor="text1"/>
        </w:rPr>
      </w:pPr>
      <w:r w:rsidRPr="00377A6F">
        <w:rPr>
          <w:rFonts w:ascii="Arial" w:hAnsi="Arial" w:cs="Arial"/>
          <w:color w:val="000000" w:themeColor="text1"/>
        </w:rPr>
        <w:t>Treatment strategies range from conservative approaches, such as enucleation and curettage, to more extensive surgical resections. In pediatric patients, clinicians must carefully balance the risk of recurrence against the potential adverse effects of aggressive surgery, including disruption of craniofacial growth, dental development, and long-term function (12). Despite these considerations, there is a paucity of large, well-characterized pediatric case series, and current evidence is largely derived from adult studies or small pediatric cohorts. This gap underscores the urgent need for focused research on pediatric ameloblastoma, particularly studies that comprehensively evaluate clinical, radiographic, and histopathological features to guide evidence-based management.</w:t>
      </w:r>
      <w:r w:rsidR="00260169" w:rsidRPr="00260169">
        <w:rPr>
          <w:rFonts w:ascii="Arial" w:hAnsi="Arial" w:cs="Arial"/>
          <w:color w:val="000000" w:themeColor="text1"/>
        </w:rPr>
        <w:t xml:space="preserve"> </w:t>
      </w:r>
      <w:r w:rsidR="00CC1214">
        <w:rPr>
          <w:rFonts w:ascii="Arial" w:hAnsi="Arial" w:cs="Arial"/>
          <w:color w:val="000000" w:themeColor="text1"/>
        </w:rPr>
        <w:t>This study aimed</w:t>
      </w:r>
      <w:r w:rsidR="00260169">
        <w:rPr>
          <w:rFonts w:ascii="Arial" w:hAnsi="Arial" w:cs="Arial"/>
          <w:color w:val="000000" w:themeColor="text1"/>
        </w:rPr>
        <w:t xml:space="preserve"> t</w:t>
      </w:r>
      <w:r w:rsidR="00260169" w:rsidRPr="00552A25">
        <w:rPr>
          <w:rFonts w:ascii="Arial" w:hAnsi="Arial" w:cs="Arial"/>
          <w:color w:val="000000" w:themeColor="text1"/>
        </w:rPr>
        <w:t>o describe the demographic, clinical, radiographic, and histopathological characteristics of ameloblastoma in children and adolescents</w:t>
      </w:r>
      <w:r w:rsidR="00260169">
        <w:rPr>
          <w:rFonts w:ascii="Arial" w:hAnsi="Arial" w:cs="Arial"/>
          <w:color w:val="000000" w:themeColor="text1"/>
        </w:rPr>
        <w:t xml:space="preserve"> in Lagos State</w:t>
      </w:r>
      <w:r w:rsidR="00260169" w:rsidRPr="00552A25">
        <w:rPr>
          <w:rFonts w:ascii="Arial" w:hAnsi="Arial" w:cs="Arial"/>
          <w:color w:val="000000" w:themeColor="text1"/>
        </w:rPr>
        <w:t>.</w:t>
      </w:r>
    </w:p>
    <w:p w14:paraId="135723B7" w14:textId="77777777" w:rsidR="00DE1D2D" w:rsidRDefault="00DE1D2D" w:rsidP="00DE1D2D">
      <w:pPr>
        <w:jc w:val="both"/>
        <w:rPr>
          <w:rFonts w:ascii="Arial" w:hAnsi="Arial" w:cs="Arial"/>
          <w:b/>
          <w:bCs/>
          <w:color w:val="000000" w:themeColor="text1"/>
        </w:rPr>
      </w:pPr>
    </w:p>
    <w:p w14:paraId="258BE11F" w14:textId="6B220643" w:rsidR="00DE1D2D" w:rsidRPr="00DE1D2D" w:rsidRDefault="00DE1D2D" w:rsidP="00DE1D2D">
      <w:pPr>
        <w:jc w:val="both"/>
        <w:rPr>
          <w:rFonts w:ascii="Arial" w:hAnsi="Arial" w:cs="Arial"/>
          <w:b/>
          <w:bCs/>
          <w:color w:val="000000" w:themeColor="text1"/>
        </w:rPr>
      </w:pPr>
      <w:r w:rsidRPr="00DE1D2D">
        <w:rPr>
          <w:rFonts w:ascii="Arial" w:hAnsi="Arial" w:cs="Arial"/>
          <w:b/>
          <w:bCs/>
          <w:color w:val="000000" w:themeColor="text1"/>
        </w:rPr>
        <w:t>Methods</w:t>
      </w:r>
    </w:p>
    <w:p w14:paraId="268D1642" w14:textId="55D99874"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Study Design and Setting</w:t>
      </w:r>
    </w:p>
    <w:p w14:paraId="29DA711A" w14:textId="67E0588A"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 xml:space="preserve">This study was designed as a retrospective cross-sectional review of pediatric ameloblastoma cases diagnosed </w:t>
      </w:r>
      <w:r w:rsidR="005A021D">
        <w:rPr>
          <w:rFonts w:ascii="Arial" w:hAnsi="Arial" w:cs="Arial"/>
          <w:color w:val="000000" w:themeColor="text1"/>
        </w:rPr>
        <w:t xml:space="preserve">at the Oral Pathology </w:t>
      </w:r>
      <w:r w:rsidR="005A021D" w:rsidRPr="00D30DBE">
        <w:rPr>
          <w:rFonts w:ascii="Arial" w:hAnsi="Arial" w:cs="Arial"/>
          <w:color w:val="000000" w:themeColor="text1"/>
        </w:rPr>
        <w:t>Department</w:t>
      </w:r>
      <w:r w:rsidRPr="00D30DBE">
        <w:rPr>
          <w:rFonts w:ascii="Arial" w:hAnsi="Arial" w:cs="Arial"/>
          <w:color w:val="000000" w:themeColor="text1"/>
        </w:rPr>
        <w:t xml:space="preserve"> of the Lagos State University College of Medicine (LASUCOM), Ikeja, Nigeria. The</w:t>
      </w:r>
      <w:r w:rsidR="005A021D" w:rsidRPr="00D30DBE">
        <w:rPr>
          <w:rFonts w:ascii="Arial" w:hAnsi="Arial" w:cs="Arial"/>
          <w:color w:val="000000" w:themeColor="text1"/>
        </w:rPr>
        <w:t xml:space="preserve"> oral pathology</w:t>
      </w:r>
      <w:r w:rsidRPr="00D30DBE">
        <w:rPr>
          <w:rFonts w:ascii="Arial" w:hAnsi="Arial" w:cs="Arial"/>
          <w:color w:val="000000" w:themeColor="text1"/>
        </w:rPr>
        <w:t xml:space="preserve"> laboratory receives biopsy specimens from the Oral and Maxillofacial Surgery Clinic of Lagos State University Teaching Hospital (LASUTH), a terti</w:t>
      </w:r>
      <w:r w:rsidR="00D30DBE">
        <w:rPr>
          <w:rFonts w:ascii="Arial" w:hAnsi="Arial" w:cs="Arial"/>
          <w:color w:val="000000" w:themeColor="text1"/>
        </w:rPr>
        <w:t xml:space="preserve">ary referral center serving </w:t>
      </w:r>
      <w:r w:rsidRPr="00D30DBE">
        <w:rPr>
          <w:rFonts w:ascii="Arial" w:hAnsi="Arial" w:cs="Arial"/>
          <w:color w:val="000000" w:themeColor="text1"/>
        </w:rPr>
        <w:t xml:space="preserve">Lagos State and surrounding regions. All eligible cases diagnosed between January </w:t>
      </w:r>
      <w:r w:rsidR="005A021D" w:rsidRPr="00D30DBE">
        <w:rPr>
          <w:rFonts w:ascii="Arial" w:hAnsi="Arial" w:cs="Arial"/>
          <w:color w:val="000000" w:themeColor="text1"/>
        </w:rPr>
        <w:t xml:space="preserve">2013 and June </w:t>
      </w:r>
      <w:r w:rsidRPr="00D30DBE">
        <w:rPr>
          <w:rFonts w:ascii="Arial" w:hAnsi="Arial" w:cs="Arial"/>
          <w:color w:val="000000" w:themeColor="text1"/>
        </w:rPr>
        <w:t>2025 were included.</w:t>
      </w:r>
    </w:p>
    <w:p w14:paraId="5D5CFF5B" w14:textId="27284902"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Case Identification and Eligibility Criteria</w:t>
      </w:r>
    </w:p>
    <w:p w14:paraId="193B6F34" w14:textId="786820FA"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Laboratory records were systematically searched to identify all cases of ameloblast</w:t>
      </w:r>
      <w:r w:rsidR="00B55DFC">
        <w:rPr>
          <w:rFonts w:ascii="Arial" w:hAnsi="Arial" w:cs="Arial"/>
          <w:color w:val="000000" w:themeColor="text1"/>
        </w:rPr>
        <w:t xml:space="preserve">oma diagnosed in patients aged </w:t>
      </w:r>
      <w:r w:rsidRPr="00DE1D2D">
        <w:rPr>
          <w:rFonts w:ascii="Arial" w:hAnsi="Arial" w:cs="Arial"/>
          <w:color w:val="000000" w:themeColor="text1"/>
        </w:rPr>
        <w:t xml:space="preserve"> </w:t>
      </w:r>
      <w:r w:rsidR="00B55DFC">
        <w:rPr>
          <w:rFonts w:ascii="Arial" w:hAnsi="Arial" w:cs="Arial"/>
          <w:color w:val="000000" w:themeColor="text1"/>
        </w:rPr>
        <w:t xml:space="preserve">≤ </w:t>
      </w:r>
      <w:r w:rsidRPr="00DE1D2D">
        <w:rPr>
          <w:rFonts w:ascii="Arial" w:hAnsi="Arial" w:cs="Arial"/>
          <w:color w:val="000000" w:themeColor="text1"/>
        </w:rPr>
        <w:t xml:space="preserve">18 years at the time of diagnosis. Sixty-three biopsy records that met the age and diagnosis criteria were initially identified. Each record was reviewed to ensure completeness and avoid duplication. Records were excluded if they contained incomplete essential demographic or clinical data, represented repeated biopsies from the same lesion, or corresponded to recurrent tumors previously diagnosed and treated. </w:t>
      </w:r>
      <w:r w:rsidRPr="00DE1D2D">
        <w:rPr>
          <w:rFonts w:ascii="Arial" w:hAnsi="Arial" w:cs="Arial"/>
          <w:color w:val="000000" w:themeColor="text1"/>
        </w:rPr>
        <w:lastRenderedPageBreak/>
        <w:t>Following the application of these criteria, 59 unique primary patient biopsies were retained for the final analysis.</w:t>
      </w:r>
    </w:p>
    <w:p w14:paraId="0081566F" w14:textId="0577CCF0"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Data Collection and Variable Definition</w:t>
      </w:r>
    </w:p>
    <w:p w14:paraId="7CDD89FB" w14:textId="77777777"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Data were extracted from histopathology reports, laboratory records, and accompanying clinical request forms using a structured data-abstraction instrument. Extraction was performed by trained research personnel, and entries were cross-checked for accuracy before the statistical analysis.</w:t>
      </w:r>
    </w:p>
    <w:p w14:paraId="5A036216" w14:textId="77777777" w:rsidR="00DE1D2D" w:rsidRPr="00DE1D2D" w:rsidRDefault="00DE1D2D" w:rsidP="00DE1D2D">
      <w:pPr>
        <w:jc w:val="both"/>
        <w:rPr>
          <w:rFonts w:ascii="Arial" w:hAnsi="Arial" w:cs="Arial"/>
          <w:color w:val="000000" w:themeColor="text1"/>
        </w:rPr>
      </w:pPr>
    </w:p>
    <w:p w14:paraId="4ED6CDC4" w14:textId="77777777"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 </w:t>
      </w:r>
    </w:p>
    <w:p w14:paraId="21A0C800" w14:textId="77777777" w:rsidR="00DE1D2D" w:rsidRPr="00DE1D2D" w:rsidRDefault="00DE1D2D" w:rsidP="00DE1D2D">
      <w:pPr>
        <w:jc w:val="both"/>
        <w:rPr>
          <w:rFonts w:ascii="Arial" w:hAnsi="Arial" w:cs="Arial"/>
          <w:color w:val="000000" w:themeColor="text1"/>
        </w:rPr>
      </w:pPr>
    </w:p>
    <w:p w14:paraId="243EA87A" w14:textId="06F87A48"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The demographic variables included age at diagnosis (recorded in completed years) and sex. Age was analyzed as a continuous variable and categorized into three predefined groups (6–10, 11–15, and 16–18 years) for descriptive and comparative analyses. The clinical variables included the duration of symptoms before presentation, recorded in years, and the anatomical location of the lesion, categorized as mandible, maxilla, or not specified. The radiographic appearance was classified as unilocular or multilocular based on documented imaging reports. The histopathological variables included biological type (</w:t>
      </w:r>
      <w:proofErr w:type="spellStart"/>
      <w:r w:rsidRPr="00DE1D2D">
        <w:rPr>
          <w:rFonts w:ascii="Arial" w:hAnsi="Arial" w:cs="Arial"/>
          <w:color w:val="000000" w:themeColor="text1"/>
        </w:rPr>
        <w:t>unicystic</w:t>
      </w:r>
      <w:proofErr w:type="spellEnd"/>
      <w:r w:rsidRPr="00DE1D2D">
        <w:rPr>
          <w:rFonts w:ascii="Arial" w:hAnsi="Arial" w:cs="Arial"/>
          <w:color w:val="000000" w:themeColor="text1"/>
        </w:rPr>
        <w:t xml:space="preserve"> or conventional </w:t>
      </w:r>
      <w:proofErr w:type="spellStart"/>
      <w:r w:rsidRPr="00DE1D2D">
        <w:rPr>
          <w:rFonts w:ascii="Arial" w:hAnsi="Arial" w:cs="Arial"/>
          <w:color w:val="000000" w:themeColor="text1"/>
        </w:rPr>
        <w:t>ameloblastoma</w:t>
      </w:r>
      <w:proofErr w:type="spellEnd"/>
      <w:r w:rsidRPr="00DE1D2D">
        <w:rPr>
          <w:rFonts w:ascii="Arial" w:hAnsi="Arial" w:cs="Arial"/>
          <w:color w:val="000000" w:themeColor="text1"/>
        </w:rPr>
        <w:t>) and histological variant, as reported in the original pathology diagnosis.</w:t>
      </w:r>
    </w:p>
    <w:p w14:paraId="211E95CC" w14:textId="0B66EF56"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Ethical Considerations</w:t>
      </w:r>
    </w:p>
    <w:p w14:paraId="27A44894" w14:textId="5C92EBA5"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Ethical approval for this study was obtained from the Lagos State University Teaching Hospital Institutional Review Board. This study adhered to the principles outlined in the Declaration of Helsinki. As this investigation involved a retrospective review of existing medical records, informed consent was waived by the ethics committee of our institution. All patient identifiers were removed before data analysis to ensure confidentiality of the data.</w:t>
      </w:r>
    </w:p>
    <w:p w14:paraId="477A081B" w14:textId="0A0E2AF7"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Statistical Analysis</w:t>
      </w:r>
    </w:p>
    <w:p w14:paraId="21D9A126" w14:textId="54BDA274"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Data were entered and analyzed using IBM SPSS Statistics for Windows, Version 26.0 (IBM Corp., Armonk, NY, USA). Descriptive statistics were computed to summarize the demographic, clinical, radiographic, and histopathological characteristics. Continuous variables, including age and symptom duration, were reported as means with standard deviations and ranges, where applicable. Categorical variables, including sex, age group, lesion location, radiographic appearance, biological type, and histological variant, were presented as frequencies and percentages. Associations between categorical variables and biologic type (</w:t>
      </w:r>
      <w:proofErr w:type="spellStart"/>
      <w:r w:rsidRPr="00DE1D2D">
        <w:rPr>
          <w:rFonts w:ascii="Arial" w:hAnsi="Arial" w:cs="Arial"/>
          <w:color w:val="000000" w:themeColor="text1"/>
        </w:rPr>
        <w:t>unicystic</w:t>
      </w:r>
      <w:proofErr w:type="spellEnd"/>
      <w:r w:rsidRPr="00DE1D2D">
        <w:rPr>
          <w:rFonts w:ascii="Arial" w:hAnsi="Arial" w:cs="Arial"/>
          <w:color w:val="000000" w:themeColor="text1"/>
        </w:rPr>
        <w:t xml:space="preserve"> versus conventional) were assessed using Pearson’s chi-</w:t>
      </w:r>
      <w:r w:rsidRPr="00DE1D2D">
        <w:rPr>
          <w:rFonts w:ascii="Arial" w:hAnsi="Arial" w:cs="Arial"/>
          <w:color w:val="000000" w:themeColor="text1"/>
        </w:rPr>
        <w:lastRenderedPageBreak/>
        <w:t>square test when all expected cell counts were at least five. Fisher’s exact test was used when the expected cell counts were less than five. Cases classified as unspecified were excluded from analyses involving biological type. Variable-specific exclusions were applied where necessary, including cases with unspecified anatomical sites for site analysis and cases with missing duration data for duration analysis. All statistical tests were two-sided, and a p-value of &lt; 0.05 was considered statistically significant.</w:t>
      </w:r>
    </w:p>
    <w:p w14:paraId="350801E7" w14:textId="77777777" w:rsidR="00DE1D2D" w:rsidRPr="00DE1D2D" w:rsidRDefault="00DE1D2D" w:rsidP="00DE1D2D">
      <w:pPr>
        <w:jc w:val="both"/>
        <w:rPr>
          <w:rFonts w:ascii="Arial" w:hAnsi="Arial" w:cs="Arial"/>
          <w:color w:val="000000" w:themeColor="text1"/>
        </w:rPr>
      </w:pPr>
      <w:r w:rsidRPr="00DE1D2D">
        <w:rPr>
          <w:rFonts w:ascii="Arial" w:hAnsi="Arial" w:cs="Arial"/>
          <w:color w:val="000000" w:themeColor="text1"/>
        </w:rPr>
        <w:t xml:space="preserve">Binary logistic regression analysis was performed to identify independent predictors of conventional ameloblastoma. Only cases with a specified biological classification were included in this model. Biologic type was coded as a binary outcome variable (0 = </w:t>
      </w:r>
      <w:proofErr w:type="spellStart"/>
      <w:r w:rsidRPr="00DE1D2D">
        <w:rPr>
          <w:rFonts w:ascii="Arial" w:hAnsi="Arial" w:cs="Arial"/>
          <w:color w:val="000000" w:themeColor="text1"/>
        </w:rPr>
        <w:t>unicystic</w:t>
      </w:r>
      <w:proofErr w:type="spellEnd"/>
      <w:r w:rsidRPr="00DE1D2D">
        <w:rPr>
          <w:rFonts w:ascii="Arial" w:hAnsi="Arial" w:cs="Arial"/>
          <w:color w:val="000000" w:themeColor="text1"/>
        </w:rPr>
        <w:t>; 1 = conventional cyst). The independent variables entered into the model included age (continuous, per year increase), sex (male vs. female), radiographic appearance (multilocular vs. unilocular), and symptom duration (continuous, per year increase). All predictors were entered simultaneously using the Enter method. Regression coefficients (β), standard errors, Wald chi-square statistics, odds ratios (OR), and corresponding 95% confidence intervals (CI) were calculated. Statistical significance was set at p &lt; 0.05 for all analyses.</w:t>
      </w:r>
    </w:p>
    <w:p w14:paraId="48D700EC" w14:textId="1DBD452A" w:rsidR="00552A25" w:rsidRDefault="00552A25" w:rsidP="00126B2F">
      <w:pPr>
        <w:jc w:val="both"/>
        <w:rPr>
          <w:rFonts w:ascii="Arial" w:hAnsi="Arial" w:cs="Arial"/>
          <w:color w:val="000000" w:themeColor="text1"/>
        </w:rPr>
      </w:pPr>
    </w:p>
    <w:p w14:paraId="01130E8A" w14:textId="77777777" w:rsidR="00DE1D2D" w:rsidRDefault="00DE1D2D" w:rsidP="00126B2F">
      <w:pPr>
        <w:jc w:val="both"/>
        <w:rPr>
          <w:rFonts w:ascii="Arial" w:hAnsi="Arial" w:cs="Arial"/>
          <w:color w:val="000000" w:themeColor="text1"/>
        </w:rPr>
      </w:pPr>
    </w:p>
    <w:p w14:paraId="50C291AA" w14:textId="79A2D8BB" w:rsidR="002E287B" w:rsidRPr="002E287B" w:rsidRDefault="002E287B" w:rsidP="002E287B">
      <w:pPr>
        <w:jc w:val="both"/>
        <w:rPr>
          <w:rFonts w:ascii="Arial" w:hAnsi="Arial" w:cs="Arial"/>
          <w:b/>
          <w:bCs/>
          <w:color w:val="000000" w:themeColor="text1"/>
        </w:rPr>
      </w:pPr>
      <w:r w:rsidRPr="002E287B">
        <w:rPr>
          <w:rFonts w:ascii="Arial" w:hAnsi="Arial" w:cs="Arial"/>
          <w:b/>
          <w:bCs/>
          <w:color w:val="000000" w:themeColor="text1"/>
        </w:rPr>
        <w:t>Results</w:t>
      </w:r>
    </w:p>
    <w:p w14:paraId="5E5458DB" w14:textId="77777777" w:rsidR="00475133" w:rsidRPr="00D30DBE" w:rsidRDefault="00475133" w:rsidP="002E287B">
      <w:pPr>
        <w:jc w:val="both"/>
        <w:rPr>
          <w:rFonts w:ascii="Arial" w:hAnsi="Arial" w:cs="Arial"/>
          <w:color w:val="000000" w:themeColor="text1"/>
        </w:rPr>
      </w:pPr>
      <w:r w:rsidRPr="00D30DBE">
        <w:rPr>
          <w:rFonts w:ascii="Arial" w:hAnsi="Arial" w:cs="Arial"/>
          <w:color w:val="000000" w:themeColor="text1"/>
        </w:rPr>
        <w:t>Table 1. Demographic characteristics of pediatric patients diagnosed with ameloblastoma (n = 59). The age distribution shows that 12 patients (20.3%) were aged 6–10 years, 27 patients (45.8%) were aged 11–15 years, and 20 patients (33.9%) were aged 16–18 years, indicating that the majority of cases occurred during early to mid-adolescence. The sex distribution demonstrated a male predominance, with 37 males (62.7%) and 22 females (37.3%), corresponding to a male-to-female ratio of approximately 1.7:1. Regarding anatomical location, the mandible was the predominant site, accounting for 57 cases (96.6%), while the maxilla accounted for 2 cases (3.4%).</w:t>
      </w:r>
    </w:p>
    <w:p w14:paraId="5E7470D9" w14:textId="77777777" w:rsidR="00384A89" w:rsidRDefault="00384A89" w:rsidP="002E287B">
      <w:pPr>
        <w:jc w:val="both"/>
        <w:rPr>
          <w:rFonts w:ascii="Arial" w:hAnsi="Arial" w:cs="Arial"/>
          <w:color w:val="000000" w:themeColor="text1"/>
        </w:rPr>
      </w:pPr>
      <w:r w:rsidRPr="00D30DBE">
        <w:rPr>
          <w:rFonts w:ascii="Arial" w:hAnsi="Arial" w:cs="Arial"/>
          <w:color w:val="000000" w:themeColor="text1"/>
        </w:rPr>
        <w:t xml:space="preserve">Table 2. Distribution of ameloblastoma cases according to biologic type and histologic variant among pediatric patients (n = 59). Two major biologic subtypes were identified: </w:t>
      </w:r>
      <w:proofErr w:type="spellStart"/>
      <w:r w:rsidRPr="00D30DBE">
        <w:rPr>
          <w:rFonts w:ascii="Arial" w:hAnsi="Arial" w:cs="Arial"/>
          <w:color w:val="000000" w:themeColor="text1"/>
        </w:rPr>
        <w:t>unicystic</w:t>
      </w:r>
      <w:proofErr w:type="spellEnd"/>
      <w:r w:rsidRPr="00D30DBE">
        <w:rPr>
          <w:rFonts w:ascii="Arial" w:hAnsi="Arial" w:cs="Arial"/>
          <w:color w:val="000000" w:themeColor="text1"/>
        </w:rPr>
        <w:t xml:space="preserve"> </w:t>
      </w:r>
      <w:proofErr w:type="spellStart"/>
      <w:r w:rsidRPr="00D30DBE">
        <w:rPr>
          <w:rFonts w:ascii="Arial" w:hAnsi="Arial" w:cs="Arial"/>
          <w:color w:val="000000" w:themeColor="text1"/>
        </w:rPr>
        <w:t>ameloblastoma</w:t>
      </w:r>
      <w:proofErr w:type="spellEnd"/>
      <w:r w:rsidRPr="00D30DBE">
        <w:rPr>
          <w:rFonts w:ascii="Arial" w:hAnsi="Arial" w:cs="Arial"/>
          <w:color w:val="000000" w:themeColor="text1"/>
        </w:rPr>
        <w:t xml:space="preserve">, accounting for 28 cases (47.5%), and conventional ameloblastoma, representing 31 cases (52.5%). Within the </w:t>
      </w:r>
      <w:proofErr w:type="spellStart"/>
      <w:r w:rsidRPr="00D30DBE">
        <w:rPr>
          <w:rFonts w:ascii="Arial" w:hAnsi="Arial" w:cs="Arial"/>
          <w:color w:val="000000" w:themeColor="text1"/>
        </w:rPr>
        <w:t>unicystic</w:t>
      </w:r>
      <w:proofErr w:type="spellEnd"/>
      <w:r w:rsidRPr="00D30DBE">
        <w:rPr>
          <w:rFonts w:ascii="Arial" w:hAnsi="Arial" w:cs="Arial"/>
          <w:color w:val="000000" w:themeColor="text1"/>
        </w:rPr>
        <w:t xml:space="preserve"> category, the mural variant was the most frequent (14 cases, 23.7% of all tumors and 50.0% of </w:t>
      </w:r>
      <w:proofErr w:type="spellStart"/>
      <w:r w:rsidRPr="00D30DBE">
        <w:rPr>
          <w:rFonts w:ascii="Arial" w:hAnsi="Arial" w:cs="Arial"/>
          <w:color w:val="000000" w:themeColor="text1"/>
        </w:rPr>
        <w:t>unicystic</w:t>
      </w:r>
      <w:proofErr w:type="spellEnd"/>
      <w:r w:rsidRPr="00D30DBE">
        <w:rPr>
          <w:rFonts w:ascii="Arial" w:hAnsi="Arial" w:cs="Arial"/>
          <w:color w:val="000000" w:themeColor="text1"/>
        </w:rPr>
        <w:t xml:space="preserve"> lesions), followed by the luminal/intraluminal variant (6 cases, 10.2%) and the follicular variant (4 cases, 6.8%). Less common patterns included intraluminal with mural proliferation (3.4%), plexiform (1.7%), and combined </w:t>
      </w:r>
      <w:proofErr w:type="spellStart"/>
      <w:r w:rsidRPr="00D30DBE">
        <w:rPr>
          <w:rFonts w:ascii="Arial" w:hAnsi="Arial" w:cs="Arial"/>
          <w:color w:val="000000" w:themeColor="text1"/>
        </w:rPr>
        <w:t>plexiform</w:t>
      </w:r>
      <w:proofErr w:type="spellEnd"/>
      <w:r w:rsidRPr="00D30DBE">
        <w:rPr>
          <w:rFonts w:ascii="Arial" w:hAnsi="Arial" w:cs="Arial"/>
          <w:color w:val="000000" w:themeColor="text1"/>
        </w:rPr>
        <w:t>–</w:t>
      </w:r>
      <w:proofErr w:type="spellStart"/>
      <w:r w:rsidRPr="00D30DBE">
        <w:rPr>
          <w:rFonts w:ascii="Arial" w:hAnsi="Arial" w:cs="Arial"/>
          <w:color w:val="000000" w:themeColor="text1"/>
        </w:rPr>
        <w:t>acanthomatous</w:t>
      </w:r>
      <w:proofErr w:type="spellEnd"/>
      <w:r w:rsidRPr="00D30DBE">
        <w:rPr>
          <w:rFonts w:ascii="Arial" w:hAnsi="Arial" w:cs="Arial"/>
          <w:color w:val="000000" w:themeColor="text1"/>
        </w:rPr>
        <w:t xml:space="preserve"> morphology (1.7%). Among conventional </w:t>
      </w:r>
      <w:proofErr w:type="spellStart"/>
      <w:r w:rsidRPr="00D30DBE">
        <w:rPr>
          <w:rFonts w:ascii="Arial" w:hAnsi="Arial" w:cs="Arial"/>
          <w:color w:val="000000" w:themeColor="text1"/>
        </w:rPr>
        <w:t>ameloblastomas</w:t>
      </w:r>
      <w:proofErr w:type="spellEnd"/>
      <w:r w:rsidRPr="00D30DBE">
        <w:rPr>
          <w:rFonts w:ascii="Arial" w:hAnsi="Arial" w:cs="Arial"/>
          <w:color w:val="000000" w:themeColor="text1"/>
        </w:rPr>
        <w:t xml:space="preserve">, the </w:t>
      </w:r>
      <w:proofErr w:type="spellStart"/>
      <w:r w:rsidRPr="00D30DBE">
        <w:rPr>
          <w:rFonts w:ascii="Arial" w:hAnsi="Arial" w:cs="Arial"/>
          <w:color w:val="000000" w:themeColor="text1"/>
        </w:rPr>
        <w:t>plexiform</w:t>
      </w:r>
      <w:proofErr w:type="spellEnd"/>
      <w:r w:rsidRPr="00D30DBE">
        <w:rPr>
          <w:rFonts w:ascii="Arial" w:hAnsi="Arial" w:cs="Arial"/>
          <w:color w:val="000000" w:themeColor="text1"/>
        </w:rPr>
        <w:t xml:space="preserve"> variant predominated (16 cases, 27.1%), followed by the follicular subtype (4 cases, 6.8%) and </w:t>
      </w:r>
      <w:r w:rsidRPr="00D30DBE">
        <w:rPr>
          <w:rFonts w:ascii="Arial" w:hAnsi="Arial" w:cs="Arial"/>
          <w:color w:val="000000" w:themeColor="text1"/>
        </w:rPr>
        <w:lastRenderedPageBreak/>
        <w:t xml:space="preserve">cases where the specific histologic subtype was not specified (5 cases, 8.5%). Additional less frequent variants included mural (3.4%), </w:t>
      </w:r>
      <w:proofErr w:type="spellStart"/>
      <w:r w:rsidRPr="00D30DBE">
        <w:rPr>
          <w:rFonts w:ascii="Arial" w:hAnsi="Arial" w:cs="Arial"/>
          <w:color w:val="000000" w:themeColor="text1"/>
        </w:rPr>
        <w:t>plexiform</w:t>
      </w:r>
      <w:proofErr w:type="spellEnd"/>
      <w:r w:rsidRPr="00D30DBE">
        <w:rPr>
          <w:rFonts w:ascii="Arial" w:hAnsi="Arial" w:cs="Arial"/>
          <w:color w:val="000000" w:themeColor="text1"/>
        </w:rPr>
        <w:t xml:space="preserve"> with </w:t>
      </w:r>
      <w:proofErr w:type="spellStart"/>
      <w:r w:rsidRPr="00D30DBE">
        <w:rPr>
          <w:rFonts w:ascii="Arial" w:hAnsi="Arial" w:cs="Arial"/>
          <w:color w:val="000000" w:themeColor="text1"/>
        </w:rPr>
        <w:t>acanthomatous</w:t>
      </w:r>
      <w:proofErr w:type="spellEnd"/>
      <w:r w:rsidRPr="00D30DBE">
        <w:rPr>
          <w:rFonts w:ascii="Arial" w:hAnsi="Arial" w:cs="Arial"/>
          <w:color w:val="000000" w:themeColor="text1"/>
        </w:rPr>
        <w:t xml:space="preserve"> differentiation (3.4%), luminal/intraluminal (1.7%), and combined intraluminal–mural patterns (1.7%).</w:t>
      </w:r>
    </w:p>
    <w:p w14:paraId="26865087" w14:textId="6A190F7F" w:rsidR="002E287B" w:rsidRPr="002E287B" w:rsidRDefault="002E287B" w:rsidP="002E287B">
      <w:pPr>
        <w:jc w:val="both"/>
        <w:rPr>
          <w:rFonts w:ascii="Arial" w:hAnsi="Arial" w:cs="Arial"/>
          <w:color w:val="000000" w:themeColor="text1"/>
        </w:rPr>
      </w:pPr>
      <w:r w:rsidRPr="002E287B">
        <w:rPr>
          <w:rFonts w:ascii="Arial" w:hAnsi="Arial" w:cs="Arial"/>
          <w:color w:val="000000" w:themeColor="text1"/>
        </w:rPr>
        <w:t xml:space="preserve">Table 3 summarizes the radiographic appearance stratified by biologic type among 59 cases with specified classification (28 </w:t>
      </w:r>
      <w:proofErr w:type="spellStart"/>
      <w:r w:rsidRPr="002E287B">
        <w:rPr>
          <w:rFonts w:ascii="Arial" w:hAnsi="Arial" w:cs="Arial"/>
          <w:color w:val="000000" w:themeColor="text1"/>
        </w:rPr>
        <w:t>unicystic</w:t>
      </w:r>
      <w:proofErr w:type="spellEnd"/>
      <w:r w:rsidRPr="002E287B">
        <w:rPr>
          <w:rFonts w:ascii="Arial" w:hAnsi="Arial" w:cs="Arial"/>
          <w:color w:val="000000" w:themeColor="text1"/>
        </w:rPr>
        <w:t xml:space="preserve"> and 31 conventional). Among the </w:t>
      </w:r>
      <w:proofErr w:type="spellStart"/>
      <w:r w:rsidRPr="002E287B">
        <w:rPr>
          <w:rFonts w:ascii="Arial" w:hAnsi="Arial" w:cs="Arial"/>
          <w:color w:val="000000" w:themeColor="text1"/>
        </w:rPr>
        <w:t>unicystic</w:t>
      </w:r>
      <w:proofErr w:type="spellEnd"/>
      <w:r w:rsidRPr="002E287B">
        <w:rPr>
          <w:rFonts w:ascii="Arial" w:hAnsi="Arial" w:cs="Arial"/>
          <w:color w:val="000000" w:themeColor="text1"/>
        </w:rPr>
        <w:t xml:space="preserve"> </w:t>
      </w:r>
      <w:proofErr w:type="spellStart"/>
      <w:r w:rsidRPr="002E287B">
        <w:rPr>
          <w:rFonts w:ascii="Arial" w:hAnsi="Arial" w:cs="Arial"/>
          <w:color w:val="000000" w:themeColor="text1"/>
        </w:rPr>
        <w:t>ameloblastomas</w:t>
      </w:r>
      <w:proofErr w:type="spellEnd"/>
      <w:r w:rsidRPr="002E287B">
        <w:rPr>
          <w:rFonts w:ascii="Arial" w:hAnsi="Arial" w:cs="Arial"/>
          <w:color w:val="000000" w:themeColor="text1"/>
        </w:rPr>
        <w:t xml:space="preserve"> (n = 28), 27 (96.4%) presented as unilocular lesions and one (3.6%) presented as multilocular lesions. Among conventional </w:t>
      </w:r>
      <w:proofErr w:type="spellStart"/>
      <w:r w:rsidRPr="002E287B">
        <w:rPr>
          <w:rFonts w:ascii="Arial" w:hAnsi="Arial" w:cs="Arial"/>
          <w:color w:val="000000" w:themeColor="text1"/>
        </w:rPr>
        <w:t>ameloblastomas</w:t>
      </w:r>
      <w:proofErr w:type="spellEnd"/>
      <w:r w:rsidRPr="002E287B">
        <w:rPr>
          <w:rFonts w:ascii="Arial" w:hAnsi="Arial" w:cs="Arial"/>
          <w:color w:val="000000" w:themeColor="text1"/>
        </w:rPr>
        <w:t xml:space="preserve"> (n = 31), 30 (96.8%) were multilocular and one (3.2%) was unilocular. Percentages were calculated within each biological category.</w:t>
      </w:r>
    </w:p>
    <w:p w14:paraId="363BA5AA" w14:textId="61077341" w:rsidR="00FB2243" w:rsidRDefault="00FB2243" w:rsidP="002E287B">
      <w:pPr>
        <w:jc w:val="both"/>
        <w:rPr>
          <w:rFonts w:ascii="Arial" w:hAnsi="Arial" w:cs="Arial"/>
          <w:color w:val="000000" w:themeColor="text1"/>
        </w:rPr>
      </w:pPr>
      <w:r w:rsidRPr="00D30DBE">
        <w:rPr>
          <w:rFonts w:ascii="Arial" w:hAnsi="Arial" w:cs="Arial"/>
          <w:color w:val="000000" w:themeColor="text1"/>
        </w:rPr>
        <w:t>Table 4. Duration of symptoms prior to clinical presentation among pediatric patients diagnosed with ameloblastoma (n = 59). The duration of symptoms ranged from 1 to 5 years, with a mean duration of 2.6 ± 1.3 years, indicating that most lesions were present for a prolonged period before clinical consultation. The most frequently reported duration was 2 years (18 cases, 30.5%), followed by 1 year and 3 years, each accounting for 14 cases (23.7%). A smaller proportion of patients presented after 5 years (13.6%) or 4 years (8.5%) of symptoms. Overall, 77.9% of patients reported symptom duration between 1 and 3 years.</w:t>
      </w:r>
    </w:p>
    <w:p w14:paraId="2EB777CB" w14:textId="700CCDAF" w:rsidR="002E287B" w:rsidRPr="002E287B" w:rsidRDefault="002E287B" w:rsidP="002E287B">
      <w:pPr>
        <w:jc w:val="both"/>
        <w:rPr>
          <w:rFonts w:ascii="Arial" w:hAnsi="Arial" w:cs="Arial"/>
          <w:color w:val="000000" w:themeColor="text1"/>
        </w:rPr>
      </w:pPr>
      <w:r w:rsidRPr="002E287B">
        <w:rPr>
          <w:rFonts w:ascii="Arial" w:hAnsi="Arial" w:cs="Arial"/>
          <w:color w:val="000000" w:themeColor="text1"/>
        </w:rPr>
        <w:t xml:space="preserve">Table 5 presents the age and sex distribution stratified by biologic type among the 59 cases with a specified classification. For </w:t>
      </w:r>
      <w:proofErr w:type="spellStart"/>
      <w:r w:rsidRPr="002E287B">
        <w:rPr>
          <w:rFonts w:ascii="Arial" w:hAnsi="Arial" w:cs="Arial"/>
          <w:color w:val="000000" w:themeColor="text1"/>
        </w:rPr>
        <w:t>unicystic</w:t>
      </w:r>
      <w:proofErr w:type="spellEnd"/>
      <w:r w:rsidRPr="002E287B">
        <w:rPr>
          <w:rFonts w:ascii="Arial" w:hAnsi="Arial" w:cs="Arial"/>
          <w:color w:val="000000" w:themeColor="text1"/>
        </w:rPr>
        <w:t xml:space="preserve"> </w:t>
      </w:r>
      <w:proofErr w:type="spellStart"/>
      <w:r w:rsidRPr="002E287B">
        <w:rPr>
          <w:rFonts w:ascii="Arial" w:hAnsi="Arial" w:cs="Arial"/>
          <w:color w:val="000000" w:themeColor="text1"/>
        </w:rPr>
        <w:t>ameloblastoma</w:t>
      </w:r>
      <w:proofErr w:type="spellEnd"/>
      <w:r w:rsidRPr="002E287B">
        <w:rPr>
          <w:rFonts w:ascii="Arial" w:hAnsi="Arial" w:cs="Arial"/>
          <w:color w:val="000000" w:themeColor="text1"/>
        </w:rPr>
        <w:t xml:space="preserve"> (n = 28), nine cases (32.1%) occurred in the 6–10 years age group (five males, four females), 12 cases (42.9%) in the 11–15 years group (five males, seven females), and seven cases (25.0%) in the 16–18 years group (four males, three females). The total sex distribution within the </w:t>
      </w:r>
      <w:proofErr w:type="spellStart"/>
      <w:r w:rsidRPr="002E287B">
        <w:rPr>
          <w:rFonts w:ascii="Arial" w:hAnsi="Arial" w:cs="Arial"/>
          <w:color w:val="000000" w:themeColor="text1"/>
        </w:rPr>
        <w:t>unicystic</w:t>
      </w:r>
      <w:proofErr w:type="spellEnd"/>
      <w:r w:rsidRPr="002E287B">
        <w:rPr>
          <w:rFonts w:ascii="Arial" w:hAnsi="Arial" w:cs="Arial"/>
          <w:color w:val="000000" w:themeColor="text1"/>
        </w:rPr>
        <w:t xml:space="preserve"> category was 14 males (50.0%) and 14 females (50.0%). For conventional ameloblastoma (n = 31), three cases (9.7%) occurred in the 6–10 years age group (two males, one female), 12 cases (38.7%) in the 11–15 years group (nine males, three females), and 16 cases (51.6%) in the 16–18 years group (13 males, three females). The total sex distribution within the conventional category was 24 males (77.4%) and 7 females (22.6%). Percentages were calculated within each biological category.</w:t>
      </w:r>
    </w:p>
    <w:p w14:paraId="78AE92BD" w14:textId="77777777" w:rsidR="00E46A7E" w:rsidRDefault="00E46A7E" w:rsidP="002E287B">
      <w:pPr>
        <w:jc w:val="both"/>
        <w:rPr>
          <w:rFonts w:ascii="Arial" w:hAnsi="Arial" w:cs="Arial"/>
          <w:color w:val="000000" w:themeColor="text1"/>
        </w:rPr>
      </w:pPr>
      <w:r w:rsidRPr="00D30DBE">
        <w:rPr>
          <w:rFonts w:ascii="Arial" w:hAnsi="Arial" w:cs="Arial"/>
          <w:color w:val="000000" w:themeColor="text1"/>
        </w:rPr>
        <w:t xml:space="preserve">Table 6. Bivariate analysis examining the association between demographic, clinical, and histopathologic factors and the biologic type of ameloblastoma among 59 pediatric patients. Age distribution differed significantly between biologic types (χ² = 6.82, p = 0.033), with </w:t>
      </w:r>
      <w:proofErr w:type="spellStart"/>
      <w:r w:rsidRPr="00D30DBE">
        <w:rPr>
          <w:rFonts w:ascii="Arial" w:hAnsi="Arial" w:cs="Arial"/>
          <w:color w:val="000000" w:themeColor="text1"/>
        </w:rPr>
        <w:t>unicystic</w:t>
      </w:r>
      <w:proofErr w:type="spellEnd"/>
      <w:r w:rsidRPr="00D30DBE">
        <w:rPr>
          <w:rFonts w:ascii="Arial" w:hAnsi="Arial" w:cs="Arial"/>
          <w:color w:val="000000" w:themeColor="text1"/>
        </w:rPr>
        <w:t xml:space="preserve"> </w:t>
      </w:r>
      <w:proofErr w:type="spellStart"/>
      <w:r w:rsidRPr="00D30DBE">
        <w:rPr>
          <w:rFonts w:ascii="Arial" w:hAnsi="Arial" w:cs="Arial"/>
          <w:color w:val="000000" w:themeColor="text1"/>
        </w:rPr>
        <w:t>ameloblastoma</w:t>
      </w:r>
      <w:proofErr w:type="spellEnd"/>
      <w:r w:rsidRPr="00D30DBE">
        <w:rPr>
          <w:rFonts w:ascii="Arial" w:hAnsi="Arial" w:cs="Arial"/>
          <w:color w:val="000000" w:themeColor="text1"/>
        </w:rPr>
        <w:t xml:space="preserve"> occurring more frequently in younger children, particularly those aged 6–10 years (32.1%), whereas conventional ameloblastoma was more common in older adolescents aged 16–18 years (51.6%). A statistically significant association was also observed with sex (χ² = 4.85, p = 0.028), as conventional ameloblastoma occurred predominantly in males (77.4%), while </w:t>
      </w:r>
      <w:proofErr w:type="spellStart"/>
      <w:r w:rsidRPr="00D30DBE">
        <w:rPr>
          <w:rFonts w:ascii="Arial" w:hAnsi="Arial" w:cs="Arial"/>
          <w:color w:val="000000" w:themeColor="text1"/>
        </w:rPr>
        <w:t>unicystic</w:t>
      </w:r>
      <w:proofErr w:type="spellEnd"/>
      <w:r w:rsidRPr="00D30DBE">
        <w:rPr>
          <w:rFonts w:ascii="Arial" w:hAnsi="Arial" w:cs="Arial"/>
          <w:color w:val="000000" w:themeColor="text1"/>
        </w:rPr>
        <w:t xml:space="preserve"> lesions showed equal distribution between males and females. Anatomical site was not significantly associated with biologic type (p = 1.000), with both variants occurring overwhelmingly in </w:t>
      </w:r>
      <w:r w:rsidRPr="00D30DBE">
        <w:rPr>
          <w:rFonts w:ascii="Arial" w:hAnsi="Arial" w:cs="Arial"/>
          <w:color w:val="000000" w:themeColor="text1"/>
        </w:rPr>
        <w:lastRenderedPageBreak/>
        <w:t xml:space="preserve">the mandible (&gt;96%). Radiographic appearance demonstrated the strongest association with biologic type (χ² = 51.24, p &lt; 0.001); 96.4% of </w:t>
      </w:r>
      <w:proofErr w:type="spellStart"/>
      <w:r w:rsidRPr="00D30DBE">
        <w:rPr>
          <w:rFonts w:ascii="Arial" w:hAnsi="Arial" w:cs="Arial"/>
          <w:color w:val="000000" w:themeColor="text1"/>
        </w:rPr>
        <w:t>unicystic</w:t>
      </w:r>
      <w:proofErr w:type="spellEnd"/>
      <w:r w:rsidRPr="00D30DBE">
        <w:rPr>
          <w:rFonts w:ascii="Arial" w:hAnsi="Arial" w:cs="Arial"/>
          <w:color w:val="000000" w:themeColor="text1"/>
        </w:rPr>
        <w:t xml:space="preserve"> lesions were </w:t>
      </w:r>
      <w:proofErr w:type="spellStart"/>
      <w:r w:rsidRPr="00D30DBE">
        <w:rPr>
          <w:rFonts w:ascii="Arial" w:hAnsi="Arial" w:cs="Arial"/>
          <w:color w:val="000000" w:themeColor="text1"/>
        </w:rPr>
        <w:t>unilocular</w:t>
      </w:r>
      <w:proofErr w:type="spellEnd"/>
      <w:r w:rsidRPr="00D30DBE">
        <w:rPr>
          <w:rFonts w:ascii="Arial" w:hAnsi="Arial" w:cs="Arial"/>
          <w:color w:val="000000" w:themeColor="text1"/>
        </w:rPr>
        <w:t xml:space="preserve">, whereas 96.8% of conventional lesions were multilocular. Duration of symptoms did not show a significant association (p = 0.371). Histologic variant distribution differed significantly between biologic types (χ² = 38.47, p &lt; 0.001), with mural variants predominating among </w:t>
      </w:r>
      <w:proofErr w:type="spellStart"/>
      <w:r w:rsidRPr="00D30DBE">
        <w:rPr>
          <w:rFonts w:ascii="Arial" w:hAnsi="Arial" w:cs="Arial"/>
          <w:color w:val="000000" w:themeColor="text1"/>
        </w:rPr>
        <w:t>unicystic</w:t>
      </w:r>
      <w:proofErr w:type="spellEnd"/>
      <w:r w:rsidRPr="00D30DBE">
        <w:rPr>
          <w:rFonts w:ascii="Arial" w:hAnsi="Arial" w:cs="Arial"/>
          <w:color w:val="000000" w:themeColor="text1"/>
        </w:rPr>
        <w:t xml:space="preserve"> lesions (50.0%) and plexiform variants predominating among conventional </w:t>
      </w:r>
      <w:proofErr w:type="spellStart"/>
      <w:r w:rsidRPr="00D30DBE">
        <w:rPr>
          <w:rFonts w:ascii="Arial" w:hAnsi="Arial" w:cs="Arial"/>
          <w:color w:val="000000" w:themeColor="text1"/>
        </w:rPr>
        <w:t>ameloblastomas</w:t>
      </w:r>
      <w:proofErr w:type="spellEnd"/>
      <w:r w:rsidRPr="00D30DBE">
        <w:rPr>
          <w:rFonts w:ascii="Arial" w:hAnsi="Arial" w:cs="Arial"/>
          <w:color w:val="000000" w:themeColor="text1"/>
        </w:rPr>
        <w:t xml:space="preserve"> (61.5%).</w:t>
      </w:r>
    </w:p>
    <w:p w14:paraId="1251BEEB" w14:textId="398D3171" w:rsidR="002E287B" w:rsidRDefault="002E287B" w:rsidP="002E287B">
      <w:pPr>
        <w:jc w:val="both"/>
        <w:rPr>
          <w:rFonts w:ascii="Arial" w:hAnsi="Arial" w:cs="Arial"/>
          <w:color w:val="000000" w:themeColor="text1"/>
        </w:rPr>
      </w:pPr>
      <w:r w:rsidRPr="002E287B">
        <w:rPr>
          <w:rFonts w:ascii="Arial" w:hAnsi="Arial" w:cs="Arial"/>
          <w:color w:val="000000" w:themeColor="text1"/>
        </w:rPr>
        <w:t xml:space="preserve">Table 7 presents the results of the binary logistic regression analysis, including 59 cases with specified biologic types (31 conventional; 28 </w:t>
      </w:r>
      <w:proofErr w:type="spellStart"/>
      <w:r w:rsidRPr="002E287B">
        <w:rPr>
          <w:rFonts w:ascii="Arial" w:hAnsi="Arial" w:cs="Arial"/>
          <w:color w:val="000000" w:themeColor="text1"/>
        </w:rPr>
        <w:t>unicystic</w:t>
      </w:r>
      <w:proofErr w:type="spellEnd"/>
      <w:r w:rsidRPr="002E287B">
        <w:rPr>
          <w:rFonts w:ascii="Arial" w:hAnsi="Arial" w:cs="Arial"/>
          <w:color w:val="000000" w:themeColor="text1"/>
        </w:rPr>
        <w:t>). Age was associated with an odds ratio (OR) of 1.328 per year increase (β = 0.284; standard error = 0.112; Wald χ² = 6.43; p = 0.011; 95% CI: 1.067–1.654). Male sex (vs female) demonstrated an OR of 4.208 (β = 1.437; standard error = 0.521; Wald χ² = 7.61; p = 0.006; 95% CI: 1.516–11.681). Multilocular radiographic appearance (vs. unilocular) showed an OR of 133.2 (β = 4.892; standard error = 1.203; Wald χ² = 16.53; p &lt; 0.001; 95% CI: 12.61–1407.3). Duration of symptoms (per year increase) yielded an OR of 1.201 (β = 0.183; standard error = 0.167; Wald χ² = 1.20; P = 0.273; 95% CI: 0.866–1.665).</w:t>
      </w:r>
    </w:p>
    <w:p w14:paraId="66A9A8A4" w14:textId="5D04440E" w:rsidR="00475133" w:rsidRPr="00475133" w:rsidRDefault="00475133" w:rsidP="00475133">
      <w:pPr>
        <w:spacing w:before="100" w:beforeAutospacing="1" w:after="100" w:afterAutospacing="1" w:line="240" w:lineRule="auto"/>
        <w:outlineLvl w:val="0"/>
        <w:rPr>
          <w:rFonts w:ascii="Arial" w:eastAsia="Times New Roman" w:hAnsi="Arial" w:cs="Arial"/>
          <w:b/>
          <w:bCs/>
          <w:kern w:val="36"/>
          <w14:ligatures w14:val="none"/>
        </w:rPr>
      </w:pPr>
      <w:r w:rsidRPr="00475133">
        <w:rPr>
          <w:rFonts w:ascii="Arial" w:eastAsia="Times New Roman" w:hAnsi="Arial" w:cs="Arial"/>
          <w:b/>
          <w:bCs/>
          <w:kern w:val="36"/>
          <w14:ligatures w14:val="none"/>
        </w:rPr>
        <w:t xml:space="preserve">Table 1. Demographic Characteristics of Pediatric Patients with Ameloblastoma </w:t>
      </w:r>
      <w:r w:rsidRPr="00475133">
        <w:rPr>
          <w:rFonts w:ascii="Arial" w:hAnsi="Arial" w:cs="Arial"/>
          <w:b/>
          <w:bCs/>
          <w:color w:val="000000" w:themeColor="text1"/>
        </w:rPr>
        <w:t xml:space="preserve">(n = </w:t>
      </w:r>
      <w:r w:rsidR="00384A89">
        <w:rPr>
          <w:rFonts w:ascii="Arial" w:hAnsi="Arial" w:cs="Arial"/>
          <w:b/>
          <w:bCs/>
          <w:color w:val="000000" w:themeColor="text1"/>
        </w:rPr>
        <w:t>59</w:t>
      </w:r>
      <w:r w:rsidRPr="00475133">
        <w:rPr>
          <w:rFonts w:ascii="Arial" w:hAnsi="Arial" w:cs="Arial"/>
          <w:b/>
          <w:bCs/>
          <w:color w:val="000000" w:themeColor="text1"/>
        </w:rPr>
        <w:t>)</w:t>
      </w:r>
    </w:p>
    <w:tbl>
      <w:tblPr>
        <w:tblStyle w:val="TableGrid12"/>
        <w:tblW w:w="0" w:type="auto"/>
        <w:tblLook w:val="04A0" w:firstRow="1" w:lastRow="0" w:firstColumn="1" w:lastColumn="0" w:noHBand="0" w:noVBand="1"/>
      </w:tblPr>
      <w:tblGrid>
        <w:gridCol w:w="2270"/>
        <w:gridCol w:w="1257"/>
        <w:gridCol w:w="1803"/>
        <w:gridCol w:w="1950"/>
      </w:tblGrid>
      <w:tr w:rsidR="00475133" w:rsidRPr="00475133" w14:paraId="575334A2" w14:textId="77777777" w:rsidTr="00475133">
        <w:tc>
          <w:tcPr>
            <w:tcW w:w="0" w:type="auto"/>
            <w:hideMark/>
          </w:tcPr>
          <w:p w14:paraId="15B78049" w14:textId="77777777" w:rsidR="00475133" w:rsidRPr="00475133" w:rsidRDefault="00475133" w:rsidP="00475133">
            <w:pPr>
              <w:jc w:val="center"/>
              <w:rPr>
                <w:rFonts w:ascii="Arial" w:eastAsia="Times New Roman" w:hAnsi="Arial" w:cs="Arial"/>
                <w:b/>
                <w:bCs/>
                <w:sz w:val="24"/>
                <w:szCs w:val="24"/>
                <w14:ligatures w14:val="none"/>
              </w:rPr>
            </w:pPr>
            <w:r w:rsidRPr="00475133">
              <w:rPr>
                <w:rFonts w:ascii="Arial" w:eastAsia="Times New Roman" w:hAnsi="Arial" w:cs="Arial"/>
                <w:b/>
                <w:bCs/>
                <w:sz w:val="24"/>
                <w:szCs w:val="24"/>
                <w14:ligatures w14:val="none"/>
              </w:rPr>
              <w:t>Variable</w:t>
            </w:r>
          </w:p>
        </w:tc>
        <w:tc>
          <w:tcPr>
            <w:tcW w:w="0" w:type="auto"/>
            <w:hideMark/>
          </w:tcPr>
          <w:p w14:paraId="3BC128CB" w14:textId="77777777" w:rsidR="00475133" w:rsidRPr="00475133" w:rsidRDefault="00475133" w:rsidP="00475133">
            <w:pPr>
              <w:jc w:val="center"/>
              <w:rPr>
                <w:rFonts w:ascii="Arial" w:eastAsia="Times New Roman" w:hAnsi="Arial" w:cs="Arial"/>
                <w:b/>
                <w:bCs/>
                <w:sz w:val="24"/>
                <w:szCs w:val="24"/>
                <w14:ligatures w14:val="none"/>
              </w:rPr>
            </w:pPr>
            <w:r w:rsidRPr="00475133">
              <w:rPr>
                <w:rFonts w:ascii="Arial" w:eastAsia="Times New Roman" w:hAnsi="Arial" w:cs="Arial"/>
                <w:b/>
                <w:bCs/>
                <w:sz w:val="24"/>
                <w:szCs w:val="24"/>
                <w14:ligatures w14:val="none"/>
              </w:rPr>
              <w:t>Category</w:t>
            </w:r>
          </w:p>
        </w:tc>
        <w:tc>
          <w:tcPr>
            <w:tcW w:w="0" w:type="auto"/>
            <w:hideMark/>
          </w:tcPr>
          <w:p w14:paraId="7C46B707" w14:textId="77777777" w:rsidR="00475133" w:rsidRPr="00475133" w:rsidRDefault="00475133" w:rsidP="00475133">
            <w:pPr>
              <w:jc w:val="center"/>
              <w:rPr>
                <w:rFonts w:ascii="Arial" w:eastAsia="Times New Roman" w:hAnsi="Arial" w:cs="Arial"/>
                <w:b/>
                <w:bCs/>
                <w:sz w:val="24"/>
                <w:szCs w:val="24"/>
                <w14:ligatures w14:val="none"/>
              </w:rPr>
            </w:pPr>
            <w:r w:rsidRPr="00475133">
              <w:rPr>
                <w:rFonts w:ascii="Arial" w:eastAsia="Times New Roman" w:hAnsi="Arial" w:cs="Arial"/>
                <w:b/>
                <w:bCs/>
                <w:sz w:val="24"/>
                <w:szCs w:val="24"/>
                <w14:ligatures w14:val="none"/>
              </w:rPr>
              <w:t>Frequency (n)</w:t>
            </w:r>
          </w:p>
        </w:tc>
        <w:tc>
          <w:tcPr>
            <w:tcW w:w="0" w:type="auto"/>
            <w:hideMark/>
          </w:tcPr>
          <w:p w14:paraId="3FE88C17" w14:textId="77777777" w:rsidR="00475133" w:rsidRPr="00475133" w:rsidRDefault="00475133" w:rsidP="00475133">
            <w:pPr>
              <w:jc w:val="center"/>
              <w:rPr>
                <w:rFonts w:ascii="Arial" w:eastAsia="Times New Roman" w:hAnsi="Arial" w:cs="Arial"/>
                <w:b/>
                <w:bCs/>
                <w:sz w:val="24"/>
                <w:szCs w:val="24"/>
                <w14:ligatures w14:val="none"/>
              </w:rPr>
            </w:pPr>
            <w:r w:rsidRPr="00475133">
              <w:rPr>
                <w:rFonts w:ascii="Arial" w:eastAsia="Times New Roman" w:hAnsi="Arial" w:cs="Arial"/>
                <w:b/>
                <w:bCs/>
                <w:sz w:val="24"/>
                <w:szCs w:val="24"/>
                <w14:ligatures w14:val="none"/>
              </w:rPr>
              <w:t>Percentage (%)</w:t>
            </w:r>
          </w:p>
        </w:tc>
      </w:tr>
      <w:tr w:rsidR="00475133" w:rsidRPr="00475133" w14:paraId="3D2845C3" w14:textId="77777777" w:rsidTr="00475133">
        <w:tc>
          <w:tcPr>
            <w:tcW w:w="0" w:type="auto"/>
            <w:hideMark/>
          </w:tcPr>
          <w:p w14:paraId="2E17025F"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Age group (years)</w:t>
            </w:r>
          </w:p>
        </w:tc>
        <w:tc>
          <w:tcPr>
            <w:tcW w:w="0" w:type="auto"/>
            <w:hideMark/>
          </w:tcPr>
          <w:p w14:paraId="43C2AFFB"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6–10</w:t>
            </w:r>
          </w:p>
        </w:tc>
        <w:tc>
          <w:tcPr>
            <w:tcW w:w="0" w:type="auto"/>
            <w:hideMark/>
          </w:tcPr>
          <w:p w14:paraId="1EE6163D"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12</w:t>
            </w:r>
          </w:p>
        </w:tc>
        <w:tc>
          <w:tcPr>
            <w:tcW w:w="0" w:type="auto"/>
            <w:hideMark/>
          </w:tcPr>
          <w:p w14:paraId="7BEFE4C5" w14:textId="784B998E" w:rsidR="00475133" w:rsidRPr="00475133" w:rsidRDefault="00FC47AA" w:rsidP="00475133">
            <w:pPr>
              <w:rPr>
                <w:rFonts w:ascii="Arial" w:eastAsia="Times New Roman" w:hAnsi="Arial" w:cs="Arial"/>
                <w:sz w:val="24"/>
                <w:szCs w:val="24"/>
                <w14:ligatures w14:val="none"/>
              </w:rPr>
            </w:pPr>
            <w:r>
              <w:rPr>
                <w:rFonts w:ascii="Arial" w:eastAsia="Times New Roman" w:hAnsi="Arial" w:cs="Arial"/>
                <w:sz w:val="24"/>
                <w:szCs w:val="24"/>
                <w14:ligatures w14:val="none"/>
              </w:rPr>
              <w:t>20.3</w:t>
            </w:r>
          </w:p>
        </w:tc>
      </w:tr>
      <w:tr w:rsidR="00475133" w:rsidRPr="00475133" w14:paraId="23E4D43D" w14:textId="77777777" w:rsidTr="00475133">
        <w:tc>
          <w:tcPr>
            <w:tcW w:w="0" w:type="auto"/>
            <w:hideMark/>
          </w:tcPr>
          <w:p w14:paraId="4D092EC5" w14:textId="77777777" w:rsidR="00475133" w:rsidRPr="00475133" w:rsidRDefault="00475133" w:rsidP="00475133">
            <w:pPr>
              <w:rPr>
                <w:rFonts w:ascii="Arial" w:eastAsia="Times New Roman" w:hAnsi="Arial" w:cs="Arial"/>
                <w:sz w:val="24"/>
                <w:szCs w:val="24"/>
                <w14:ligatures w14:val="none"/>
              </w:rPr>
            </w:pPr>
          </w:p>
        </w:tc>
        <w:tc>
          <w:tcPr>
            <w:tcW w:w="0" w:type="auto"/>
            <w:hideMark/>
          </w:tcPr>
          <w:p w14:paraId="745408BD"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11–15</w:t>
            </w:r>
          </w:p>
        </w:tc>
        <w:tc>
          <w:tcPr>
            <w:tcW w:w="0" w:type="auto"/>
            <w:hideMark/>
          </w:tcPr>
          <w:p w14:paraId="56E03E4F"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27</w:t>
            </w:r>
          </w:p>
        </w:tc>
        <w:tc>
          <w:tcPr>
            <w:tcW w:w="0" w:type="auto"/>
            <w:hideMark/>
          </w:tcPr>
          <w:p w14:paraId="73C33C15" w14:textId="756DDAAA" w:rsidR="00475133" w:rsidRPr="00475133" w:rsidRDefault="00FC47AA" w:rsidP="00475133">
            <w:pPr>
              <w:rPr>
                <w:rFonts w:ascii="Arial" w:eastAsia="Times New Roman" w:hAnsi="Arial" w:cs="Arial"/>
                <w:sz w:val="24"/>
                <w:szCs w:val="24"/>
                <w14:ligatures w14:val="none"/>
              </w:rPr>
            </w:pPr>
            <w:r>
              <w:rPr>
                <w:rFonts w:ascii="Arial" w:eastAsia="Times New Roman" w:hAnsi="Arial" w:cs="Arial"/>
                <w:sz w:val="24"/>
                <w:szCs w:val="24"/>
                <w14:ligatures w14:val="none"/>
              </w:rPr>
              <w:t>45.8</w:t>
            </w:r>
          </w:p>
        </w:tc>
      </w:tr>
      <w:tr w:rsidR="00475133" w:rsidRPr="00475133" w14:paraId="77E7E705" w14:textId="77777777" w:rsidTr="00475133">
        <w:tc>
          <w:tcPr>
            <w:tcW w:w="0" w:type="auto"/>
            <w:hideMark/>
          </w:tcPr>
          <w:p w14:paraId="1CAEDD23" w14:textId="77777777" w:rsidR="00475133" w:rsidRPr="00475133" w:rsidRDefault="00475133" w:rsidP="00475133">
            <w:pPr>
              <w:rPr>
                <w:rFonts w:ascii="Arial" w:eastAsia="Times New Roman" w:hAnsi="Arial" w:cs="Arial"/>
                <w:sz w:val="24"/>
                <w:szCs w:val="24"/>
                <w14:ligatures w14:val="none"/>
              </w:rPr>
            </w:pPr>
          </w:p>
        </w:tc>
        <w:tc>
          <w:tcPr>
            <w:tcW w:w="0" w:type="auto"/>
            <w:hideMark/>
          </w:tcPr>
          <w:p w14:paraId="7B664B4C"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16–18</w:t>
            </w:r>
          </w:p>
        </w:tc>
        <w:tc>
          <w:tcPr>
            <w:tcW w:w="0" w:type="auto"/>
            <w:hideMark/>
          </w:tcPr>
          <w:p w14:paraId="1E639CAC" w14:textId="171A7516" w:rsidR="00475133" w:rsidRPr="00475133" w:rsidRDefault="00FC47AA" w:rsidP="00475133">
            <w:pPr>
              <w:rPr>
                <w:rFonts w:ascii="Arial" w:eastAsia="Times New Roman" w:hAnsi="Arial" w:cs="Arial"/>
                <w:sz w:val="24"/>
                <w:szCs w:val="24"/>
                <w14:ligatures w14:val="none"/>
              </w:rPr>
            </w:pPr>
            <w:r>
              <w:rPr>
                <w:rFonts w:ascii="Arial" w:eastAsia="Times New Roman" w:hAnsi="Arial" w:cs="Arial"/>
                <w:sz w:val="24"/>
                <w:szCs w:val="24"/>
                <w14:ligatures w14:val="none"/>
              </w:rPr>
              <w:t>20</w:t>
            </w:r>
          </w:p>
        </w:tc>
        <w:tc>
          <w:tcPr>
            <w:tcW w:w="0" w:type="auto"/>
            <w:hideMark/>
          </w:tcPr>
          <w:p w14:paraId="6E7E21E9" w14:textId="1FB8C089" w:rsidR="00475133" w:rsidRPr="00475133" w:rsidRDefault="00FC47AA" w:rsidP="00475133">
            <w:pPr>
              <w:rPr>
                <w:rFonts w:ascii="Arial" w:eastAsia="Times New Roman" w:hAnsi="Arial" w:cs="Arial"/>
                <w:sz w:val="24"/>
                <w:szCs w:val="24"/>
                <w14:ligatures w14:val="none"/>
              </w:rPr>
            </w:pPr>
            <w:r>
              <w:rPr>
                <w:rFonts w:ascii="Arial" w:eastAsia="Times New Roman" w:hAnsi="Arial" w:cs="Arial"/>
                <w:sz w:val="24"/>
                <w:szCs w:val="24"/>
                <w14:ligatures w14:val="none"/>
              </w:rPr>
              <w:t>33.9</w:t>
            </w:r>
          </w:p>
        </w:tc>
      </w:tr>
      <w:tr w:rsidR="00475133" w:rsidRPr="00475133" w14:paraId="42B66535" w14:textId="77777777" w:rsidTr="00475133">
        <w:tc>
          <w:tcPr>
            <w:tcW w:w="0" w:type="auto"/>
            <w:hideMark/>
          </w:tcPr>
          <w:p w14:paraId="1696A2EE" w14:textId="77777777" w:rsidR="00475133" w:rsidRPr="00475133" w:rsidRDefault="00475133" w:rsidP="00475133">
            <w:pPr>
              <w:rPr>
                <w:rFonts w:ascii="Arial" w:eastAsia="Times New Roman" w:hAnsi="Arial" w:cs="Arial"/>
                <w:sz w:val="24"/>
                <w:szCs w:val="24"/>
                <w14:ligatures w14:val="none"/>
              </w:rPr>
            </w:pPr>
          </w:p>
        </w:tc>
        <w:tc>
          <w:tcPr>
            <w:tcW w:w="0" w:type="auto"/>
            <w:hideMark/>
          </w:tcPr>
          <w:p w14:paraId="2BF53E88"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Total</w:t>
            </w:r>
          </w:p>
        </w:tc>
        <w:tc>
          <w:tcPr>
            <w:tcW w:w="0" w:type="auto"/>
            <w:hideMark/>
          </w:tcPr>
          <w:p w14:paraId="7A6CB87A" w14:textId="4A3C673E" w:rsidR="00475133" w:rsidRPr="00475133" w:rsidRDefault="00FC47AA" w:rsidP="00475133">
            <w:pPr>
              <w:rPr>
                <w:rFonts w:ascii="Arial" w:eastAsia="Times New Roman" w:hAnsi="Arial" w:cs="Arial"/>
                <w:sz w:val="24"/>
                <w:szCs w:val="24"/>
                <w14:ligatures w14:val="none"/>
              </w:rPr>
            </w:pPr>
            <w:r>
              <w:rPr>
                <w:rFonts w:ascii="Arial" w:eastAsia="Times New Roman" w:hAnsi="Arial" w:cs="Arial"/>
                <w:b/>
                <w:bCs/>
                <w:sz w:val="24"/>
                <w:szCs w:val="24"/>
                <w14:ligatures w14:val="none"/>
              </w:rPr>
              <w:t>59</w:t>
            </w:r>
          </w:p>
        </w:tc>
        <w:tc>
          <w:tcPr>
            <w:tcW w:w="0" w:type="auto"/>
            <w:hideMark/>
          </w:tcPr>
          <w:p w14:paraId="37EE0EB1"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100</w:t>
            </w:r>
          </w:p>
        </w:tc>
      </w:tr>
      <w:tr w:rsidR="00475133" w:rsidRPr="00475133" w14:paraId="25407338" w14:textId="77777777" w:rsidTr="00475133">
        <w:tc>
          <w:tcPr>
            <w:tcW w:w="0" w:type="auto"/>
            <w:hideMark/>
          </w:tcPr>
          <w:p w14:paraId="6A5571FA"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Sex</w:t>
            </w:r>
          </w:p>
        </w:tc>
        <w:tc>
          <w:tcPr>
            <w:tcW w:w="0" w:type="auto"/>
            <w:hideMark/>
          </w:tcPr>
          <w:p w14:paraId="6B0267D9"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Male</w:t>
            </w:r>
          </w:p>
        </w:tc>
        <w:tc>
          <w:tcPr>
            <w:tcW w:w="0" w:type="auto"/>
            <w:hideMark/>
          </w:tcPr>
          <w:p w14:paraId="5656DC7A" w14:textId="74BBFA68" w:rsidR="00475133" w:rsidRPr="00475133" w:rsidRDefault="00FC47AA" w:rsidP="00475133">
            <w:pPr>
              <w:rPr>
                <w:rFonts w:ascii="Arial" w:eastAsia="Times New Roman" w:hAnsi="Arial" w:cs="Arial"/>
                <w:sz w:val="24"/>
                <w:szCs w:val="24"/>
                <w14:ligatures w14:val="none"/>
              </w:rPr>
            </w:pPr>
            <w:r>
              <w:rPr>
                <w:rFonts w:ascii="Arial" w:eastAsia="Times New Roman" w:hAnsi="Arial" w:cs="Arial"/>
                <w:sz w:val="24"/>
                <w:szCs w:val="24"/>
                <w14:ligatures w14:val="none"/>
              </w:rPr>
              <w:t>37</w:t>
            </w:r>
          </w:p>
        </w:tc>
        <w:tc>
          <w:tcPr>
            <w:tcW w:w="0" w:type="auto"/>
            <w:hideMark/>
          </w:tcPr>
          <w:p w14:paraId="5D551CD8" w14:textId="3AFF9A95" w:rsidR="00475133" w:rsidRPr="00475133" w:rsidRDefault="00FC47AA" w:rsidP="00475133">
            <w:pPr>
              <w:rPr>
                <w:rFonts w:ascii="Arial" w:eastAsia="Times New Roman" w:hAnsi="Arial" w:cs="Arial"/>
                <w:sz w:val="24"/>
                <w:szCs w:val="24"/>
                <w14:ligatures w14:val="none"/>
              </w:rPr>
            </w:pPr>
            <w:r>
              <w:rPr>
                <w:rFonts w:ascii="Arial" w:eastAsia="Times New Roman" w:hAnsi="Arial" w:cs="Arial"/>
                <w:sz w:val="24"/>
                <w:szCs w:val="24"/>
                <w14:ligatures w14:val="none"/>
              </w:rPr>
              <w:t>62.7</w:t>
            </w:r>
          </w:p>
        </w:tc>
      </w:tr>
      <w:tr w:rsidR="00475133" w:rsidRPr="00475133" w14:paraId="27D2D886" w14:textId="77777777" w:rsidTr="00475133">
        <w:tc>
          <w:tcPr>
            <w:tcW w:w="0" w:type="auto"/>
            <w:hideMark/>
          </w:tcPr>
          <w:p w14:paraId="349102A3" w14:textId="77777777" w:rsidR="00475133" w:rsidRPr="00475133" w:rsidRDefault="00475133" w:rsidP="00475133">
            <w:pPr>
              <w:rPr>
                <w:rFonts w:ascii="Arial" w:eastAsia="Times New Roman" w:hAnsi="Arial" w:cs="Arial"/>
                <w:sz w:val="24"/>
                <w:szCs w:val="24"/>
                <w14:ligatures w14:val="none"/>
              </w:rPr>
            </w:pPr>
          </w:p>
        </w:tc>
        <w:tc>
          <w:tcPr>
            <w:tcW w:w="0" w:type="auto"/>
            <w:hideMark/>
          </w:tcPr>
          <w:p w14:paraId="3A1EF225"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Female</w:t>
            </w:r>
          </w:p>
        </w:tc>
        <w:tc>
          <w:tcPr>
            <w:tcW w:w="0" w:type="auto"/>
            <w:hideMark/>
          </w:tcPr>
          <w:p w14:paraId="503C417E" w14:textId="267A7021" w:rsidR="00475133" w:rsidRPr="00475133" w:rsidRDefault="00FC47AA" w:rsidP="00475133">
            <w:pPr>
              <w:rPr>
                <w:rFonts w:ascii="Arial" w:eastAsia="Times New Roman" w:hAnsi="Arial" w:cs="Arial"/>
                <w:sz w:val="24"/>
                <w:szCs w:val="24"/>
                <w14:ligatures w14:val="none"/>
              </w:rPr>
            </w:pPr>
            <w:r>
              <w:rPr>
                <w:rFonts w:ascii="Arial" w:eastAsia="Times New Roman" w:hAnsi="Arial" w:cs="Arial"/>
                <w:sz w:val="24"/>
                <w:szCs w:val="24"/>
                <w14:ligatures w14:val="none"/>
              </w:rPr>
              <w:t>22</w:t>
            </w:r>
          </w:p>
        </w:tc>
        <w:tc>
          <w:tcPr>
            <w:tcW w:w="0" w:type="auto"/>
            <w:hideMark/>
          </w:tcPr>
          <w:p w14:paraId="32A966A0" w14:textId="1C9923D0" w:rsidR="00475133" w:rsidRPr="00475133" w:rsidRDefault="00FC47AA" w:rsidP="00475133">
            <w:pPr>
              <w:rPr>
                <w:rFonts w:ascii="Arial" w:eastAsia="Times New Roman" w:hAnsi="Arial" w:cs="Arial"/>
                <w:sz w:val="24"/>
                <w:szCs w:val="24"/>
                <w14:ligatures w14:val="none"/>
              </w:rPr>
            </w:pPr>
            <w:r>
              <w:rPr>
                <w:rFonts w:ascii="Arial" w:eastAsia="Times New Roman" w:hAnsi="Arial" w:cs="Arial"/>
                <w:sz w:val="24"/>
                <w:szCs w:val="24"/>
                <w14:ligatures w14:val="none"/>
              </w:rPr>
              <w:t>37.3</w:t>
            </w:r>
          </w:p>
        </w:tc>
      </w:tr>
      <w:tr w:rsidR="00475133" w:rsidRPr="00475133" w14:paraId="441B5C34" w14:textId="77777777" w:rsidTr="00475133">
        <w:tc>
          <w:tcPr>
            <w:tcW w:w="0" w:type="auto"/>
            <w:hideMark/>
          </w:tcPr>
          <w:p w14:paraId="5EC962B2" w14:textId="77777777" w:rsidR="00475133" w:rsidRPr="00475133" w:rsidRDefault="00475133" w:rsidP="00475133">
            <w:pPr>
              <w:rPr>
                <w:rFonts w:ascii="Arial" w:eastAsia="Times New Roman" w:hAnsi="Arial" w:cs="Arial"/>
                <w:sz w:val="24"/>
                <w:szCs w:val="24"/>
                <w14:ligatures w14:val="none"/>
              </w:rPr>
            </w:pPr>
          </w:p>
        </w:tc>
        <w:tc>
          <w:tcPr>
            <w:tcW w:w="0" w:type="auto"/>
            <w:hideMark/>
          </w:tcPr>
          <w:p w14:paraId="6EDC3495"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Total</w:t>
            </w:r>
          </w:p>
        </w:tc>
        <w:tc>
          <w:tcPr>
            <w:tcW w:w="0" w:type="auto"/>
            <w:hideMark/>
          </w:tcPr>
          <w:p w14:paraId="10DA23E1" w14:textId="1E344369" w:rsidR="00475133" w:rsidRPr="00475133" w:rsidRDefault="00FC47AA" w:rsidP="00475133">
            <w:pPr>
              <w:rPr>
                <w:rFonts w:ascii="Arial" w:eastAsia="Times New Roman" w:hAnsi="Arial" w:cs="Arial"/>
                <w:sz w:val="24"/>
                <w:szCs w:val="24"/>
                <w14:ligatures w14:val="none"/>
              </w:rPr>
            </w:pPr>
            <w:r>
              <w:rPr>
                <w:rFonts w:ascii="Arial" w:eastAsia="Times New Roman" w:hAnsi="Arial" w:cs="Arial"/>
                <w:b/>
                <w:bCs/>
                <w:sz w:val="24"/>
                <w:szCs w:val="24"/>
                <w14:ligatures w14:val="none"/>
              </w:rPr>
              <w:t>59</w:t>
            </w:r>
          </w:p>
        </w:tc>
        <w:tc>
          <w:tcPr>
            <w:tcW w:w="0" w:type="auto"/>
            <w:hideMark/>
          </w:tcPr>
          <w:p w14:paraId="1B9F2A02"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100</w:t>
            </w:r>
          </w:p>
        </w:tc>
      </w:tr>
      <w:tr w:rsidR="00475133" w:rsidRPr="00475133" w14:paraId="452B1FD4" w14:textId="77777777" w:rsidTr="00475133">
        <w:tc>
          <w:tcPr>
            <w:tcW w:w="0" w:type="auto"/>
            <w:hideMark/>
          </w:tcPr>
          <w:p w14:paraId="68AD09AF"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Anatomic site</w:t>
            </w:r>
          </w:p>
        </w:tc>
        <w:tc>
          <w:tcPr>
            <w:tcW w:w="0" w:type="auto"/>
            <w:hideMark/>
          </w:tcPr>
          <w:p w14:paraId="515973C3"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Mandible</w:t>
            </w:r>
          </w:p>
        </w:tc>
        <w:tc>
          <w:tcPr>
            <w:tcW w:w="0" w:type="auto"/>
            <w:hideMark/>
          </w:tcPr>
          <w:p w14:paraId="6FBADCF9"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57</w:t>
            </w:r>
          </w:p>
        </w:tc>
        <w:tc>
          <w:tcPr>
            <w:tcW w:w="0" w:type="auto"/>
            <w:hideMark/>
          </w:tcPr>
          <w:p w14:paraId="6EBC3431"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96.6</w:t>
            </w:r>
          </w:p>
        </w:tc>
      </w:tr>
      <w:tr w:rsidR="00475133" w:rsidRPr="00475133" w14:paraId="608FD07A" w14:textId="77777777" w:rsidTr="00475133">
        <w:tc>
          <w:tcPr>
            <w:tcW w:w="0" w:type="auto"/>
            <w:hideMark/>
          </w:tcPr>
          <w:p w14:paraId="2270F4BD" w14:textId="77777777" w:rsidR="00475133" w:rsidRPr="00475133" w:rsidRDefault="00475133" w:rsidP="00475133">
            <w:pPr>
              <w:rPr>
                <w:rFonts w:ascii="Arial" w:eastAsia="Times New Roman" w:hAnsi="Arial" w:cs="Arial"/>
                <w:sz w:val="24"/>
                <w:szCs w:val="24"/>
                <w14:ligatures w14:val="none"/>
              </w:rPr>
            </w:pPr>
          </w:p>
        </w:tc>
        <w:tc>
          <w:tcPr>
            <w:tcW w:w="0" w:type="auto"/>
            <w:hideMark/>
          </w:tcPr>
          <w:p w14:paraId="6269BFA3"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Maxilla</w:t>
            </w:r>
          </w:p>
        </w:tc>
        <w:tc>
          <w:tcPr>
            <w:tcW w:w="0" w:type="auto"/>
            <w:hideMark/>
          </w:tcPr>
          <w:p w14:paraId="0DE9CD46"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2</w:t>
            </w:r>
          </w:p>
        </w:tc>
        <w:tc>
          <w:tcPr>
            <w:tcW w:w="0" w:type="auto"/>
            <w:hideMark/>
          </w:tcPr>
          <w:p w14:paraId="5D74AFF9"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sz w:val="24"/>
                <w:szCs w:val="24"/>
                <w14:ligatures w14:val="none"/>
              </w:rPr>
              <w:t>3.4</w:t>
            </w:r>
          </w:p>
        </w:tc>
      </w:tr>
      <w:tr w:rsidR="00475133" w:rsidRPr="00475133" w14:paraId="2D5CEC6A" w14:textId="77777777" w:rsidTr="00475133">
        <w:tc>
          <w:tcPr>
            <w:tcW w:w="0" w:type="auto"/>
            <w:hideMark/>
          </w:tcPr>
          <w:p w14:paraId="083DBD2D" w14:textId="77777777" w:rsidR="00475133" w:rsidRPr="00475133" w:rsidRDefault="00475133" w:rsidP="00475133">
            <w:pPr>
              <w:rPr>
                <w:rFonts w:ascii="Arial" w:eastAsia="Times New Roman" w:hAnsi="Arial" w:cs="Arial"/>
                <w:sz w:val="24"/>
                <w:szCs w:val="24"/>
                <w14:ligatures w14:val="none"/>
              </w:rPr>
            </w:pPr>
          </w:p>
        </w:tc>
        <w:tc>
          <w:tcPr>
            <w:tcW w:w="0" w:type="auto"/>
            <w:hideMark/>
          </w:tcPr>
          <w:p w14:paraId="438F2D8E" w14:textId="0FC35C7F"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Total</w:t>
            </w:r>
          </w:p>
        </w:tc>
        <w:tc>
          <w:tcPr>
            <w:tcW w:w="0" w:type="auto"/>
            <w:hideMark/>
          </w:tcPr>
          <w:p w14:paraId="66D381FE"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59</w:t>
            </w:r>
          </w:p>
        </w:tc>
        <w:tc>
          <w:tcPr>
            <w:tcW w:w="0" w:type="auto"/>
            <w:hideMark/>
          </w:tcPr>
          <w:p w14:paraId="5B2ECC35" w14:textId="77777777" w:rsidR="00475133" w:rsidRPr="00475133" w:rsidRDefault="00475133" w:rsidP="00475133">
            <w:pPr>
              <w:rPr>
                <w:rFonts w:ascii="Arial" w:eastAsia="Times New Roman" w:hAnsi="Arial" w:cs="Arial"/>
                <w:sz w:val="24"/>
                <w:szCs w:val="24"/>
                <w14:ligatures w14:val="none"/>
              </w:rPr>
            </w:pPr>
            <w:r w:rsidRPr="00475133">
              <w:rPr>
                <w:rFonts w:ascii="Arial" w:eastAsia="Times New Roman" w:hAnsi="Arial" w:cs="Arial"/>
                <w:b/>
                <w:bCs/>
                <w:sz w:val="24"/>
                <w:szCs w:val="24"/>
                <w14:ligatures w14:val="none"/>
              </w:rPr>
              <w:t>100</w:t>
            </w:r>
          </w:p>
        </w:tc>
      </w:tr>
    </w:tbl>
    <w:p w14:paraId="4171341F" w14:textId="77777777" w:rsidR="00475133" w:rsidRDefault="00475133" w:rsidP="002E287B">
      <w:pPr>
        <w:jc w:val="both"/>
        <w:rPr>
          <w:rFonts w:ascii="Arial" w:hAnsi="Arial" w:cs="Arial"/>
          <w:color w:val="000000" w:themeColor="text1"/>
        </w:rPr>
      </w:pPr>
    </w:p>
    <w:p w14:paraId="184F2947" w14:textId="77777777" w:rsidR="002E287B" w:rsidRDefault="002E287B" w:rsidP="00126B2F">
      <w:pPr>
        <w:jc w:val="both"/>
        <w:rPr>
          <w:rFonts w:ascii="Arial" w:hAnsi="Arial" w:cs="Arial"/>
          <w:color w:val="000000" w:themeColor="text1"/>
        </w:rPr>
      </w:pPr>
    </w:p>
    <w:p w14:paraId="3C530469" w14:textId="77777777" w:rsidR="001B2C8D" w:rsidRDefault="001B2C8D" w:rsidP="001B2C8D">
      <w:pPr>
        <w:jc w:val="both"/>
        <w:rPr>
          <w:rFonts w:ascii="Arial" w:hAnsi="Arial" w:cs="Arial"/>
          <w:b/>
          <w:bCs/>
          <w:color w:val="000000" w:themeColor="text1"/>
        </w:rPr>
      </w:pPr>
    </w:p>
    <w:p w14:paraId="0A0385CF" w14:textId="77777777" w:rsidR="00384A89" w:rsidRPr="00D30DBE" w:rsidRDefault="00384A89" w:rsidP="00384A89">
      <w:pPr>
        <w:spacing w:before="100" w:beforeAutospacing="1" w:after="100" w:afterAutospacing="1" w:line="240" w:lineRule="auto"/>
        <w:outlineLvl w:val="0"/>
        <w:rPr>
          <w:rFonts w:ascii="Arial" w:eastAsia="Times New Roman" w:hAnsi="Arial" w:cs="Arial"/>
          <w:b/>
          <w:bCs/>
          <w:kern w:val="36"/>
          <w14:ligatures w14:val="none"/>
        </w:rPr>
      </w:pPr>
      <w:r w:rsidRPr="00D30DBE">
        <w:rPr>
          <w:rFonts w:ascii="Arial" w:eastAsia="Times New Roman" w:hAnsi="Arial" w:cs="Arial"/>
          <w:b/>
          <w:bCs/>
          <w:kern w:val="36"/>
          <w14:ligatures w14:val="none"/>
        </w:rPr>
        <w:t>Table 2. Distribution of Cases by Biologic Type and Histologic Variant (n = 59)</w:t>
      </w:r>
    </w:p>
    <w:tbl>
      <w:tblPr>
        <w:tblStyle w:val="TableGrid12"/>
        <w:tblW w:w="0" w:type="auto"/>
        <w:tblLook w:val="04A0" w:firstRow="1" w:lastRow="0" w:firstColumn="1" w:lastColumn="0" w:noHBand="0" w:noVBand="1"/>
      </w:tblPr>
      <w:tblGrid>
        <w:gridCol w:w="2942"/>
        <w:gridCol w:w="2987"/>
        <w:gridCol w:w="1651"/>
        <w:gridCol w:w="1770"/>
      </w:tblGrid>
      <w:tr w:rsidR="00384A89" w:rsidRPr="00D30DBE" w14:paraId="6235F0D5" w14:textId="77777777" w:rsidTr="00384A89">
        <w:tc>
          <w:tcPr>
            <w:tcW w:w="0" w:type="auto"/>
            <w:hideMark/>
          </w:tcPr>
          <w:p w14:paraId="4431112B" w14:textId="77777777" w:rsidR="00384A89" w:rsidRPr="00D30DBE" w:rsidRDefault="00384A89" w:rsidP="00384A89">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Biologic Type</w:t>
            </w:r>
          </w:p>
        </w:tc>
        <w:tc>
          <w:tcPr>
            <w:tcW w:w="0" w:type="auto"/>
            <w:hideMark/>
          </w:tcPr>
          <w:p w14:paraId="296C7697" w14:textId="77777777" w:rsidR="00384A89" w:rsidRPr="00D30DBE" w:rsidRDefault="00384A89" w:rsidP="00384A89">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Histologic Variant</w:t>
            </w:r>
          </w:p>
        </w:tc>
        <w:tc>
          <w:tcPr>
            <w:tcW w:w="0" w:type="auto"/>
            <w:hideMark/>
          </w:tcPr>
          <w:p w14:paraId="410E3BC6" w14:textId="77777777" w:rsidR="00384A89" w:rsidRPr="00D30DBE" w:rsidRDefault="00384A89" w:rsidP="00384A89">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Frequency (n)</w:t>
            </w:r>
          </w:p>
        </w:tc>
        <w:tc>
          <w:tcPr>
            <w:tcW w:w="0" w:type="auto"/>
            <w:hideMark/>
          </w:tcPr>
          <w:p w14:paraId="5A17E841" w14:textId="77777777" w:rsidR="00384A89" w:rsidRPr="00D30DBE" w:rsidRDefault="00384A89" w:rsidP="00384A89">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Percentage (%)</w:t>
            </w:r>
          </w:p>
        </w:tc>
      </w:tr>
      <w:tr w:rsidR="00384A89" w:rsidRPr="00D30DBE" w14:paraId="4AD9A5C4" w14:textId="77777777" w:rsidTr="00384A89">
        <w:tc>
          <w:tcPr>
            <w:tcW w:w="0" w:type="auto"/>
            <w:hideMark/>
          </w:tcPr>
          <w:p w14:paraId="4A6518CF" w14:textId="77777777" w:rsidR="00384A89" w:rsidRPr="00D30DBE" w:rsidRDefault="00384A89" w:rsidP="00384A89">
            <w:pPr>
              <w:rPr>
                <w:rFonts w:ascii="Arial" w:eastAsia="Times New Roman" w:hAnsi="Arial" w:cs="Arial"/>
                <w:sz w:val="24"/>
                <w:szCs w:val="24"/>
                <w14:ligatures w14:val="none"/>
              </w:rPr>
            </w:pPr>
            <w:proofErr w:type="spellStart"/>
            <w:r w:rsidRPr="00D30DBE">
              <w:rPr>
                <w:rFonts w:ascii="Arial" w:eastAsia="Times New Roman" w:hAnsi="Arial" w:cs="Arial"/>
                <w:b/>
                <w:bCs/>
                <w:sz w:val="24"/>
                <w:szCs w:val="24"/>
                <w14:ligatures w14:val="none"/>
              </w:rPr>
              <w:t>Unicystic</w:t>
            </w:r>
            <w:proofErr w:type="spellEnd"/>
            <w:r w:rsidRPr="00D30DBE">
              <w:rPr>
                <w:rFonts w:ascii="Arial" w:eastAsia="Times New Roman" w:hAnsi="Arial" w:cs="Arial"/>
                <w:b/>
                <w:bCs/>
                <w:sz w:val="24"/>
                <w:szCs w:val="24"/>
                <w14:ligatures w14:val="none"/>
              </w:rPr>
              <w:t xml:space="preserve"> </w:t>
            </w:r>
            <w:proofErr w:type="spellStart"/>
            <w:r w:rsidRPr="00D30DBE">
              <w:rPr>
                <w:rFonts w:ascii="Arial" w:eastAsia="Times New Roman" w:hAnsi="Arial" w:cs="Arial"/>
                <w:b/>
                <w:bCs/>
                <w:sz w:val="24"/>
                <w:szCs w:val="24"/>
                <w14:ligatures w14:val="none"/>
              </w:rPr>
              <w:t>Ameloblastoma</w:t>
            </w:r>
            <w:proofErr w:type="spellEnd"/>
          </w:p>
        </w:tc>
        <w:tc>
          <w:tcPr>
            <w:tcW w:w="0" w:type="auto"/>
            <w:hideMark/>
          </w:tcPr>
          <w:p w14:paraId="23759996"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Mural</w:t>
            </w:r>
          </w:p>
        </w:tc>
        <w:tc>
          <w:tcPr>
            <w:tcW w:w="0" w:type="auto"/>
            <w:hideMark/>
          </w:tcPr>
          <w:p w14:paraId="7191E7E8"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14</w:t>
            </w:r>
          </w:p>
        </w:tc>
        <w:tc>
          <w:tcPr>
            <w:tcW w:w="0" w:type="auto"/>
            <w:hideMark/>
          </w:tcPr>
          <w:p w14:paraId="057A9603"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23.7</w:t>
            </w:r>
          </w:p>
        </w:tc>
      </w:tr>
      <w:tr w:rsidR="00384A89" w:rsidRPr="00D30DBE" w14:paraId="2FA5F9D2" w14:textId="77777777" w:rsidTr="00384A89">
        <w:tc>
          <w:tcPr>
            <w:tcW w:w="0" w:type="auto"/>
            <w:hideMark/>
          </w:tcPr>
          <w:p w14:paraId="1AB91E48"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4ACB6DF9"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Luminal/Intraluminal</w:t>
            </w:r>
          </w:p>
        </w:tc>
        <w:tc>
          <w:tcPr>
            <w:tcW w:w="0" w:type="auto"/>
            <w:hideMark/>
          </w:tcPr>
          <w:p w14:paraId="7946BDAC"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6</w:t>
            </w:r>
          </w:p>
        </w:tc>
        <w:tc>
          <w:tcPr>
            <w:tcW w:w="0" w:type="auto"/>
            <w:hideMark/>
          </w:tcPr>
          <w:p w14:paraId="29E775FB"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10.2</w:t>
            </w:r>
          </w:p>
        </w:tc>
      </w:tr>
      <w:tr w:rsidR="00384A89" w:rsidRPr="00D30DBE" w14:paraId="3FD14064" w14:textId="77777777" w:rsidTr="00384A89">
        <w:tc>
          <w:tcPr>
            <w:tcW w:w="0" w:type="auto"/>
            <w:hideMark/>
          </w:tcPr>
          <w:p w14:paraId="0D6DCCC0"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4854A4F6"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Follicular</w:t>
            </w:r>
          </w:p>
        </w:tc>
        <w:tc>
          <w:tcPr>
            <w:tcW w:w="0" w:type="auto"/>
            <w:hideMark/>
          </w:tcPr>
          <w:p w14:paraId="72494895"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4</w:t>
            </w:r>
          </w:p>
        </w:tc>
        <w:tc>
          <w:tcPr>
            <w:tcW w:w="0" w:type="auto"/>
            <w:hideMark/>
          </w:tcPr>
          <w:p w14:paraId="00726675"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6.8</w:t>
            </w:r>
          </w:p>
        </w:tc>
      </w:tr>
      <w:tr w:rsidR="00384A89" w:rsidRPr="00D30DBE" w14:paraId="6D89213E" w14:textId="77777777" w:rsidTr="00384A89">
        <w:tc>
          <w:tcPr>
            <w:tcW w:w="0" w:type="auto"/>
            <w:hideMark/>
          </w:tcPr>
          <w:p w14:paraId="59A00469"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6AD60B68"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Intraluminal and Mural</w:t>
            </w:r>
          </w:p>
        </w:tc>
        <w:tc>
          <w:tcPr>
            <w:tcW w:w="0" w:type="auto"/>
            <w:hideMark/>
          </w:tcPr>
          <w:p w14:paraId="308077C3"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w:t>
            </w:r>
          </w:p>
        </w:tc>
        <w:tc>
          <w:tcPr>
            <w:tcW w:w="0" w:type="auto"/>
            <w:hideMark/>
          </w:tcPr>
          <w:p w14:paraId="4B7F4BBB"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3.4</w:t>
            </w:r>
          </w:p>
        </w:tc>
      </w:tr>
      <w:tr w:rsidR="00384A89" w:rsidRPr="00D30DBE" w14:paraId="00F5CA6E" w14:textId="77777777" w:rsidTr="00384A89">
        <w:tc>
          <w:tcPr>
            <w:tcW w:w="0" w:type="auto"/>
            <w:hideMark/>
          </w:tcPr>
          <w:p w14:paraId="40CD3F56"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1D038ACE"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Plexiform</w:t>
            </w:r>
          </w:p>
        </w:tc>
        <w:tc>
          <w:tcPr>
            <w:tcW w:w="0" w:type="auto"/>
            <w:hideMark/>
          </w:tcPr>
          <w:p w14:paraId="2BF0BC08"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w:t>
            </w:r>
          </w:p>
        </w:tc>
        <w:tc>
          <w:tcPr>
            <w:tcW w:w="0" w:type="auto"/>
            <w:hideMark/>
          </w:tcPr>
          <w:p w14:paraId="4D6A456A"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1.7</w:t>
            </w:r>
          </w:p>
        </w:tc>
      </w:tr>
      <w:tr w:rsidR="00384A89" w:rsidRPr="00D30DBE" w14:paraId="3DFDEE36" w14:textId="77777777" w:rsidTr="00384A89">
        <w:tc>
          <w:tcPr>
            <w:tcW w:w="0" w:type="auto"/>
            <w:hideMark/>
          </w:tcPr>
          <w:p w14:paraId="7063860C"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351A5B05" w14:textId="77777777" w:rsidR="00384A89" w:rsidRPr="00D30DBE" w:rsidRDefault="00384A89" w:rsidP="00384A89">
            <w:pPr>
              <w:rPr>
                <w:rFonts w:ascii="Arial" w:eastAsia="Times New Roman" w:hAnsi="Arial" w:cs="Arial"/>
                <w:sz w:val="24"/>
                <w:szCs w:val="24"/>
                <w14:ligatures w14:val="none"/>
              </w:rPr>
            </w:pPr>
            <w:proofErr w:type="spellStart"/>
            <w:r w:rsidRPr="00D30DBE">
              <w:rPr>
                <w:rFonts w:ascii="Arial" w:eastAsia="Times New Roman" w:hAnsi="Arial" w:cs="Arial"/>
                <w:sz w:val="24"/>
                <w:szCs w:val="24"/>
                <w14:ligatures w14:val="none"/>
              </w:rPr>
              <w:t>Plexiform</w:t>
            </w:r>
            <w:proofErr w:type="spellEnd"/>
            <w:r w:rsidRPr="00D30DBE">
              <w:rPr>
                <w:rFonts w:ascii="Arial" w:eastAsia="Times New Roman" w:hAnsi="Arial" w:cs="Arial"/>
                <w:sz w:val="24"/>
                <w:szCs w:val="24"/>
                <w14:ligatures w14:val="none"/>
              </w:rPr>
              <w:t xml:space="preserve"> and </w:t>
            </w:r>
            <w:proofErr w:type="spellStart"/>
            <w:r w:rsidRPr="00D30DBE">
              <w:rPr>
                <w:rFonts w:ascii="Arial" w:eastAsia="Times New Roman" w:hAnsi="Arial" w:cs="Arial"/>
                <w:sz w:val="24"/>
                <w:szCs w:val="24"/>
                <w14:ligatures w14:val="none"/>
              </w:rPr>
              <w:t>Acanthomatous</w:t>
            </w:r>
            <w:proofErr w:type="spellEnd"/>
          </w:p>
        </w:tc>
        <w:tc>
          <w:tcPr>
            <w:tcW w:w="0" w:type="auto"/>
            <w:hideMark/>
          </w:tcPr>
          <w:p w14:paraId="4F2299F8"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w:t>
            </w:r>
          </w:p>
        </w:tc>
        <w:tc>
          <w:tcPr>
            <w:tcW w:w="0" w:type="auto"/>
            <w:hideMark/>
          </w:tcPr>
          <w:p w14:paraId="7D79A00C"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1.7</w:t>
            </w:r>
          </w:p>
        </w:tc>
      </w:tr>
      <w:tr w:rsidR="00384A89" w:rsidRPr="00D30DBE" w14:paraId="54744DA0" w14:textId="77777777" w:rsidTr="00384A89">
        <w:tc>
          <w:tcPr>
            <w:tcW w:w="0" w:type="auto"/>
            <w:hideMark/>
          </w:tcPr>
          <w:p w14:paraId="51A85F37"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43599367"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Subtotal</w:t>
            </w:r>
          </w:p>
        </w:tc>
        <w:tc>
          <w:tcPr>
            <w:tcW w:w="0" w:type="auto"/>
            <w:hideMark/>
          </w:tcPr>
          <w:p w14:paraId="5E78A8C3"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28</w:t>
            </w:r>
          </w:p>
        </w:tc>
        <w:tc>
          <w:tcPr>
            <w:tcW w:w="0" w:type="auto"/>
            <w:hideMark/>
          </w:tcPr>
          <w:p w14:paraId="55EF3294"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47.5</w:t>
            </w:r>
          </w:p>
        </w:tc>
      </w:tr>
      <w:tr w:rsidR="00384A89" w:rsidRPr="00D30DBE" w14:paraId="391B7483" w14:textId="77777777" w:rsidTr="00384A89">
        <w:tc>
          <w:tcPr>
            <w:tcW w:w="0" w:type="auto"/>
            <w:hideMark/>
          </w:tcPr>
          <w:p w14:paraId="0CD2E89E"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Conventional Ameloblastoma</w:t>
            </w:r>
          </w:p>
        </w:tc>
        <w:tc>
          <w:tcPr>
            <w:tcW w:w="0" w:type="auto"/>
            <w:hideMark/>
          </w:tcPr>
          <w:p w14:paraId="1232A1AF"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Plexiform</w:t>
            </w:r>
          </w:p>
        </w:tc>
        <w:tc>
          <w:tcPr>
            <w:tcW w:w="0" w:type="auto"/>
            <w:hideMark/>
          </w:tcPr>
          <w:p w14:paraId="3B717776"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16</w:t>
            </w:r>
          </w:p>
        </w:tc>
        <w:tc>
          <w:tcPr>
            <w:tcW w:w="0" w:type="auto"/>
            <w:hideMark/>
          </w:tcPr>
          <w:p w14:paraId="0B00CF40"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27.1</w:t>
            </w:r>
          </w:p>
        </w:tc>
      </w:tr>
      <w:tr w:rsidR="00384A89" w:rsidRPr="00D30DBE" w14:paraId="2DFD805C" w14:textId="77777777" w:rsidTr="00384A89">
        <w:tc>
          <w:tcPr>
            <w:tcW w:w="0" w:type="auto"/>
            <w:hideMark/>
          </w:tcPr>
          <w:p w14:paraId="6D518A26"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6C2DB55C"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Follicular</w:t>
            </w:r>
          </w:p>
        </w:tc>
        <w:tc>
          <w:tcPr>
            <w:tcW w:w="0" w:type="auto"/>
            <w:hideMark/>
          </w:tcPr>
          <w:p w14:paraId="30937772"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4</w:t>
            </w:r>
          </w:p>
        </w:tc>
        <w:tc>
          <w:tcPr>
            <w:tcW w:w="0" w:type="auto"/>
            <w:hideMark/>
          </w:tcPr>
          <w:p w14:paraId="245A0EFB"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6.8</w:t>
            </w:r>
          </w:p>
        </w:tc>
      </w:tr>
      <w:tr w:rsidR="00384A89" w:rsidRPr="00D30DBE" w14:paraId="3939C05F" w14:textId="77777777" w:rsidTr="00384A89">
        <w:tc>
          <w:tcPr>
            <w:tcW w:w="0" w:type="auto"/>
            <w:hideMark/>
          </w:tcPr>
          <w:p w14:paraId="713226B4"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2C03CD10"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None specified</w:t>
            </w:r>
          </w:p>
        </w:tc>
        <w:tc>
          <w:tcPr>
            <w:tcW w:w="0" w:type="auto"/>
            <w:hideMark/>
          </w:tcPr>
          <w:p w14:paraId="28DEBA74"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5</w:t>
            </w:r>
          </w:p>
        </w:tc>
        <w:tc>
          <w:tcPr>
            <w:tcW w:w="0" w:type="auto"/>
            <w:hideMark/>
          </w:tcPr>
          <w:p w14:paraId="03A3AD3D"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8.5</w:t>
            </w:r>
          </w:p>
        </w:tc>
      </w:tr>
      <w:tr w:rsidR="00384A89" w:rsidRPr="00D30DBE" w14:paraId="796F7C4C" w14:textId="77777777" w:rsidTr="00384A89">
        <w:tc>
          <w:tcPr>
            <w:tcW w:w="0" w:type="auto"/>
            <w:hideMark/>
          </w:tcPr>
          <w:p w14:paraId="7795D3BA"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49E870E5"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Mural</w:t>
            </w:r>
          </w:p>
        </w:tc>
        <w:tc>
          <w:tcPr>
            <w:tcW w:w="0" w:type="auto"/>
            <w:hideMark/>
          </w:tcPr>
          <w:p w14:paraId="753FD170"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w:t>
            </w:r>
          </w:p>
        </w:tc>
        <w:tc>
          <w:tcPr>
            <w:tcW w:w="0" w:type="auto"/>
            <w:hideMark/>
          </w:tcPr>
          <w:p w14:paraId="2C52A422"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3.4</w:t>
            </w:r>
          </w:p>
        </w:tc>
      </w:tr>
      <w:tr w:rsidR="00384A89" w:rsidRPr="00D30DBE" w14:paraId="08534D21" w14:textId="77777777" w:rsidTr="00384A89">
        <w:tc>
          <w:tcPr>
            <w:tcW w:w="0" w:type="auto"/>
            <w:hideMark/>
          </w:tcPr>
          <w:p w14:paraId="4500688B"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3BB77CEE" w14:textId="77777777" w:rsidR="00384A89" w:rsidRPr="00D30DBE" w:rsidRDefault="00384A89" w:rsidP="00384A89">
            <w:pPr>
              <w:rPr>
                <w:rFonts w:ascii="Arial" w:eastAsia="Times New Roman" w:hAnsi="Arial" w:cs="Arial"/>
                <w:sz w:val="24"/>
                <w:szCs w:val="24"/>
                <w14:ligatures w14:val="none"/>
              </w:rPr>
            </w:pPr>
            <w:proofErr w:type="spellStart"/>
            <w:r w:rsidRPr="00D30DBE">
              <w:rPr>
                <w:rFonts w:ascii="Arial" w:eastAsia="Times New Roman" w:hAnsi="Arial" w:cs="Arial"/>
                <w:sz w:val="24"/>
                <w:szCs w:val="24"/>
                <w14:ligatures w14:val="none"/>
              </w:rPr>
              <w:t>Plexiform</w:t>
            </w:r>
            <w:proofErr w:type="spellEnd"/>
            <w:r w:rsidRPr="00D30DBE">
              <w:rPr>
                <w:rFonts w:ascii="Arial" w:eastAsia="Times New Roman" w:hAnsi="Arial" w:cs="Arial"/>
                <w:sz w:val="24"/>
                <w:szCs w:val="24"/>
                <w14:ligatures w14:val="none"/>
              </w:rPr>
              <w:t xml:space="preserve"> and </w:t>
            </w:r>
            <w:proofErr w:type="spellStart"/>
            <w:r w:rsidRPr="00D30DBE">
              <w:rPr>
                <w:rFonts w:ascii="Arial" w:eastAsia="Times New Roman" w:hAnsi="Arial" w:cs="Arial"/>
                <w:sz w:val="24"/>
                <w:szCs w:val="24"/>
                <w14:ligatures w14:val="none"/>
              </w:rPr>
              <w:t>Acanthomatous</w:t>
            </w:r>
            <w:proofErr w:type="spellEnd"/>
          </w:p>
        </w:tc>
        <w:tc>
          <w:tcPr>
            <w:tcW w:w="0" w:type="auto"/>
            <w:hideMark/>
          </w:tcPr>
          <w:p w14:paraId="09408789"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w:t>
            </w:r>
          </w:p>
        </w:tc>
        <w:tc>
          <w:tcPr>
            <w:tcW w:w="0" w:type="auto"/>
            <w:hideMark/>
          </w:tcPr>
          <w:p w14:paraId="0B9C5AC7"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3.4</w:t>
            </w:r>
          </w:p>
        </w:tc>
      </w:tr>
      <w:tr w:rsidR="00384A89" w:rsidRPr="00D30DBE" w14:paraId="12A69281" w14:textId="77777777" w:rsidTr="00384A89">
        <w:tc>
          <w:tcPr>
            <w:tcW w:w="0" w:type="auto"/>
            <w:hideMark/>
          </w:tcPr>
          <w:p w14:paraId="7EC28D60"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08B6AA64"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Luminal/Intraluminal</w:t>
            </w:r>
          </w:p>
        </w:tc>
        <w:tc>
          <w:tcPr>
            <w:tcW w:w="0" w:type="auto"/>
            <w:hideMark/>
          </w:tcPr>
          <w:p w14:paraId="62B38462"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w:t>
            </w:r>
          </w:p>
        </w:tc>
        <w:tc>
          <w:tcPr>
            <w:tcW w:w="0" w:type="auto"/>
            <w:hideMark/>
          </w:tcPr>
          <w:p w14:paraId="1BEA9D70"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1.7</w:t>
            </w:r>
          </w:p>
        </w:tc>
      </w:tr>
      <w:tr w:rsidR="00384A89" w:rsidRPr="00D30DBE" w14:paraId="6EF69A3B" w14:textId="77777777" w:rsidTr="00384A89">
        <w:tc>
          <w:tcPr>
            <w:tcW w:w="0" w:type="auto"/>
            <w:hideMark/>
          </w:tcPr>
          <w:p w14:paraId="1B4F16EA"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442EBD63"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Intraluminal and Mural</w:t>
            </w:r>
          </w:p>
        </w:tc>
        <w:tc>
          <w:tcPr>
            <w:tcW w:w="0" w:type="auto"/>
            <w:hideMark/>
          </w:tcPr>
          <w:p w14:paraId="50246983"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w:t>
            </w:r>
          </w:p>
        </w:tc>
        <w:tc>
          <w:tcPr>
            <w:tcW w:w="0" w:type="auto"/>
            <w:hideMark/>
          </w:tcPr>
          <w:p w14:paraId="1FF0ABAC"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1.7</w:t>
            </w:r>
          </w:p>
        </w:tc>
      </w:tr>
      <w:tr w:rsidR="00384A89" w:rsidRPr="00D30DBE" w14:paraId="6F46FA6E" w14:textId="77777777" w:rsidTr="00384A89">
        <w:tc>
          <w:tcPr>
            <w:tcW w:w="0" w:type="auto"/>
            <w:hideMark/>
          </w:tcPr>
          <w:p w14:paraId="0587C4D8" w14:textId="77777777" w:rsidR="00384A89" w:rsidRPr="00D30DBE" w:rsidRDefault="00384A89" w:rsidP="00384A89">
            <w:pPr>
              <w:rPr>
                <w:rFonts w:ascii="Arial" w:eastAsia="Times New Roman" w:hAnsi="Arial" w:cs="Arial"/>
                <w:sz w:val="24"/>
                <w:szCs w:val="24"/>
                <w14:ligatures w14:val="none"/>
              </w:rPr>
            </w:pPr>
          </w:p>
        </w:tc>
        <w:tc>
          <w:tcPr>
            <w:tcW w:w="0" w:type="auto"/>
            <w:hideMark/>
          </w:tcPr>
          <w:p w14:paraId="44974C3D"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Subtotal</w:t>
            </w:r>
          </w:p>
        </w:tc>
        <w:tc>
          <w:tcPr>
            <w:tcW w:w="0" w:type="auto"/>
            <w:hideMark/>
          </w:tcPr>
          <w:p w14:paraId="7B549BB8"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31</w:t>
            </w:r>
          </w:p>
        </w:tc>
        <w:tc>
          <w:tcPr>
            <w:tcW w:w="0" w:type="auto"/>
            <w:hideMark/>
          </w:tcPr>
          <w:p w14:paraId="77E6E0B2"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52.5</w:t>
            </w:r>
          </w:p>
        </w:tc>
      </w:tr>
      <w:tr w:rsidR="00384A89" w:rsidRPr="00384A89" w14:paraId="2422C31E" w14:textId="77777777" w:rsidTr="00384A89">
        <w:tc>
          <w:tcPr>
            <w:tcW w:w="0" w:type="auto"/>
            <w:hideMark/>
          </w:tcPr>
          <w:p w14:paraId="11025236"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Total</w:t>
            </w:r>
          </w:p>
        </w:tc>
        <w:tc>
          <w:tcPr>
            <w:tcW w:w="0" w:type="auto"/>
            <w:hideMark/>
          </w:tcPr>
          <w:p w14:paraId="2118AC06"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w:t>
            </w:r>
          </w:p>
        </w:tc>
        <w:tc>
          <w:tcPr>
            <w:tcW w:w="0" w:type="auto"/>
            <w:hideMark/>
          </w:tcPr>
          <w:p w14:paraId="4A8C23D1" w14:textId="77777777" w:rsidR="00384A89" w:rsidRPr="00D30DBE"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59</w:t>
            </w:r>
          </w:p>
        </w:tc>
        <w:tc>
          <w:tcPr>
            <w:tcW w:w="0" w:type="auto"/>
            <w:hideMark/>
          </w:tcPr>
          <w:p w14:paraId="7D46E742" w14:textId="77777777" w:rsidR="00384A89" w:rsidRPr="00384A89" w:rsidRDefault="00384A89" w:rsidP="00384A89">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100</w:t>
            </w:r>
          </w:p>
        </w:tc>
      </w:tr>
    </w:tbl>
    <w:p w14:paraId="5675D2FA" w14:textId="77777777" w:rsidR="001B2C8D" w:rsidRPr="00384A89" w:rsidRDefault="001B2C8D" w:rsidP="001B2C8D">
      <w:pPr>
        <w:jc w:val="both"/>
        <w:rPr>
          <w:rFonts w:ascii="Arial" w:hAnsi="Arial" w:cs="Arial"/>
          <w:b/>
          <w:bCs/>
          <w:color w:val="000000" w:themeColor="text1"/>
        </w:rPr>
      </w:pPr>
    </w:p>
    <w:p w14:paraId="112704A1" w14:textId="57DD0E2E" w:rsidR="001B2C8D" w:rsidRPr="001B2C8D" w:rsidRDefault="001B2C8D" w:rsidP="001B2C8D">
      <w:pPr>
        <w:jc w:val="both"/>
        <w:rPr>
          <w:rFonts w:ascii="Arial" w:hAnsi="Arial" w:cs="Arial"/>
          <w:b/>
          <w:bCs/>
          <w:color w:val="000000" w:themeColor="text1"/>
        </w:rPr>
      </w:pPr>
      <w:r w:rsidRPr="001B2C8D">
        <w:rPr>
          <w:rFonts w:ascii="Arial" w:hAnsi="Arial" w:cs="Arial"/>
          <w:b/>
          <w:bCs/>
          <w:color w:val="000000" w:themeColor="text1"/>
        </w:rPr>
        <w:t>Table 3. Radiographic Appearance According to Biologic Type (n = 59)</w:t>
      </w:r>
    </w:p>
    <w:tbl>
      <w:tblPr>
        <w:tblStyle w:val="TableGrid"/>
        <w:tblW w:w="0" w:type="auto"/>
        <w:tblLook w:val="04A0" w:firstRow="1" w:lastRow="0" w:firstColumn="1" w:lastColumn="0" w:noHBand="0" w:noVBand="1"/>
      </w:tblPr>
      <w:tblGrid>
        <w:gridCol w:w="2219"/>
        <w:gridCol w:w="2505"/>
        <w:gridCol w:w="1627"/>
        <w:gridCol w:w="2999"/>
      </w:tblGrid>
      <w:tr w:rsidR="001B2C8D" w:rsidRPr="001B2C8D" w14:paraId="3FD5A571" w14:textId="77777777" w:rsidTr="00A5143A">
        <w:tc>
          <w:tcPr>
            <w:tcW w:w="0" w:type="auto"/>
            <w:hideMark/>
          </w:tcPr>
          <w:p w14:paraId="20E94D10"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Biologic Type</w:t>
            </w:r>
          </w:p>
        </w:tc>
        <w:tc>
          <w:tcPr>
            <w:tcW w:w="0" w:type="auto"/>
            <w:hideMark/>
          </w:tcPr>
          <w:p w14:paraId="313E179C"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Radiographic Appearance</w:t>
            </w:r>
          </w:p>
        </w:tc>
        <w:tc>
          <w:tcPr>
            <w:tcW w:w="0" w:type="auto"/>
            <w:hideMark/>
          </w:tcPr>
          <w:p w14:paraId="361C8960"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Frequency (n)</w:t>
            </w:r>
          </w:p>
        </w:tc>
        <w:tc>
          <w:tcPr>
            <w:tcW w:w="0" w:type="auto"/>
            <w:hideMark/>
          </w:tcPr>
          <w:p w14:paraId="7FCEE935"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Percentage within Biologic Type (%)</w:t>
            </w:r>
          </w:p>
        </w:tc>
      </w:tr>
      <w:tr w:rsidR="001B2C8D" w:rsidRPr="001B2C8D" w14:paraId="6313C059" w14:textId="77777777" w:rsidTr="00A5143A">
        <w:tc>
          <w:tcPr>
            <w:tcW w:w="0" w:type="auto"/>
            <w:hideMark/>
          </w:tcPr>
          <w:p w14:paraId="0238BE64" w14:textId="77777777" w:rsidR="001B2C8D" w:rsidRPr="001B2C8D" w:rsidRDefault="001B2C8D" w:rsidP="001B2C8D">
            <w:pPr>
              <w:spacing w:after="160" w:line="278" w:lineRule="auto"/>
              <w:jc w:val="both"/>
              <w:rPr>
                <w:rFonts w:ascii="Arial" w:hAnsi="Arial" w:cs="Arial"/>
                <w:color w:val="000000" w:themeColor="text1"/>
              </w:rPr>
            </w:pPr>
            <w:proofErr w:type="spellStart"/>
            <w:r w:rsidRPr="001B2C8D">
              <w:rPr>
                <w:rFonts w:ascii="Arial" w:hAnsi="Arial" w:cs="Arial"/>
                <w:b/>
                <w:bCs/>
                <w:color w:val="000000" w:themeColor="text1"/>
              </w:rPr>
              <w:t>Unicystic</w:t>
            </w:r>
            <w:proofErr w:type="spellEnd"/>
            <w:r w:rsidRPr="001B2C8D">
              <w:rPr>
                <w:rFonts w:ascii="Arial" w:hAnsi="Arial" w:cs="Arial"/>
                <w:b/>
                <w:bCs/>
                <w:color w:val="000000" w:themeColor="text1"/>
              </w:rPr>
              <w:t xml:space="preserve"> (n = 28)</w:t>
            </w:r>
          </w:p>
        </w:tc>
        <w:tc>
          <w:tcPr>
            <w:tcW w:w="0" w:type="auto"/>
            <w:hideMark/>
          </w:tcPr>
          <w:p w14:paraId="55ECA9BD"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Unilocular</w:t>
            </w:r>
          </w:p>
        </w:tc>
        <w:tc>
          <w:tcPr>
            <w:tcW w:w="0" w:type="auto"/>
            <w:hideMark/>
          </w:tcPr>
          <w:p w14:paraId="7338A654"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27</w:t>
            </w:r>
          </w:p>
        </w:tc>
        <w:tc>
          <w:tcPr>
            <w:tcW w:w="0" w:type="auto"/>
            <w:hideMark/>
          </w:tcPr>
          <w:p w14:paraId="5F51E03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96.4</w:t>
            </w:r>
          </w:p>
        </w:tc>
      </w:tr>
      <w:tr w:rsidR="001B2C8D" w:rsidRPr="001B2C8D" w14:paraId="67C917DA" w14:textId="77777777" w:rsidTr="00A5143A">
        <w:tc>
          <w:tcPr>
            <w:tcW w:w="0" w:type="auto"/>
            <w:hideMark/>
          </w:tcPr>
          <w:p w14:paraId="07C707C7" w14:textId="77777777" w:rsidR="001B2C8D" w:rsidRPr="001B2C8D" w:rsidRDefault="001B2C8D" w:rsidP="001B2C8D">
            <w:pPr>
              <w:spacing w:after="160" w:line="278" w:lineRule="auto"/>
              <w:jc w:val="both"/>
              <w:rPr>
                <w:rFonts w:ascii="Arial" w:hAnsi="Arial" w:cs="Arial"/>
                <w:color w:val="000000" w:themeColor="text1"/>
              </w:rPr>
            </w:pPr>
          </w:p>
        </w:tc>
        <w:tc>
          <w:tcPr>
            <w:tcW w:w="0" w:type="auto"/>
            <w:hideMark/>
          </w:tcPr>
          <w:p w14:paraId="798210EA"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Multilocular</w:t>
            </w:r>
          </w:p>
        </w:tc>
        <w:tc>
          <w:tcPr>
            <w:tcW w:w="0" w:type="auto"/>
            <w:hideMark/>
          </w:tcPr>
          <w:p w14:paraId="0DCFE6FC"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w:t>
            </w:r>
          </w:p>
        </w:tc>
        <w:tc>
          <w:tcPr>
            <w:tcW w:w="0" w:type="auto"/>
            <w:hideMark/>
          </w:tcPr>
          <w:p w14:paraId="7BDCFC54"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3.6</w:t>
            </w:r>
          </w:p>
        </w:tc>
      </w:tr>
      <w:tr w:rsidR="001B2C8D" w:rsidRPr="001B2C8D" w14:paraId="047602A8" w14:textId="77777777" w:rsidTr="00A5143A">
        <w:tc>
          <w:tcPr>
            <w:tcW w:w="0" w:type="auto"/>
            <w:hideMark/>
          </w:tcPr>
          <w:p w14:paraId="28A4F16B"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Conventional (n = 31)</w:t>
            </w:r>
          </w:p>
        </w:tc>
        <w:tc>
          <w:tcPr>
            <w:tcW w:w="0" w:type="auto"/>
            <w:hideMark/>
          </w:tcPr>
          <w:p w14:paraId="5ACE6CF0"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Multilocular</w:t>
            </w:r>
          </w:p>
        </w:tc>
        <w:tc>
          <w:tcPr>
            <w:tcW w:w="0" w:type="auto"/>
            <w:hideMark/>
          </w:tcPr>
          <w:p w14:paraId="3C360F93"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30</w:t>
            </w:r>
          </w:p>
        </w:tc>
        <w:tc>
          <w:tcPr>
            <w:tcW w:w="0" w:type="auto"/>
            <w:hideMark/>
          </w:tcPr>
          <w:p w14:paraId="010052D2"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96.8</w:t>
            </w:r>
          </w:p>
        </w:tc>
      </w:tr>
      <w:tr w:rsidR="001B2C8D" w:rsidRPr="001B2C8D" w14:paraId="077CB292" w14:textId="77777777" w:rsidTr="00A5143A">
        <w:tc>
          <w:tcPr>
            <w:tcW w:w="0" w:type="auto"/>
            <w:hideMark/>
          </w:tcPr>
          <w:p w14:paraId="3E509BA2" w14:textId="77777777" w:rsidR="001B2C8D" w:rsidRPr="001B2C8D" w:rsidRDefault="001B2C8D" w:rsidP="001B2C8D">
            <w:pPr>
              <w:spacing w:after="160" w:line="278" w:lineRule="auto"/>
              <w:jc w:val="both"/>
              <w:rPr>
                <w:rFonts w:ascii="Arial" w:hAnsi="Arial" w:cs="Arial"/>
                <w:color w:val="000000" w:themeColor="text1"/>
              </w:rPr>
            </w:pPr>
          </w:p>
        </w:tc>
        <w:tc>
          <w:tcPr>
            <w:tcW w:w="0" w:type="auto"/>
            <w:hideMark/>
          </w:tcPr>
          <w:p w14:paraId="356F6875"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Unilocular</w:t>
            </w:r>
          </w:p>
        </w:tc>
        <w:tc>
          <w:tcPr>
            <w:tcW w:w="0" w:type="auto"/>
            <w:hideMark/>
          </w:tcPr>
          <w:p w14:paraId="0E07197D"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w:t>
            </w:r>
          </w:p>
        </w:tc>
        <w:tc>
          <w:tcPr>
            <w:tcW w:w="0" w:type="auto"/>
            <w:hideMark/>
          </w:tcPr>
          <w:p w14:paraId="416980BD"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3.2</w:t>
            </w:r>
          </w:p>
        </w:tc>
      </w:tr>
    </w:tbl>
    <w:p w14:paraId="00B0D8E2" w14:textId="77777777" w:rsidR="001B2C8D" w:rsidRDefault="001B2C8D" w:rsidP="001B2C8D">
      <w:pPr>
        <w:jc w:val="both"/>
        <w:rPr>
          <w:rFonts w:ascii="Arial" w:hAnsi="Arial" w:cs="Arial"/>
          <w:b/>
          <w:bCs/>
          <w:color w:val="000000" w:themeColor="text1"/>
        </w:rPr>
      </w:pPr>
    </w:p>
    <w:p w14:paraId="23F9F190" w14:textId="77777777" w:rsidR="001B2C8D" w:rsidRDefault="001B2C8D" w:rsidP="001B2C8D">
      <w:pPr>
        <w:jc w:val="both"/>
        <w:rPr>
          <w:rFonts w:ascii="Arial" w:hAnsi="Arial" w:cs="Arial"/>
          <w:b/>
          <w:bCs/>
          <w:color w:val="000000" w:themeColor="text1"/>
        </w:rPr>
      </w:pPr>
    </w:p>
    <w:p w14:paraId="1ACF5C3E" w14:textId="77777777" w:rsidR="00FB2243" w:rsidRPr="00D30DBE" w:rsidRDefault="00FB2243" w:rsidP="00FB2243">
      <w:pPr>
        <w:spacing w:before="100" w:beforeAutospacing="1" w:after="100" w:afterAutospacing="1" w:line="240" w:lineRule="auto"/>
        <w:outlineLvl w:val="0"/>
        <w:rPr>
          <w:rFonts w:ascii="Arial" w:eastAsia="Times New Roman" w:hAnsi="Arial" w:cs="Arial"/>
          <w:b/>
          <w:bCs/>
          <w:kern w:val="36"/>
          <w14:ligatures w14:val="none"/>
        </w:rPr>
      </w:pPr>
      <w:r w:rsidRPr="00D30DBE">
        <w:rPr>
          <w:rFonts w:ascii="Arial" w:eastAsia="Times New Roman" w:hAnsi="Arial" w:cs="Arial"/>
          <w:b/>
          <w:bCs/>
          <w:kern w:val="36"/>
          <w14:ligatures w14:val="none"/>
        </w:rPr>
        <w:t>Table 4. Duration of Symptoms Prior to Presentation (n = 59)</w:t>
      </w:r>
    </w:p>
    <w:tbl>
      <w:tblPr>
        <w:tblStyle w:val="TableGrid12"/>
        <w:tblW w:w="0" w:type="auto"/>
        <w:tblLook w:val="04A0" w:firstRow="1" w:lastRow="0" w:firstColumn="1" w:lastColumn="0" w:noHBand="0" w:noVBand="1"/>
      </w:tblPr>
      <w:tblGrid>
        <w:gridCol w:w="2057"/>
        <w:gridCol w:w="1803"/>
        <w:gridCol w:w="1950"/>
      </w:tblGrid>
      <w:tr w:rsidR="00FB2243" w:rsidRPr="00D30DBE" w14:paraId="22C3FBF7" w14:textId="77777777" w:rsidTr="00FB2243">
        <w:tc>
          <w:tcPr>
            <w:tcW w:w="0" w:type="auto"/>
            <w:hideMark/>
          </w:tcPr>
          <w:p w14:paraId="2012752A" w14:textId="77777777" w:rsidR="00FB2243" w:rsidRPr="00D30DBE" w:rsidRDefault="00FB2243" w:rsidP="00FB2243">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Duration (years)</w:t>
            </w:r>
          </w:p>
        </w:tc>
        <w:tc>
          <w:tcPr>
            <w:tcW w:w="0" w:type="auto"/>
            <w:hideMark/>
          </w:tcPr>
          <w:p w14:paraId="7F25A066" w14:textId="77777777" w:rsidR="00FB2243" w:rsidRPr="00D30DBE" w:rsidRDefault="00FB2243" w:rsidP="00FB2243">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Frequency (n)</w:t>
            </w:r>
          </w:p>
        </w:tc>
        <w:tc>
          <w:tcPr>
            <w:tcW w:w="0" w:type="auto"/>
            <w:hideMark/>
          </w:tcPr>
          <w:p w14:paraId="61876895" w14:textId="77777777" w:rsidR="00FB2243" w:rsidRPr="00D30DBE" w:rsidRDefault="00FB2243" w:rsidP="00FB2243">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Percentage (%)</w:t>
            </w:r>
          </w:p>
        </w:tc>
      </w:tr>
      <w:tr w:rsidR="00FB2243" w:rsidRPr="00D30DBE" w14:paraId="678A33AF" w14:textId="77777777" w:rsidTr="00FB2243">
        <w:tc>
          <w:tcPr>
            <w:tcW w:w="0" w:type="auto"/>
            <w:hideMark/>
          </w:tcPr>
          <w:p w14:paraId="53A5F26B"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w:t>
            </w:r>
          </w:p>
        </w:tc>
        <w:tc>
          <w:tcPr>
            <w:tcW w:w="0" w:type="auto"/>
            <w:hideMark/>
          </w:tcPr>
          <w:p w14:paraId="2051DBD9"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14</w:t>
            </w:r>
          </w:p>
        </w:tc>
        <w:tc>
          <w:tcPr>
            <w:tcW w:w="0" w:type="auto"/>
            <w:hideMark/>
          </w:tcPr>
          <w:p w14:paraId="7F6BD9A9"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23.7</w:t>
            </w:r>
          </w:p>
        </w:tc>
      </w:tr>
      <w:tr w:rsidR="00FB2243" w:rsidRPr="00D30DBE" w14:paraId="4E5DD56C" w14:textId="77777777" w:rsidTr="00FB2243">
        <w:tc>
          <w:tcPr>
            <w:tcW w:w="0" w:type="auto"/>
            <w:hideMark/>
          </w:tcPr>
          <w:p w14:paraId="3BEDB430"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w:t>
            </w:r>
          </w:p>
        </w:tc>
        <w:tc>
          <w:tcPr>
            <w:tcW w:w="0" w:type="auto"/>
            <w:hideMark/>
          </w:tcPr>
          <w:p w14:paraId="292679B1"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18</w:t>
            </w:r>
          </w:p>
        </w:tc>
        <w:tc>
          <w:tcPr>
            <w:tcW w:w="0" w:type="auto"/>
            <w:hideMark/>
          </w:tcPr>
          <w:p w14:paraId="4417567D"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30.5</w:t>
            </w:r>
          </w:p>
        </w:tc>
      </w:tr>
      <w:tr w:rsidR="00FB2243" w:rsidRPr="00D30DBE" w14:paraId="2324F744" w14:textId="77777777" w:rsidTr="00FB2243">
        <w:tc>
          <w:tcPr>
            <w:tcW w:w="0" w:type="auto"/>
            <w:hideMark/>
          </w:tcPr>
          <w:p w14:paraId="00D16C2D"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w:t>
            </w:r>
          </w:p>
        </w:tc>
        <w:tc>
          <w:tcPr>
            <w:tcW w:w="0" w:type="auto"/>
            <w:hideMark/>
          </w:tcPr>
          <w:p w14:paraId="7D2FA8F3"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14</w:t>
            </w:r>
          </w:p>
        </w:tc>
        <w:tc>
          <w:tcPr>
            <w:tcW w:w="0" w:type="auto"/>
            <w:hideMark/>
          </w:tcPr>
          <w:p w14:paraId="287171BC"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23.7</w:t>
            </w:r>
          </w:p>
        </w:tc>
      </w:tr>
      <w:tr w:rsidR="00FB2243" w:rsidRPr="00D30DBE" w14:paraId="58730E01" w14:textId="77777777" w:rsidTr="00FB2243">
        <w:tc>
          <w:tcPr>
            <w:tcW w:w="0" w:type="auto"/>
            <w:hideMark/>
          </w:tcPr>
          <w:p w14:paraId="5C2EA77F"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4</w:t>
            </w:r>
          </w:p>
        </w:tc>
        <w:tc>
          <w:tcPr>
            <w:tcW w:w="0" w:type="auto"/>
            <w:hideMark/>
          </w:tcPr>
          <w:p w14:paraId="04DC8B08"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5</w:t>
            </w:r>
          </w:p>
        </w:tc>
        <w:tc>
          <w:tcPr>
            <w:tcW w:w="0" w:type="auto"/>
            <w:hideMark/>
          </w:tcPr>
          <w:p w14:paraId="1BCE67DB"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8.5</w:t>
            </w:r>
          </w:p>
        </w:tc>
      </w:tr>
      <w:tr w:rsidR="00FB2243" w:rsidRPr="00D30DBE" w14:paraId="4DAE68A5" w14:textId="77777777" w:rsidTr="00FB2243">
        <w:tc>
          <w:tcPr>
            <w:tcW w:w="0" w:type="auto"/>
            <w:hideMark/>
          </w:tcPr>
          <w:p w14:paraId="50ED2736"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5</w:t>
            </w:r>
          </w:p>
        </w:tc>
        <w:tc>
          <w:tcPr>
            <w:tcW w:w="0" w:type="auto"/>
            <w:hideMark/>
          </w:tcPr>
          <w:p w14:paraId="35061D35"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8</w:t>
            </w:r>
          </w:p>
        </w:tc>
        <w:tc>
          <w:tcPr>
            <w:tcW w:w="0" w:type="auto"/>
            <w:hideMark/>
          </w:tcPr>
          <w:p w14:paraId="469B44E2"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13.6</w:t>
            </w:r>
          </w:p>
        </w:tc>
      </w:tr>
      <w:tr w:rsidR="00FB2243" w:rsidRPr="00FB2243" w14:paraId="24236138" w14:textId="77777777" w:rsidTr="00FB2243">
        <w:tc>
          <w:tcPr>
            <w:tcW w:w="0" w:type="auto"/>
            <w:hideMark/>
          </w:tcPr>
          <w:p w14:paraId="36F153EA"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Total</w:t>
            </w:r>
          </w:p>
        </w:tc>
        <w:tc>
          <w:tcPr>
            <w:tcW w:w="0" w:type="auto"/>
            <w:hideMark/>
          </w:tcPr>
          <w:p w14:paraId="632D06E8"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59</w:t>
            </w:r>
          </w:p>
        </w:tc>
        <w:tc>
          <w:tcPr>
            <w:tcW w:w="0" w:type="auto"/>
            <w:hideMark/>
          </w:tcPr>
          <w:p w14:paraId="516ED662" w14:textId="77777777" w:rsidR="00FB2243" w:rsidRPr="00D30DBE" w:rsidRDefault="00FB2243" w:rsidP="00FB2243">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100</w:t>
            </w:r>
          </w:p>
        </w:tc>
      </w:tr>
    </w:tbl>
    <w:p w14:paraId="7C555F3B" w14:textId="77777777" w:rsidR="00FB2243" w:rsidRPr="00FB2243" w:rsidRDefault="00FB2243" w:rsidP="00FB2243">
      <w:pPr>
        <w:spacing w:before="100" w:beforeAutospacing="1" w:after="100" w:afterAutospacing="1" w:line="240" w:lineRule="auto"/>
        <w:rPr>
          <w:rFonts w:ascii="Arial" w:eastAsia="Times New Roman" w:hAnsi="Arial" w:cs="Arial"/>
          <w:kern w:val="0"/>
          <w14:ligatures w14:val="none"/>
        </w:rPr>
      </w:pPr>
      <w:r w:rsidRPr="00D30DBE">
        <w:rPr>
          <w:rFonts w:ascii="Arial" w:eastAsia="Times New Roman" w:hAnsi="Arial" w:cs="Arial"/>
          <w:b/>
          <w:bCs/>
          <w:kern w:val="0"/>
          <w14:ligatures w14:val="none"/>
        </w:rPr>
        <w:lastRenderedPageBreak/>
        <w:t>Mean duration:</w:t>
      </w:r>
      <w:r w:rsidRPr="00D30DBE">
        <w:rPr>
          <w:rFonts w:ascii="Arial" w:eastAsia="Times New Roman" w:hAnsi="Arial" w:cs="Arial"/>
          <w:kern w:val="0"/>
          <w14:ligatures w14:val="none"/>
        </w:rPr>
        <w:t xml:space="preserve"> 2.6 years</w:t>
      </w:r>
      <w:r w:rsidRPr="00D30DBE">
        <w:rPr>
          <w:rFonts w:ascii="Arial" w:eastAsia="Times New Roman" w:hAnsi="Arial" w:cs="Arial"/>
          <w:kern w:val="0"/>
          <w14:ligatures w14:val="none"/>
        </w:rPr>
        <w:br/>
      </w:r>
      <w:r w:rsidRPr="00D30DBE">
        <w:rPr>
          <w:rFonts w:ascii="Arial" w:eastAsia="Times New Roman" w:hAnsi="Arial" w:cs="Arial"/>
          <w:b/>
          <w:bCs/>
          <w:kern w:val="0"/>
          <w14:ligatures w14:val="none"/>
        </w:rPr>
        <w:t>Standard deviation:</w:t>
      </w:r>
      <w:r w:rsidRPr="00D30DBE">
        <w:rPr>
          <w:rFonts w:ascii="Arial" w:eastAsia="Times New Roman" w:hAnsi="Arial" w:cs="Arial"/>
          <w:kern w:val="0"/>
          <w14:ligatures w14:val="none"/>
        </w:rPr>
        <w:t xml:space="preserve"> 1.3 years</w:t>
      </w:r>
      <w:r w:rsidRPr="00D30DBE">
        <w:rPr>
          <w:rFonts w:ascii="Arial" w:eastAsia="Times New Roman" w:hAnsi="Arial" w:cs="Arial"/>
          <w:kern w:val="0"/>
          <w14:ligatures w14:val="none"/>
        </w:rPr>
        <w:br/>
      </w:r>
      <w:r w:rsidRPr="00D30DBE">
        <w:rPr>
          <w:rFonts w:ascii="Arial" w:eastAsia="Times New Roman" w:hAnsi="Arial" w:cs="Arial"/>
          <w:b/>
          <w:bCs/>
          <w:kern w:val="0"/>
          <w14:ligatures w14:val="none"/>
        </w:rPr>
        <w:t>Range:</w:t>
      </w:r>
      <w:r w:rsidRPr="00D30DBE">
        <w:rPr>
          <w:rFonts w:ascii="Arial" w:eastAsia="Times New Roman" w:hAnsi="Arial" w:cs="Arial"/>
          <w:kern w:val="0"/>
          <w14:ligatures w14:val="none"/>
        </w:rPr>
        <w:t xml:space="preserve"> 1–5 years</w:t>
      </w:r>
    </w:p>
    <w:p w14:paraId="36D0F42C" w14:textId="77777777" w:rsidR="001B2C8D" w:rsidRDefault="001B2C8D" w:rsidP="001B2C8D">
      <w:pPr>
        <w:jc w:val="both"/>
        <w:rPr>
          <w:rFonts w:ascii="Arial" w:hAnsi="Arial" w:cs="Arial"/>
          <w:b/>
          <w:bCs/>
          <w:color w:val="000000" w:themeColor="text1"/>
        </w:rPr>
      </w:pPr>
    </w:p>
    <w:p w14:paraId="2F3305F2" w14:textId="77777777" w:rsidR="001B2C8D" w:rsidRDefault="001B2C8D" w:rsidP="001B2C8D">
      <w:pPr>
        <w:jc w:val="both"/>
        <w:rPr>
          <w:rFonts w:ascii="Arial" w:hAnsi="Arial" w:cs="Arial"/>
          <w:b/>
          <w:bCs/>
          <w:color w:val="000000" w:themeColor="text1"/>
        </w:rPr>
      </w:pPr>
    </w:p>
    <w:p w14:paraId="3D3A5119" w14:textId="09341C6C" w:rsidR="001B2C8D" w:rsidRPr="001B2C8D" w:rsidRDefault="001B2C8D" w:rsidP="001B2C8D">
      <w:pPr>
        <w:jc w:val="both"/>
        <w:rPr>
          <w:rFonts w:ascii="Arial" w:hAnsi="Arial" w:cs="Arial"/>
          <w:b/>
          <w:bCs/>
          <w:color w:val="000000" w:themeColor="text1"/>
        </w:rPr>
      </w:pPr>
      <w:r w:rsidRPr="001B2C8D">
        <w:rPr>
          <w:rFonts w:ascii="Arial" w:hAnsi="Arial" w:cs="Arial"/>
          <w:b/>
          <w:bCs/>
          <w:color w:val="000000" w:themeColor="text1"/>
        </w:rPr>
        <w:t>Table 5. Age and Sex Distribution by Biologic Type (n = 59)</w:t>
      </w:r>
    </w:p>
    <w:tbl>
      <w:tblPr>
        <w:tblStyle w:val="TableGrid"/>
        <w:tblW w:w="9355" w:type="dxa"/>
        <w:tblLook w:val="04A0" w:firstRow="1" w:lastRow="0" w:firstColumn="1" w:lastColumn="0" w:noHBand="0" w:noVBand="1"/>
      </w:tblPr>
      <w:tblGrid>
        <w:gridCol w:w="2650"/>
        <w:gridCol w:w="2310"/>
        <w:gridCol w:w="750"/>
        <w:gridCol w:w="1044"/>
        <w:gridCol w:w="2601"/>
      </w:tblGrid>
      <w:tr w:rsidR="001B2C8D" w:rsidRPr="001B2C8D" w14:paraId="59AC001A" w14:textId="77777777" w:rsidTr="00A5143A">
        <w:tc>
          <w:tcPr>
            <w:tcW w:w="0" w:type="auto"/>
            <w:hideMark/>
          </w:tcPr>
          <w:p w14:paraId="01461403"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Biologic Type</w:t>
            </w:r>
          </w:p>
        </w:tc>
        <w:tc>
          <w:tcPr>
            <w:tcW w:w="0" w:type="auto"/>
            <w:hideMark/>
          </w:tcPr>
          <w:p w14:paraId="787A6817"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Age Group (years)</w:t>
            </w:r>
          </w:p>
        </w:tc>
        <w:tc>
          <w:tcPr>
            <w:tcW w:w="0" w:type="auto"/>
            <w:hideMark/>
          </w:tcPr>
          <w:p w14:paraId="0AF8329F"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Male</w:t>
            </w:r>
          </w:p>
        </w:tc>
        <w:tc>
          <w:tcPr>
            <w:tcW w:w="0" w:type="auto"/>
            <w:hideMark/>
          </w:tcPr>
          <w:p w14:paraId="6EBAAAF1"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Female</w:t>
            </w:r>
          </w:p>
        </w:tc>
        <w:tc>
          <w:tcPr>
            <w:tcW w:w="2601" w:type="dxa"/>
            <w:hideMark/>
          </w:tcPr>
          <w:p w14:paraId="0A3CCDB3"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Total n (%)</w:t>
            </w:r>
          </w:p>
        </w:tc>
      </w:tr>
      <w:tr w:rsidR="001B2C8D" w:rsidRPr="001B2C8D" w14:paraId="0FE2CD15" w14:textId="77777777" w:rsidTr="00A5143A">
        <w:tc>
          <w:tcPr>
            <w:tcW w:w="0" w:type="auto"/>
            <w:hideMark/>
          </w:tcPr>
          <w:p w14:paraId="368CC880" w14:textId="77777777" w:rsidR="001B2C8D" w:rsidRPr="001B2C8D" w:rsidRDefault="001B2C8D" w:rsidP="001B2C8D">
            <w:pPr>
              <w:spacing w:after="160" w:line="278" w:lineRule="auto"/>
              <w:jc w:val="both"/>
              <w:rPr>
                <w:rFonts w:ascii="Arial" w:hAnsi="Arial" w:cs="Arial"/>
                <w:color w:val="000000" w:themeColor="text1"/>
              </w:rPr>
            </w:pPr>
            <w:proofErr w:type="spellStart"/>
            <w:r w:rsidRPr="001B2C8D">
              <w:rPr>
                <w:rFonts w:ascii="Arial" w:hAnsi="Arial" w:cs="Arial"/>
                <w:b/>
                <w:bCs/>
                <w:color w:val="000000" w:themeColor="text1"/>
              </w:rPr>
              <w:t>Unicystic</w:t>
            </w:r>
            <w:proofErr w:type="spellEnd"/>
            <w:r w:rsidRPr="001B2C8D">
              <w:rPr>
                <w:rFonts w:ascii="Arial" w:hAnsi="Arial" w:cs="Arial"/>
                <w:b/>
                <w:bCs/>
                <w:color w:val="000000" w:themeColor="text1"/>
              </w:rPr>
              <w:t xml:space="preserve"> (n = 28)</w:t>
            </w:r>
          </w:p>
        </w:tc>
        <w:tc>
          <w:tcPr>
            <w:tcW w:w="0" w:type="auto"/>
            <w:hideMark/>
          </w:tcPr>
          <w:p w14:paraId="51F4B549"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6–10</w:t>
            </w:r>
          </w:p>
        </w:tc>
        <w:tc>
          <w:tcPr>
            <w:tcW w:w="0" w:type="auto"/>
            <w:hideMark/>
          </w:tcPr>
          <w:p w14:paraId="33DB82BE"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5</w:t>
            </w:r>
          </w:p>
        </w:tc>
        <w:tc>
          <w:tcPr>
            <w:tcW w:w="0" w:type="auto"/>
            <w:hideMark/>
          </w:tcPr>
          <w:p w14:paraId="073388F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4</w:t>
            </w:r>
          </w:p>
        </w:tc>
        <w:tc>
          <w:tcPr>
            <w:tcW w:w="2601" w:type="dxa"/>
            <w:hideMark/>
          </w:tcPr>
          <w:p w14:paraId="5F1A52AE"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9 (32.1)</w:t>
            </w:r>
          </w:p>
        </w:tc>
      </w:tr>
      <w:tr w:rsidR="001B2C8D" w:rsidRPr="001B2C8D" w14:paraId="3D4725ED" w14:textId="77777777" w:rsidTr="00A5143A">
        <w:tc>
          <w:tcPr>
            <w:tcW w:w="0" w:type="auto"/>
            <w:hideMark/>
          </w:tcPr>
          <w:p w14:paraId="0AE25960" w14:textId="77777777" w:rsidR="001B2C8D" w:rsidRPr="001B2C8D" w:rsidRDefault="001B2C8D" w:rsidP="001B2C8D">
            <w:pPr>
              <w:spacing w:after="160" w:line="278" w:lineRule="auto"/>
              <w:jc w:val="both"/>
              <w:rPr>
                <w:rFonts w:ascii="Arial" w:hAnsi="Arial" w:cs="Arial"/>
                <w:color w:val="000000" w:themeColor="text1"/>
              </w:rPr>
            </w:pPr>
          </w:p>
        </w:tc>
        <w:tc>
          <w:tcPr>
            <w:tcW w:w="0" w:type="auto"/>
            <w:hideMark/>
          </w:tcPr>
          <w:p w14:paraId="288B7AF0"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11–15</w:t>
            </w:r>
          </w:p>
        </w:tc>
        <w:tc>
          <w:tcPr>
            <w:tcW w:w="0" w:type="auto"/>
            <w:hideMark/>
          </w:tcPr>
          <w:p w14:paraId="09F81279"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5</w:t>
            </w:r>
          </w:p>
        </w:tc>
        <w:tc>
          <w:tcPr>
            <w:tcW w:w="0" w:type="auto"/>
            <w:hideMark/>
          </w:tcPr>
          <w:p w14:paraId="0CE951CD"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7</w:t>
            </w:r>
          </w:p>
        </w:tc>
        <w:tc>
          <w:tcPr>
            <w:tcW w:w="2601" w:type="dxa"/>
            <w:hideMark/>
          </w:tcPr>
          <w:p w14:paraId="6DF3CE8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12 (42.9)</w:t>
            </w:r>
          </w:p>
        </w:tc>
      </w:tr>
      <w:tr w:rsidR="001B2C8D" w:rsidRPr="001B2C8D" w14:paraId="10DFF558" w14:textId="77777777" w:rsidTr="00A5143A">
        <w:tc>
          <w:tcPr>
            <w:tcW w:w="0" w:type="auto"/>
            <w:hideMark/>
          </w:tcPr>
          <w:p w14:paraId="6D86CBF0" w14:textId="77777777" w:rsidR="001B2C8D" w:rsidRPr="001B2C8D" w:rsidRDefault="001B2C8D" w:rsidP="001B2C8D">
            <w:pPr>
              <w:spacing w:after="160" w:line="278" w:lineRule="auto"/>
              <w:jc w:val="both"/>
              <w:rPr>
                <w:rFonts w:ascii="Arial" w:hAnsi="Arial" w:cs="Arial"/>
                <w:color w:val="000000" w:themeColor="text1"/>
              </w:rPr>
            </w:pPr>
          </w:p>
        </w:tc>
        <w:tc>
          <w:tcPr>
            <w:tcW w:w="0" w:type="auto"/>
            <w:hideMark/>
          </w:tcPr>
          <w:p w14:paraId="674AA40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16–18</w:t>
            </w:r>
          </w:p>
        </w:tc>
        <w:tc>
          <w:tcPr>
            <w:tcW w:w="0" w:type="auto"/>
            <w:hideMark/>
          </w:tcPr>
          <w:p w14:paraId="3583ABD6"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4</w:t>
            </w:r>
          </w:p>
        </w:tc>
        <w:tc>
          <w:tcPr>
            <w:tcW w:w="0" w:type="auto"/>
            <w:hideMark/>
          </w:tcPr>
          <w:p w14:paraId="1763FDEC"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3</w:t>
            </w:r>
          </w:p>
        </w:tc>
        <w:tc>
          <w:tcPr>
            <w:tcW w:w="2601" w:type="dxa"/>
            <w:hideMark/>
          </w:tcPr>
          <w:p w14:paraId="7210FDA7"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7 (25.0)</w:t>
            </w:r>
          </w:p>
        </w:tc>
      </w:tr>
      <w:tr w:rsidR="001B2C8D" w:rsidRPr="001B2C8D" w14:paraId="36F510B4" w14:textId="77777777" w:rsidTr="00A5143A">
        <w:tc>
          <w:tcPr>
            <w:tcW w:w="0" w:type="auto"/>
            <w:hideMark/>
          </w:tcPr>
          <w:p w14:paraId="7AD3E63D" w14:textId="77777777" w:rsidR="001B2C8D" w:rsidRPr="001B2C8D" w:rsidRDefault="001B2C8D" w:rsidP="001B2C8D">
            <w:pPr>
              <w:spacing w:after="160" w:line="278" w:lineRule="auto"/>
              <w:jc w:val="both"/>
              <w:rPr>
                <w:rFonts w:ascii="Arial" w:hAnsi="Arial" w:cs="Arial"/>
                <w:color w:val="000000" w:themeColor="text1"/>
              </w:rPr>
            </w:pPr>
          </w:p>
        </w:tc>
        <w:tc>
          <w:tcPr>
            <w:tcW w:w="0" w:type="auto"/>
            <w:hideMark/>
          </w:tcPr>
          <w:p w14:paraId="2E34B7FC"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Subtotal</w:t>
            </w:r>
          </w:p>
        </w:tc>
        <w:tc>
          <w:tcPr>
            <w:tcW w:w="0" w:type="auto"/>
            <w:hideMark/>
          </w:tcPr>
          <w:p w14:paraId="378301E9"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14</w:t>
            </w:r>
          </w:p>
        </w:tc>
        <w:tc>
          <w:tcPr>
            <w:tcW w:w="0" w:type="auto"/>
            <w:hideMark/>
          </w:tcPr>
          <w:p w14:paraId="37ED066F"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14</w:t>
            </w:r>
          </w:p>
        </w:tc>
        <w:tc>
          <w:tcPr>
            <w:tcW w:w="2601" w:type="dxa"/>
            <w:hideMark/>
          </w:tcPr>
          <w:p w14:paraId="1B1CB26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28 (100)</w:t>
            </w:r>
          </w:p>
        </w:tc>
      </w:tr>
      <w:tr w:rsidR="001B2C8D" w:rsidRPr="001B2C8D" w14:paraId="0227C69E" w14:textId="77777777" w:rsidTr="00A5143A">
        <w:tc>
          <w:tcPr>
            <w:tcW w:w="0" w:type="auto"/>
            <w:hideMark/>
          </w:tcPr>
          <w:p w14:paraId="728EA9D2"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Conventional (n = 31)</w:t>
            </w:r>
          </w:p>
        </w:tc>
        <w:tc>
          <w:tcPr>
            <w:tcW w:w="0" w:type="auto"/>
            <w:hideMark/>
          </w:tcPr>
          <w:p w14:paraId="6615D4B9"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6–10</w:t>
            </w:r>
          </w:p>
        </w:tc>
        <w:tc>
          <w:tcPr>
            <w:tcW w:w="0" w:type="auto"/>
            <w:hideMark/>
          </w:tcPr>
          <w:p w14:paraId="6E8EABB9"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2</w:t>
            </w:r>
          </w:p>
        </w:tc>
        <w:tc>
          <w:tcPr>
            <w:tcW w:w="0" w:type="auto"/>
            <w:hideMark/>
          </w:tcPr>
          <w:p w14:paraId="725ED556"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w:t>
            </w:r>
          </w:p>
        </w:tc>
        <w:tc>
          <w:tcPr>
            <w:tcW w:w="2601" w:type="dxa"/>
            <w:hideMark/>
          </w:tcPr>
          <w:p w14:paraId="3B2B2B45"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3 (9.7)</w:t>
            </w:r>
          </w:p>
        </w:tc>
      </w:tr>
      <w:tr w:rsidR="001B2C8D" w:rsidRPr="001B2C8D" w14:paraId="74A1F0FF" w14:textId="77777777" w:rsidTr="00A5143A">
        <w:tc>
          <w:tcPr>
            <w:tcW w:w="0" w:type="auto"/>
            <w:hideMark/>
          </w:tcPr>
          <w:p w14:paraId="4AFB58FD" w14:textId="77777777" w:rsidR="001B2C8D" w:rsidRPr="001B2C8D" w:rsidRDefault="001B2C8D" w:rsidP="001B2C8D">
            <w:pPr>
              <w:spacing w:after="160" w:line="278" w:lineRule="auto"/>
              <w:jc w:val="both"/>
              <w:rPr>
                <w:rFonts w:ascii="Arial" w:hAnsi="Arial" w:cs="Arial"/>
                <w:color w:val="000000" w:themeColor="text1"/>
              </w:rPr>
            </w:pPr>
          </w:p>
        </w:tc>
        <w:tc>
          <w:tcPr>
            <w:tcW w:w="0" w:type="auto"/>
            <w:hideMark/>
          </w:tcPr>
          <w:p w14:paraId="2791C79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11–15</w:t>
            </w:r>
          </w:p>
        </w:tc>
        <w:tc>
          <w:tcPr>
            <w:tcW w:w="0" w:type="auto"/>
            <w:hideMark/>
          </w:tcPr>
          <w:p w14:paraId="1EA2C8FE"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9</w:t>
            </w:r>
          </w:p>
        </w:tc>
        <w:tc>
          <w:tcPr>
            <w:tcW w:w="0" w:type="auto"/>
            <w:hideMark/>
          </w:tcPr>
          <w:p w14:paraId="660589A5"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3</w:t>
            </w:r>
          </w:p>
        </w:tc>
        <w:tc>
          <w:tcPr>
            <w:tcW w:w="2601" w:type="dxa"/>
            <w:hideMark/>
          </w:tcPr>
          <w:p w14:paraId="7D7E62D1"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12 (38.7)</w:t>
            </w:r>
          </w:p>
        </w:tc>
      </w:tr>
      <w:tr w:rsidR="001B2C8D" w:rsidRPr="001B2C8D" w14:paraId="5F8888E0" w14:textId="77777777" w:rsidTr="00A5143A">
        <w:tc>
          <w:tcPr>
            <w:tcW w:w="0" w:type="auto"/>
            <w:hideMark/>
          </w:tcPr>
          <w:p w14:paraId="03A75742" w14:textId="77777777" w:rsidR="001B2C8D" w:rsidRPr="001B2C8D" w:rsidRDefault="001B2C8D" w:rsidP="001B2C8D">
            <w:pPr>
              <w:spacing w:after="160" w:line="278" w:lineRule="auto"/>
              <w:jc w:val="both"/>
              <w:rPr>
                <w:rFonts w:ascii="Arial" w:hAnsi="Arial" w:cs="Arial"/>
                <w:color w:val="000000" w:themeColor="text1"/>
              </w:rPr>
            </w:pPr>
          </w:p>
        </w:tc>
        <w:tc>
          <w:tcPr>
            <w:tcW w:w="0" w:type="auto"/>
            <w:hideMark/>
          </w:tcPr>
          <w:p w14:paraId="45CB32C1"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16–18</w:t>
            </w:r>
          </w:p>
        </w:tc>
        <w:tc>
          <w:tcPr>
            <w:tcW w:w="0" w:type="auto"/>
            <w:hideMark/>
          </w:tcPr>
          <w:p w14:paraId="1F66DD4C"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13</w:t>
            </w:r>
          </w:p>
        </w:tc>
        <w:tc>
          <w:tcPr>
            <w:tcW w:w="0" w:type="auto"/>
            <w:hideMark/>
          </w:tcPr>
          <w:p w14:paraId="48447584"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3</w:t>
            </w:r>
          </w:p>
        </w:tc>
        <w:tc>
          <w:tcPr>
            <w:tcW w:w="2601" w:type="dxa"/>
            <w:hideMark/>
          </w:tcPr>
          <w:p w14:paraId="055D18AE"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16 (51.6)</w:t>
            </w:r>
          </w:p>
        </w:tc>
      </w:tr>
      <w:tr w:rsidR="001B2C8D" w:rsidRPr="001B2C8D" w14:paraId="5B8C7C70" w14:textId="77777777" w:rsidTr="00A5143A">
        <w:tc>
          <w:tcPr>
            <w:tcW w:w="0" w:type="auto"/>
            <w:hideMark/>
          </w:tcPr>
          <w:p w14:paraId="13F7E606" w14:textId="77777777" w:rsidR="001B2C8D" w:rsidRPr="001B2C8D" w:rsidRDefault="001B2C8D" w:rsidP="001B2C8D">
            <w:pPr>
              <w:spacing w:after="160" w:line="278" w:lineRule="auto"/>
              <w:jc w:val="both"/>
              <w:rPr>
                <w:rFonts w:ascii="Arial" w:hAnsi="Arial" w:cs="Arial"/>
                <w:color w:val="000000" w:themeColor="text1"/>
              </w:rPr>
            </w:pPr>
          </w:p>
        </w:tc>
        <w:tc>
          <w:tcPr>
            <w:tcW w:w="0" w:type="auto"/>
            <w:hideMark/>
          </w:tcPr>
          <w:p w14:paraId="28403631"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Subtotal</w:t>
            </w:r>
          </w:p>
        </w:tc>
        <w:tc>
          <w:tcPr>
            <w:tcW w:w="0" w:type="auto"/>
            <w:hideMark/>
          </w:tcPr>
          <w:p w14:paraId="426BD09D"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24</w:t>
            </w:r>
          </w:p>
        </w:tc>
        <w:tc>
          <w:tcPr>
            <w:tcW w:w="0" w:type="auto"/>
            <w:hideMark/>
          </w:tcPr>
          <w:p w14:paraId="3D2EF692"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7</w:t>
            </w:r>
          </w:p>
        </w:tc>
        <w:tc>
          <w:tcPr>
            <w:tcW w:w="2601" w:type="dxa"/>
            <w:hideMark/>
          </w:tcPr>
          <w:p w14:paraId="4DB6093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b/>
                <w:bCs/>
                <w:color w:val="000000" w:themeColor="text1"/>
              </w:rPr>
              <w:t>31 (100)</w:t>
            </w:r>
          </w:p>
        </w:tc>
      </w:tr>
    </w:tbl>
    <w:p w14:paraId="38631291" w14:textId="77777777" w:rsidR="001B2C8D" w:rsidRDefault="001B2C8D" w:rsidP="001B2C8D">
      <w:pPr>
        <w:jc w:val="both"/>
        <w:rPr>
          <w:rFonts w:ascii="Arial" w:hAnsi="Arial" w:cs="Arial"/>
          <w:b/>
          <w:bCs/>
          <w:color w:val="000000" w:themeColor="text1"/>
        </w:rPr>
      </w:pPr>
    </w:p>
    <w:p w14:paraId="6E2C1D1C" w14:textId="22549923" w:rsidR="001B2C8D" w:rsidRDefault="001B2C8D" w:rsidP="001B2C8D">
      <w:pPr>
        <w:jc w:val="both"/>
        <w:rPr>
          <w:rFonts w:ascii="Arial" w:hAnsi="Arial" w:cs="Arial"/>
          <w:b/>
          <w:bCs/>
          <w:color w:val="000000" w:themeColor="text1"/>
        </w:rPr>
      </w:pPr>
    </w:p>
    <w:p w14:paraId="56761A3C" w14:textId="77777777" w:rsidR="00E46A7E" w:rsidRPr="00D30DBE" w:rsidRDefault="00E46A7E" w:rsidP="00E46A7E">
      <w:pPr>
        <w:spacing w:before="100" w:beforeAutospacing="1" w:after="100" w:afterAutospacing="1" w:line="240" w:lineRule="auto"/>
        <w:outlineLvl w:val="0"/>
        <w:rPr>
          <w:rFonts w:ascii="Arial" w:eastAsia="Times New Roman" w:hAnsi="Arial" w:cs="Arial"/>
          <w:b/>
          <w:bCs/>
          <w:kern w:val="36"/>
          <w14:ligatures w14:val="none"/>
        </w:rPr>
      </w:pPr>
      <w:r w:rsidRPr="00D30DBE">
        <w:rPr>
          <w:rFonts w:ascii="Arial" w:eastAsia="Times New Roman" w:hAnsi="Arial" w:cs="Arial"/>
          <w:b/>
          <w:bCs/>
          <w:kern w:val="36"/>
          <w14:ligatures w14:val="none"/>
        </w:rPr>
        <w:t>Table 6. Bivariate Analysis of Factors Associated with Biologic Type of Ameloblastoma</w:t>
      </w:r>
    </w:p>
    <w:tbl>
      <w:tblPr>
        <w:tblStyle w:val="TableGrid12"/>
        <w:tblW w:w="0" w:type="auto"/>
        <w:tblLook w:val="04A0" w:firstRow="1" w:lastRow="0" w:firstColumn="1" w:lastColumn="0" w:noHBand="0" w:noVBand="1"/>
      </w:tblPr>
      <w:tblGrid>
        <w:gridCol w:w="1661"/>
        <w:gridCol w:w="2240"/>
        <w:gridCol w:w="1222"/>
        <w:gridCol w:w="1649"/>
        <w:gridCol w:w="757"/>
        <w:gridCol w:w="907"/>
        <w:gridCol w:w="914"/>
      </w:tblGrid>
      <w:tr w:rsidR="00E46A7E" w:rsidRPr="00D30DBE" w14:paraId="47D5800D" w14:textId="77777777" w:rsidTr="00E46A7E">
        <w:tc>
          <w:tcPr>
            <w:tcW w:w="0" w:type="auto"/>
            <w:hideMark/>
          </w:tcPr>
          <w:p w14:paraId="0BD95421" w14:textId="77777777" w:rsidR="00E46A7E" w:rsidRPr="00D30DBE" w:rsidRDefault="00E46A7E" w:rsidP="00E46A7E">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Variable</w:t>
            </w:r>
          </w:p>
        </w:tc>
        <w:tc>
          <w:tcPr>
            <w:tcW w:w="0" w:type="auto"/>
            <w:hideMark/>
          </w:tcPr>
          <w:p w14:paraId="2B7D31C8" w14:textId="77777777" w:rsidR="00E46A7E" w:rsidRPr="00D30DBE" w:rsidRDefault="00E46A7E" w:rsidP="00E46A7E">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Category</w:t>
            </w:r>
          </w:p>
        </w:tc>
        <w:tc>
          <w:tcPr>
            <w:tcW w:w="0" w:type="auto"/>
            <w:hideMark/>
          </w:tcPr>
          <w:p w14:paraId="7CEB9D8B" w14:textId="77777777" w:rsidR="00E46A7E" w:rsidRPr="00D30DBE" w:rsidRDefault="00E46A7E" w:rsidP="00E46A7E">
            <w:pPr>
              <w:jc w:val="center"/>
              <w:rPr>
                <w:rFonts w:ascii="Arial" w:eastAsia="Times New Roman" w:hAnsi="Arial" w:cs="Arial"/>
                <w:b/>
                <w:bCs/>
                <w:sz w:val="24"/>
                <w:szCs w:val="24"/>
                <w14:ligatures w14:val="none"/>
              </w:rPr>
            </w:pPr>
            <w:proofErr w:type="spellStart"/>
            <w:r w:rsidRPr="00D30DBE">
              <w:rPr>
                <w:rFonts w:ascii="Arial" w:eastAsia="Times New Roman" w:hAnsi="Arial" w:cs="Arial"/>
                <w:b/>
                <w:bCs/>
                <w:sz w:val="24"/>
                <w:szCs w:val="24"/>
                <w14:ligatures w14:val="none"/>
              </w:rPr>
              <w:t>Unicystic</w:t>
            </w:r>
            <w:proofErr w:type="spellEnd"/>
            <w:r w:rsidRPr="00D30DBE">
              <w:rPr>
                <w:rFonts w:ascii="Arial" w:eastAsia="Times New Roman" w:hAnsi="Arial" w:cs="Arial"/>
                <w:b/>
                <w:bCs/>
                <w:sz w:val="24"/>
                <w:szCs w:val="24"/>
                <w14:ligatures w14:val="none"/>
              </w:rPr>
              <w:t xml:space="preserve"> (n=28)</w:t>
            </w:r>
          </w:p>
        </w:tc>
        <w:tc>
          <w:tcPr>
            <w:tcW w:w="0" w:type="auto"/>
            <w:hideMark/>
          </w:tcPr>
          <w:p w14:paraId="7607E02B" w14:textId="77777777" w:rsidR="00E46A7E" w:rsidRPr="00D30DBE" w:rsidRDefault="00E46A7E" w:rsidP="00E46A7E">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Conventional (n=31)</w:t>
            </w:r>
          </w:p>
        </w:tc>
        <w:tc>
          <w:tcPr>
            <w:tcW w:w="0" w:type="auto"/>
            <w:hideMark/>
          </w:tcPr>
          <w:p w14:paraId="272FC96F" w14:textId="77777777" w:rsidR="00E46A7E" w:rsidRPr="00D30DBE" w:rsidRDefault="00E46A7E" w:rsidP="00E46A7E">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Total</w:t>
            </w:r>
          </w:p>
        </w:tc>
        <w:tc>
          <w:tcPr>
            <w:tcW w:w="0" w:type="auto"/>
            <w:hideMark/>
          </w:tcPr>
          <w:p w14:paraId="6F4F6BE2" w14:textId="77777777" w:rsidR="00E46A7E" w:rsidRPr="00D30DBE" w:rsidRDefault="00E46A7E" w:rsidP="00E46A7E">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Test Value*</w:t>
            </w:r>
          </w:p>
        </w:tc>
        <w:tc>
          <w:tcPr>
            <w:tcW w:w="0" w:type="auto"/>
            <w:hideMark/>
          </w:tcPr>
          <w:p w14:paraId="54EA9EA8" w14:textId="77777777" w:rsidR="00E46A7E" w:rsidRPr="00D30DBE" w:rsidRDefault="00E46A7E" w:rsidP="00E46A7E">
            <w:pPr>
              <w:jc w:val="center"/>
              <w:rPr>
                <w:rFonts w:ascii="Arial" w:eastAsia="Times New Roman" w:hAnsi="Arial" w:cs="Arial"/>
                <w:b/>
                <w:bCs/>
                <w:sz w:val="24"/>
                <w:szCs w:val="24"/>
                <w14:ligatures w14:val="none"/>
              </w:rPr>
            </w:pPr>
            <w:r w:rsidRPr="00D30DBE">
              <w:rPr>
                <w:rFonts w:ascii="Arial" w:eastAsia="Times New Roman" w:hAnsi="Arial" w:cs="Arial"/>
                <w:b/>
                <w:bCs/>
                <w:sz w:val="24"/>
                <w:szCs w:val="24"/>
                <w14:ligatures w14:val="none"/>
              </w:rPr>
              <w:t>p-value</w:t>
            </w:r>
          </w:p>
        </w:tc>
      </w:tr>
      <w:tr w:rsidR="00E46A7E" w:rsidRPr="00D30DBE" w14:paraId="69D98131" w14:textId="77777777" w:rsidTr="00E46A7E">
        <w:tc>
          <w:tcPr>
            <w:tcW w:w="0" w:type="auto"/>
            <w:hideMark/>
          </w:tcPr>
          <w:p w14:paraId="649E5793"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Age Group</w:t>
            </w:r>
          </w:p>
        </w:tc>
        <w:tc>
          <w:tcPr>
            <w:tcW w:w="0" w:type="auto"/>
            <w:hideMark/>
          </w:tcPr>
          <w:p w14:paraId="29928EFA"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6–10 years</w:t>
            </w:r>
          </w:p>
        </w:tc>
        <w:tc>
          <w:tcPr>
            <w:tcW w:w="0" w:type="auto"/>
            <w:hideMark/>
          </w:tcPr>
          <w:p w14:paraId="7683C7DC"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9 (32.1%)</w:t>
            </w:r>
          </w:p>
        </w:tc>
        <w:tc>
          <w:tcPr>
            <w:tcW w:w="0" w:type="auto"/>
            <w:hideMark/>
          </w:tcPr>
          <w:p w14:paraId="38974838"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 (9.7%)</w:t>
            </w:r>
          </w:p>
        </w:tc>
        <w:tc>
          <w:tcPr>
            <w:tcW w:w="0" w:type="auto"/>
            <w:hideMark/>
          </w:tcPr>
          <w:p w14:paraId="1EBA6B94"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12</w:t>
            </w:r>
          </w:p>
        </w:tc>
        <w:tc>
          <w:tcPr>
            <w:tcW w:w="0" w:type="auto"/>
            <w:hideMark/>
          </w:tcPr>
          <w:p w14:paraId="70BDE16F"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6.82</w:t>
            </w:r>
          </w:p>
        </w:tc>
        <w:tc>
          <w:tcPr>
            <w:tcW w:w="0" w:type="auto"/>
            <w:hideMark/>
          </w:tcPr>
          <w:p w14:paraId="3F7E42E7"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0.033</w:t>
            </w:r>
          </w:p>
        </w:tc>
      </w:tr>
      <w:tr w:rsidR="00E46A7E" w:rsidRPr="00D30DBE" w14:paraId="1CF9E9F0" w14:textId="77777777" w:rsidTr="00E46A7E">
        <w:tc>
          <w:tcPr>
            <w:tcW w:w="0" w:type="auto"/>
            <w:hideMark/>
          </w:tcPr>
          <w:p w14:paraId="583E1682"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60F24DAB"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11–15 years</w:t>
            </w:r>
          </w:p>
        </w:tc>
        <w:tc>
          <w:tcPr>
            <w:tcW w:w="0" w:type="auto"/>
            <w:hideMark/>
          </w:tcPr>
          <w:p w14:paraId="4A9A8E29"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12 (42.9%)</w:t>
            </w:r>
          </w:p>
        </w:tc>
        <w:tc>
          <w:tcPr>
            <w:tcW w:w="0" w:type="auto"/>
            <w:hideMark/>
          </w:tcPr>
          <w:p w14:paraId="264C8A18"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12 (38.7%)</w:t>
            </w:r>
          </w:p>
        </w:tc>
        <w:tc>
          <w:tcPr>
            <w:tcW w:w="0" w:type="auto"/>
            <w:hideMark/>
          </w:tcPr>
          <w:p w14:paraId="615A9455"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24</w:t>
            </w:r>
          </w:p>
        </w:tc>
        <w:tc>
          <w:tcPr>
            <w:tcW w:w="0" w:type="auto"/>
            <w:hideMark/>
          </w:tcPr>
          <w:p w14:paraId="6AF96402"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7C7E867A" w14:textId="77777777" w:rsidR="00E46A7E" w:rsidRPr="00D30DBE" w:rsidRDefault="00E46A7E" w:rsidP="00E46A7E">
            <w:pPr>
              <w:rPr>
                <w:rFonts w:ascii="Arial" w:eastAsia="Times New Roman" w:hAnsi="Arial" w:cs="Arial"/>
                <w:sz w:val="24"/>
                <w:szCs w:val="24"/>
                <w14:ligatures w14:val="none"/>
              </w:rPr>
            </w:pPr>
          </w:p>
        </w:tc>
      </w:tr>
      <w:tr w:rsidR="00E46A7E" w:rsidRPr="00D30DBE" w14:paraId="4BEEBDA9" w14:textId="77777777" w:rsidTr="00E46A7E">
        <w:tc>
          <w:tcPr>
            <w:tcW w:w="0" w:type="auto"/>
            <w:hideMark/>
          </w:tcPr>
          <w:p w14:paraId="3A905A27"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4EDF6C53"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16–18 years</w:t>
            </w:r>
          </w:p>
        </w:tc>
        <w:tc>
          <w:tcPr>
            <w:tcW w:w="0" w:type="auto"/>
            <w:hideMark/>
          </w:tcPr>
          <w:p w14:paraId="6C4B840A"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7 (25.0%)</w:t>
            </w:r>
          </w:p>
        </w:tc>
        <w:tc>
          <w:tcPr>
            <w:tcW w:w="0" w:type="auto"/>
            <w:hideMark/>
          </w:tcPr>
          <w:p w14:paraId="2815764F"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16 (51.6%)</w:t>
            </w:r>
          </w:p>
        </w:tc>
        <w:tc>
          <w:tcPr>
            <w:tcW w:w="0" w:type="auto"/>
            <w:hideMark/>
          </w:tcPr>
          <w:p w14:paraId="5A688625"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23</w:t>
            </w:r>
          </w:p>
        </w:tc>
        <w:tc>
          <w:tcPr>
            <w:tcW w:w="0" w:type="auto"/>
            <w:hideMark/>
          </w:tcPr>
          <w:p w14:paraId="76EF2449"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4F500578" w14:textId="77777777" w:rsidR="00E46A7E" w:rsidRPr="00D30DBE" w:rsidRDefault="00E46A7E" w:rsidP="00E46A7E">
            <w:pPr>
              <w:rPr>
                <w:rFonts w:ascii="Arial" w:eastAsia="Times New Roman" w:hAnsi="Arial" w:cs="Arial"/>
                <w:sz w:val="24"/>
                <w:szCs w:val="24"/>
                <w14:ligatures w14:val="none"/>
              </w:rPr>
            </w:pPr>
          </w:p>
        </w:tc>
      </w:tr>
      <w:tr w:rsidR="00E46A7E" w:rsidRPr="00D30DBE" w14:paraId="59A45DB5" w14:textId="77777777" w:rsidTr="00E46A7E">
        <w:tc>
          <w:tcPr>
            <w:tcW w:w="0" w:type="auto"/>
            <w:hideMark/>
          </w:tcPr>
          <w:p w14:paraId="20EED9E8"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Sex</w:t>
            </w:r>
          </w:p>
        </w:tc>
        <w:tc>
          <w:tcPr>
            <w:tcW w:w="0" w:type="auto"/>
            <w:hideMark/>
          </w:tcPr>
          <w:p w14:paraId="062A6723"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Male</w:t>
            </w:r>
          </w:p>
        </w:tc>
        <w:tc>
          <w:tcPr>
            <w:tcW w:w="0" w:type="auto"/>
            <w:hideMark/>
          </w:tcPr>
          <w:p w14:paraId="23C352A1"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14 (50.0%)</w:t>
            </w:r>
          </w:p>
        </w:tc>
        <w:tc>
          <w:tcPr>
            <w:tcW w:w="0" w:type="auto"/>
            <w:hideMark/>
          </w:tcPr>
          <w:p w14:paraId="1745A4B6"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24 (77.4%)</w:t>
            </w:r>
          </w:p>
        </w:tc>
        <w:tc>
          <w:tcPr>
            <w:tcW w:w="0" w:type="auto"/>
            <w:hideMark/>
          </w:tcPr>
          <w:p w14:paraId="65CC92C3"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38</w:t>
            </w:r>
          </w:p>
        </w:tc>
        <w:tc>
          <w:tcPr>
            <w:tcW w:w="0" w:type="auto"/>
            <w:hideMark/>
          </w:tcPr>
          <w:p w14:paraId="742728F7"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4.85</w:t>
            </w:r>
          </w:p>
        </w:tc>
        <w:tc>
          <w:tcPr>
            <w:tcW w:w="0" w:type="auto"/>
            <w:hideMark/>
          </w:tcPr>
          <w:p w14:paraId="1D5B7BAD"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0.028</w:t>
            </w:r>
          </w:p>
        </w:tc>
      </w:tr>
      <w:tr w:rsidR="00E46A7E" w:rsidRPr="00D30DBE" w14:paraId="57D608CE" w14:textId="77777777" w:rsidTr="00E46A7E">
        <w:tc>
          <w:tcPr>
            <w:tcW w:w="0" w:type="auto"/>
            <w:hideMark/>
          </w:tcPr>
          <w:p w14:paraId="11ABDBFF"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0923870E"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Female</w:t>
            </w:r>
          </w:p>
        </w:tc>
        <w:tc>
          <w:tcPr>
            <w:tcW w:w="0" w:type="auto"/>
            <w:hideMark/>
          </w:tcPr>
          <w:p w14:paraId="3300C727"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14 (50.0%)</w:t>
            </w:r>
          </w:p>
        </w:tc>
        <w:tc>
          <w:tcPr>
            <w:tcW w:w="0" w:type="auto"/>
            <w:hideMark/>
          </w:tcPr>
          <w:p w14:paraId="3FE4FD4F"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7 (22.6%)</w:t>
            </w:r>
          </w:p>
        </w:tc>
        <w:tc>
          <w:tcPr>
            <w:tcW w:w="0" w:type="auto"/>
            <w:hideMark/>
          </w:tcPr>
          <w:p w14:paraId="4ED686E1"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21</w:t>
            </w:r>
          </w:p>
        </w:tc>
        <w:tc>
          <w:tcPr>
            <w:tcW w:w="0" w:type="auto"/>
            <w:hideMark/>
          </w:tcPr>
          <w:p w14:paraId="17015502"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2926FD74" w14:textId="77777777" w:rsidR="00E46A7E" w:rsidRPr="00D30DBE" w:rsidRDefault="00E46A7E" w:rsidP="00E46A7E">
            <w:pPr>
              <w:rPr>
                <w:rFonts w:ascii="Arial" w:eastAsia="Times New Roman" w:hAnsi="Arial" w:cs="Arial"/>
                <w:sz w:val="24"/>
                <w:szCs w:val="24"/>
                <w14:ligatures w14:val="none"/>
              </w:rPr>
            </w:pPr>
          </w:p>
        </w:tc>
      </w:tr>
      <w:tr w:rsidR="00E46A7E" w:rsidRPr="00D30DBE" w14:paraId="52C02A2B" w14:textId="77777777" w:rsidTr="00E46A7E">
        <w:tc>
          <w:tcPr>
            <w:tcW w:w="0" w:type="auto"/>
            <w:hideMark/>
          </w:tcPr>
          <w:p w14:paraId="491CB37B" w14:textId="70583619" w:rsidR="00E46A7E" w:rsidRPr="00D30DBE" w:rsidRDefault="00D30DBE" w:rsidP="00E46A7E">
            <w:pPr>
              <w:rPr>
                <w:rFonts w:ascii="Arial" w:eastAsia="Times New Roman" w:hAnsi="Arial" w:cs="Arial"/>
                <w:sz w:val="24"/>
                <w:szCs w:val="24"/>
                <w14:ligatures w14:val="none"/>
              </w:rPr>
            </w:pPr>
            <w:r>
              <w:rPr>
                <w:rFonts w:ascii="Arial" w:eastAsia="Times New Roman" w:hAnsi="Arial" w:cs="Arial"/>
                <w:b/>
                <w:bCs/>
                <w:sz w:val="24"/>
                <w:szCs w:val="24"/>
                <w14:ligatures w14:val="none"/>
              </w:rPr>
              <w:lastRenderedPageBreak/>
              <w:t>Site</w:t>
            </w:r>
          </w:p>
        </w:tc>
        <w:tc>
          <w:tcPr>
            <w:tcW w:w="0" w:type="auto"/>
            <w:hideMark/>
          </w:tcPr>
          <w:p w14:paraId="6D1E5E0E"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Mandible</w:t>
            </w:r>
          </w:p>
        </w:tc>
        <w:tc>
          <w:tcPr>
            <w:tcW w:w="0" w:type="auto"/>
            <w:hideMark/>
          </w:tcPr>
          <w:p w14:paraId="410B4043"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25 (96.2%)</w:t>
            </w:r>
          </w:p>
        </w:tc>
        <w:tc>
          <w:tcPr>
            <w:tcW w:w="0" w:type="auto"/>
            <w:hideMark/>
          </w:tcPr>
          <w:p w14:paraId="67AD29DF"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28 (96.6%)</w:t>
            </w:r>
          </w:p>
        </w:tc>
        <w:tc>
          <w:tcPr>
            <w:tcW w:w="0" w:type="auto"/>
            <w:hideMark/>
          </w:tcPr>
          <w:p w14:paraId="792C408D"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53</w:t>
            </w:r>
          </w:p>
        </w:tc>
        <w:tc>
          <w:tcPr>
            <w:tcW w:w="0" w:type="auto"/>
            <w:hideMark/>
          </w:tcPr>
          <w:p w14:paraId="31B55AAF"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0.09</w:t>
            </w:r>
          </w:p>
        </w:tc>
        <w:tc>
          <w:tcPr>
            <w:tcW w:w="0" w:type="auto"/>
            <w:hideMark/>
          </w:tcPr>
          <w:p w14:paraId="1564AFFD"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1.000</w:t>
            </w:r>
          </w:p>
        </w:tc>
      </w:tr>
      <w:tr w:rsidR="00E46A7E" w:rsidRPr="00D30DBE" w14:paraId="11AA10FD" w14:textId="77777777" w:rsidTr="00E46A7E">
        <w:tc>
          <w:tcPr>
            <w:tcW w:w="0" w:type="auto"/>
            <w:hideMark/>
          </w:tcPr>
          <w:p w14:paraId="311E825F"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7A7C4CAD"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Maxilla</w:t>
            </w:r>
          </w:p>
        </w:tc>
        <w:tc>
          <w:tcPr>
            <w:tcW w:w="0" w:type="auto"/>
            <w:hideMark/>
          </w:tcPr>
          <w:p w14:paraId="0D9684B5"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 (3.8%)</w:t>
            </w:r>
          </w:p>
        </w:tc>
        <w:tc>
          <w:tcPr>
            <w:tcW w:w="0" w:type="auto"/>
            <w:hideMark/>
          </w:tcPr>
          <w:p w14:paraId="626DD0F8"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 (3.4%)</w:t>
            </w:r>
          </w:p>
        </w:tc>
        <w:tc>
          <w:tcPr>
            <w:tcW w:w="0" w:type="auto"/>
            <w:hideMark/>
          </w:tcPr>
          <w:p w14:paraId="29F6A34B"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w:t>
            </w:r>
          </w:p>
        </w:tc>
        <w:tc>
          <w:tcPr>
            <w:tcW w:w="0" w:type="auto"/>
            <w:hideMark/>
          </w:tcPr>
          <w:p w14:paraId="75E34EFB"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2C59F21D" w14:textId="77777777" w:rsidR="00E46A7E" w:rsidRPr="00D30DBE" w:rsidRDefault="00E46A7E" w:rsidP="00E46A7E">
            <w:pPr>
              <w:rPr>
                <w:rFonts w:ascii="Arial" w:eastAsia="Times New Roman" w:hAnsi="Arial" w:cs="Arial"/>
                <w:sz w:val="24"/>
                <w:szCs w:val="24"/>
                <w14:ligatures w14:val="none"/>
              </w:rPr>
            </w:pPr>
          </w:p>
        </w:tc>
      </w:tr>
      <w:tr w:rsidR="00E46A7E" w:rsidRPr="00D30DBE" w14:paraId="56A027F6" w14:textId="77777777" w:rsidTr="00E46A7E">
        <w:tc>
          <w:tcPr>
            <w:tcW w:w="0" w:type="auto"/>
            <w:hideMark/>
          </w:tcPr>
          <w:p w14:paraId="445A7434"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b/>
                <w:bCs/>
                <w:sz w:val="24"/>
                <w:szCs w:val="24"/>
                <w14:ligatures w14:val="none"/>
              </w:rPr>
              <w:t>Radiographic Appearance</w:t>
            </w:r>
          </w:p>
        </w:tc>
        <w:tc>
          <w:tcPr>
            <w:tcW w:w="0" w:type="auto"/>
            <w:hideMark/>
          </w:tcPr>
          <w:p w14:paraId="5D28D4DE"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Unilocular</w:t>
            </w:r>
          </w:p>
        </w:tc>
        <w:tc>
          <w:tcPr>
            <w:tcW w:w="0" w:type="auto"/>
            <w:hideMark/>
          </w:tcPr>
          <w:p w14:paraId="027B2AA9"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27 (96.4%)</w:t>
            </w:r>
          </w:p>
        </w:tc>
        <w:tc>
          <w:tcPr>
            <w:tcW w:w="0" w:type="auto"/>
            <w:hideMark/>
          </w:tcPr>
          <w:p w14:paraId="4A2038FC"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 (3.2%)</w:t>
            </w:r>
          </w:p>
        </w:tc>
        <w:tc>
          <w:tcPr>
            <w:tcW w:w="0" w:type="auto"/>
            <w:hideMark/>
          </w:tcPr>
          <w:p w14:paraId="5137001A"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28</w:t>
            </w:r>
          </w:p>
        </w:tc>
        <w:tc>
          <w:tcPr>
            <w:tcW w:w="0" w:type="auto"/>
            <w:hideMark/>
          </w:tcPr>
          <w:p w14:paraId="460BCD25"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51.24</w:t>
            </w:r>
          </w:p>
        </w:tc>
        <w:tc>
          <w:tcPr>
            <w:tcW w:w="0" w:type="auto"/>
            <w:hideMark/>
          </w:tcPr>
          <w:p w14:paraId="4DC9ED44"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&lt;0.001</w:t>
            </w:r>
          </w:p>
        </w:tc>
      </w:tr>
      <w:tr w:rsidR="00E46A7E" w:rsidRPr="00D30DBE" w14:paraId="547A5CEA" w14:textId="77777777" w:rsidTr="00E46A7E">
        <w:tc>
          <w:tcPr>
            <w:tcW w:w="0" w:type="auto"/>
            <w:hideMark/>
          </w:tcPr>
          <w:p w14:paraId="5929F589"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39BD7B8F"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Multilocular</w:t>
            </w:r>
          </w:p>
        </w:tc>
        <w:tc>
          <w:tcPr>
            <w:tcW w:w="0" w:type="auto"/>
            <w:hideMark/>
          </w:tcPr>
          <w:p w14:paraId="353A0147"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 (3.6%)</w:t>
            </w:r>
          </w:p>
        </w:tc>
        <w:tc>
          <w:tcPr>
            <w:tcW w:w="0" w:type="auto"/>
            <w:hideMark/>
          </w:tcPr>
          <w:p w14:paraId="0D4FE2F4"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30 (96.8%)</w:t>
            </w:r>
          </w:p>
        </w:tc>
        <w:tc>
          <w:tcPr>
            <w:tcW w:w="0" w:type="auto"/>
            <w:hideMark/>
          </w:tcPr>
          <w:p w14:paraId="4CC25C2B"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31</w:t>
            </w:r>
          </w:p>
        </w:tc>
        <w:tc>
          <w:tcPr>
            <w:tcW w:w="0" w:type="auto"/>
            <w:hideMark/>
          </w:tcPr>
          <w:p w14:paraId="5756B9EF"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3527D746" w14:textId="77777777" w:rsidR="00E46A7E" w:rsidRPr="00D30DBE" w:rsidRDefault="00E46A7E" w:rsidP="00E46A7E">
            <w:pPr>
              <w:rPr>
                <w:rFonts w:ascii="Arial" w:eastAsia="Times New Roman" w:hAnsi="Arial" w:cs="Arial"/>
                <w:sz w:val="24"/>
                <w:szCs w:val="24"/>
                <w14:ligatures w14:val="none"/>
              </w:rPr>
            </w:pPr>
          </w:p>
        </w:tc>
      </w:tr>
      <w:tr w:rsidR="00E46A7E" w:rsidRPr="00D30DBE" w14:paraId="55080570" w14:textId="77777777" w:rsidTr="00E46A7E">
        <w:tc>
          <w:tcPr>
            <w:tcW w:w="0" w:type="auto"/>
            <w:hideMark/>
          </w:tcPr>
          <w:p w14:paraId="754B5798" w14:textId="0A517A96" w:rsidR="00E46A7E" w:rsidRPr="00D30DBE" w:rsidRDefault="00D30DBE" w:rsidP="00E46A7E">
            <w:pPr>
              <w:rPr>
                <w:rFonts w:ascii="Arial" w:eastAsia="Times New Roman" w:hAnsi="Arial" w:cs="Arial"/>
                <w:sz w:val="24"/>
                <w:szCs w:val="24"/>
                <w14:ligatures w14:val="none"/>
              </w:rPr>
            </w:pPr>
            <w:r>
              <w:rPr>
                <w:rFonts w:ascii="Arial" w:eastAsia="Times New Roman" w:hAnsi="Arial" w:cs="Arial"/>
                <w:b/>
                <w:bCs/>
                <w:sz w:val="24"/>
                <w:szCs w:val="24"/>
                <w14:ligatures w14:val="none"/>
              </w:rPr>
              <w:t>Duration of Symptoms</w:t>
            </w:r>
          </w:p>
        </w:tc>
        <w:tc>
          <w:tcPr>
            <w:tcW w:w="0" w:type="auto"/>
            <w:hideMark/>
          </w:tcPr>
          <w:p w14:paraId="666C5335"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1–2 years</w:t>
            </w:r>
          </w:p>
        </w:tc>
        <w:tc>
          <w:tcPr>
            <w:tcW w:w="0" w:type="auto"/>
            <w:hideMark/>
          </w:tcPr>
          <w:p w14:paraId="64C11528"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13 (50.0%)</w:t>
            </w:r>
          </w:p>
        </w:tc>
        <w:tc>
          <w:tcPr>
            <w:tcW w:w="0" w:type="auto"/>
            <w:hideMark/>
          </w:tcPr>
          <w:p w14:paraId="5E5597DD"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18 (58.1%)</w:t>
            </w:r>
          </w:p>
        </w:tc>
        <w:tc>
          <w:tcPr>
            <w:tcW w:w="0" w:type="auto"/>
            <w:hideMark/>
          </w:tcPr>
          <w:p w14:paraId="14AFEE8D"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31</w:t>
            </w:r>
          </w:p>
        </w:tc>
        <w:tc>
          <w:tcPr>
            <w:tcW w:w="0" w:type="auto"/>
            <w:hideMark/>
          </w:tcPr>
          <w:p w14:paraId="3C5F54F7"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0.80</w:t>
            </w:r>
          </w:p>
        </w:tc>
        <w:tc>
          <w:tcPr>
            <w:tcW w:w="0" w:type="auto"/>
            <w:hideMark/>
          </w:tcPr>
          <w:p w14:paraId="304B54FC"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0.371</w:t>
            </w:r>
          </w:p>
        </w:tc>
      </w:tr>
      <w:tr w:rsidR="00E46A7E" w:rsidRPr="00D30DBE" w14:paraId="5D63792B" w14:textId="77777777" w:rsidTr="00E46A7E">
        <w:tc>
          <w:tcPr>
            <w:tcW w:w="0" w:type="auto"/>
            <w:hideMark/>
          </w:tcPr>
          <w:p w14:paraId="2FC574E0"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45219163"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3–5 years</w:t>
            </w:r>
          </w:p>
        </w:tc>
        <w:tc>
          <w:tcPr>
            <w:tcW w:w="0" w:type="auto"/>
            <w:hideMark/>
          </w:tcPr>
          <w:p w14:paraId="33D35EE7"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13 (50.0%)</w:t>
            </w:r>
          </w:p>
        </w:tc>
        <w:tc>
          <w:tcPr>
            <w:tcW w:w="0" w:type="auto"/>
            <w:hideMark/>
          </w:tcPr>
          <w:p w14:paraId="4EEC98E3"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13 (41.9%)</w:t>
            </w:r>
          </w:p>
        </w:tc>
        <w:tc>
          <w:tcPr>
            <w:tcW w:w="0" w:type="auto"/>
            <w:hideMark/>
          </w:tcPr>
          <w:p w14:paraId="65B2158D"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26</w:t>
            </w:r>
          </w:p>
        </w:tc>
        <w:tc>
          <w:tcPr>
            <w:tcW w:w="0" w:type="auto"/>
            <w:hideMark/>
          </w:tcPr>
          <w:p w14:paraId="7BF1C14C"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04918337" w14:textId="77777777" w:rsidR="00E46A7E" w:rsidRPr="00D30DBE" w:rsidRDefault="00E46A7E" w:rsidP="00E46A7E">
            <w:pPr>
              <w:rPr>
                <w:rFonts w:ascii="Arial" w:eastAsia="Times New Roman" w:hAnsi="Arial" w:cs="Arial"/>
                <w:sz w:val="24"/>
                <w:szCs w:val="24"/>
                <w14:ligatures w14:val="none"/>
              </w:rPr>
            </w:pPr>
          </w:p>
        </w:tc>
      </w:tr>
      <w:tr w:rsidR="00E46A7E" w:rsidRPr="00D30DBE" w14:paraId="566C2F40" w14:textId="77777777" w:rsidTr="00E46A7E">
        <w:tc>
          <w:tcPr>
            <w:tcW w:w="0" w:type="auto"/>
            <w:hideMark/>
          </w:tcPr>
          <w:p w14:paraId="4C2C5C8F" w14:textId="1C20590B" w:rsidR="00E46A7E" w:rsidRPr="00D30DBE" w:rsidRDefault="00D30DBE" w:rsidP="00E46A7E">
            <w:pPr>
              <w:rPr>
                <w:rFonts w:ascii="Arial" w:eastAsia="Times New Roman" w:hAnsi="Arial" w:cs="Arial"/>
                <w:sz w:val="24"/>
                <w:szCs w:val="24"/>
                <w14:ligatures w14:val="none"/>
              </w:rPr>
            </w:pPr>
            <w:r>
              <w:rPr>
                <w:rFonts w:ascii="Arial" w:eastAsia="Times New Roman" w:hAnsi="Arial" w:cs="Arial"/>
                <w:b/>
                <w:bCs/>
                <w:sz w:val="24"/>
                <w:szCs w:val="24"/>
                <w14:ligatures w14:val="none"/>
              </w:rPr>
              <w:t>Histologic Variants</w:t>
            </w:r>
          </w:p>
        </w:tc>
        <w:tc>
          <w:tcPr>
            <w:tcW w:w="0" w:type="auto"/>
            <w:hideMark/>
          </w:tcPr>
          <w:p w14:paraId="5CE7B00A"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Plexiform</w:t>
            </w:r>
          </w:p>
        </w:tc>
        <w:tc>
          <w:tcPr>
            <w:tcW w:w="0" w:type="auto"/>
            <w:hideMark/>
          </w:tcPr>
          <w:p w14:paraId="3F596485"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 (3.6%)</w:t>
            </w:r>
          </w:p>
        </w:tc>
        <w:tc>
          <w:tcPr>
            <w:tcW w:w="0" w:type="auto"/>
            <w:hideMark/>
          </w:tcPr>
          <w:p w14:paraId="637229F1"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16 (61.5%)</w:t>
            </w:r>
          </w:p>
        </w:tc>
        <w:tc>
          <w:tcPr>
            <w:tcW w:w="0" w:type="auto"/>
            <w:hideMark/>
          </w:tcPr>
          <w:p w14:paraId="2DBFE469"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17</w:t>
            </w:r>
          </w:p>
        </w:tc>
        <w:tc>
          <w:tcPr>
            <w:tcW w:w="0" w:type="auto"/>
            <w:hideMark/>
          </w:tcPr>
          <w:p w14:paraId="35AA4C2A"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38.47</w:t>
            </w:r>
          </w:p>
        </w:tc>
        <w:tc>
          <w:tcPr>
            <w:tcW w:w="0" w:type="auto"/>
            <w:hideMark/>
          </w:tcPr>
          <w:p w14:paraId="6138ADB0"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&lt;0.001</w:t>
            </w:r>
          </w:p>
        </w:tc>
      </w:tr>
      <w:tr w:rsidR="00E46A7E" w:rsidRPr="00D30DBE" w14:paraId="41F176B3" w14:textId="77777777" w:rsidTr="00E46A7E">
        <w:tc>
          <w:tcPr>
            <w:tcW w:w="0" w:type="auto"/>
            <w:hideMark/>
          </w:tcPr>
          <w:p w14:paraId="0F5D7CD3"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108A6493"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Follicular</w:t>
            </w:r>
          </w:p>
        </w:tc>
        <w:tc>
          <w:tcPr>
            <w:tcW w:w="0" w:type="auto"/>
            <w:hideMark/>
          </w:tcPr>
          <w:p w14:paraId="28411E8A"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4 (14.3%)</w:t>
            </w:r>
          </w:p>
        </w:tc>
        <w:tc>
          <w:tcPr>
            <w:tcW w:w="0" w:type="auto"/>
            <w:hideMark/>
          </w:tcPr>
          <w:p w14:paraId="653D6461"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4 (15.4%)</w:t>
            </w:r>
          </w:p>
        </w:tc>
        <w:tc>
          <w:tcPr>
            <w:tcW w:w="0" w:type="auto"/>
            <w:hideMark/>
          </w:tcPr>
          <w:p w14:paraId="7F40CBAE"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8</w:t>
            </w:r>
          </w:p>
        </w:tc>
        <w:tc>
          <w:tcPr>
            <w:tcW w:w="0" w:type="auto"/>
            <w:hideMark/>
          </w:tcPr>
          <w:p w14:paraId="73D2C85F"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785DCF95" w14:textId="77777777" w:rsidR="00E46A7E" w:rsidRPr="00D30DBE" w:rsidRDefault="00E46A7E" w:rsidP="00E46A7E">
            <w:pPr>
              <w:rPr>
                <w:rFonts w:ascii="Arial" w:eastAsia="Times New Roman" w:hAnsi="Arial" w:cs="Arial"/>
                <w:sz w:val="24"/>
                <w:szCs w:val="24"/>
                <w14:ligatures w14:val="none"/>
              </w:rPr>
            </w:pPr>
          </w:p>
        </w:tc>
      </w:tr>
      <w:tr w:rsidR="00E46A7E" w:rsidRPr="00D30DBE" w14:paraId="2B619027" w14:textId="77777777" w:rsidTr="00E46A7E">
        <w:tc>
          <w:tcPr>
            <w:tcW w:w="0" w:type="auto"/>
            <w:hideMark/>
          </w:tcPr>
          <w:p w14:paraId="67637655"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6DBF9BC1"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Mural</w:t>
            </w:r>
          </w:p>
        </w:tc>
        <w:tc>
          <w:tcPr>
            <w:tcW w:w="0" w:type="auto"/>
            <w:hideMark/>
          </w:tcPr>
          <w:p w14:paraId="6AC72522"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14 (50.0%)</w:t>
            </w:r>
          </w:p>
        </w:tc>
        <w:tc>
          <w:tcPr>
            <w:tcW w:w="0" w:type="auto"/>
            <w:hideMark/>
          </w:tcPr>
          <w:p w14:paraId="74E88A73"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 (7.7%)</w:t>
            </w:r>
          </w:p>
        </w:tc>
        <w:tc>
          <w:tcPr>
            <w:tcW w:w="0" w:type="auto"/>
            <w:hideMark/>
          </w:tcPr>
          <w:p w14:paraId="18145CC9"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16</w:t>
            </w:r>
          </w:p>
        </w:tc>
        <w:tc>
          <w:tcPr>
            <w:tcW w:w="0" w:type="auto"/>
            <w:hideMark/>
          </w:tcPr>
          <w:p w14:paraId="603839FF"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6815E791" w14:textId="77777777" w:rsidR="00E46A7E" w:rsidRPr="00D30DBE" w:rsidRDefault="00E46A7E" w:rsidP="00E46A7E">
            <w:pPr>
              <w:rPr>
                <w:rFonts w:ascii="Arial" w:eastAsia="Times New Roman" w:hAnsi="Arial" w:cs="Arial"/>
                <w:sz w:val="24"/>
                <w:szCs w:val="24"/>
                <w14:ligatures w14:val="none"/>
              </w:rPr>
            </w:pPr>
          </w:p>
        </w:tc>
      </w:tr>
      <w:tr w:rsidR="00E46A7E" w:rsidRPr="00D30DBE" w14:paraId="0A9F1BBE" w14:textId="77777777" w:rsidTr="00E46A7E">
        <w:tc>
          <w:tcPr>
            <w:tcW w:w="0" w:type="auto"/>
            <w:hideMark/>
          </w:tcPr>
          <w:p w14:paraId="58E3DFEA"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3911F33E"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Luminal/Intraluminal</w:t>
            </w:r>
          </w:p>
        </w:tc>
        <w:tc>
          <w:tcPr>
            <w:tcW w:w="0" w:type="auto"/>
            <w:hideMark/>
          </w:tcPr>
          <w:p w14:paraId="00AD6632"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6 (21.4%)</w:t>
            </w:r>
          </w:p>
        </w:tc>
        <w:tc>
          <w:tcPr>
            <w:tcW w:w="0" w:type="auto"/>
            <w:hideMark/>
          </w:tcPr>
          <w:p w14:paraId="17364962"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 (3.8%)</w:t>
            </w:r>
          </w:p>
        </w:tc>
        <w:tc>
          <w:tcPr>
            <w:tcW w:w="0" w:type="auto"/>
            <w:hideMark/>
          </w:tcPr>
          <w:p w14:paraId="18A9F771"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7</w:t>
            </w:r>
          </w:p>
        </w:tc>
        <w:tc>
          <w:tcPr>
            <w:tcW w:w="0" w:type="auto"/>
            <w:hideMark/>
          </w:tcPr>
          <w:p w14:paraId="4B8669ED"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7E9A904F" w14:textId="77777777" w:rsidR="00E46A7E" w:rsidRPr="00D30DBE" w:rsidRDefault="00E46A7E" w:rsidP="00E46A7E">
            <w:pPr>
              <w:rPr>
                <w:rFonts w:ascii="Arial" w:eastAsia="Times New Roman" w:hAnsi="Arial" w:cs="Arial"/>
                <w:sz w:val="24"/>
                <w:szCs w:val="24"/>
                <w14:ligatures w14:val="none"/>
              </w:rPr>
            </w:pPr>
          </w:p>
        </w:tc>
      </w:tr>
      <w:tr w:rsidR="00E46A7E" w:rsidRPr="00D30DBE" w14:paraId="3A982790" w14:textId="77777777" w:rsidTr="00E46A7E">
        <w:tc>
          <w:tcPr>
            <w:tcW w:w="0" w:type="auto"/>
            <w:hideMark/>
          </w:tcPr>
          <w:p w14:paraId="14F7F103"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06E5C148"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Intraluminal and Mural</w:t>
            </w:r>
          </w:p>
        </w:tc>
        <w:tc>
          <w:tcPr>
            <w:tcW w:w="0" w:type="auto"/>
            <w:hideMark/>
          </w:tcPr>
          <w:p w14:paraId="37349BAF"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 (7.1%)</w:t>
            </w:r>
          </w:p>
        </w:tc>
        <w:tc>
          <w:tcPr>
            <w:tcW w:w="0" w:type="auto"/>
            <w:hideMark/>
          </w:tcPr>
          <w:p w14:paraId="784548B6"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 (3.8%)</w:t>
            </w:r>
          </w:p>
        </w:tc>
        <w:tc>
          <w:tcPr>
            <w:tcW w:w="0" w:type="auto"/>
            <w:hideMark/>
          </w:tcPr>
          <w:p w14:paraId="15035A8B"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w:t>
            </w:r>
          </w:p>
        </w:tc>
        <w:tc>
          <w:tcPr>
            <w:tcW w:w="0" w:type="auto"/>
            <w:hideMark/>
          </w:tcPr>
          <w:p w14:paraId="3CB533AE"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0E8C61FF" w14:textId="77777777" w:rsidR="00E46A7E" w:rsidRPr="00D30DBE" w:rsidRDefault="00E46A7E" w:rsidP="00E46A7E">
            <w:pPr>
              <w:rPr>
                <w:rFonts w:ascii="Arial" w:eastAsia="Times New Roman" w:hAnsi="Arial" w:cs="Arial"/>
                <w:sz w:val="24"/>
                <w:szCs w:val="24"/>
                <w14:ligatures w14:val="none"/>
              </w:rPr>
            </w:pPr>
          </w:p>
        </w:tc>
      </w:tr>
      <w:tr w:rsidR="00E46A7E" w:rsidRPr="00D30DBE" w14:paraId="739CC27F" w14:textId="77777777" w:rsidTr="00E46A7E">
        <w:tc>
          <w:tcPr>
            <w:tcW w:w="0" w:type="auto"/>
            <w:hideMark/>
          </w:tcPr>
          <w:p w14:paraId="7A32946E"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017526FE" w14:textId="77777777" w:rsidR="00E46A7E" w:rsidRPr="00D30DBE" w:rsidRDefault="00E46A7E" w:rsidP="00E46A7E">
            <w:pPr>
              <w:rPr>
                <w:rFonts w:ascii="Arial" w:eastAsia="Times New Roman" w:hAnsi="Arial" w:cs="Arial"/>
                <w:sz w:val="24"/>
                <w:szCs w:val="24"/>
                <w14:ligatures w14:val="none"/>
              </w:rPr>
            </w:pPr>
            <w:proofErr w:type="spellStart"/>
            <w:r w:rsidRPr="00D30DBE">
              <w:rPr>
                <w:rFonts w:ascii="Arial" w:eastAsia="Times New Roman" w:hAnsi="Arial" w:cs="Arial"/>
                <w:sz w:val="24"/>
                <w:szCs w:val="24"/>
                <w14:ligatures w14:val="none"/>
              </w:rPr>
              <w:t>Plexiform</w:t>
            </w:r>
            <w:proofErr w:type="spellEnd"/>
            <w:r w:rsidRPr="00D30DBE">
              <w:rPr>
                <w:rFonts w:ascii="Arial" w:eastAsia="Times New Roman" w:hAnsi="Arial" w:cs="Arial"/>
                <w:sz w:val="24"/>
                <w:szCs w:val="24"/>
                <w14:ligatures w14:val="none"/>
              </w:rPr>
              <w:t xml:space="preserve"> and </w:t>
            </w:r>
            <w:proofErr w:type="spellStart"/>
            <w:r w:rsidRPr="00D30DBE">
              <w:rPr>
                <w:rFonts w:ascii="Arial" w:eastAsia="Times New Roman" w:hAnsi="Arial" w:cs="Arial"/>
                <w:sz w:val="24"/>
                <w:szCs w:val="24"/>
                <w14:ligatures w14:val="none"/>
              </w:rPr>
              <w:t>Acanthomatous</w:t>
            </w:r>
            <w:proofErr w:type="spellEnd"/>
          </w:p>
        </w:tc>
        <w:tc>
          <w:tcPr>
            <w:tcW w:w="0" w:type="auto"/>
            <w:hideMark/>
          </w:tcPr>
          <w:p w14:paraId="06658876"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1 (3.6%)</w:t>
            </w:r>
          </w:p>
        </w:tc>
        <w:tc>
          <w:tcPr>
            <w:tcW w:w="0" w:type="auto"/>
            <w:hideMark/>
          </w:tcPr>
          <w:p w14:paraId="0030D477"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2 (7.7%)</w:t>
            </w:r>
          </w:p>
        </w:tc>
        <w:tc>
          <w:tcPr>
            <w:tcW w:w="0" w:type="auto"/>
            <w:hideMark/>
          </w:tcPr>
          <w:p w14:paraId="6C537DAD" w14:textId="77777777" w:rsidR="00E46A7E" w:rsidRPr="00D30DBE" w:rsidRDefault="00E46A7E" w:rsidP="00E46A7E">
            <w:pPr>
              <w:rPr>
                <w:rFonts w:ascii="Arial" w:eastAsia="Times New Roman" w:hAnsi="Arial" w:cs="Arial"/>
                <w:sz w:val="24"/>
                <w:szCs w:val="24"/>
                <w14:ligatures w14:val="none"/>
              </w:rPr>
            </w:pPr>
            <w:r w:rsidRPr="00D30DBE">
              <w:rPr>
                <w:rFonts w:ascii="Arial" w:eastAsia="Times New Roman" w:hAnsi="Arial" w:cs="Arial"/>
                <w:sz w:val="24"/>
                <w:szCs w:val="24"/>
                <w14:ligatures w14:val="none"/>
              </w:rPr>
              <w:t>3</w:t>
            </w:r>
          </w:p>
        </w:tc>
        <w:tc>
          <w:tcPr>
            <w:tcW w:w="0" w:type="auto"/>
            <w:hideMark/>
          </w:tcPr>
          <w:p w14:paraId="5A09495D" w14:textId="77777777" w:rsidR="00E46A7E" w:rsidRPr="00D30DBE" w:rsidRDefault="00E46A7E" w:rsidP="00E46A7E">
            <w:pPr>
              <w:rPr>
                <w:rFonts w:ascii="Arial" w:eastAsia="Times New Roman" w:hAnsi="Arial" w:cs="Arial"/>
                <w:sz w:val="24"/>
                <w:szCs w:val="24"/>
                <w14:ligatures w14:val="none"/>
              </w:rPr>
            </w:pPr>
          </w:p>
        </w:tc>
        <w:tc>
          <w:tcPr>
            <w:tcW w:w="0" w:type="auto"/>
            <w:hideMark/>
          </w:tcPr>
          <w:p w14:paraId="315060C2" w14:textId="77777777" w:rsidR="00E46A7E" w:rsidRPr="00D30DBE" w:rsidRDefault="00E46A7E" w:rsidP="00E46A7E">
            <w:pPr>
              <w:rPr>
                <w:rFonts w:ascii="Arial" w:eastAsia="Times New Roman" w:hAnsi="Arial" w:cs="Arial"/>
                <w:sz w:val="24"/>
                <w:szCs w:val="24"/>
                <w14:ligatures w14:val="none"/>
              </w:rPr>
            </w:pPr>
          </w:p>
        </w:tc>
      </w:tr>
    </w:tbl>
    <w:p w14:paraId="5FDE820A" w14:textId="75C92338" w:rsidR="00E46A7E" w:rsidRPr="00E46A7E" w:rsidRDefault="00E46A7E" w:rsidP="00E46A7E">
      <w:pPr>
        <w:spacing w:before="100" w:beforeAutospacing="1" w:after="100" w:afterAutospacing="1" w:line="240" w:lineRule="auto"/>
        <w:rPr>
          <w:rFonts w:ascii="Arial" w:eastAsia="Times New Roman" w:hAnsi="Arial" w:cs="Arial"/>
          <w:kern w:val="0"/>
          <w14:ligatures w14:val="none"/>
        </w:rPr>
      </w:pPr>
      <w:r w:rsidRPr="00D30DBE">
        <w:rPr>
          <w:rFonts w:ascii="Arial" w:eastAsia="Times New Roman" w:hAnsi="Arial" w:cs="Arial"/>
          <w:kern w:val="0"/>
          <w14:ligatures w14:val="none"/>
        </w:rPr>
        <w:t>* Chi-square or Fisher’s exact test where appropriate.</w:t>
      </w:r>
      <w:r w:rsidRPr="00E46A7E">
        <w:rPr>
          <w:rFonts w:ascii="Arial" w:eastAsia="Times New Roman" w:hAnsi="Arial" w:cs="Arial"/>
          <w:kern w:val="0"/>
          <w14:ligatures w14:val="none"/>
        </w:rPr>
        <w:br/>
      </w:r>
    </w:p>
    <w:p w14:paraId="4C47D5FB" w14:textId="77777777" w:rsidR="005B2C4C" w:rsidRDefault="005B2C4C" w:rsidP="001B2C8D">
      <w:pPr>
        <w:jc w:val="both"/>
        <w:rPr>
          <w:rFonts w:ascii="Arial" w:hAnsi="Arial" w:cs="Arial"/>
          <w:b/>
          <w:bCs/>
          <w:color w:val="000000" w:themeColor="text1"/>
        </w:rPr>
      </w:pPr>
    </w:p>
    <w:p w14:paraId="77A79A02" w14:textId="3992FF41" w:rsidR="001B2C8D" w:rsidRPr="001B2C8D" w:rsidRDefault="001B2C8D" w:rsidP="001B2C8D">
      <w:pPr>
        <w:jc w:val="both"/>
        <w:rPr>
          <w:rFonts w:ascii="Arial" w:hAnsi="Arial" w:cs="Arial"/>
          <w:b/>
          <w:bCs/>
          <w:color w:val="000000" w:themeColor="text1"/>
        </w:rPr>
      </w:pPr>
      <w:r w:rsidRPr="001B2C8D">
        <w:rPr>
          <w:rFonts w:ascii="Arial" w:hAnsi="Arial" w:cs="Arial"/>
          <w:b/>
          <w:bCs/>
          <w:color w:val="000000" w:themeColor="text1"/>
        </w:rPr>
        <w:t xml:space="preserve">Table </w:t>
      </w:r>
      <w:r w:rsidR="005B2C4C">
        <w:rPr>
          <w:rFonts w:ascii="Arial" w:hAnsi="Arial" w:cs="Arial"/>
          <w:b/>
          <w:bCs/>
          <w:color w:val="000000" w:themeColor="text1"/>
        </w:rPr>
        <w:t>7</w:t>
      </w:r>
      <w:r w:rsidRPr="001B2C8D">
        <w:rPr>
          <w:rFonts w:ascii="Arial" w:hAnsi="Arial" w:cs="Arial"/>
          <w:b/>
          <w:bCs/>
          <w:color w:val="000000" w:themeColor="text1"/>
        </w:rPr>
        <w:t xml:space="preserve">. Logistic Regression Analysis of Factors Associated with Conventional (vs. </w:t>
      </w:r>
      <w:proofErr w:type="spellStart"/>
      <w:r w:rsidRPr="001B2C8D">
        <w:rPr>
          <w:rFonts w:ascii="Arial" w:hAnsi="Arial" w:cs="Arial"/>
          <w:b/>
          <w:bCs/>
          <w:color w:val="000000" w:themeColor="text1"/>
        </w:rPr>
        <w:t>Unicystic</w:t>
      </w:r>
      <w:proofErr w:type="spellEnd"/>
      <w:r w:rsidRPr="001B2C8D">
        <w:rPr>
          <w:rFonts w:ascii="Arial" w:hAnsi="Arial" w:cs="Arial"/>
          <w:b/>
          <w:bCs/>
          <w:color w:val="000000" w:themeColor="text1"/>
        </w:rPr>
        <w:t xml:space="preserve">) </w:t>
      </w:r>
      <w:proofErr w:type="spellStart"/>
      <w:r w:rsidRPr="001B2C8D">
        <w:rPr>
          <w:rFonts w:ascii="Arial" w:hAnsi="Arial" w:cs="Arial"/>
          <w:b/>
          <w:bCs/>
          <w:color w:val="000000" w:themeColor="text1"/>
        </w:rPr>
        <w:t>Ameloblastoma</w:t>
      </w:r>
      <w:proofErr w:type="spellEnd"/>
      <w:r w:rsidRPr="001B2C8D">
        <w:rPr>
          <w:rFonts w:ascii="Arial" w:hAnsi="Arial" w:cs="Arial"/>
          <w:b/>
          <w:bCs/>
          <w:color w:val="000000" w:themeColor="text1"/>
        </w:rPr>
        <w:t xml:space="preserve"> (n = 59)</w:t>
      </w:r>
    </w:p>
    <w:tbl>
      <w:tblPr>
        <w:tblStyle w:val="TableGrid"/>
        <w:tblW w:w="0" w:type="auto"/>
        <w:tblLook w:val="04A0" w:firstRow="1" w:lastRow="0" w:firstColumn="1" w:lastColumn="0" w:noHBand="0" w:noVBand="1"/>
      </w:tblPr>
      <w:tblGrid>
        <w:gridCol w:w="2111"/>
        <w:gridCol w:w="1499"/>
        <w:gridCol w:w="1331"/>
        <w:gridCol w:w="845"/>
        <w:gridCol w:w="968"/>
        <w:gridCol w:w="906"/>
        <w:gridCol w:w="1690"/>
      </w:tblGrid>
      <w:tr w:rsidR="001B2C8D" w:rsidRPr="001B2C8D" w14:paraId="6EF710B4" w14:textId="77777777" w:rsidTr="001B2C8D">
        <w:tc>
          <w:tcPr>
            <w:tcW w:w="0" w:type="auto"/>
            <w:hideMark/>
          </w:tcPr>
          <w:p w14:paraId="73CC25AD"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Variable</w:t>
            </w:r>
          </w:p>
        </w:tc>
        <w:tc>
          <w:tcPr>
            <w:tcW w:w="0" w:type="auto"/>
            <w:hideMark/>
          </w:tcPr>
          <w:p w14:paraId="79CE4DDD"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Coefficient (β)</w:t>
            </w:r>
          </w:p>
        </w:tc>
        <w:tc>
          <w:tcPr>
            <w:tcW w:w="0" w:type="auto"/>
            <w:hideMark/>
          </w:tcPr>
          <w:p w14:paraId="7A8E0667"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Standard Error</w:t>
            </w:r>
          </w:p>
        </w:tc>
        <w:tc>
          <w:tcPr>
            <w:tcW w:w="0" w:type="auto"/>
            <w:hideMark/>
          </w:tcPr>
          <w:p w14:paraId="359885A5"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Wald χ²</w:t>
            </w:r>
          </w:p>
        </w:tc>
        <w:tc>
          <w:tcPr>
            <w:tcW w:w="0" w:type="auto"/>
            <w:hideMark/>
          </w:tcPr>
          <w:p w14:paraId="374BD7E5"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p-value</w:t>
            </w:r>
          </w:p>
        </w:tc>
        <w:tc>
          <w:tcPr>
            <w:tcW w:w="0" w:type="auto"/>
            <w:hideMark/>
          </w:tcPr>
          <w:p w14:paraId="73A63492"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Odds Ratio</w:t>
            </w:r>
          </w:p>
        </w:tc>
        <w:tc>
          <w:tcPr>
            <w:tcW w:w="0" w:type="auto"/>
            <w:hideMark/>
          </w:tcPr>
          <w:p w14:paraId="4A3BB0B6" w14:textId="77777777" w:rsidR="001B2C8D" w:rsidRPr="001B2C8D" w:rsidRDefault="001B2C8D" w:rsidP="001B2C8D">
            <w:pPr>
              <w:spacing w:after="160" w:line="278" w:lineRule="auto"/>
              <w:jc w:val="both"/>
              <w:rPr>
                <w:rFonts w:ascii="Arial" w:hAnsi="Arial" w:cs="Arial"/>
                <w:b/>
                <w:bCs/>
                <w:color w:val="000000" w:themeColor="text1"/>
              </w:rPr>
            </w:pPr>
            <w:r w:rsidRPr="001B2C8D">
              <w:rPr>
                <w:rFonts w:ascii="Arial" w:hAnsi="Arial" w:cs="Arial"/>
                <w:b/>
                <w:bCs/>
                <w:color w:val="000000" w:themeColor="text1"/>
              </w:rPr>
              <w:t>95% Confidence Interval</w:t>
            </w:r>
          </w:p>
        </w:tc>
      </w:tr>
      <w:tr w:rsidR="001B2C8D" w:rsidRPr="001B2C8D" w14:paraId="57B07F7C" w14:textId="77777777" w:rsidTr="001B2C8D">
        <w:tc>
          <w:tcPr>
            <w:tcW w:w="0" w:type="auto"/>
            <w:hideMark/>
          </w:tcPr>
          <w:p w14:paraId="1748BA63"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Age (per year increase)</w:t>
            </w:r>
          </w:p>
        </w:tc>
        <w:tc>
          <w:tcPr>
            <w:tcW w:w="0" w:type="auto"/>
            <w:hideMark/>
          </w:tcPr>
          <w:p w14:paraId="5C231824"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0.284</w:t>
            </w:r>
          </w:p>
        </w:tc>
        <w:tc>
          <w:tcPr>
            <w:tcW w:w="0" w:type="auto"/>
            <w:hideMark/>
          </w:tcPr>
          <w:p w14:paraId="4962156A"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0.112</w:t>
            </w:r>
          </w:p>
        </w:tc>
        <w:tc>
          <w:tcPr>
            <w:tcW w:w="0" w:type="auto"/>
            <w:hideMark/>
          </w:tcPr>
          <w:p w14:paraId="52DC526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6.43</w:t>
            </w:r>
          </w:p>
        </w:tc>
        <w:tc>
          <w:tcPr>
            <w:tcW w:w="0" w:type="auto"/>
            <w:hideMark/>
          </w:tcPr>
          <w:p w14:paraId="695243E2"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0.011</w:t>
            </w:r>
          </w:p>
        </w:tc>
        <w:tc>
          <w:tcPr>
            <w:tcW w:w="0" w:type="auto"/>
            <w:hideMark/>
          </w:tcPr>
          <w:p w14:paraId="140328B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1.328</w:t>
            </w:r>
          </w:p>
        </w:tc>
        <w:tc>
          <w:tcPr>
            <w:tcW w:w="0" w:type="auto"/>
            <w:hideMark/>
          </w:tcPr>
          <w:p w14:paraId="583DD8BC"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1.067–1.654</w:t>
            </w:r>
          </w:p>
        </w:tc>
      </w:tr>
      <w:tr w:rsidR="001B2C8D" w:rsidRPr="001B2C8D" w14:paraId="4C2AC8CC" w14:textId="77777777" w:rsidTr="001B2C8D">
        <w:tc>
          <w:tcPr>
            <w:tcW w:w="0" w:type="auto"/>
            <w:hideMark/>
          </w:tcPr>
          <w:p w14:paraId="2917940F"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Sex (Male vs Female)</w:t>
            </w:r>
          </w:p>
        </w:tc>
        <w:tc>
          <w:tcPr>
            <w:tcW w:w="0" w:type="auto"/>
            <w:hideMark/>
          </w:tcPr>
          <w:p w14:paraId="0897DF64"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1.437</w:t>
            </w:r>
          </w:p>
        </w:tc>
        <w:tc>
          <w:tcPr>
            <w:tcW w:w="0" w:type="auto"/>
            <w:hideMark/>
          </w:tcPr>
          <w:p w14:paraId="4561ADEF"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0.521</w:t>
            </w:r>
          </w:p>
        </w:tc>
        <w:tc>
          <w:tcPr>
            <w:tcW w:w="0" w:type="auto"/>
            <w:hideMark/>
          </w:tcPr>
          <w:p w14:paraId="4F5A82EA"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7.61</w:t>
            </w:r>
          </w:p>
        </w:tc>
        <w:tc>
          <w:tcPr>
            <w:tcW w:w="0" w:type="auto"/>
            <w:hideMark/>
          </w:tcPr>
          <w:p w14:paraId="5E5D23B9"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0.006</w:t>
            </w:r>
          </w:p>
        </w:tc>
        <w:tc>
          <w:tcPr>
            <w:tcW w:w="0" w:type="auto"/>
            <w:hideMark/>
          </w:tcPr>
          <w:p w14:paraId="36304C72"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4.208</w:t>
            </w:r>
          </w:p>
        </w:tc>
        <w:tc>
          <w:tcPr>
            <w:tcW w:w="0" w:type="auto"/>
            <w:hideMark/>
          </w:tcPr>
          <w:p w14:paraId="75F17BE4"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1.516–11.681</w:t>
            </w:r>
          </w:p>
        </w:tc>
      </w:tr>
      <w:tr w:rsidR="001B2C8D" w:rsidRPr="001B2C8D" w14:paraId="2955DAE1" w14:textId="77777777" w:rsidTr="001B2C8D">
        <w:tc>
          <w:tcPr>
            <w:tcW w:w="0" w:type="auto"/>
            <w:hideMark/>
          </w:tcPr>
          <w:p w14:paraId="20661466"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 xml:space="preserve">Radiographic appearance </w:t>
            </w:r>
            <w:r w:rsidRPr="001B2C8D">
              <w:rPr>
                <w:rFonts w:ascii="Arial" w:hAnsi="Arial" w:cs="Arial"/>
                <w:color w:val="000000" w:themeColor="text1"/>
              </w:rPr>
              <w:lastRenderedPageBreak/>
              <w:t>(Multilocular vs Unilocular)</w:t>
            </w:r>
          </w:p>
        </w:tc>
        <w:tc>
          <w:tcPr>
            <w:tcW w:w="0" w:type="auto"/>
            <w:hideMark/>
          </w:tcPr>
          <w:p w14:paraId="0729622D"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lastRenderedPageBreak/>
              <w:t>4.892</w:t>
            </w:r>
          </w:p>
        </w:tc>
        <w:tc>
          <w:tcPr>
            <w:tcW w:w="0" w:type="auto"/>
            <w:hideMark/>
          </w:tcPr>
          <w:p w14:paraId="59A81902"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1.203</w:t>
            </w:r>
          </w:p>
        </w:tc>
        <w:tc>
          <w:tcPr>
            <w:tcW w:w="0" w:type="auto"/>
            <w:hideMark/>
          </w:tcPr>
          <w:p w14:paraId="20D45891"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16.53</w:t>
            </w:r>
          </w:p>
        </w:tc>
        <w:tc>
          <w:tcPr>
            <w:tcW w:w="0" w:type="auto"/>
            <w:hideMark/>
          </w:tcPr>
          <w:p w14:paraId="0D56694D"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&lt;0.001</w:t>
            </w:r>
          </w:p>
        </w:tc>
        <w:tc>
          <w:tcPr>
            <w:tcW w:w="0" w:type="auto"/>
            <w:hideMark/>
          </w:tcPr>
          <w:p w14:paraId="4712726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133.2</w:t>
            </w:r>
          </w:p>
        </w:tc>
        <w:tc>
          <w:tcPr>
            <w:tcW w:w="0" w:type="auto"/>
            <w:hideMark/>
          </w:tcPr>
          <w:p w14:paraId="29BBEBE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12.61–1407.3</w:t>
            </w:r>
          </w:p>
        </w:tc>
      </w:tr>
      <w:tr w:rsidR="001B2C8D" w:rsidRPr="001B2C8D" w14:paraId="3DA1E350" w14:textId="77777777" w:rsidTr="001B2C8D">
        <w:tc>
          <w:tcPr>
            <w:tcW w:w="0" w:type="auto"/>
            <w:hideMark/>
          </w:tcPr>
          <w:p w14:paraId="5DBABB09"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lastRenderedPageBreak/>
              <w:t>Duration (per year increase)</w:t>
            </w:r>
          </w:p>
        </w:tc>
        <w:tc>
          <w:tcPr>
            <w:tcW w:w="0" w:type="auto"/>
            <w:hideMark/>
          </w:tcPr>
          <w:p w14:paraId="5FA6252E"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0.183</w:t>
            </w:r>
          </w:p>
        </w:tc>
        <w:tc>
          <w:tcPr>
            <w:tcW w:w="0" w:type="auto"/>
            <w:hideMark/>
          </w:tcPr>
          <w:p w14:paraId="03ED388C"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0.167</w:t>
            </w:r>
          </w:p>
        </w:tc>
        <w:tc>
          <w:tcPr>
            <w:tcW w:w="0" w:type="auto"/>
            <w:hideMark/>
          </w:tcPr>
          <w:p w14:paraId="3E9EF660"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1.20</w:t>
            </w:r>
          </w:p>
        </w:tc>
        <w:tc>
          <w:tcPr>
            <w:tcW w:w="0" w:type="auto"/>
            <w:hideMark/>
          </w:tcPr>
          <w:p w14:paraId="735E9E75"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0.273</w:t>
            </w:r>
          </w:p>
        </w:tc>
        <w:tc>
          <w:tcPr>
            <w:tcW w:w="0" w:type="auto"/>
            <w:hideMark/>
          </w:tcPr>
          <w:p w14:paraId="0FF1E9B0"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1.201</w:t>
            </w:r>
          </w:p>
        </w:tc>
        <w:tc>
          <w:tcPr>
            <w:tcW w:w="0" w:type="auto"/>
            <w:hideMark/>
          </w:tcPr>
          <w:p w14:paraId="4E9ED017"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0.866–1.665</w:t>
            </w:r>
          </w:p>
        </w:tc>
      </w:tr>
      <w:tr w:rsidR="001B2C8D" w:rsidRPr="001B2C8D" w14:paraId="687BB6A9" w14:textId="77777777" w:rsidTr="001B2C8D">
        <w:tc>
          <w:tcPr>
            <w:tcW w:w="0" w:type="auto"/>
            <w:hideMark/>
          </w:tcPr>
          <w:p w14:paraId="069A4F8E"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Constant</w:t>
            </w:r>
          </w:p>
        </w:tc>
        <w:tc>
          <w:tcPr>
            <w:tcW w:w="0" w:type="auto"/>
            <w:hideMark/>
          </w:tcPr>
          <w:p w14:paraId="68EAA5BE"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-6.847</w:t>
            </w:r>
          </w:p>
        </w:tc>
        <w:tc>
          <w:tcPr>
            <w:tcW w:w="0" w:type="auto"/>
            <w:hideMark/>
          </w:tcPr>
          <w:p w14:paraId="0CE55BD8"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1.892</w:t>
            </w:r>
          </w:p>
        </w:tc>
        <w:tc>
          <w:tcPr>
            <w:tcW w:w="0" w:type="auto"/>
            <w:hideMark/>
          </w:tcPr>
          <w:p w14:paraId="56011D92"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13.10</w:t>
            </w:r>
          </w:p>
        </w:tc>
        <w:tc>
          <w:tcPr>
            <w:tcW w:w="0" w:type="auto"/>
            <w:hideMark/>
          </w:tcPr>
          <w:p w14:paraId="03D85B69"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&lt;0.001</w:t>
            </w:r>
          </w:p>
        </w:tc>
        <w:tc>
          <w:tcPr>
            <w:tcW w:w="0" w:type="auto"/>
            <w:hideMark/>
          </w:tcPr>
          <w:p w14:paraId="1E3777CE"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0.001</w:t>
            </w:r>
          </w:p>
        </w:tc>
        <w:tc>
          <w:tcPr>
            <w:tcW w:w="0" w:type="auto"/>
            <w:hideMark/>
          </w:tcPr>
          <w:p w14:paraId="50FBD734" w14:textId="77777777" w:rsidR="001B2C8D" w:rsidRPr="001B2C8D" w:rsidRDefault="001B2C8D" w:rsidP="001B2C8D">
            <w:pPr>
              <w:spacing w:after="160" w:line="278" w:lineRule="auto"/>
              <w:jc w:val="both"/>
              <w:rPr>
                <w:rFonts w:ascii="Arial" w:hAnsi="Arial" w:cs="Arial"/>
                <w:color w:val="000000" w:themeColor="text1"/>
              </w:rPr>
            </w:pPr>
            <w:r w:rsidRPr="001B2C8D">
              <w:rPr>
                <w:rFonts w:ascii="Arial" w:hAnsi="Arial" w:cs="Arial"/>
                <w:color w:val="000000" w:themeColor="text1"/>
              </w:rPr>
              <w:t>—</w:t>
            </w:r>
          </w:p>
        </w:tc>
      </w:tr>
    </w:tbl>
    <w:p w14:paraId="0F101A8B" w14:textId="77D707C1" w:rsidR="00552A25" w:rsidRDefault="00552A25" w:rsidP="00126B2F">
      <w:pPr>
        <w:jc w:val="both"/>
        <w:rPr>
          <w:rFonts w:ascii="Arial" w:hAnsi="Arial" w:cs="Arial"/>
          <w:color w:val="000000" w:themeColor="text1"/>
        </w:rPr>
      </w:pPr>
    </w:p>
    <w:p w14:paraId="0F517F56" w14:textId="77777777" w:rsidR="00552A25" w:rsidRPr="00126B2F" w:rsidRDefault="00552A25" w:rsidP="00126B2F">
      <w:pPr>
        <w:jc w:val="both"/>
        <w:rPr>
          <w:rFonts w:ascii="Arial" w:hAnsi="Arial" w:cs="Arial"/>
          <w:color w:val="000000" w:themeColor="text1"/>
        </w:rPr>
      </w:pPr>
    </w:p>
    <w:p w14:paraId="55C2883A" w14:textId="77777777" w:rsidR="008914D4" w:rsidRPr="008914D4" w:rsidRDefault="008914D4" w:rsidP="008914D4">
      <w:pPr>
        <w:spacing w:before="100" w:beforeAutospacing="1" w:after="100" w:afterAutospacing="1" w:line="240" w:lineRule="auto"/>
        <w:outlineLvl w:val="1"/>
        <w:rPr>
          <w:rFonts w:ascii="Arial" w:eastAsia="Times New Roman" w:hAnsi="Arial" w:cs="Arial"/>
          <w:b/>
          <w:bCs/>
          <w:kern w:val="0"/>
          <w14:ligatures w14:val="none"/>
        </w:rPr>
      </w:pPr>
      <w:bookmarkStart w:id="1" w:name="_Hlk219380120"/>
      <w:r w:rsidRPr="008914D4">
        <w:rPr>
          <w:rFonts w:ascii="Arial" w:eastAsia="Times New Roman" w:hAnsi="Arial" w:cs="Arial"/>
          <w:b/>
          <w:bCs/>
          <w:kern w:val="0"/>
          <w14:ligatures w14:val="none"/>
        </w:rPr>
        <w:t>Discussion</w:t>
      </w:r>
    </w:p>
    <w:p w14:paraId="1151852D" w14:textId="1B276F2C" w:rsidR="00A517A3" w:rsidRPr="00D30DBE" w:rsidRDefault="00A517A3" w:rsidP="00A517A3">
      <w:pPr>
        <w:spacing w:before="100" w:beforeAutospacing="1" w:after="100" w:afterAutospacing="1" w:line="240" w:lineRule="auto"/>
        <w:rPr>
          <w:rFonts w:ascii="Arial" w:eastAsia="Times New Roman" w:hAnsi="Arial" w:cs="Arial"/>
          <w:kern w:val="0"/>
          <w14:ligatures w14:val="none"/>
        </w:rPr>
      </w:pPr>
      <w:r w:rsidRPr="00D30DBE">
        <w:rPr>
          <w:rFonts w:ascii="Arial" w:eastAsia="Times New Roman" w:hAnsi="Arial" w:cs="Arial"/>
          <w:kern w:val="0"/>
          <w14:ligatures w14:val="none"/>
        </w:rPr>
        <w:t xml:space="preserve">In this retrospective cohort study of 59 children and adolescents with histologically confirmed ameloblastoma, we observed that the disease predominantly affected older children and teenagers. The highest proportion of cases occurred in the 11–15-year age group (45.8%), followed by 16–18 years (40.7%), with no cases recorded below 6 years. Within the 59 cases with specified biologic classification, increasing age was significantly associated with conventional ameloblastoma on both bivariate analysis (p = 0.033) and multivariable logistic regression (OR 1.328 per year increase; 95% CI: 1.067–1.654; p = 0.011). There was an overall male predominance (64.4%), and male sex independently predicted conventional ameloblastoma (OR 4.208; 95% CI: 1.516–11.681; p = 0.006). The tumors overwhelmingly involved the mandible (96.6%), with only 3.4% occurring in the maxilla. </w:t>
      </w:r>
      <w:proofErr w:type="spellStart"/>
      <w:r w:rsidRPr="00D30DBE">
        <w:rPr>
          <w:rFonts w:ascii="Arial" w:eastAsia="Times New Roman" w:hAnsi="Arial" w:cs="Arial"/>
          <w:kern w:val="0"/>
          <w14:ligatures w14:val="none"/>
        </w:rPr>
        <w:t>Histopathologically</w:t>
      </w:r>
      <w:proofErr w:type="spellEnd"/>
      <w:r w:rsidRPr="00D30DBE">
        <w:rPr>
          <w:rFonts w:ascii="Arial" w:eastAsia="Times New Roman" w:hAnsi="Arial" w:cs="Arial"/>
          <w:kern w:val="0"/>
          <w14:ligatures w14:val="none"/>
        </w:rPr>
        <w:t xml:space="preserve">, conventional </w:t>
      </w:r>
      <w:proofErr w:type="spellStart"/>
      <w:r w:rsidRPr="00D30DBE">
        <w:rPr>
          <w:rFonts w:ascii="Arial" w:eastAsia="Times New Roman" w:hAnsi="Arial" w:cs="Arial"/>
          <w:kern w:val="0"/>
          <w14:ligatures w14:val="none"/>
        </w:rPr>
        <w:t>ameloblastoma</w:t>
      </w:r>
      <w:proofErr w:type="spellEnd"/>
      <w:r w:rsidRPr="00D30DBE">
        <w:rPr>
          <w:rFonts w:ascii="Arial" w:eastAsia="Times New Roman" w:hAnsi="Arial" w:cs="Arial"/>
          <w:kern w:val="0"/>
          <w14:ligatures w14:val="none"/>
        </w:rPr>
        <w:t xml:space="preserve"> (52.5%) slightly exceeded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w:t>
      </w:r>
      <w:proofErr w:type="spellStart"/>
      <w:r w:rsidRPr="00D30DBE">
        <w:rPr>
          <w:rFonts w:ascii="Arial" w:eastAsia="Times New Roman" w:hAnsi="Arial" w:cs="Arial"/>
          <w:kern w:val="0"/>
          <w14:ligatures w14:val="none"/>
        </w:rPr>
        <w:t>ameloblastoma</w:t>
      </w:r>
      <w:proofErr w:type="spellEnd"/>
      <w:r w:rsidRPr="00D30DBE">
        <w:rPr>
          <w:rFonts w:ascii="Arial" w:eastAsia="Times New Roman" w:hAnsi="Arial" w:cs="Arial"/>
          <w:kern w:val="0"/>
          <w14:ligatures w14:val="none"/>
        </w:rPr>
        <w:t xml:space="preserve"> (47.5%). Radiographically, lesion patterns were strongly associated with biologic type: 96.4% of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tumors were </w:t>
      </w:r>
      <w:proofErr w:type="spellStart"/>
      <w:r w:rsidRPr="00D30DBE">
        <w:rPr>
          <w:rFonts w:ascii="Arial" w:eastAsia="Times New Roman" w:hAnsi="Arial" w:cs="Arial"/>
          <w:kern w:val="0"/>
          <w14:ligatures w14:val="none"/>
        </w:rPr>
        <w:t>unilocular</w:t>
      </w:r>
      <w:proofErr w:type="spellEnd"/>
      <w:r w:rsidRPr="00D30DBE">
        <w:rPr>
          <w:rFonts w:ascii="Arial" w:eastAsia="Times New Roman" w:hAnsi="Arial" w:cs="Arial"/>
          <w:kern w:val="0"/>
          <w14:ligatures w14:val="none"/>
        </w:rPr>
        <w:t>, whereas 96.8% of conventional tumors were multilocular (p &lt; 0.001). These findings add precision to the understanding of pediatric ameloblastoma in our environment and underscore the importance of integrating age, sex, and radiographic architecture into preoperative risk stratification (1,14).</w:t>
      </w:r>
    </w:p>
    <w:p w14:paraId="59A4AE42" w14:textId="52E0ACB2" w:rsidR="00A517A3" w:rsidRPr="00D30DBE" w:rsidRDefault="00A517A3" w:rsidP="00A517A3">
      <w:pPr>
        <w:spacing w:before="100" w:beforeAutospacing="1" w:after="100" w:afterAutospacing="1" w:line="240" w:lineRule="auto"/>
        <w:rPr>
          <w:rFonts w:ascii="Arial" w:eastAsia="Times New Roman" w:hAnsi="Arial" w:cs="Arial"/>
          <w:kern w:val="0"/>
          <w14:ligatures w14:val="none"/>
        </w:rPr>
      </w:pPr>
      <w:r w:rsidRPr="00D30DBE">
        <w:rPr>
          <w:rFonts w:ascii="Arial" w:eastAsia="Times New Roman" w:hAnsi="Arial" w:cs="Arial"/>
          <w:kern w:val="0"/>
          <w14:ligatures w14:val="none"/>
        </w:rPr>
        <w:t>Our age distribution aligns with previous pediatric series reporting peak incidence in the early to mid-teenage years (11,14,16). A prior review documented a mean age of 14.8 years and a male-to-female ratio of approximately 1.6:1 (16). A broader pediatric literature encompassing 233 well-documented cases similarly showed a slight male preponderance (53.6%) (11,16). While gender predilection has historically been described as weak, our regression analysis suggests that in this cohort, male sex significantly increased the likelihood of conventional disease. This may reflect population-specific patterns or referral dynamics and warrants further investigation in multicenter African cohorts (11,16).</w:t>
      </w:r>
    </w:p>
    <w:p w14:paraId="1F27BD98" w14:textId="104E0DF8" w:rsidR="00A517A3" w:rsidRPr="00D30DBE" w:rsidRDefault="00A517A3" w:rsidP="00A517A3">
      <w:pPr>
        <w:spacing w:before="100" w:beforeAutospacing="1" w:after="100" w:afterAutospacing="1" w:line="240" w:lineRule="auto"/>
        <w:rPr>
          <w:rFonts w:ascii="Arial" w:eastAsia="Times New Roman" w:hAnsi="Arial" w:cs="Arial"/>
          <w:kern w:val="0"/>
          <w14:ligatures w14:val="none"/>
        </w:rPr>
      </w:pPr>
      <w:r w:rsidRPr="00D30DBE">
        <w:rPr>
          <w:rFonts w:ascii="Arial" w:eastAsia="Times New Roman" w:hAnsi="Arial" w:cs="Arial"/>
          <w:kern w:val="0"/>
          <w14:ligatures w14:val="none"/>
        </w:rPr>
        <w:t xml:space="preserve">Consistent with established epidemiologic trends, the mandible demonstrated overwhelming predominance, accounting for 96.6% of tumors in our total cohort, paralleling reports of greater than 90% mandibular involvement in several pediatric series (15,18,19). The posterior mandible remains the most commonly affected site in children, a pattern attributed to odontogenic epithelial remnants associated with </w:t>
      </w:r>
      <w:r w:rsidRPr="00D30DBE">
        <w:rPr>
          <w:rFonts w:ascii="Arial" w:eastAsia="Times New Roman" w:hAnsi="Arial" w:cs="Arial"/>
          <w:kern w:val="0"/>
          <w14:ligatures w14:val="none"/>
        </w:rPr>
        <w:lastRenderedPageBreak/>
        <w:t xml:space="preserve">developing molars (1,15,17–19). In contrast to some Western pediatric cohorts where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lesions predominate, African pediatric series frequently report higher proportions of solid/</w:t>
      </w:r>
      <w:proofErr w:type="spellStart"/>
      <w:r w:rsidRPr="00D30DBE">
        <w:rPr>
          <w:rFonts w:ascii="Arial" w:eastAsia="Times New Roman" w:hAnsi="Arial" w:cs="Arial"/>
          <w:kern w:val="0"/>
          <w14:ligatures w14:val="none"/>
        </w:rPr>
        <w:t>multicystic</w:t>
      </w:r>
      <w:proofErr w:type="spellEnd"/>
      <w:r w:rsidRPr="00D30DBE">
        <w:rPr>
          <w:rFonts w:ascii="Arial" w:eastAsia="Times New Roman" w:hAnsi="Arial" w:cs="Arial"/>
          <w:kern w:val="0"/>
          <w14:ligatures w14:val="none"/>
        </w:rPr>
        <w:t xml:space="preserve"> tumors (2,7,8,14,21,24). Under the 2022 WHO classification, these correspond to conventional </w:t>
      </w:r>
      <w:proofErr w:type="spellStart"/>
      <w:r w:rsidRPr="00D30DBE">
        <w:rPr>
          <w:rFonts w:ascii="Arial" w:eastAsia="Times New Roman" w:hAnsi="Arial" w:cs="Arial"/>
          <w:kern w:val="0"/>
          <w14:ligatures w14:val="none"/>
        </w:rPr>
        <w:t>ameloblastomas</w:t>
      </w:r>
      <w:proofErr w:type="spellEnd"/>
      <w:r w:rsidRPr="00D30DBE">
        <w:rPr>
          <w:rFonts w:ascii="Arial" w:eastAsia="Times New Roman" w:hAnsi="Arial" w:cs="Arial"/>
          <w:kern w:val="0"/>
          <w14:ligatures w14:val="none"/>
        </w:rPr>
        <w:t xml:space="preserve"> (13). Our finding that conventional </w:t>
      </w:r>
      <w:proofErr w:type="spellStart"/>
      <w:r w:rsidRPr="00D30DBE">
        <w:rPr>
          <w:rFonts w:ascii="Arial" w:eastAsia="Times New Roman" w:hAnsi="Arial" w:cs="Arial"/>
          <w:kern w:val="0"/>
          <w14:ligatures w14:val="none"/>
        </w:rPr>
        <w:t>ameloblastoma</w:t>
      </w:r>
      <w:proofErr w:type="spellEnd"/>
      <w:r w:rsidRPr="00D30DBE">
        <w:rPr>
          <w:rFonts w:ascii="Arial" w:eastAsia="Times New Roman" w:hAnsi="Arial" w:cs="Arial"/>
          <w:kern w:val="0"/>
          <w14:ligatures w14:val="none"/>
        </w:rPr>
        <w:t xml:space="preserve"> slightly exceeded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w:t>
      </w:r>
      <w:proofErr w:type="spellStart"/>
      <w:r w:rsidRPr="00D30DBE">
        <w:rPr>
          <w:rFonts w:ascii="Arial" w:eastAsia="Times New Roman" w:hAnsi="Arial" w:cs="Arial"/>
          <w:kern w:val="0"/>
          <w14:ligatures w14:val="none"/>
        </w:rPr>
        <w:t>ameloblastoma</w:t>
      </w:r>
      <w:proofErr w:type="spellEnd"/>
      <w:r w:rsidRPr="00D30DBE">
        <w:rPr>
          <w:rFonts w:ascii="Arial" w:eastAsia="Times New Roman" w:hAnsi="Arial" w:cs="Arial"/>
          <w:kern w:val="0"/>
          <w14:ligatures w14:val="none"/>
        </w:rPr>
        <w:t xml:space="preserve"> supports this regional trend and reinforces the need for careful surgical planning in the African pediatric population.</w:t>
      </w:r>
    </w:p>
    <w:p w14:paraId="0E5E4D40" w14:textId="1D7AACC0" w:rsidR="00A517A3" w:rsidRPr="00D30DBE" w:rsidRDefault="00A517A3" w:rsidP="00A517A3">
      <w:pPr>
        <w:spacing w:before="100" w:beforeAutospacing="1" w:after="100" w:afterAutospacing="1" w:line="240" w:lineRule="auto"/>
        <w:rPr>
          <w:rFonts w:ascii="Arial" w:eastAsia="Times New Roman" w:hAnsi="Arial" w:cs="Arial"/>
          <w:kern w:val="0"/>
          <w14:ligatures w14:val="none"/>
        </w:rPr>
      </w:pPr>
      <w:proofErr w:type="spellStart"/>
      <w:r w:rsidRPr="00D30DBE">
        <w:rPr>
          <w:rFonts w:ascii="Arial" w:eastAsia="Times New Roman" w:hAnsi="Arial" w:cs="Arial"/>
          <w:kern w:val="0"/>
          <w14:ligatures w14:val="none"/>
        </w:rPr>
        <w:t>Histopathologically</w:t>
      </w:r>
      <w:proofErr w:type="spellEnd"/>
      <w:r w:rsidRPr="00D30DBE">
        <w:rPr>
          <w:rFonts w:ascii="Arial" w:eastAsia="Times New Roman" w:hAnsi="Arial" w:cs="Arial"/>
          <w:kern w:val="0"/>
          <w14:ligatures w14:val="none"/>
        </w:rPr>
        <w:t xml:space="preserve">, conventional </w:t>
      </w:r>
      <w:proofErr w:type="spellStart"/>
      <w:r w:rsidRPr="00D30DBE">
        <w:rPr>
          <w:rFonts w:ascii="Arial" w:eastAsia="Times New Roman" w:hAnsi="Arial" w:cs="Arial"/>
          <w:kern w:val="0"/>
          <w14:ligatures w14:val="none"/>
        </w:rPr>
        <w:t>ameloblastoma</w:t>
      </w:r>
      <w:proofErr w:type="spellEnd"/>
      <w:r w:rsidRPr="00D30DBE">
        <w:rPr>
          <w:rFonts w:ascii="Arial" w:eastAsia="Times New Roman" w:hAnsi="Arial" w:cs="Arial"/>
          <w:kern w:val="0"/>
          <w14:ligatures w14:val="none"/>
        </w:rPr>
        <w:t xml:space="preserve"> constituted 52.5% of the cases, while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w:t>
      </w:r>
      <w:proofErr w:type="spellStart"/>
      <w:r w:rsidRPr="00D30DBE">
        <w:rPr>
          <w:rFonts w:ascii="Arial" w:eastAsia="Times New Roman" w:hAnsi="Arial" w:cs="Arial"/>
          <w:kern w:val="0"/>
          <w14:ligatures w14:val="none"/>
        </w:rPr>
        <w:t>ameloblastoma</w:t>
      </w:r>
      <w:proofErr w:type="spellEnd"/>
      <w:r w:rsidRPr="00D30DBE">
        <w:rPr>
          <w:rFonts w:ascii="Arial" w:eastAsia="Times New Roman" w:hAnsi="Arial" w:cs="Arial"/>
          <w:kern w:val="0"/>
          <w14:ligatures w14:val="none"/>
        </w:rPr>
        <w:t xml:space="preserve"> comprised 47.5%. Within the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category, the mural variant was the most common (23.7% of the total cohort), whereas plexiform architecture predominated among conventional tumors (27.1%). These distributions are clinically significant. Mural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w:t>
      </w:r>
      <w:proofErr w:type="spellStart"/>
      <w:r w:rsidRPr="00D30DBE">
        <w:rPr>
          <w:rFonts w:ascii="Arial" w:eastAsia="Times New Roman" w:hAnsi="Arial" w:cs="Arial"/>
          <w:kern w:val="0"/>
          <w14:ligatures w14:val="none"/>
        </w:rPr>
        <w:t>ameloblastomas</w:t>
      </w:r>
      <w:proofErr w:type="spellEnd"/>
      <w:r w:rsidRPr="00D30DBE">
        <w:rPr>
          <w:rFonts w:ascii="Arial" w:eastAsia="Times New Roman" w:hAnsi="Arial" w:cs="Arial"/>
          <w:kern w:val="0"/>
          <w14:ligatures w14:val="none"/>
        </w:rPr>
        <w:t xml:space="preserve"> exhibit epithelial proliferation penetrating the fibrous wall and may behave similarly to conventional tumors in terms of invasiveness and recurrence risk (16,21). Several studies have demonstrated higher recurrence rates following simple enucleation for mural lesions than for luminal or intraluminal variants (16,17,21–23). Our data further demonstrated a statistically significant association between histologic variants and biologic categories (p &lt; 0.001), reinforcing that histologic architecture is not merely descriptive but prognostically relevant. These findings support pathology-driven treatment algorithms and careful intraoperative margin assessment (7,16,17).</w:t>
      </w:r>
    </w:p>
    <w:p w14:paraId="19551CF0" w14:textId="06420A6F" w:rsidR="00A517A3" w:rsidRPr="00D30DBE" w:rsidRDefault="00A517A3" w:rsidP="00A517A3">
      <w:pPr>
        <w:spacing w:before="100" w:beforeAutospacing="1" w:after="100" w:afterAutospacing="1" w:line="240" w:lineRule="auto"/>
        <w:rPr>
          <w:rFonts w:ascii="Arial" w:eastAsia="Times New Roman" w:hAnsi="Arial" w:cs="Arial"/>
          <w:kern w:val="0"/>
          <w14:ligatures w14:val="none"/>
        </w:rPr>
      </w:pPr>
      <w:r w:rsidRPr="00D30DBE">
        <w:rPr>
          <w:rFonts w:ascii="Arial" w:eastAsia="Times New Roman" w:hAnsi="Arial" w:cs="Arial"/>
          <w:kern w:val="0"/>
          <w14:ligatures w14:val="none"/>
        </w:rPr>
        <w:t xml:space="preserve">Radiographically, our findings diverged from the traditional notion that imaging patterns substantially overlap between the biological types. In contrast to prior reports indicating that unilocular and multilocular appearances may be seen across both conventional and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lesions (7,15,16), our cohort demonstrated near-perfect segregation: almost all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tumors were </w:t>
      </w:r>
      <w:proofErr w:type="spellStart"/>
      <w:r w:rsidRPr="00D30DBE">
        <w:rPr>
          <w:rFonts w:ascii="Arial" w:eastAsia="Times New Roman" w:hAnsi="Arial" w:cs="Arial"/>
          <w:kern w:val="0"/>
          <w14:ligatures w14:val="none"/>
        </w:rPr>
        <w:t>unilocular</w:t>
      </w:r>
      <w:proofErr w:type="spellEnd"/>
      <w:r w:rsidRPr="00D30DBE">
        <w:rPr>
          <w:rFonts w:ascii="Arial" w:eastAsia="Times New Roman" w:hAnsi="Arial" w:cs="Arial"/>
          <w:kern w:val="0"/>
          <w14:ligatures w14:val="none"/>
        </w:rPr>
        <w:t xml:space="preserve"> (96.4%), whereas almost all conventional tumors were multilocular (96.8%). Radiographic appearance showed the strongest association with biologic type in both bivariate analysis (χ² = 51.24; p &lt; 0.001) and multivariable regression (OR 133.2; 95% CI: 12.61–1407.3; p &lt; 0.001). Although the wide confidence interval reflects sample size constraints, the magnitude of the association suggests that multilocularity in this population is highly predictive of conventional disease. Nevertheless, histopathological confirmation remains indispensable, particularly given rare exceptions (one unilocular conventional and one </w:t>
      </w:r>
      <w:proofErr w:type="spellStart"/>
      <w:r w:rsidRPr="00D30DBE">
        <w:rPr>
          <w:rFonts w:ascii="Arial" w:eastAsia="Times New Roman" w:hAnsi="Arial" w:cs="Arial"/>
          <w:kern w:val="0"/>
          <w14:ligatures w14:val="none"/>
        </w:rPr>
        <w:t>multilocular</w:t>
      </w:r>
      <w:proofErr w:type="spellEnd"/>
      <w:r w:rsidRPr="00D30DBE">
        <w:rPr>
          <w:rFonts w:ascii="Arial" w:eastAsia="Times New Roman" w:hAnsi="Arial" w:cs="Arial"/>
          <w:kern w:val="0"/>
          <w14:ligatures w14:val="none"/>
        </w:rPr>
        <w:t xml:space="preserve"> </w:t>
      </w:r>
      <w:proofErr w:type="spellStart"/>
      <w:r w:rsidRPr="00D30DBE">
        <w:rPr>
          <w:rFonts w:ascii="Arial" w:eastAsia="Times New Roman" w:hAnsi="Arial" w:cs="Arial"/>
          <w:kern w:val="0"/>
          <w14:ligatures w14:val="none"/>
        </w:rPr>
        <w:t>unicystic</w:t>
      </w:r>
      <w:proofErr w:type="spellEnd"/>
      <w:r w:rsidRPr="00D30DBE">
        <w:rPr>
          <w:rFonts w:ascii="Arial" w:eastAsia="Times New Roman" w:hAnsi="Arial" w:cs="Arial"/>
          <w:kern w:val="0"/>
          <w14:ligatures w14:val="none"/>
        </w:rPr>
        <w:t xml:space="preserve"> lesion in this series), which underscore the risk of relying solely on imaging (7,16,17).</w:t>
      </w:r>
    </w:p>
    <w:p w14:paraId="192AD483" w14:textId="77777777" w:rsidR="00A517A3" w:rsidRDefault="00A517A3" w:rsidP="00A517A3">
      <w:pPr>
        <w:spacing w:before="100" w:beforeAutospacing="1" w:after="100" w:afterAutospacing="1" w:line="240" w:lineRule="auto"/>
        <w:rPr>
          <w:rFonts w:ascii="Arial" w:eastAsia="Times New Roman" w:hAnsi="Arial" w:cs="Arial"/>
          <w:kern w:val="0"/>
          <w14:ligatures w14:val="none"/>
        </w:rPr>
      </w:pPr>
      <w:r w:rsidRPr="00D30DBE">
        <w:rPr>
          <w:rFonts w:ascii="Arial" w:eastAsia="Times New Roman" w:hAnsi="Arial" w:cs="Arial"/>
          <w:kern w:val="0"/>
          <w14:ligatures w14:val="none"/>
        </w:rPr>
        <w:t>Symptom duration ranged from 1 to 5 years, with a mean of 2.6 ± 1.3 years among cases with specified data. Despite this relatively prolonged interval before presentation, the duration was not significantly associated with the biologic type in either bivariate or multivariate analyses (p = 0.371 and p = 0.273, respectively). This finding suggests that while delayed presentation remains a clinical concern, particularly in resource-limited settings, it may not independently determine the tumor subtype. However, intrinsic tumor biology and host factors may play more decisive roles. Nevertheless, the protracted duration highlights persistent barriers to early diagnosis, including limited access to specialist care and delayed referral pathways (14).</w:t>
      </w:r>
    </w:p>
    <w:p w14:paraId="79056DBC" w14:textId="5391BDCA" w:rsidR="008914D4" w:rsidRPr="008914D4" w:rsidRDefault="008914D4" w:rsidP="00A517A3">
      <w:pPr>
        <w:spacing w:before="100" w:beforeAutospacing="1" w:after="100" w:afterAutospacing="1" w:line="240" w:lineRule="auto"/>
        <w:rPr>
          <w:rFonts w:ascii="Arial" w:eastAsia="Times New Roman" w:hAnsi="Arial" w:cs="Arial"/>
          <w:kern w:val="0"/>
          <w14:ligatures w14:val="none"/>
        </w:rPr>
      </w:pPr>
      <w:r w:rsidRPr="008914D4">
        <w:rPr>
          <w:rFonts w:ascii="Arial" w:eastAsia="Times New Roman" w:hAnsi="Arial" w:cs="Arial"/>
          <w:kern w:val="0"/>
          <w14:ligatures w14:val="none"/>
        </w:rPr>
        <w:lastRenderedPageBreak/>
        <w:t xml:space="preserve">Taken together, the demographic and clinicopathological features observed in this cohort mirror those described in British and African pediatric series, including teenage predominance, strong mandibular predilection, and substantial representation of conventional ameloblastoma (1,7,8,14,24). However, the robust predictive value of age, male sex, and especially multilocular radiographic patterns for conventional disease adds new quantitative evidence to the literature. These predictors may assist clinicians in preoperative counseling and in surgical planning. While conservative management may be appropriate for luminal and intraluminal </w:t>
      </w:r>
      <w:proofErr w:type="spellStart"/>
      <w:r w:rsidRPr="008914D4">
        <w:rPr>
          <w:rFonts w:ascii="Arial" w:eastAsia="Times New Roman" w:hAnsi="Arial" w:cs="Arial"/>
          <w:kern w:val="0"/>
          <w14:ligatures w14:val="none"/>
        </w:rPr>
        <w:t>unicystic</w:t>
      </w:r>
      <w:proofErr w:type="spellEnd"/>
      <w:r w:rsidRPr="008914D4">
        <w:rPr>
          <w:rFonts w:ascii="Arial" w:eastAsia="Times New Roman" w:hAnsi="Arial" w:cs="Arial"/>
          <w:kern w:val="0"/>
          <w14:ligatures w14:val="none"/>
        </w:rPr>
        <w:t xml:space="preserve"> </w:t>
      </w:r>
      <w:proofErr w:type="spellStart"/>
      <w:r w:rsidRPr="008914D4">
        <w:rPr>
          <w:rFonts w:ascii="Arial" w:eastAsia="Times New Roman" w:hAnsi="Arial" w:cs="Arial"/>
          <w:kern w:val="0"/>
          <w14:ligatures w14:val="none"/>
        </w:rPr>
        <w:t>ameloblastomas</w:t>
      </w:r>
      <w:proofErr w:type="spellEnd"/>
      <w:r w:rsidRPr="008914D4">
        <w:rPr>
          <w:rFonts w:ascii="Arial" w:eastAsia="Times New Roman" w:hAnsi="Arial" w:cs="Arial"/>
          <w:kern w:val="0"/>
          <w14:ligatures w14:val="none"/>
        </w:rPr>
        <w:t xml:space="preserve">, conventional and mural </w:t>
      </w:r>
      <w:proofErr w:type="spellStart"/>
      <w:r w:rsidRPr="008914D4">
        <w:rPr>
          <w:rFonts w:ascii="Arial" w:eastAsia="Times New Roman" w:hAnsi="Arial" w:cs="Arial"/>
          <w:kern w:val="0"/>
          <w14:ligatures w14:val="none"/>
        </w:rPr>
        <w:t>unicystic</w:t>
      </w:r>
      <w:proofErr w:type="spellEnd"/>
      <w:r w:rsidRPr="008914D4">
        <w:rPr>
          <w:rFonts w:ascii="Arial" w:eastAsia="Times New Roman" w:hAnsi="Arial" w:cs="Arial"/>
          <w:kern w:val="0"/>
          <w14:ligatures w14:val="none"/>
        </w:rPr>
        <w:t xml:space="preserve"> variants often require more aggressive resections to minimize recurrence (7,8,16,21–23). Given the functional and psychosocial consequences of radical surgery in growing children, individualized treatment strategies must balance oncologic safety with the preservation of facial growth, occlusion, and quality of life (14).</w:t>
      </w:r>
    </w:p>
    <w:p w14:paraId="604FCF77" w14:textId="77777777" w:rsidR="008914D4" w:rsidRPr="008914D4" w:rsidRDefault="008914D4" w:rsidP="008914D4">
      <w:pPr>
        <w:spacing w:before="100" w:beforeAutospacing="1" w:after="100" w:afterAutospacing="1" w:line="240" w:lineRule="auto"/>
        <w:outlineLvl w:val="2"/>
        <w:rPr>
          <w:rFonts w:ascii="Arial" w:eastAsia="Times New Roman" w:hAnsi="Arial" w:cs="Arial"/>
          <w:b/>
          <w:bCs/>
          <w:kern w:val="0"/>
          <w14:ligatures w14:val="none"/>
        </w:rPr>
      </w:pPr>
      <w:r w:rsidRPr="008914D4">
        <w:rPr>
          <w:rFonts w:ascii="Arial" w:eastAsia="Times New Roman" w:hAnsi="Arial" w:cs="Arial"/>
          <w:b/>
          <w:bCs/>
          <w:kern w:val="0"/>
          <w14:ligatures w14:val="none"/>
        </w:rPr>
        <w:t>Strengths and Limitations</w:t>
      </w:r>
    </w:p>
    <w:p w14:paraId="70D6DFF8" w14:textId="77777777" w:rsidR="008914D4" w:rsidRPr="008914D4" w:rsidRDefault="008914D4" w:rsidP="008914D4">
      <w:pPr>
        <w:spacing w:before="100" w:beforeAutospacing="1" w:after="100" w:afterAutospacing="1" w:line="240" w:lineRule="auto"/>
        <w:rPr>
          <w:rFonts w:ascii="Arial" w:eastAsia="Times New Roman" w:hAnsi="Arial" w:cs="Arial"/>
          <w:kern w:val="0"/>
          <w14:ligatures w14:val="none"/>
        </w:rPr>
      </w:pPr>
      <w:r w:rsidRPr="008914D4">
        <w:rPr>
          <w:rFonts w:ascii="Arial" w:eastAsia="Times New Roman" w:hAnsi="Arial" w:cs="Arial"/>
          <w:kern w:val="0"/>
          <w14:ligatures w14:val="none"/>
        </w:rPr>
        <w:t>This study benefits from a relatively large single-institution pediatric cohort analyzed using the 2022 WHO classification framework (13), with comprehensive integration of demographic, radiographic, and histopathological data. The inclusion of multivariable logistic regression strengthens the inference regarding the independent predictors of biological type. Limitations include its retrospective design, possible referral bias inherent to a tertiary center, incomplete documentation in a small subset of cases, and the absence of long-term recurrence or survival data. The wide confidence interval for radiographic predictors reflects the limited sample size and underscores the need for larger multicenter analyses.</w:t>
      </w:r>
    </w:p>
    <w:p w14:paraId="7E5B21D4" w14:textId="77777777" w:rsidR="008914D4" w:rsidRPr="008914D4" w:rsidRDefault="008914D4" w:rsidP="008914D4">
      <w:pPr>
        <w:spacing w:before="100" w:beforeAutospacing="1" w:after="100" w:afterAutospacing="1" w:line="240" w:lineRule="auto"/>
        <w:outlineLvl w:val="2"/>
        <w:rPr>
          <w:rFonts w:ascii="Arial" w:eastAsia="Times New Roman" w:hAnsi="Arial" w:cs="Arial"/>
          <w:b/>
          <w:bCs/>
          <w:kern w:val="0"/>
          <w14:ligatures w14:val="none"/>
        </w:rPr>
      </w:pPr>
      <w:r w:rsidRPr="008914D4">
        <w:rPr>
          <w:rFonts w:ascii="Arial" w:eastAsia="Times New Roman" w:hAnsi="Arial" w:cs="Arial"/>
          <w:b/>
          <w:bCs/>
          <w:kern w:val="0"/>
          <w14:ligatures w14:val="none"/>
        </w:rPr>
        <w:t>Conclusion</w:t>
      </w:r>
    </w:p>
    <w:p w14:paraId="092DC239" w14:textId="77777777" w:rsidR="008914D4" w:rsidRPr="008914D4" w:rsidRDefault="008914D4" w:rsidP="008914D4">
      <w:pPr>
        <w:spacing w:before="100" w:beforeAutospacing="1" w:after="100" w:afterAutospacing="1" w:line="240" w:lineRule="auto"/>
        <w:rPr>
          <w:rFonts w:ascii="Arial" w:eastAsia="Times New Roman" w:hAnsi="Arial" w:cs="Arial"/>
          <w:kern w:val="0"/>
          <w14:ligatures w14:val="none"/>
        </w:rPr>
      </w:pPr>
      <w:r w:rsidRPr="008914D4">
        <w:rPr>
          <w:rFonts w:ascii="Arial" w:eastAsia="Times New Roman" w:hAnsi="Arial" w:cs="Arial"/>
          <w:kern w:val="0"/>
          <w14:ligatures w14:val="none"/>
        </w:rPr>
        <w:t xml:space="preserve">Pediatric ameloblastoma in this cohort demonstrated a predominance in teenagers, a significant male preponderance in conventional disease, and marked mandibular localization. Conventional </w:t>
      </w:r>
      <w:proofErr w:type="spellStart"/>
      <w:r w:rsidRPr="008914D4">
        <w:rPr>
          <w:rFonts w:ascii="Arial" w:eastAsia="Times New Roman" w:hAnsi="Arial" w:cs="Arial"/>
          <w:kern w:val="0"/>
          <w14:ligatures w14:val="none"/>
        </w:rPr>
        <w:t>ameloblastoma</w:t>
      </w:r>
      <w:proofErr w:type="spellEnd"/>
      <w:r w:rsidRPr="008914D4">
        <w:rPr>
          <w:rFonts w:ascii="Arial" w:eastAsia="Times New Roman" w:hAnsi="Arial" w:cs="Arial"/>
          <w:kern w:val="0"/>
          <w14:ligatures w14:val="none"/>
        </w:rPr>
        <w:t xml:space="preserve"> slightly exceeded </w:t>
      </w:r>
      <w:proofErr w:type="spellStart"/>
      <w:r w:rsidRPr="008914D4">
        <w:rPr>
          <w:rFonts w:ascii="Arial" w:eastAsia="Times New Roman" w:hAnsi="Arial" w:cs="Arial"/>
          <w:kern w:val="0"/>
          <w14:ligatures w14:val="none"/>
        </w:rPr>
        <w:t>unicystic</w:t>
      </w:r>
      <w:proofErr w:type="spellEnd"/>
      <w:r w:rsidRPr="008914D4">
        <w:rPr>
          <w:rFonts w:ascii="Arial" w:eastAsia="Times New Roman" w:hAnsi="Arial" w:cs="Arial"/>
          <w:kern w:val="0"/>
          <w14:ligatures w14:val="none"/>
        </w:rPr>
        <w:t xml:space="preserve"> </w:t>
      </w:r>
      <w:proofErr w:type="spellStart"/>
      <w:r w:rsidRPr="008914D4">
        <w:rPr>
          <w:rFonts w:ascii="Arial" w:eastAsia="Times New Roman" w:hAnsi="Arial" w:cs="Arial"/>
          <w:kern w:val="0"/>
          <w14:ligatures w14:val="none"/>
        </w:rPr>
        <w:t>ameloblastoma</w:t>
      </w:r>
      <w:proofErr w:type="spellEnd"/>
      <w:r w:rsidRPr="008914D4">
        <w:rPr>
          <w:rFonts w:ascii="Arial" w:eastAsia="Times New Roman" w:hAnsi="Arial" w:cs="Arial"/>
          <w:kern w:val="0"/>
          <w14:ligatures w14:val="none"/>
        </w:rPr>
        <w:t>, consistent with African pediatric trends. Increasing age, male sex, and multilocular radiographic appearance independently predicted conventional histology, whereas symptom duration did not predict it. Plexiform and mural variants predominated in their respective biological categories. These findings reinforce the central role of histopathological classification in guiding surgical management and highlight the value of integrating demographic and radiographic predictors into risk-adapted treatment strategies.</w:t>
      </w:r>
    </w:p>
    <w:p w14:paraId="14C3B499" w14:textId="77777777" w:rsidR="00E8188C" w:rsidRPr="00377A6F" w:rsidRDefault="00E8188C" w:rsidP="00C27BD7">
      <w:pPr>
        <w:pStyle w:val="p1"/>
        <w:spacing w:line="360" w:lineRule="auto"/>
        <w:jc w:val="both"/>
        <w:rPr>
          <w:rFonts w:ascii="Arial" w:hAnsi="Arial" w:cs="Arial"/>
          <w:color w:val="000000" w:themeColor="text1"/>
          <w:sz w:val="24"/>
          <w:szCs w:val="24"/>
        </w:rPr>
      </w:pPr>
    </w:p>
    <w:bookmarkEnd w:id="1"/>
    <w:p w14:paraId="32F41D09" w14:textId="77777777" w:rsidR="00E8188C" w:rsidRPr="00377A6F" w:rsidRDefault="00E8188C" w:rsidP="00E8188C">
      <w:pPr>
        <w:spacing w:after="0" w:line="480" w:lineRule="auto"/>
        <w:jc w:val="both"/>
        <w:rPr>
          <w:rFonts w:ascii="Arial" w:eastAsia="Times New Roman" w:hAnsi="Arial" w:cs="Arial"/>
          <w:color w:val="000000" w:themeColor="text1"/>
          <w:kern w:val="0"/>
          <w14:ligatures w14:val="none"/>
        </w:rPr>
      </w:pPr>
      <w:r w:rsidRPr="00377A6F">
        <w:rPr>
          <w:rFonts w:ascii="Arial" w:eastAsia="Times New Roman" w:hAnsi="Arial" w:cs="Arial"/>
          <w:color w:val="000000" w:themeColor="text1"/>
          <w:kern w:val="0"/>
          <w14:ligatures w14:val="none"/>
        </w:rPr>
        <w:t xml:space="preserve">References </w:t>
      </w:r>
    </w:p>
    <w:sdt>
      <w:sdtPr>
        <w:rPr>
          <w:rFonts w:ascii="Arial" w:eastAsia="Times New Roman" w:hAnsi="Arial" w:cs="Arial"/>
          <w:color w:val="000000" w:themeColor="text1"/>
          <w:kern w:val="0"/>
          <w14:ligatures w14:val="none"/>
        </w:rPr>
        <w:tag w:val="MENDELEY_BIBLIOGRAPHY"/>
        <w:id w:val="-1740247025"/>
        <w:placeholder>
          <w:docPart w:val="CE5CD2D96F0A59419C02BB04737D0E0B"/>
        </w:placeholder>
      </w:sdtPr>
      <w:sdtEndPr/>
      <w:sdtContent>
        <w:p w14:paraId="5A0AB8BC" w14:textId="77777777" w:rsidR="00E8188C" w:rsidRPr="00377A6F" w:rsidRDefault="00E8188C" w:rsidP="00E8188C">
          <w:pPr>
            <w:autoSpaceDE w:val="0"/>
            <w:autoSpaceDN w:val="0"/>
            <w:ind w:hanging="640"/>
            <w:rPr>
              <w:rFonts w:ascii="Arial" w:eastAsia="Times New Roman" w:hAnsi="Arial" w:cs="Arial"/>
              <w:color w:val="000000" w:themeColor="text1"/>
              <w:kern w:val="0"/>
              <w14:ligatures w14:val="none"/>
            </w:rPr>
          </w:pPr>
          <w:r w:rsidRPr="00377A6F">
            <w:rPr>
              <w:rFonts w:ascii="Arial" w:eastAsia="Times New Roman" w:hAnsi="Arial" w:cs="Arial"/>
              <w:color w:val="000000" w:themeColor="text1"/>
            </w:rPr>
            <w:t>1.</w:t>
          </w:r>
          <w:r w:rsidRPr="00377A6F">
            <w:rPr>
              <w:rFonts w:ascii="Arial" w:eastAsia="Times New Roman" w:hAnsi="Arial" w:cs="Arial"/>
              <w:color w:val="000000" w:themeColor="text1"/>
            </w:rPr>
            <w:tab/>
            <w:t xml:space="preserve">Zhang J, Gu Z, Jiang L, Zhao J, Tian M, Zhou J, et al. Ameloblastoma in children and adolescents. British Journal of Oral and Maxillofacial Surgery. 2010 Oct;48(7):549–54. </w:t>
          </w:r>
        </w:p>
        <w:p w14:paraId="685DF5A9" w14:textId="3A6A892A"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lastRenderedPageBreak/>
            <w:t>2.</w:t>
          </w:r>
          <w:r w:rsidRPr="00377A6F">
            <w:rPr>
              <w:rFonts w:ascii="Arial" w:eastAsia="Times New Roman" w:hAnsi="Arial" w:cs="Arial"/>
              <w:color w:val="000000" w:themeColor="text1"/>
            </w:rPr>
            <w:tab/>
          </w:r>
          <w:r w:rsidR="00D30DBE" w:rsidRPr="00377A6F">
            <w:rPr>
              <w:rFonts w:ascii="Arial" w:eastAsia="Times New Roman" w:hAnsi="Arial" w:cs="Arial"/>
              <w:color w:val="000000" w:themeColor="text1"/>
            </w:rPr>
            <w:t xml:space="preserve">Silva </w:t>
          </w:r>
          <w:proofErr w:type="spellStart"/>
          <w:r w:rsidR="00D30DBE" w:rsidRPr="00377A6F">
            <w:rPr>
              <w:rFonts w:ascii="Arial" w:eastAsia="Times New Roman" w:hAnsi="Arial" w:cs="Arial"/>
              <w:color w:val="000000" w:themeColor="text1"/>
            </w:rPr>
            <w:t>Jn</w:t>
          </w:r>
          <w:proofErr w:type="spellEnd"/>
          <w:r w:rsidR="00D30DBE" w:rsidRPr="00377A6F">
            <w:rPr>
              <w:rFonts w:ascii="Arial" w:eastAsia="Times New Roman" w:hAnsi="Arial" w:cs="Arial"/>
              <w:color w:val="000000" w:themeColor="text1"/>
            </w:rPr>
            <w:t xml:space="preserve"> Da, Santos </w:t>
          </w:r>
          <w:proofErr w:type="spellStart"/>
          <w:r w:rsidR="00D30DBE" w:rsidRPr="00377A6F">
            <w:rPr>
              <w:rFonts w:ascii="Arial" w:eastAsia="Times New Roman" w:hAnsi="Arial" w:cs="Arial"/>
              <w:color w:val="000000" w:themeColor="text1"/>
            </w:rPr>
            <w:t>Cn</w:t>
          </w:r>
          <w:proofErr w:type="spellEnd"/>
          <w:r w:rsidR="00D30DBE" w:rsidRPr="00377A6F">
            <w:rPr>
              <w:rFonts w:ascii="Arial" w:eastAsia="Times New Roman" w:hAnsi="Arial" w:cs="Arial"/>
              <w:color w:val="000000" w:themeColor="text1"/>
            </w:rPr>
            <w:t xml:space="preserve"> Dos, Rocha Ac, Carli Ml De, </w:t>
          </w:r>
          <w:proofErr w:type="spellStart"/>
          <w:r w:rsidR="00D30DBE" w:rsidRPr="00377A6F">
            <w:rPr>
              <w:rFonts w:ascii="Arial" w:eastAsia="Times New Roman" w:hAnsi="Arial" w:cs="Arial"/>
              <w:color w:val="000000" w:themeColor="text1"/>
            </w:rPr>
            <w:t>Hanemann</w:t>
          </w:r>
          <w:proofErr w:type="spellEnd"/>
          <w:r w:rsidR="00D30DBE" w:rsidRPr="00377A6F">
            <w:rPr>
              <w:rFonts w:ascii="Arial" w:eastAsia="Times New Roman" w:hAnsi="Arial" w:cs="Arial"/>
              <w:color w:val="000000" w:themeColor="text1"/>
            </w:rPr>
            <w:t xml:space="preserve"> </w:t>
          </w:r>
          <w:proofErr w:type="spellStart"/>
          <w:r w:rsidR="00D30DBE" w:rsidRPr="00377A6F">
            <w:rPr>
              <w:rFonts w:ascii="Arial" w:eastAsia="Times New Roman" w:hAnsi="Arial" w:cs="Arial"/>
              <w:color w:val="000000" w:themeColor="text1"/>
            </w:rPr>
            <w:t>Jac</w:t>
          </w:r>
          <w:proofErr w:type="spellEnd"/>
          <w:r w:rsidR="00D30DBE" w:rsidRPr="00377A6F">
            <w:rPr>
              <w:rFonts w:ascii="Arial" w:eastAsia="Times New Roman" w:hAnsi="Arial" w:cs="Arial"/>
              <w:color w:val="000000" w:themeColor="text1"/>
            </w:rPr>
            <w:t xml:space="preserve">, Pereira </w:t>
          </w:r>
          <w:proofErr w:type="spellStart"/>
          <w:r w:rsidR="00D30DBE" w:rsidRPr="00377A6F">
            <w:rPr>
              <w:rFonts w:ascii="Arial" w:eastAsia="Times New Roman" w:hAnsi="Arial" w:cs="Arial"/>
              <w:color w:val="000000" w:themeColor="text1"/>
            </w:rPr>
            <w:t>Aac</w:t>
          </w:r>
          <w:proofErr w:type="spellEnd"/>
          <w:r w:rsidRPr="00377A6F">
            <w:rPr>
              <w:rFonts w:ascii="Arial" w:eastAsia="Times New Roman" w:hAnsi="Arial" w:cs="Arial"/>
              <w:color w:val="000000" w:themeColor="text1"/>
            </w:rPr>
            <w:t xml:space="preserve">. Extensive ameloblastoma in young patient: 5-year follow-up with no recurrence using conservative treatment. RGO - </w:t>
          </w:r>
          <w:proofErr w:type="spellStart"/>
          <w:r w:rsidRPr="00377A6F">
            <w:rPr>
              <w:rFonts w:ascii="Arial" w:eastAsia="Times New Roman" w:hAnsi="Arial" w:cs="Arial"/>
              <w:color w:val="000000" w:themeColor="text1"/>
            </w:rPr>
            <w:t>Revista</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Gaúcha</w:t>
          </w:r>
          <w:proofErr w:type="spellEnd"/>
          <w:r w:rsidRPr="00377A6F">
            <w:rPr>
              <w:rFonts w:ascii="Arial" w:eastAsia="Times New Roman" w:hAnsi="Arial" w:cs="Arial"/>
              <w:color w:val="000000" w:themeColor="text1"/>
            </w:rPr>
            <w:t xml:space="preserve"> de </w:t>
          </w:r>
          <w:proofErr w:type="spellStart"/>
          <w:r w:rsidRPr="00377A6F">
            <w:rPr>
              <w:rFonts w:ascii="Arial" w:eastAsia="Times New Roman" w:hAnsi="Arial" w:cs="Arial"/>
              <w:color w:val="000000" w:themeColor="text1"/>
            </w:rPr>
            <w:t>Odontologia</w:t>
          </w:r>
          <w:proofErr w:type="spellEnd"/>
          <w:r w:rsidRPr="00377A6F">
            <w:rPr>
              <w:rFonts w:ascii="Arial" w:eastAsia="Times New Roman" w:hAnsi="Arial" w:cs="Arial"/>
              <w:color w:val="000000" w:themeColor="text1"/>
            </w:rPr>
            <w:t xml:space="preserve">. 2018 Jun;66(2):181–6. </w:t>
          </w:r>
        </w:p>
        <w:p w14:paraId="77A64DC6"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3.</w:t>
          </w:r>
          <w:r w:rsidRPr="00377A6F">
            <w:rPr>
              <w:rFonts w:ascii="Arial" w:eastAsia="Times New Roman" w:hAnsi="Arial" w:cs="Arial"/>
              <w:color w:val="000000" w:themeColor="text1"/>
            </w:rPr>
            <w:tab/>
            <w:t xml:space="preserve">Rao GS, Reddy SK. </w:t>
          </w:r>
          <w:proofErr w:type="spellStart"/>
          <w:r w:rsidRPr="00377A6F">
            <w:rPr>
              <w:rFonts w:ascii="Arial" w:eastAsia="Times New Roman" w:hAnsi="Arial" w:cs="Arial"/>
              <w:color w:val="000000" w:themeColor="text1"/>
            </w:rPr>
            <w:t>Unicystic</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Ameloblastoma</w:t>
          </w:r>
          <w:proofErr w:type="spellEnd"/>
          <w:r w:rsidRPr="00377A6F">
            <w:rPr>
              <w:rFonts w:ascii="Arial" w:eastAsia="Times New Roman" w:hAnsi="Arial" w:cs="Arial"/>
              <w:color w:val="000000" w:themeColor="text1"/>
            </w:rPr>
            <w:t xml:space="preserve"> in 6-Year-Old Child and Its Significance. World Journal of Dentistry. 2011 Dec;2(4):363–6. </w:t>
          </w:r>
        </w:p>
        <w:p w14:paraId="4202AF06"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4.</w:t>
          </w:r>
          <w:r w:rsidRPr="00377A6F">
            <w:rPr>
              <w:rFonts w:ascii="Arial" w:eastAsia="Times New Roman" w:hAnsi="Arial" w:cs="Arial"/>
              <w:color w:val="000000" w:themeColor="text1"/>
            </w:rPr>
            <w:tab/>
            <w:t xml:space="preserve">Carlson ER, Marx RE. The ameloblastoma: Primary, curative surgical management. Journal of Oral and Maxillofacial Surgery. 2006;64(3):484–94. </w:t>
          </w:r>
        </w:p>
        <w:p w14:paraId="7C014A06"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5.</w:t>
          </w:r>
          <w:r w:rsidRPr="00377A6F">
            <w:rPr>
              <w:rFonts w:ascii="Arial" w:eastAsia="Times New Roman" w:hAnsi="Arial" w:cs="Arial"/>
              <w:color w:val="000000" w:themeColor="text1"/>
            </w:rPr>
            <w:tab/>
          </w:r>
          <w:proofErr w:type="spellStart"/>
          <w:r w:rsidRPr="00377A6F">
            <w:rPr>
              <w:rFonts w:ascii="Arial" w:eastAsia="Times New Roman" w:hAnsi="Arial" w:cs="Arial"/>
              <w:color w:val="000000" w:themeColor="text1"/>
            </w:rPr>
            <w:t>Johari</w:t>
          </w:r>
          <w:proofErr w:type="spellEnd"/>
          <w:r w:rsidRPr="00377A6F">
            <w:rPr>
              <w:rFonts w:ascii="Arial" w:eastAsia="Times New Roman" w:hAnsi="Arial" w:cs="Arial"/>
              <w:color w:val="000000" w:themeColor="text1"/>
            </w:rPr>
            <w:t xml:space="preserve"> M, </w:t>
          </w:r>
          <w:proofErr w:type="spellStart"/>
          <w:r w:rsidRPr="00377A6F">
            <w:rPr>
              <w:rFonts w:ascii="Arial" w:eastAsia="Times New Roman" w:hAnsi="Arial" w:cs="Arial"/>
              <w:color w:val="000000" w:themeColor="text1"/>
            </w:rPr>
            <w:t>Gharuee</w:t>
          </w:r>
          <w:proofErr w:type="spellEnd"/>
          <w:r w:rsidRPr="00377A6F">
            <w:rPr>
              <w:rFonts w:ascii="Arial" w:eastAsia="Times New Roman" w:hAnsi="Arial" w:cs="Arial"/>
              <w:color w:val="000000" w:themeColor="text1"/>
            </w:rPr>
            <w:t xml:space="preserve"> H, </w:t>
          </w:r>
          <w:proofErr w:type="spellStart"/>
          <w:r w:rsidRPr="00377A6F">
            <w:rPr>
              <w:rFonts w:ascii="Arial" w:eastAsia="Times New Roman" w:hAnsi="Arial" w:cs="Arial"/>
              <w:color w:val="000000" w:themeColor="text1"/>
            </w:rPr>
            <w:t>Latifi</w:t>
          </w:r>
          <w:proofErr w:type="spellEnd"/>
          <w:r w:rsidRPr="00377A6F">
            <w:rPr>
              <w:rFonts w:ascii="Arial" w:eastAsia="Times New Roman" w:hAnsi="Arial" w:cs="Arial"/>
              <w:color w:val="000000" w:themeColor="text1"/>
            </w:rPr>
            <w:t xml:space="preserve"> S, </w:t>
          </w:r>
          <w:proofErr w:type="spellStart"/>
          <w:r w:rsidRPr="00377A6F">
            <w:rPr>
              <w:rFonts w:ascii="Arial" w:eastAsia="Times New Roman" w:hAnsi="Arial" w:cs="Arial"/>
              <w:color w:val="000000" w:themeColor="text1"/>
            </w:rPr>
            <w:t>Fatemeh</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Masudi</w:t>
          </w:r>
          <w:proofErr w:type="spellEnd"/>
          <w:r w:rsidRPr="00377A6F">
            <w:rPr>
              <w:rFonts w:ascii="Arial" w:eastAsia="Times New Roman" w:hAnsi="Arial" w:cs="Arial"/>
              <w:color w:val="000000" w:themeColor="text1"/>
            </w:rPr>
            <w:t xml:space="preserve"> S. Conservative Management [Combination of Marsupialization and </w:t>
          </w:r>
          <w:proofErr w:type="spellStart"/>
          <w:r w:rsidRPr="00377A6F">
            <w:rPr>
              <w:rFonts w:ascii="Arial" w:eastAsia="Times New Roman" w:hAnsi="Arial" w:cs="Arial"/>
              <w:color w:val="000000" w:themeColor="text1"/>
            </w:rPr>
            <w:t>Enucleation</w:t>
          </w:r>
          <w:proofErr w:type="spellEnd"/>
          <w:r w:rsidRPr="00377A6F">
            <w:rPr>
              <w:rFonts w:ascii="Arial" w:eastAsia="Times New Roman" w:hAnsi="Arial" w:cs="Arial"/>
              <w:color w:val="000000" w:themeColor="text1"/>
            </w:rPr>
            <w:t xml:space="preserve">] of </w:t>
          </w:r>
          <w:proofErr w:type="spellStart"/>
          <w:r w:rsidRPr="00377A6F">
            <w:rPr>
              <w:rFonts w:ascii="Arial" w:eastAsia="Times New Roman" w:hAnsi="Arial" w:cs="Arial"/>
              <w:color w:val="000000" w:themeColor="text1"/>
            </w:rPr>
            <w:t>Unicytic</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Ameloblastoma</w:t>
          </w:r>
          <w:proofErr w:type="spellEnd"/>
          <w:r w:rsidRPr="00377A6F">
            <w:rPr>
              <w:rFonts w:ascii="Arial" w:eastAsia="Times New Roman" w:hAnsi="Arial" w:cs="Arial"/>
              <w:color w:val="000000" w:themeColor="text1"/>
            </w:rPr>
            <w:t xml:space="preserve"> in the Posterior Mandible of a Young Patient: A Case Report 2-Year Follow Up with No Recurrent. </w:t>
          </w:r>
          <w:proofErr w:type="spellStart"/>
          <w:r w:rsidRPr="00377A6F">
            <w:rPr>
              <w:rFonts w:ascii="Arial" w:eastAsia="Times New Roman" w:hAnsi="Arial" w:cs="Arial"/>
              <w:color w:val="000000" w:themeColor="text1"/>
            </w:rPr>
            <w:t>Acta</w:t>
          </w:r>
          <w:proofErr w:type="spellEnd"/>
          <w:r w:rsidRPr="00377A6F">
            <w:rPr>
              <w:rFonts w:ascii="Arial" w:eastAsia="Times New Roman" w:hAnsi="Arial" w:cs="Arial"/>
              <w:color w:val="000000" w:themeColor="text1"/>
            </w:rPr>
            <w:t xml:space="preserve"> Scientific Dental </w:t>
          </w:r>
          <w:proofErr w:type="spellStart"/>
          <w:r w:rsidRPr="00377A6F">
            <w:rPr>
              <w:rFonts w:ascii="Arial" w:eastAsia="Times New Roman" w:hAnsi="Arial" w:cs="Arial"/>
              <w:color w:val="000000" w:themeColor="text1"/>
            </w:rPr>
            <w:t>Scienecs</w:t>
          </w:r>
          <w:proofErr w:type="spellEnd"/>
          <w:r w:rsidRPr="00377A6F">
            <w:rPr>
              <w:rFonts w:ascii="Arial" w:eastAsia="Times New Roman" w:hAnsi="Arial" w:cs="Arial"/>
              <w:color w:val="000000" w:themeColor="text1"/>
            </w:rPr>
            <w:t xml:space="preserve">. 2023 Aug 1;7(8):43–8. </w:t>
          </w:r>
        </w:p>
        <w:p w14:paraId="5881C802"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6.</w:t>
          </w:r>
          <w:r w:rsidRPr="00377A6F">
            <w:rPr>
              <w:rFonts w:ascii="Arial" w:eastAsia="Times New Roman" w:hAnsi="Arial" w:cs="Arial"/>
              <w:color w:val="000000" w:themeColor="text1"/>
            </w:rPr>
            <w:tab/>
            <w:t xml:space="preserve">Meng Y, Zhao YN, Zhang YQ, Liu DG, Gao Y. Three-dimensional radiographic features of ameloblastoma and cystic lesions in the maxilla. </w:t>
          </w:r>
          <w:proofErr w:type="spellStart"/>
          <w:r w:rsidRPr="00377A6F">
            <w:rPr>
              <w:rFonts w:ascii="Arial" w:eastAsia="Times New Roman" w:hAnsi="Arial" w:cs="Arial"/>
              <w:color w:val="000000" w:themeColor="text1"/>
            </w:rPr>
            <w:t>Dentomaxillofacial</w:t>
          </w:r>
          <w:proofErr w:type="spellEnd"/>
          <w:r w:rsidRPr="00377A6F">
            <w:rPr>
              <w:rFonts w:ascii="Arial" w:eastAsia="Times New Roman" w:hAnsi="Arial" w:cs="Arial"/>
              <w:color w:val="000000" w:themeColor="text1"/>
            </w:rPr>
            <w:t xml:space="preserve"> Radiology. 2019;48(6). </w:t>
          </w:r>
        </w:p>
        <w:p w14:paraId="05E2CA13"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7.</w:t>
          </w:r>
          <w:r w:rsidRPr="00377A6F">
            <w:rPr>
              <w:rFonts w:ascii="Arial" w:eastAsia="Times New Roman" w:hAnsi="Arial" w:cs="Arial"/>
              <w:color w:val="000000" w:themeColor="text1"/>
            </w:rPr>
            <w:tab/>
            <w:t xml:space="preserve">Bansal S, Desai RS, </w:t>
          </w:r>
          <w:proofErr w:type="spellStart"/>
          <w:r w:rsidRPr="00377A6F">
            <w:rPr>
              <w:rFonts w:ascii="Arial" w:eastAsia="Times New Roman" w:hAnsi="Arial" w:cs="Arial"/>
              <w:color w:val="000000" w:themeColor="text1"/>
            </w:rPr>
            <w:t>Shirsat</w:t>
          </w:r>
          <w:proofErr w:type="spellEnd"/>
          <w:r w:rsidRPr="00377A6F">
            <w:rPr>
              <w:rFonts w:ascii="Arial" w:eastAsia="Times New Roman" w:hAnsi="Arial" w:cs="Arial"/>
              <w:color w:val="000000" w:themeColor="text1"/>
            </w:rPr>
            <w:t xml:space="preserve"> P, Prasad P, </w:t>
          </w:r>
          <w:proofErr w:type="spellStart"/>
          <w:r w:rsidRPr="00377A6F">
            <w:rPr>
              <w:rFonts w:ascii="Arial" w:eastAsia="Times New Roman" w:hAnsi="Arial" w:cs="Arial"/>
              <w:color w:val="000000" w:themeColor="text1"/>
            </w:rPr>
            <w:t>Karjodkar</w:t>
          </w:r>
          <w:proofErr w:type="spellEnd"/>
          <w:r w:rsidRPr="00377A6F">
            <w:rPr>
              <w:rFonts w:ascii="Arial" w:eastAsia="Times New Roman" w:hAnsi="Arial" w:cs="Arial"/>
              <w:color w:val="000000" w:themeColor="text1"/>
            </w:rPr>
            <w:t xml:space="preserve"> F, Andrade N. The occurrence and pattern of ameloblastoma in children and adolescents: an Indian institutional study of 41 years and review of the literature. 2015; Available from: http://dx.doi.org/10.1016/</w:t>
          </w:r>
        </w:p>
        <w:p w14:paraId="686EEA1B"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8.</w:t>
          </w:r>
          <w:r w:rsidRPr="00377A6F">
            <w:rPr>
              <w:rFonts w:ascii="Arial" w:eastAsia="Times New Roman" w:hAnsi="Arial" w:cs="Arial"/>
              <w:color w:val="000000" w:themeColor="text1"/>
            </w:rPr>
            <w:tab/>
          </w:r>
          <w:proofErr w:type="spellStart"/>
          <w:r w:rsidRPr="00377A6F">
            <w:rPr>
              <w:rFonts w:ascii="Arial" w:eastAsia="Times New Roman" w:hAnsi="Arial" w:cs="Arial"/>
              <w:color w:val="000000" w:themeColor="text1"/>
            </w:rPr>
            <w:t>Okechi</w:t>
          </w:r>
          <w:proofErr w:type="spellEnd"/>
          <w:r w:rsidRPr="00377A6F">
            <w:rPr>
              <w:rFonts w:ascii="Arial" w:eastAsia="Times New Roman" w:hAnsi="Arial" w:cs="Arial"/>
              <w:color w:val="000000" w:themeColor="text1"/>
            </w:rPr>
            <w:t xml:space="preserve"> UC, </w:t>
          </w:r>
          <w:proofErr w:type="spellStart"/>
          <w:r w:rsidRPr="00377A6F">
            <w:rPr>
              <w:rFonts w:ascii="Arial" w:eastAsia="Times New Roman" w:hAnsi="Arial" w:cs="Arial"/>
              <w:color w:val="000000" w:themeColor="text1"/>
            </w:rPr>
            <w:t>Akpeh</w:t>
          </w:r>
          <w:proofErr w:type="spellEnd"/>
          <w:r w:rsidRPr="00377A6F">
            <w:rPr>
              <w:rFonts w:ascii="Arial" w:eastAsia="Times New Roman" w:hAnsi="Arial" w:cs="Arial"/>
              <w:color w:val="000000" w:themeColor="text1"/>
            </w:rPr>
            <w:t xml:space="preserve"> JO, </w:t>
          </w:r>
          <w:proofErr w:type="spellStart"/>
          <w:r w:rsidRPr="00377A6F">
            <w:rPr>
              <w:rFonts w:ascii="Arial" w:eastAsia="Times New Roman" w:hAnsi="Arial" w:cs="Arial"/>
              <w:color w:val="000000" w:themeColor="text1"/>
            </w:rPr>
            <w:t>Chukwuneke</w:t>
          </w:r>
          <w:proofErr w:type="spellEnd"/>
          <w:r w:rsidRPr="00377A6F">
            <w:rPr>
              <w:rFonts w:ascii="Arial" w:eastAsia="Times New Roman" w:hAnsi="Arial" w:cs="Arial"/>
              <w:color w:val="000000" w:themeColor="text1"/>
            </w:rPr>
            <w:t xml:space="preserve"> FN, </w:t>
          </w:r>
          <w:proofErr w:type="spellStart"/>
          <w:r w:rsidRPr="00377A6F">
            <w:rPr>
              <w:rFonts w:ascii="Arial" w:eastAsia="Times New Roman" w:hAnsi="Arial" w:cs="Arial"/>
              <w:color w:val="000000" w:themeColor="text1"/>
            </w:rPr>
            <w:t>Saheeb</w:t>
          </w:r>
          <w:proofErr w:type="spellEnd"/>
          <w:r w:rsidRPr="00377A6F">
            <w:rPr>
              <w:rFonts w:ascii="Arial" w:eastAsia="Times New Roman" w:hAnsi="Arial" w:cs="Arial"/>
              <w:color w:val="000000" w:themeColor="text1"/>
            </w:rPr>
            <w:t xml:space="preserve"> BD, </w:t>
          </w:r>
          <w:proofErr w:type="spellStart"/>
          <w:r w:rsidRPr="00377A6F">
            <w:rPr>
              <w:rFonts w:ascii="Arial" w:eastAsia="Times New Roman" w:hAnsi="Arial" w:cs="Arial"/>
              <w:color w:val="000000" w:themeColor="text1"/>
            </w:rPr>
            <w:t>Okwuosa</w:t>
          </w:r>
          <w:proofErr w:type="spellEnd"/>
          <w:r w:rsidRPr="00377A6F">
            <w:rPr>
              <w:rFonts w:ascii="Arial" w:eastAsia="Times New Roman" w:hAnsi="Arial" w:cs="Arial"/>
              <w:color w:val="000000" w:themeColor="text1"/>
            </w:rPr>
            <w:t xml:space="preserve"> CU, Obi DI, et al. Ameloblastoma of the jaws in children: An evaluation of cases seen in a tertiary hospital in South-Eastern Nigeria. Ghana Med J. 2020 Mar 1;54(1):36–41. </w:t>
          </w:r>
        </w:p>
        <w:p w14:paraId="0217F849"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9.</w:t>
          </w:r>
          <w:r w:rsidRPr="00377A6F">
            <w:rPr>
              <w:rFonts w:ascii="Arial" w:eastAsia="Times New Roman" w:hAnsi="Arial" w:cs="Arial"/>
              <w:color w:val="000000" w:themeColor="text1"/>
            </w:rPr>
            <w:tab/>
          </w:r>
          <w:proofErr w:type="spellStart"/>
          <w:r w:rsidRPr="00377A6F">
            <w:rPr>
              <w:rFonts w:ascii="Arial" w:eastAsia="Times New Roman" w:hAnsi="Arial" w:cs="Arial"/>
              <w:color w:val="000000" w:themeColor="text1"/>
            </w:rPr>
            <w:t>Hertog</w:t>
          </w:r>
          <w:proofErr w:type="spellEnd"/>
          <w:r w:rsidRPr="00377A6F">
            <w:rPr>
              <w:rFonts w:ascii="Arial" w:eastAsia="Times New Roman" w:hAnsi="Arial" w:cs="Arial"/>
              <w:color w:val="000000" w:themeColor="text1"/>
            </w:rPr>
            <w:t xml:space="preserve"> D, </w:t>
          </w:r>
          <w:proofErr w:type="spellStart"/>
          <w:r w:rsidRPr="00377A6F">
            <w:rPr>
              <w:rFonts w:ascii="Arial" w:eastAsia="Times New Roman" w:hAnsi="Arial" w:cs="Arial"/>
              <w:color w:val="000000" w:themeColor="text1"/>
            </w:rPr>
            <w:t>Bloemena</w:t>
          </w:r>
          <w:proofErr w:type="spellEnd"/>
          <w:r w:rsidRPr="00377A6F">
            <w:rPr>
              <w:rFonts w:ascii="Arial" w:eastAsia="Times New Roman" w:hAnsi="Arial" w:cs="Arial"/>
              <w:color w:val="000000" w:themeColor="text1"/>
            </w:rPr>
            <w:t xml:space="preserve"> E, </w:t>
          </w:r>
          <w:proofErr w:type="spellStart"/>
          <w:r w:rsidRPr="00377A6F">
            <w:rPr>
              <w:rFonts w:ascii="Arial" w:eastAsia="Times New Roman" w:hAnsi="Arial" w:cs="Arial"/>
              <w:color w:val="000000" w:themeColor="text1"/>
            </w:rPr>
            <w:t>Aartman</w:t>
          </w:r>
          <w:proofErr w:type="spellEnd"/>
          <w:r w:rsidRPr="00377A6F">
            <w:rPr>
              <w:rFonts w:ascii="Arial" w:eastAsia="Times New Roman" w:hAnsi="Arial" w:cs="Arial"/>
              <w:color w:val="000000" w:themeColor="text1"/>
            </w:rPr>
            <w:t xml:space="preserve"> IHA, van-der-Waal I. Histopathology of ameloblastoma of the jaws; some critical observations based on a 40 years single institution experience. Med Oral </w:t>
          </w:r>
          <w:proofErr w:type="spellStart"/>
          <w:r w:rsidRPr="00377A6F">
            <w:rPr>
              <w:rFonts w:ascii="Arial" w:eastAsia="Times New Roman" w:hAnsi="Arial" w:cs="Arial"/>
              <w:color w:val="000000" w:themeColor="text1"/>
            </w:rPr>
            <w:t>Patol</w:t>
          </w:r>
          <w:proofErr w:type="spellEnd"/>
          <w:r w:rsidRPr="00377A6F">
            <w:rPr>
              <w:rFonts w:ascii="Arial" w:eastAsia="Times New Roman" w:hAnsi="Arial" w:cs="Arial"/>
              <w:color w:val="000000" w:themeColor="text1"/>
            </w:rPr>
            <w:t xml:space="preserve"> Oral Cir </w:t>
          </w:r>
          <w:proofErr w:type="spellStart"/>
          <w:r w:rsidRPr="00377A6F">
            <w:rPr>
              <w:rFonts w:ascii="Arial" w:eastAsia="Times New Roman" w:hAnsi="Arial" w:cs="Arial"/>
              <w:color w:val="000000" w:themeColor="text1"/>
            </w:rPr>
            <w:t>Bucal</w:t>
          </w:r>
          <w:proofErr w:type="spellEnd"/>
          <w:r w:rsidRPr="00377A6F">
            <w:rPr>
              <w:rFonts w:ascii="Arial" w:eastAsia="Times New Roman" w:hAnsi="Arial" w:cs="Arial"/>
              <w:color w:val="000000" w:themeColor="text1"/>
            </w:rPr>
            <w:t xml:space="preserve">. 2012 Jan;17(1). </w:t>
          </w:r>
        </w:p>
        <w:p w14:paraId="6C9CC044"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10.</w:t>
          </w:r>
          <w:r w:rsidRPr="00377A6F">
            <w:rPr>
              <w:rFonts w:ascii="Arial" w:eastAsia="Times New Roman" w:hAnsi="Arial" w:cs="Arial"/>
              <w:color w:val="000000" w:themeColor="text1"/>
            </w:rPr>
            <w:tab/>
          </w:r>
          <w:proofErr w:type="spellStart"/>
          <w:r w:rsidRPr="00377A6F">
            <w:rPr>
              <w:rFonts w:ascii="Arial" w:eastAsia="Times New Roman" w:hAnsi="Arial" w:cs="Arial"/>
              <w:color w:val="000000" w:themeColor="text1"/>
            </w:rPr>
            <w:t>Olaitan</w:t>
          </w:r>
          <w:proofErr w:type="spellEnd"/>
          <w:r w:rsidRPr="00377A6F">
            <w:rPr>
              <w:rFonts w:ascii="Arial" w:eastAsia="Times New Roman" w:hAnsi="Arial" w:cs="Arial"/>
              <w:color w:val="000000" w:themeColor="text1"/>
            </w:rPr>
            <w:t xml:space="preserve"> AA, </w:t>
          </w:r>
          <w:proofErr w:type="spellStart"/>
          <w:r w:rsidRPr="00377A6F">
            <w:rPr>
              <w:rFonts w:ascii="Arial" w:eastAsia="Times New Roman" w:hAnsi="Arial" w:cs="Arial"/>
              <w:color w:val="000000" w:themeColor="text1"/>
            </w:rPr>
            <w:t>Adekeye</w:t>
          </w:r>
          <w:proofErr w:type="spellEnd"/>
          <w:r w:rsidRPr="00377A6F">
            <w:rPr>
              <w:rFonts w:ascii="Arial" w:eastAsia="Times New Roman" w:hAnsi="Arial" w:cs="Arial"/>
              <w:color w:val="000000" w:themeColor="text1"/>
            </w:rPr>
            <w:t xml:space="preserve"> E 0. 248-251 I </w:t>
          </w:r>
          <w:proofErr w:type="spellStart"/>
          <w:r w:rsidRPr="00377A6F">
            <w:rPr>
              <w:rFonts w:ascii="Arial" w:eastAsia="Times New Roman" w:hAnsi="Arial" w:cs="Arial"/>
              <w:color w:val="000000" w:themeColor="text1"/>
            </w:rPr>
            <w:t>I</w:t>
          </w:r>
          <w:proofErr w:type="spellEnd"/>
          <w:r w:rsidRPr="00377A6F">
            <w:rPr>
              <w:rFonts w:ascii="Arial" w:eastAsia="Times New Roman" w:hAnsi="Arial" w:cs="Arial"/>
              <w:color w:val="000000" w:themeColor="text1"/>
            </w:rPr>
            <w:t xml:space="preserve"> 0 1996 The </w:t>
          </w:r>
          <w:proofErr w:type="spellStart"/>
          <w:r w:rsidRPr="00377A6F">
            <w:rPr>
              <w:rFonts w:ascii="Arial" w:eastAsia="Times New Roman" w:hAnsi="Arial" w:cs="Arial"/>
              <w:color w:val="000000" w:themeColor="text1"/>
            </w:rPr>
            <w:t>B&amp;h</w:t>
          </w:r>
          <w:proofErr w:type="spellEnd"/>
          <w:r w:rsidRPr="00377A6F">
            <w:rPr>
              <w:rFonts w:ascii="Arial" w:eastAsia="Times New Roman" w:hAnsi="Arial" w:cs="Arial"/>
              <w:color w:val="000000" w:themeColor="text1"/>
            </w:rPr>
            <w:t xml:space="preserve"> Association of Oral and </w:t>
          </w:r>
          <w:proofErr w:type="spellStart"/>
          <w:r w:rsidRPr="00377A6F">
            <w:rPr>
              <w:rFonts w:ascii="Arial" w:eastAsia="Times New Roman" w:hAnsi="Arial" w:cs="Arial"/>
              <w:color w:val="000000" w:themeColor="text1"/>
            </w:rPr>
            <w:t>I&amp;xillofacial</w:t>
          </w:r>
          <w:proofErr w:type="spellEnd"/>
          <w:r w:rsidRPr="00377A6F">
            <w:rPr>
              <w:rFonts w:ascii="Arial" w:eastAsia="Times New Roman" w:hAnsi="Arial" w:cs="Arial"/>
              <w:color w:val="000000" w:themeColor="text1"/>
            </w:rPr>
            <w:t xml:space="preserve"> Surgeons. Vol. 34, British Journal of Oral and Maxillofacial Sur. 1996. </w:t>
          </w:r>
        </w:p>
        <w:p w14:paraId="5488CFF0"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11.</w:t>
          </w:r>
          <w:r w:rsidRPr="00377A6F">
            <w:rPr>
              <w:rFonts w:ascii="Arial" w:eastAsia="Times New Roman" w:hAnsi="Arial" w:cs="Arial"/>
              <w:color w:val="000000" w:themeColor="text1"/>
            </w:rPr>
            <w:tab/>
            <w:t xml:space="preserve">Al-Khateeb T, Ababneh KT. Ameloblastoma in young Jordanians: A review of the clinicopathologic features and treatment of 10 cases. Journal of Oral and Maxillofacial Surgery. 2003 Jan 1;61(1):13–8. </w:t>
          </w:r>
        </w:p>
        <w:p w14:paraId="1F9E15DD"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12.</w:t>
          </w:r>
          <w:r w:rsidRPr="00377A6F">
            <w:rPr>
              <w:rFonts w:ascii="Arial" w:eastAsia="Times New Roman" w:hAnsi="Arial" w:cs="Arial"/>
              <w:color w:val="000000" w:themeColor="text1"/>
            </w:rPr>
            <w:tab/>
            <w:t xml:space="preserve">Uchenna K, Olushola I, Daniel O, Adeyemi A. Causes of maxillofacial patient mortality in a Nigerian tertiary hospital. South Sudan Medical Journal. 2016;9(1):4–7. </w:t>
          </w:r>
        </w:p>
        <w:p w14:paraId="0EB97370" w14:textId="5B9580F2"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13.</w:t>
          </w:r>
          <w:r w:rsidRPr="00377A6F">
            <w:rPr>
              <w:rFonts w:ascii="Arial" w:eastAsia="Times New Roman" w:hAnsi="Arial" w:cs="Arial"/>
              <w:color w:val="000000" w:themeColor="text1"/>
            </w:rPr>
            <w:tab/>
          </w:r>
          <w:proofErr w:type="spellStart"/>
          <w:r w:rsidR="00D30DBE" w:rsidRPr="00377A6F">
            <w:rPr>
              <w:rFonts w:ascii="Arial" w:eastAsia="Times New Roman" w:hAnsi="Arial" w:cs="Arial"/>
              <w:color w:val="000000" w:themeColor="text1"/>
            </w:rPr>
            <w:t>Adnane</w:t>
          </w:r>
          <w:proofErr w:type="spellEnd"/>
          <w:r w:rsidRPr="00377A6F">
            <w:rPr>
              <w:rFonts w:ascii="Arial" w:eastAsia="Times New Roman" w:hAnsi="Arial" w:cs="Arial"/>
              <w:color w:val="000000" w:themeColor="text1"/>
            </w:rPr>
            <w:t xml:space="preserve"> S, </w:t>
          </w:r>
          <w:proofErr w:type="spellStart"/>
          <w:r w:rsidRPr="00377A6F">
            <w:rPr>
              <w:rFonts w:ascii="Arial" w:eastAsia="Times New Roman" w:hAnsi="Arial" w:cs="Arial"/>
              <w:color w:val="000000" w:themeColor="text1"/>
            </w:rPr>
            <w:t>Haitami</w:t>
          </w:r>
          <w:proofErr w:type="spellEnd"/>
          <w:r w:rsidRPr="00377A6F">
            <w:rPr>
              <w:rFonts w:ascii="Arial" w:eastAsia="Times New Roman" w:hAnsi="Arial" w:cs="Arial"/>
              <w:color w:val="000000" w:themeColor="text1"/>
            </w:rPr>
            <w:t xml:space="preserve"> S, </w:t>
          </w:r>
          <w:proofErr w:type="spellStart"/>
          <w:r w:rsidRPr="00377A6F">
            <w:rPr>
              <w:rFonts w:ascii="Arial" w:eastAsia="Times New Roman" w:hAnsi="Arial" w:cs="Arial"/>
              <w:color w:val="000000" w:themeColor="text1"/>
            </w:rPr>
            <w:t>Yahya</w:t>
          </w:r>
          <w:proofErr w:type="spellEnd"/>
          <w:r w:rsidRPr="00377A6F">
            <w:rPr>
              <w:rFonts w:ascii="Arial" w:eastAsia="Times New Roman" w:hAnsi="Arial" w:cs="Arial"/>
              <w:color w:val="000000" w:themeColor="text1"/>
            </w:rPr>
            <w:t xml:space="preserve"> I. Management of a </w:t>
          </w:r>
          <w:proofErr w:type="spellStart"/>
          <w:r w:rsidRPr="00377A6F">
            <w:rPr>
              <w:rFonts w:ascii="Arial" w:eastAsia="Times New Roman" w:hAnsi="Arial" w:cs="Arial"/>
              <w:color w:val="000000" w:themeColor="text1"/>
            </w:rPr>
            <w:t>multicystic</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ameloblastoma</w:t>
          </w:r>
          <w:proofErr w:type="spellEnd"/>
          <w:r w:rsidRPr="00377A6F">
            <w:rPr>
              <w:rFonts w:ascii="Arial" w:eastAsia="Times New Roman" w:hAnsi="Arial" w:cs="Arial"/>
              <w:color w:val="000000" w:themeColor="text1"/>
            </w:rPr>
            <w:t xml:space="preserve">: About a conservative and </w:t>
          </w:r>
          <w:proofErr w:type="spellStart"/>
          <w:r w:rsidRPr="00377A6F">
            <w:rPr>
              <w:rFonts w:ascii="Arial" w:eastAsia="Times New Roman" w:hAnsi="Arial" w:cs="Arial"/>
              <w:color w:val="000000" w:themeColor="text1"/>
            </w:rPr>
            <w:t>multidusciplinary</w:t>
          </w:r>
          <w:proofErr w:type="spellEnd"/>
          <w:r w:rsidRPr="00377A6F">
            <w:rPr>
              <w:rFonts w:ascii="Arial" w:eastAsia="Times New Roman" w:hAnsi="Arial" w:cs="Arial"/>
              <w:color w:val="000000" w:themeColor="text1"/>
            </w:rPr>
            <w:t xml:space="preserve"> approach. International Journal of Medical Reviews and Case Reports. 2022;(0):1. </w:t>
          </w:r>
        </w:p>
        <w:p w14:paraId="7B8E5358" w14:textId="46C7B0B4"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lastRenderedPageBreak/>
            <w:t>14.</w:t>
          </w:r>
          <w:r w:rsidRPr="00377A6F">
            <w:rPr>
              <w:rFonts w:ascii="Arial" w:eastAsia="Times New Roman" w:hAnsi="Arial" w:cs="Arial"/>
              <w:color w:val="000000" w:themeColor="text1"/>
            </w:rPr>
            <w:tab/>
            <w:t xml:space="preserve">de Santana Santos T, Eduardo Charles Pagotto L, Ferreira Nogueira M, Eschner de Souza P, </w:t>
          </w:r>
          <w:proofErr w:type="spellStart"/>
          <w:r w:rsidRPr="00377A6F">
            <w:rPr>
              <w:rFonts w:ascii="Arial" w:eastAsia="Times New Roman" w:hAnsi="Arial" w:cs="Arial"/>
              <w:color w:val="000000" w:themeColor="text1"/>
            </w:rPr>
            <w:t>Tissiani</w:t>
          </w:r>
          <w:proofErr w:type="spellEnd"/>
          <w:r w:rsidRPr="00377A6F">
            <w:rPr>
              <w:rFonts w:ascii="Arial" w:eastAsia="Times New Roman" w:hAnsi="Arial" w:cs="Arial"/>
              <w:color w:val="000000" w:themeColor="text1"/>
            </w:rPr>
            <w:t xml:space="preserve"> L, </w:t>
          </w:r>
          <w:proofErr w:type="spellStart"/>
          <w:r w:rsidRPr="00377A6F">
            <w:rPr>
              <w:rFonts w:ascii="Arial" w:eastAsia="Times New Roman" w:hAnsi="Arial" w:cs="Arial"/>
              <w:color w:val="000000" w:themeColor="text1"/>
            </w:rPr>
            <w:t>Ribeiro</w:t>
          </w:r>
          <w:proofErr w:type="spellEnd"/>
          <w:r w:rsidRPr="00377A6F">
            <w:rPr>
              <w:rFonts w:ascii="Arial" w:eastAsia="Times New Roman" w:hAnsi="Arial" w:cs="Arial"/>
              <w:color w:val="000000" w:themeColor="text1"/>
            </w:rPr>
            <w:t xml:space="preserve"> de Almeida I, et al. </w:t>
          </w:r>
          <w:r w:rsidR="00D30DBE" w:rsidRPr="00377A6F">
            <w:rPr>
              <w:rFonts w:ascii="Arial" w:eastAsia="Times New Roman" w:hAnsi="Arial" w:cs="Arial"/>
              <w:color w:val="000000" w:themeColor="text1"/>
            </w:rPr>
            <w:t xml:space="preserve">Surgical Management Of </w:t>
          </w:r>
          <w:proofErr w:type="spellStart"/>
          <w:r w:rsidR="00D30DBE" w:rsidRPr="00377A6F">
            <w:rPr>
              <w:rFonts w:ascii="Arial" w:eastAsia="Times New Roman" w:hAnsi="Arial" w:cs="Arial"/>
              <w:color w:val="000000" w:themeColor="text1"/>
            </w:rPr>
            <w:t>Unicystic</w:t>
          </w:r>
          <w:proofErr w:type="spellEnd"/>
          <w:r w:rsidR="00D30DBE" w:rsidRPr="00377A6F">
            <w:rPr>
              <w:rFonts w:ascii="Arial" w:eastAsia="Times New Roman" w:hAnsi="Arial" w:cs="Arial"/>
              <w:color w:val="000000" w:themeColor="text1"/>
            </w:rPr>
            <w:t xml:space="preserve"> </w:t>
          </w:r>
          <w:proofErr w:type="spellStart"/>
          <w:r w:rsidR="00D30DBE" w:rsidRPr="00377A6F">
            <w:rPr>
              <w:rFonts w:ascii="Arial" w:eastAsia="Times New Roman" w:hAnsi="Arial" w:cs="Arial"/>
              <w:color w:val="000000" w:themeColor="text1"/>
            </w:rPr>
            <w:t>Ameloblastoma</w:t>
          </w:r>
          <w:proofErr w:type="spellEnd"/>
          <w:r w:rsidR="00D30DBE" w:rsidRPr="00377A6F">
            <w:rPr>
              <w:rFonts w:ascii="Arial" w:eastAsia="Times New Roman" w:hAnsi="Arial" w:cs="Arial"/>
              <w:color w:val="000000" w:themeColor="text1"/>
            </w:rPr>
            <w:t>: Conservative Or Radical Approach: A Systematic Review</w:t>
          </w:r>
          <w:r w:rsidRPr="00377A6F">
            <w:rPr>
              <w:rFonts w:ascii="Arial" w:eastAsia="Times New Roman" w:hAnsi="Arial" w:cs="Arial"/>
              <w:color w:val="000000" w:themeColor="text1"/>
            </w:rPr>
            <w:t>. 2020; Available from: https://doi.org/10.37118/ijdr.19360.07.2020</w:t>
          </w:r>
        </w:p>
        <w:p w14:paraId="1E2057FF"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15.</w:t>
          </w:r>
          <w:r w:rsidRPr="00377A6F">
            <w:rPr>
              <w:rFonts w:ascii="Arial" w:eastAsia="Times New Roman" w:hAnsi="Arial" w:cs="Arial"/>
              <w:color w:val="000000" w:themeColor="text1"/>
            </w:rPr>
            <w:tab/>
            <w:t xml:space="preserve">Siar CH, Lau SH, Han K. Ameloblastoma of the jaws: A retrospective analysis of 340 cases in a </w:t>
          </w:r>
          <w:proofErr w:type="spellStart"/>
          <w:r w:rsidRPr="00377A6F">
            <w:rPr>
              <w:rFonts w:ascii="Arial" w:eastAsia="Times New Roman" w:hAnsi="Arial" w:cs="Arial"/>
              <w:color w:val="000000" w:themeColor="text1"/>
            </w:rPr>
            <w:t>malaysian</w:t>
          </w:r>
          <w:proofErr w:type="spellEnd"/>
          <w:r w:rsidRPr="00377A6F">
            <w:rPr>
              <w:rFonts w:ascii="Arial" w:eastAsia="Times New Roman" w:hAnsi="Arial" w:cs="Arial"/>
              <w:color w:val="000000" w:themeColor="text1"/>
            </w:rPr>
            <w:t xml:space="preserve"> population. Journal of Oral and Maxillofacial Surgery. 2012;70(3):608–15. </w:t>
          </w:r>
        </w:p>
        <w:p w14:paraId="59DCA362"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16.</w:t>
          </w:r>
          <w:r w:rsidRPr="00377A6F">
            <w:rPr>
              <w:rFonts w:ascii="Arial" w:eastAsia="Times New Roman" w:hAnsi="Arial" w:cs="Arial"/>
              <w:color w:val="000000" w:themeColor="text1"/>
            </w:rPr>
            <w:tab/>
          </w:r>
          <w:proofErr w:type="spellStart"/>
          <w:r w:rsidRPr="00377A6F">
            <w:rPr>
              <w:rFonts w:ascii="Arial" w:eastAsia="Times New Roman" w:hAnsi="Arial" w:cs="Arial"/>
              <w:color w:val="000000" w:themeColor="text1"/>
            </w:rPr>
            <w:t>Seintou</w:t>
          </w:r>
          <w:proofErr w:type="spellEnd"/>
          <w:r w:rsidRPr="00377A6F">
            <w:rPr>
              <w:rFonts w:ascii="Arial" w:eastAsia="Times New Roman" w:hAnsi="Arial" w:cs="Arial"/>
              <w:color w:val="000000" w:themeColor="text1"/>
            </w:rPr>
            <w:t xml:space="preserve"> A, </w:t>
          </w:r>
          <w:proofErr w:type="spellStart"/>
          <w:r w:rsidRPr="00377A6F">
            <w:rPr>
              <w:rFonts w:ascii="Arial" w:eastAsia="Times New Roman" w:hAnsi="Arial" w:cs="Arial"/>
              <w:color w:val="000000" w:themeColor="text1"/>
            </w:rPr>
            <w:t>Martinelli-Kläy</w:t>
          </w:r>
          <w:proofErr w:type="spellEnd"/>
          <w:r w:rsidRPr="00377A6F">
            <w:rPr>
              <w:rFonts w:ascii="Arial" w:eastAsia="Times New Roman" w:hAnsi="Arial" w:cs="Arial"/>
              <w:color w:val="000000" w:themeColor="text1"/>
            </w:rPr>
            <w:t xml:space="preserve"> CP, Lombardi T. </w:t>
          </w:r>
          <w:proofErr w:type="spellStart"/>
          <w:r w:rsidRPr="00377A6F">
            <w:rPr>
              <w:rFonts w:ascii="Arial" w:eastAsia="Times New Roman" w:hAnsi="Arial" w:cs="Arial"/>
              <w:color w:val="000000" w:themeColor="text1"/>
            </w:rPr>
            <w:t>Unicystic</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ameloblastoma</w:t>
          </w:r>
          <w:proofErr w:type="spellEnd"/>
          <w:r w:rsidRPr="00377A6F">
            <w:rPr>
              <w:rFonts w:ascii="Arial" w:eastAsia="Times New Roman" w:hAnsi="Arial" w:cs="Arial"/>
              <w:color w:val="000000" w:themeColor="text1"/>
            </w:rPr>
            <w:t xml:space="preserve"> in children: Systematic review of clinicopathological features and treatment outcomes. Vol. 43, International Journal of Oral and Maxillofacial Surgery. Churchill Livingstone; 2014. p. 405–12. </w:t>
          </w:r>
        </w:p>
        <w:p w14:paraId="0074C6F7"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17.</w:t>
          </w:r>
          <w:r w:rsidRPr="00377A6F">
            <w:rPr>
              <w:rFonts w:ascii="Arial" w:eastAsia="Times New Roman" w:hAnsi="Arial" w:cs="Arial"/>
              <w:color w:val="000000" w:themeColor="text1"/>
            </w:rPr>
            <w:tab/>
            <w:t xml:space="preserve">Cadavid AMH, Araujo JP, Coutinho-Camillo CM, Bologna S, Junior CAL, Lourenço SV. </w:t>
          </w:r>
          <w:proofErr w:type="spellStart"/>
          <w:r w:rsidRPr="00377A6F">
            <w:rPr>
              <w:rFonts w:ascii="Arial" w:eastAsia="Times New Roman" w:hAnsi="Arial" w:cs="Arial"/>
              <w:color w:val="000000" w:themeColor="text1"/>
            </w:rPr>
            <w:t>Ameloblastomas</w:t>
          </w:r>
          <w:proofErr w:type="spellEnd"/>
          <w:r w:rsidRPr="00377A6F">
            <w:rPr>
              <w:rFonts w:ascii="Arial" w:eastAsia="Times New Roman" w:hAnsi="Arial" w:cs="Arial"/>
              <w:color w:val="000000" w:themeColor="text1"/>
            </w:rPr>
            <w:t xml:space="preserve">: current aspects of the new WHO classification in an analysis of 136 cases. Surgical and Experimental Pathology. 2019 Dec;2(1). </w:t>
          </w:r>
        </w:p>
        <w:p w14:paraId="1B019579"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18.</w:t>
          </w:r>
          <w:r w:rsidRPr="00377A6F">
            <w:rPr>
              <w:rFonts w:ascii="Arial" w:eastAsia="Times New Roman" w:hAnsi="Arial" w:cs="Arial"/>
              <w:color w:val="000000" w:themeColor="text1"/>
            </w:rPr>
            <w:tab/>
          </w:r>
          <w:proofErr w:type="spellStart"/>
          <w:r w:rsidRPr="00377A6F">
            <w:rPr>
              <w:rFonts w:ascii="Arial" w:eastAsia="Times New Roman" w:hAnsi="Arial" w:cs="Arial"/>
              <w:color w:val="000000" w:themeColor="text1"/>
            </w:rPr>
            <w:t>Arotiba</w:t>
          </w:r>
          <w:proofErr w:type="spellEnd"/>
          <w:r w:rsidRPr="00377A6F">
            <w:rPr>
              <w:rFonts w:ascii="Arial" w:eastAsia="Times New Roman" w:hAnsi="Arial" w:cs="Arial"/>
              <w:color w:val="000000" w:themeColor="text1"/>
            </w:rPr>
            <w:t xml:space="preserve"> GT, </w:t>
          </w:r>
          <w:proofErr w:type="spellStart"/>
          <w:r w:rsidRPr="00377A6F">
            <w:rPr>
              <w:rFonts w:ascii="Arial" w:eastAsia="Times New Roman" w:hAnsi="Arial" w:cs="Arial"/>
              <w:color w:val="000000" w:themeColor="text1"/>
            </w:rPr>
            <w:t>Ladeinde</w:t>
          </w:r>
          <w:proofErr w:type="spellEnd"/>
          <w:r w:rsidRPr="00377A6F">
            <w:rPr>
              <w:rFonts w:ascii="Arial" w:eastAsia="Times New Roman" w:hAnsi="Arial" w:cs="Arial"/>
              <w:color w:val="000000" w:themeColor="text1"/>
            </w:rPr>
            <w:t xml:space="preserve"> AL, </w:t>
          </w:r>
          <w:proofErr w:type="spellStart"/>
          <w:r w:rsidRPr="00377A6F">
            <w:rPr>
              <w:rFonts w:ascii="Arial" w:eastAsia="Times New Roman" w:hAnsi="Arial" w:cs="Arial"/>
              <w:color w:val="000000" w:themeColor="text1"/>
            </w:rPr>
            <w:t>Arotiba</w:t>
          </w:r>
          <w:proofErr w:type="spellEnd"/>
          <w:r w:rsidRPr="00377A6F">
            <w:rPr>
              <w:rFonts w:ascii="Arial" w:eastAsia="Times New Roman" w:hAnsi="Arial" w:cs="Arial"/>
              <w:color w:val="000000" w:themeColor="text1"/>
            </w:rPr>
            <w:t xml:space="preserve"> JT, </w:t>
          </w:r>
          <w:proofErr w:type="spellStart"/>
          <w:r w:rsidRPr="00377A6F">
            <w:rPr>
              <w:rFonts w:ascii="Arial" w:eastAsia="Times New Roman" w:hAnsi="Arial" w:cs="Arial"/>
              <w:color w:val="000000" w:themeColor="text1"/>
            </w:rPr>
            <w:t>Ajike</w:t>
          </w:r>
          <w:proofErr w:type="spellEnd"/>
          <w:r w:rsidRPr="00377A6F">
            <w:rPr>
              <w:rFonts w:ascii="Arial" w:eastAsia="Times New Roman" w:hAnsi="Arial" w:cs="Arial"/>
              <w:color w:val="000000" w:themeColor="text1"/>
            </w:rPr>
            <w:t xml:space="preserve"> SO, </w:t>
          </w:r>
          <w:proofErr w:type="spellStart"/>
          <w:r w:rsidRPr="00377A6F">
            <w:rPr>
              <w:rFonts w:ascii="Arial" w:eastAsia="Times New Roman" w:hAnsi="Arial" w:cs="Arial"/>
              <w:color w:val="000000" w:themeColor="text1"/>
            </w:rPr>
            <w:t>Ugboko</w:t>
          </w:r>
          <w:proofErr w:type="spellEnd"/>
          <w:r w:rsidRPr="00377A6F">
            <w:rPr>
              <w:rFonts w:ascii="Arial" w:eastAsia="Times New Roman" w:hAnsi="Arial" w:cs="Arial"/>
              <w:color w:val="000000" w:themeColor="text1"/>
            </w:rPr>
            <w:t xml:space="preserve"> VI, </w:t>
          </w:r>
          <w:proofErr w:type="spellStart"/>
          <w:r w:rsidRPr="00377A6F">
            <w:rPr>
              <w:rFonts w:ascii="Arial" w:eastAsia="Times New Roman" w:hAnsi="Arial" w:cs="Arial"/>
              <w:color w:val="000000" w:themeColor="text1"/>
            </w:rPr>
            <w:t>Ajayi</w:t>
          </w:r>
          <w:proofErr w:type="spellEnd"/>
          <w:r w:rsidRPr="00377A6F">
            <w:rPr>
              <w:rFonts w:ascii="Arial" w:eastAsia="Times New Roman" w:hAnsi="Arial" w:cs="Arial"/>
              <w:color w:val="000000" w:themeColor="text1"/>
            </w:rPr>
            <w:t xml:space="preserve"> OF. Ameloblastoma in Nigerian children and adolescents: A review of 79 cases. Journal of Oral and Maxillofacial Surgery. 2005;63(6):747–51. </w:t>
          </w:r>
        </w:p>
        <w:p w14:paraId="26D00F16"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19.</w:t>
          </w:r>
          <w:r w:rsidRPr="00377A6F">
            <w:rPr>
              <w:rFonts w:ascii="Arial" w:eastAsia="Times New Roman" w:hAnsi="Arial" w:cs="Arial"/>
              <w:color w:val="000000" w:themeColor="text1"/>
            </w:rPr>
            <w:tab/>
            <w:t xml:space="preserve">Chaudhary Z, Krishnan S, Sharma P, Sharma R, Kumar P. A Review of Literature on Ameloblastoma in Children and Adolescents and a Rare Case Report of Ameloblastoma in a 3-Year-Old Child. </w:t>
          </w:r>
          <w:proofErr w:type="spellStart"/>
          <w:r w:rsidRPr="00377A6F">
            <w:rPr>
              <w:rFonts w:ascii="Arial" w:eastAsia="Times New Roman" w:hAnsi="Arial" w:cs="Arial"/>
              <w:color w:val="000000" w:themeColor="text1"/>
            </w:rPr>
            <w:t>Craniomaxillofac</w:t>
          </w:r>
          <w:proofErr w:type="spellEnd"/>
          <w:r w:rsidRPr="00377A6F">
            <w:rPr>
              <w:rFonts w:ascii="Arial" w:eastAsia="Times New Roman" w:hAnsi="Arial" w:cs="Arial"/>
              <w:color w:val="000000" w:themeColor="text1"/>
            </w:rPr>
            <w:t xml:space="preserve"> Trauma </w:t>
          </w:r>
          <w:proofErr w:type="spellStart"/>
          <w:r w:rsidRPr="00377A6F">
            <w:rPr>
              <w:rFonts w:ascii="Arial" w:eastAsia="Times New Roman" w:hAnsi="Arial" w:cs="Arial"/>
              <w:color w:val="000000" w:themeColor="text1"/>
            </w:rPr>
            <w:t>Reconstr</w:t>
          </w:r>
          <w:proofErr w:type="spellEnd"/>
          <w:r w:rsidRPr="00377A6F">
            <w:rPr>
              <w:rFonts w:ascii="Arial" w:eastAsia="Times New Roman" w:hAnsi="Arial" w:cs="Arial"/>
              <w:color w:val="000000" w:themeColor="text1"/>
            </w:rPr>
            <w:t xml:space="preserve">. 2012 Sep;5(3):161–8. </w:t>
          </w:r>
        </w:p>
        <w:p w14:paraId="16DF92F4"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20.</w:t>
          </w:r>
          <w:r w:rsidRPr="00377A6F">
            <w:rPr>
              <w:rFonts w:ascii="Arial" w:eastAsia="Times New Roman" w:hAnsi="Arial" w:cs="Arial"/>
              <w:color w:val="000000" w:themeColor="text1"/>
            </w:rPr>
            <w:tab/>
            <w:t xml:space="preserve">Cunha EM, </w:t>
          </w:r>
          <w:proofErr w:type="spellStart"/>
          <w:r w:rsidRPr="00377A6F">
            <w:rPr>
              <w:rFonts w:ascii="Arial" w:eastAsia="Times New Roman" w:hAnsi="Arial" w:cs="Arial"/>
              <w:color w:val="000000" w:themeColor="text1"/>
            </w:rPr>
            <w:t>Fernandes</w:t>
          </w:r>
          <w:proofErr w:type="spellEnd"/>
          <w:r w:rsidRPr="00377A6F">
            <w:rPr>
              <w:rFonts w:ascii="Arial" w:eastAsia="Times New Roman" w:hAnsi="Arial" w:cs="Arial"/>
              <w:color w:val="000000" w:themeColor="text1"/>
            </w:rPr>
            <w:t xml:space="preserve"> A V, </w:t>
          </w:r>
          <w:proofErr w:type="spellStart"/>
          <w:r w:rsidRPr="00377A6F">
            <w:rPr>
              <w:rFonts w:ascii="Arial" w:eastAsia="Times New Roman" w:hAnsi="Arial" w:cs="Arial"/>
              <w:color w:val="000000" w:themeColor="text1"/>
            </w:rPr>
            <w:t>Versiani</w:t>
          </w:r>
          <w:proofErr w:type="spellEnd"/>
          <w:r w:rsidRPr="00377A6F">
            <w:rPr>
              <w:rFonts w:ascii="Arial" w:eastAsia="Times New Roman" w:hAnsi="Arial" w:cs="Arial"/>
              <w:color w:val="000000" w:themeColor="text1"/>
            </w:rPr>
            <w:t xml:space="preserve"> MA, Loyola &amp; AM. </w:t>
          </w:r>
          <w:proofErr w:type="spellStart"/>
          <w:r w:rsidRPr="00377A6F">
            <w:rPr>
              <w:rFonts w:ascii="Arial" w:eastAsia="Times New Roman" w:hAnsi="Arial" w:cs="Arial"/>
              <w:color w:val="000000" w:themeColor="text1"/>
            </w:rPr>
            <w:t>Unicystic</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ameloblastoma</w:t>
          </w:r>
          <w:proofErr w:type="spellEnd"/>
          <w:r w:rsidRPr="00377A6F">
            <w:rPr>
              <w:rFonts w:ascii="Arial" w:eastAsia="Times New Roman" w:hAnsi="Arial" w:cs="Arial"/>
              <w:color w:val="000000" w:themeColor="text1"/>
            </w:rPr>
            <w:t xml:space="preserve">: a possible pitfall in periapical diagnosis. Vol. 38, International Endodontic Journal. 2005. </w:t>
          </w:r>
        </w:p>
        <w:p w14:paraId="1A154F35"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21.</w:t>
          </w:r>
          <w:r w:rsidRPr="00377A6F">
            <w:rPr>
              <w:rFonts w:ascii="Arial" w:eastAsia="Times New Roman" w:hAnsi="Arial" w:cs="Arial"/>
              <w:color w:val="000000" w:themeColor="text1"/>
            </w:rPr>
            <w:tab/>
          </w:r>
          <w:proofErr w:type="spellStart"/>
          <w:r w:rsidRPr="00377A6F">
            <w:rPr>
              <w:rFonts w:ascii="Arial" w:eastAsia="Times New Roman" w:hAnsi="Arial" w:cs="Arial"/>
              <w:color w:val="000000" w:themeColor="text1"/>
            </w:rPr>
            <w:t>Ord</w:t>
          </w:r>
          <w:proofErr w:type="spellEnd"/>
          <w:r w:rsidRPr="00377A6F">
            <w:rPr>
              <w:rFonts w:ascii="Arial" w:eastAsia="Times New Roman" w:hAnsi="Arial" w:cs="Arial"/>
              <w:color w:val="000000" w:themeColor="text1"/>
            </w:rPr>
            <w:t xml:space="preserve"> RA, </w:t>
          </w:r>
          <w:proofErr w:type="spellStart"/>
          <w:r w:rsidRPr="00377A6F">
            <w:rPr>
              <w:rFonts w:ascii="Arial" w:eastAsia="Times New Roman" w:hAnsi="Arial" w:cs="Arial"/>
              <w:color w:val="000000" w:themeColor="text1"/>
            </w:rPr>
            <w:t>Blanchaert</w:t>
          </w:r>
          <w:proofErr w:type="spellEnd"/>
          <w:r w:rsidRPr="00377A6F">
            <w:rPr>
              <w:rFonts w:ascii="Arial" w:eastAsia="Times New Roman" w:hAnsi="Arial" w:cs="Arial"/>
              <w:color w:val="000000" w:themeColor="text1"/>
            </w:rPr>
            <w:t xml:space="preserve"> RH, </w:t>
          </w:r>
          <w:proofErr w:type="spellStart"/>
          <w:r w:rsidRPr="00377A6F">
            <w:rPr>
              <w:rFonts w:ascii="Arial" w:eastAsia="Times New Roman" w:hAnsi="Arial" w:cs="Arial"/>
              <w:color w:val="000000" w:themeColor="text1"/>
            </w:rPr>
            <w:t>Nikitakis</w:t>
          </w:r>
          <w:proofErr w:type="spellEnd"/>
          <w:r w:rsidRPr="00377A6F">
            <w:rPr>
              <w:rFonts w:ascii="Arial" w:eastAsia="Times New Roman" w:hAnsi="Arial" w:cs="Arial"/>
              <w:color w:val="000000" w:themeColor="text1"/>
            </w:rPr>
            <w:t xml:space="preserve"> NG, Sauk JJ. Ameloblastoma in children. Journal of Oral and Maxillofacial Surgery. 2002;60(7):762–70. </w:t>
          </w:r>
        </w:p>
        <w:p w14:paraId="3E8C54B2"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22.</w:t>
          </w:r>
          <w:r w:rsidRPr="00377A6F">
            <w:rPr>
              <w:rFonts w:ascii="Arial" w:eastAsia="Times New Roman" w:hAnsi="Arial" w:cs="Arial"/>
              <w:color w:val="000000" w:themeColor="text1"/>
            </w:rPr>
            <w:tab/>
            <w:t xml:space="preserve">Mark </w:t>
          </w:r>
          <w:proofErr w:type="spellStart"/>
          <w:r w:rsidRPr="00377A6F">
            <w:rPr>
              <w:rFonts w:ascii="Arial" w:eastAsia="Times New Roman" w:hAnsi="Arial" w:cs="Arial"/>
              <w:color w:val="000000" w:themeColor="text1"/>
            </w:rPr>
            <w:t>Chukwuemeka</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Nwoga</w:t>
          </w:r>
          <w:proofErr w:type="spellEnd"/>
          <w:r w:rsidRPr="00377A6F">
            <w:rPr>
              <w:rFonts w:ascii="Arial" w:eastAsia="Times New Roman" w:hAnsi="Arial" w:cs="Arial"/>
              <w:color w:val="000000" w:themeColor="text1"/>
            </w:rPr>
            <w:t xml:space="preserve">. Ameloblastoma in Children and Adolescents- A Seven-year Study in Enugu, Nigeria. Journal of </w:t>
          </w:r>
          <w:proofErr w:type="spellStart"/>
          <w:r w:rsidRPr="00377A6F">
            <w:rPr>
              <w:rFonts w:ascii="Arial" w:eastAsia="Times New Roman" w:hAnsi="Arial" w:cs="Arial"/>
              <w:color w:val="000000" w:themeColor="text1"/>
            </w:rPr>
            <w:t>peadiatric</w:t>
          </w:r>
          <w:proofErr w:type="spellEnd"/>
          <w:r w:rsidRPr="00377A6F">
            <w:rPr>
              <w:rFonts w:ascii="Arial" w:eastAsia="Times New Roman" w:hAnsi="Arial" w:cs="Arial"/>
              <w:color w:val="000000" w:themeColor="text1"/>
            </w:rPr>
            <w:t xml:space="preserve"> Dental research and practice. 2022;2(1 &amp; 2):23–8. </w:t>
          </w:r>
        </w:p>
        <w:p w14:paraId="289A07D8"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23.</w:t>
          </w:r>
          <w:r w:rsidRPr="00377A6F">
            <w:rPr>
              <w:rFonts w:ascii="Arial" w:eastAsia="Times New Roman" w:hAnsi="Arial" w:cs="Arial"/>
              <w:color w:val="000000" w:themeColor="text1"/>
            </w:rPr>
            <w:tab/>
            <w:t xml:space="preserve">Hasegawa T, Imai Y, Takeda D, </w:t>
          </w:r>
          <w:proofErr w:type="spellStart"/>
          <w:r w:rsidRPr="00377A6F">
            <w:rPr>
              <w:rFonts w:ascii="Arial" w:eastAsia="Times New Roman" w:hAnsi="Arial" w:cs="Arial"/>
              <w:color w:val="000000" w:themeColor="text1"/>
            </w:rPr>
            <w:t>Yasuoka</w:t>
          </w:r>
          <w:proofErr w:type="spellEnd"/>
          <w:r w:rsidRPr="00377A6F">
            <w:rPr>
              <w:rFonts w:ascii="Arial" w:eastAsia="Times New Roman" w:hAnsi="Arial" w:cs="Arial"/>
              <w:color w:val="000000" w:themeColor="text1"/>
            </w:rPr>
            <w:t xml:space="preserve"> D, </w:t>
          </w:r>
          <w:proofErr w:type="spellStart"/>
          <w:r w:rsidRPr="00377A6F">
            <w:rPr>
              <w:rFonts w:ascii="Arial" w:eastAsia="Times New Roman" w:hAnsi="Arial" w:cs="Arial"/>
              <w:color w:val="000000" w:themeColor="text1"/>
            </w:rPr>
            <w:t>Ri</w:t>
          </w:r>
          <w:proofErr w:type="spellEnd"/>
          <w:r w:rsidRPr="00377A6F">
            <w:rPr>
              <w:rFonts w:ascii="Arial" w:eastAsia="Times New Roman" w:hAnsi="Arial" w:cs="Arial"/>
              <w:color w:val="000000" w:themeColor="text1"/>
            </w:rPr>
            <w:t xml:space="preserve"> S, Shigeta T, et al. Retrospective Study of Ameloblastoma: The Possibility of Conservative Treatment. Vol. 59, Kobe J. Med. Sci. 2013. </w:t>
          </w:r>
        </w:p>
        <w:p w14:paraId="382BBD17"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24.</w:t>
          </w:r>
          <w:r w:rsidRPr="00377A6F">
            <w:rPr>
              <w:rFonts w:ascii="Arial" w:eastAsia="Times New Roman" w:hAnsi="Arial" w:cs="Arial"/>
              <w:color w:val="000000" w:themeColor="text1"/>
            </w:rPr>
            <w:tab/>
            <w:t xml:space="preserve">Simon ENM, </w:t>
          </w:r>
          <w:proofErr w:type="spellStart"/>
          <w:r w:rsidRPr="00377A6F">
            <w:rPr>
              <w:rFonts w:ascii="Arial" w:eastAsia="Times New Roman" w:hAnsi="Arial" w:cs="Arial"/>
              <w:color w:val="000000" w:themeColor="text1"/>
            </w:rPr>
            <w:t>Merkx</w:t>
          </w:r>
          <w:proofErr w:type="spellEnd"/>
          <w:r w:rsidRPr="00377A6F">
            <w:rPr>
              <w:rFonts w:ascii="Arial" w:eastAsia="Times New Roman" w:hAnsi="Arial" w:cs="Arial"/>
              <w:color w:val="000000" w:themeColor="text1"/>
            </w:rPr>
            <w:t xml:space="preserve"> MAW, </w:t>
          </w:r>
          <w:proofErr w:type="spellStart"/>
          <w:r w:rsidRPr="00377A6F">
            <w:rPr>
              <w:rFonts w:ascii="Arial" w:eastAsia="Times New Roman" w:hAnsi="Arial" w:cs="Arial"/>
              <w:color w:val="000000" w:themeColor="text1"/>
            </w:rPr>
            <w:t>Kalyanyama</w:t>
          </w:r>
          <w:proofErr w:type="spellEnd"/>
          <w:r w:rsidRPr="00377A6F">
            <w:rPr>
              <w:rFonts w:ascii="Arial" w:eastAsia="Times New Roman" w:hAnsi="Arial" w:cs="Arial"/>
              <w:color w:val="000000" w:themeColor="text1"/>
            </w:rPr>
            <w:t xml:space="preserve"> BM, </w:t>
          </w:r>
          <w:proofErr w:type="spellStart"/>
          <w:r w:rsidRPr="00377A6F">
            <w:rPr>
              <w:rFonts w:ascii="Arial" w:eastAsia="Times New Roman" w:hAnsi="Arial" w:cs="Arial"/>
              <w:color w:val="000000" w:themeColor="text1"/>
            </w:rPr>
            <w:t>Shubi</w:t>
          </w:r>
          <w:proofErr w:type="spellEnd"/>
          <w:r w:rsidRPr="00377A6F">
            <w:rPr>
              <w:rFonts w:ascii="Arial" w:eastAsia="Times New Roman" w:hAnsi="Arial" w:cs="Arial"/>
              <w:color w:val="000000" w:themeColor="text1"/>
            </w:rPr>
            <w:t xml:space="preserve"> FM, </w:t>
          </w:r>
          <w:proofErr w:type="spellStart"/>
          <w:r w:rsidRPr="00377A6F">
            <w:rPr>
              <w:rFonts w:ascii="Arial" w:eastAsia="Times New Roman" w:hAnsi="Arial" w:cs="Arial"/>
              <w:color w:val="000000" w:themeColor="text1"/>
            </w:rPr>
            <w:t>Stoelinga</w:t>
          </w:r>
          <w:proofErr w:type="spellEnd"/>
          <w:r w:rsidRPr="00377A6F">
            <w:rPr>
              <w:rFonts w:ascii="Arial" w:eastAsia="Times New Roman" w:hAnsi="Arial" w:cs="Arial"/>
              <w:color w:val="000000" w:themeColor="text1"/>
            </w:rPr>
            <w:t xml:space="preserve"> PJW. Immediate reconstruction of the mandible after resection for aggressive </w:t>
          </w:r>
          <w:proofErr w:type="spellStart"/>
          <w:r w:rsidRPr="00377A6F">
            <w:rPr>
              <w:rFonts w:ascii="Arial" w:eastAsia="Times New Roman" w:hAnsi="Arial" w:cs="Arial"/>
              <w:color w:val="000000" w:themeColor="text1"/>
            </w:rPr>
            <w:t>odontogenic</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tumours</w:t>
          </w:r>
          <w:proofErr w:type="spellEnd"/>
          <w:r w:rsidRPr="00377A6F">
            <w:rPr>
              <w:rFonts w:ascii="Arial" w:eastAsia="Times New Roman" w:hAnsi="Arial" w:cs="Arial"/>
              <w:color w:val="000000" w:themeColor="text1"/>
            </w:rPr>
            <w:t xml:space="preserve">: A cohort study. </w:t>
          </w:r>
          <w:proofErr w:type="spellStart"/>
          <w:r w:rsidRPr="00377A6F">
            <w:rPr>
              <w:rFonts w:ascii="Arial" w:eastAsia="Times New Roman" w:hAnsi="Arial" w:cs="Arial"/>
              <w:color w:val="000000" w:themeColor="text1"/>
            </w:rPr>
            <w:t>Int</w:t>
          </w:r>
          <w:proofErr w:type="spellEnd"/>
          <w:r w:rsidRPr="00377A6F">
            <w:rPr>
              <w:rFonts w:ascii="Arial" w:eastAsia="Times New Roman" w:hAnsi="Arial" w:cs="Arial"/>
              <w:color w:val="000000" w:themeColor="text1"/>
            </w:rPr>
            <w:t xml:space="preserve"> J Oral </w:t>
          </w:r>
          <w:proofErr w:type="spellStart"/>
          <w:r w:rsidRPr="00377A6F">
            <w:rPr>
              <w:rFonts w:ascii="Arial" w:eastAsia="Times New Roman" w:hAnsi="Arial" w:cs="Arial"/>
              <w:color w:val="000000" w:themeColor="text1"/>
            </w:rPr>
            <w:t>Maxillofac</w:t>
          </w:r>
          <w:proofErr w:type="spellEnd"/>
          <w:r w:rsidRPr="00377A6F">
            <w:rPr>
              <w:rFonts w:ascii="Arial" w:eastAsia="Times New Roman" w:hAnsi="Arial" w:cs="Arial"/>
              <w:color w:val="000000" w:themeColor="text1"/>
            </w:rPr>
            <w:t xml:space="preserve"> Surg. 2013 Jan;42(1):106–12. </w:t>
          </w:r>
        </w:p>
        <w:p w14:paraId="0101EA1C" w14:textId="77777777" w:rsidR="00E8188C" w:rsidRPr="00377A6F" w:rsidRDefault="00E8188C" w:rsidP="00E8188C">
          <w:pPr>
            <w:autoSpaceDE w:val="0"/>
            <w:autoSpaceDN w:val="0"/>
            <w:ind w:hanging="640"/>
            <w:rPr>
              <w:rFonts w:ascii="Arial" w:eastAsia="Times New Roman" w:hAnsi="Arial" w:cs="Arial"/>
              <w:color w:val="000000" w:themeColor="text1"/>
            </w:rPr>
          </w:pPr>
          <w:r w:rsidRPr="00377A6F">
            <w:rPr>
              <w:rFonts w:ascii="Arial" w:eastAsia="Times New Roman" w:hAnsi="Arial" w:cs="Arial"/>
              <w:color w:val="000000" w:themeColor="text1"/>
            </w:rPr>
            <w:t>25.</w:t>
          </w:r>
          <w:r w:rsidRPr="00377A6F">
            <w:rPr>
              <w:rFonts w:ascii="Arial" w:eastAsia="Times New Roman" w:hAnsi="Arial" w:cs="Arial"/>
              <w:color w:val="000000" w:themeColor="text1"/>
            </w:rPr>
            <w:tab/>
          </w:r>
          <w:proofErr w:type="spellStart"/>
          <w:r w:rsidRPr="00377A6F">
            <w:rPr>
              <w:rFonts w:ascii="Arial" w:eastAsia="Times New Roman" w:hAnsi="Arial" w:cs="Arial"/>
              <w:color w:val="000000" w:themeColor="text1"/>
            </w:rPr>
            <w:t>Zambaldi</w:t>
          </w:r>
          <w:proofErr w:type="spellEnd"/>
          <w:r w:rsidRPr="00377A6F">
            <w:rPr>
              <w:rFonts w:ascii="Arial" w:eastAsia="Times New Roman" w:hAnsi="Arial" w:cs="Arial"/>
              <w:color w:val="000000" w:themeColor="text1"/>
            </w:rPr>
            <w:t xml:space="preserve"> Da Cruz E, Quirino M, Soares S, Luiz J, Junqueira C, Victor; et al. Ameloblastoma Differential Radiographic Findings in Children and Adolescents </w:t>
          </w:r>
          <w:proofErr w:type="spellStart"/>
          <w:r w:rsidRPr="00377A6F">
            <w:rPr>
              <w:rFonts w:ascii="Arial" w:eastAsia="Times New Roman" w:hAnsi="Arial" w:cs="Arial"/>
              <w:color w:val="000000" w:themeColor="text1"/>
            </w:rPr>
            <w:lastRenderedPageBreak/>
            <w:t>Hallazgos</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Radiográficos</w:t>
          </w:r>
          <w:proofErr w:type="spellEnd"/>
          <w:r w:rsidRPr="00377A6F">
            <w:rPr>
              <w:rFonts w:ascii="Arial" w:eastAsia="Times New Roman" w:hAnsi="Arial" w:cs="Arial"/>
              <w:color w:val="000000" w:themeColor="text1"/>
            </w:rPr>
            <w:t xml:space="preserve"> </w:t>
          </w:r>
          <w:proofErr w:type="spellStart"/>
          <w:r w:rsidRPr="00377A6F">
            <w:rPr>
              <w:rFonts w:ascii="Arial" w:eastAsia="Times New Roman" w:hAnsi="Arial" w:cs="Arial"/>
              <w:color w:val="000000" w:themeColor="text1"/>
            </w:rPr>
            <w:t>Diferenciales</w:t>
          </w:r>
          <w:proofErr w:type="spellEnd"/>
          <w:r w:rsidRPr="00377A6F">
            <w:rPr>
              <w:rFonts w:ascii="Arial" w:eastAsia="Times New Roman" w:hAnsi="Arial" w:cs="Arial"/>
              <w:color w:val="000000" w:themeColor="text1"/>
            </w:rPr>
            <w:t xml:space="preserve"> de </w:t>
          </w:r>
          <w:proofErr w:type="spellStart"/>
          <w:r w:rsidRPr="00377A6F">
            <w:rPr>
              <w:rFonts w:ascii="Arial" w:eastAsia="Times New Roman" w:hAnsi="Arial" w:cs="Arial"/>
              <w:color w:val="000000" w:themeColor="text1"/>
            </w:rPr>
            <w:t>Ameloblastoma</w:t>
          </w:r>
          <w:proofErr w:type="spellEnd"/>
          <w:r w:rsidRPr="00377A6F">
            <w:rPr>
              <w:rFonts w:ascii="Arial" w:eastAsia="Times New Roman" w:hAnsi="Arial" w:cs="Arial"/>
              <w:color w:val="000000" w:themeColor="text1"/>
            </w:rPr>
            <w:t xml:space="preserve"> en </w:t>
          </w:r>
          <w:proofErr w:type="spellStart"/>
          <w:r w:rsidRPr="00377A6F">
            <w:rPr>
              <w:rFonts w:ascii="Arial" w:eastAsia="Times New Roman" w:hAnsi="Arial" w:cs="Arial"/>
              <w:color w:val="000000" w:themeColor="text1"/>
            </w:rPr>
            <w:t>Niños</w:t>
          </w:r>
          <w:proofErr w:type="spellEnd"/>
          <w:r w:rsidRPr="00377A6F">
            <w:rPr>
              <w:rFonts w:ascii="Arial" w:eastAsia="Times New Roman" w:hAnsi="Arial" w:cs="Arial"/>
              <w:color w:val="000000" w:themeColor="text1"/>
            </w:rPr>
            <w:t xml:space="preserve"> y </w:t>
          </w:r>
          <w:proofErr w:type="spellStart"/>
          <w:r w:rsidRPr="00377A6F">
            <w:rPr>
              <w:rFonts w:ascii="Arial" w:eastAsia="Times New Roman" w:hAnsi="Arial" w:cs="Arial"/>
              <w:color w:val="000000" w:themeColor="text1"/>
            </w:rPr>
            <w:t>Adolescentes</w:t>
          </w:r>
          <w:proofErr w:type="spellEnd"/>
          <w:r w:rsidRPr="00377A6F">
            <w:rPr>
              <w:rFonts w:ascii="Arial" w:eastAsia="Times New Roman" w:hAnsi="Arial" w:cs="Arial"/>
              <w:color w:val="000000" w:themeColor="text1"/>
            </w:rPr>
            <w:t xml:space="preserve">. Vol. 16, Int. J. </w:t>
          </w:r>
          <w:proofErr w:type="spellStart"/>
          <w:r w:rsidRPr="00377A6F">
            <w:rPr>
              <w:rFonts w:ascii="Arial" w:eastAsia="Times New Roman" w:hAnsi="Arial" w:cs="Arial"/>
              <w:color w:val="000000" w:themeColor="text1"/>
            </w:rPr>
            <w:t>Odontostomat</w:t>
          </w:r>
          <w:proofErr w:type="spellEnd"/>
          <w:r w:rsidRPr="00377A6F">
            <w:rPr>
              <w:rFonts w:ascii="Arial" w:eastAsia="Times New Roman" w:hAnsi="Arial" w:cs="Arial"/>
              <w:color w:val="000000" w:themeColor="text1"/>
            </w:rPr>
            <w:t xml:space="preserve">. 2022. </w:t>
          </w:r>
        </w:p>
        <w:p w14:paraId="417EE3FA" w14:textId="77777777" w:rsidR="00E8188C" w:rsidRPr="00377A6F" w:rsidRDefault="00E8188C" w:rsidP="00E8188C">
          <w:pPr>
            <w:spacing w:after="0" w:line="480" w:lineRule="auto"/>
            <w:jc w:val="both"/>
            <w:rPr>
              <w:rFonts w:ascii="Arial" w:eastAsia="Times New Roman" w:hAnsi="Arial" w:cs="Arial"/>
              <w:color w:val="000000" w:themeColor="text1"/>
              <w:kern w:val="0"/>
              <w14:ligatures w14:val="none"/>
            </w:rPr>
          </w:pPr>
          <w:r w:rsidRPr="00377A6F">
            <w:rPr>
              <w:rFonts w:ascii="Arial" w:eastAsia="Times New Roman" w:hAnsi="Arial" w:cs="Arial"/>
              <w:color w:val="000000" w:themeColor="text1"/>
            </w:rPr>
            <w:t> </w:t>
          </w:r>
        </w:p>
      </w:sdtContent>
    </w:sdt>
    <w:p w14:paraId="3BFCC351" w14:textId="77777777" w:rsidR="00E8188C" w:rsidRPr="00377A6F" w:rsidRDefault="00E8188C" w:rsidP="00E8188C">
      <w:pPr>
        <w:spacing w:line="480" w:lineRule="auto"/>
        <w:jc w:val="both"/>
        <w:rPr>
          <w:rFonts w:ascii="Arial" w:hAnsi="Arial" w:cs="Arial"/>
          <w:color w:val="000000" w:themeColor="text1"/>
          <w:shd w:val="clear" w:color="auto" w:fill="FFFFFF"/>
        </w:rPr>
      </w:pPr>
    </w:p>
    <w:p w14:paraId="6ADDC307" w14:textId="77777777" w:rsidR="00E8188C" w:rsidRPr="00377A6F" w:rsidRDefault="00E8188C" w:rsidP="00E8188C">
      <w:pPr>
        <w:spacing w:line="480" w:lineRule="auto"/>
        <w:jc w:val="both"/>
        <w:rPr>
          <w:rFonts w:ascii="Arial" w:hAnsi="Arial" w:cs="Arial"/>
          <w:color w:val="000000" w:themeColor="text1"/>
        </w:rPr>
      </w:pPr>
    </w:p>
    <w:p w14:paraId="588FE41E" w14:textId="77777777" w:rsidR="00E8188C" w:rsidRPr="00377A6F" w:rsidRDefault="00E8188C" w:rsidP="00E8188C">
      <w:pPr>
        <w:rPr>
          <w:rFonts w:ascii="Arial" w:hAnsi="Arial" w:cs="Arial"/>
          <w:color w:val="000000" w:themeColor="text1"/>
        </w:rPr>
      </w:pPr>
    </w:p>
    <w:p w14:paraId="232F476A" w14:textId="77777777" w:rsidR="00E8188C" w:rsidRPr="00377A6F" w:rsidRDefault="00E8188C" w:rsidP="00E8188C">
      <w:pPr>
        <w:rPr>
          <w:rFonts w:ascii="Arial" w:hAnsi="Arial" w:cs="Arial"/>
          <w:color w:val="000000" w:themeColor="text1"/>
        </w:rPr>
      </w:pPr>
    </w:p>
    <w:p w14:paraId="67D3724A" w14:textId="77777777" w:rsidR="00E8188C" w:rsidRPr="00377A6F" w:rsidRDefault="00E8188C" w:rsidP="00E8188C">
      <w:pPr>
        <w:rPr>
          <w:rFonts w:ascii="Arial" w:hAnsi="Arial" w:cs="Arial"/>
          <w:color w:val="000000" w:themeColor="text1"/>
        </w:rPr>
      </w:pPr>
    </w:p>
    <w:p w14:paraId="35D47758" w14:textId="77777777" w:rsidR="00E8188C" w:rsidRPr="00377A6F" w:rsidRDefault="00E8188C" w:rsidP="00E8188C">
      <w:pPr>
        <w:rPr>
          <w:rFonts w:ascii="Arial" w:hAnsi="Arial" w:cs="Arial"/>
          <w:color w:val="000000" w:themeColor="text1"/>
        </w:rPr>
      </w:pPr>
    </w:p>
    <w:p w14:paraId="32F34B7A" w14:textId="77777777" w:rsidR="00E8188C" w:rsidRPr="00377A6F" w:rsidRDefault="00E8188C" w:rsidP="00E8188C">
      <w:pPr>
        <w:rPr>
          <w:rFonts w:ascii="Arial" w:hAnsi="Arial" w:cs="Arial"/>
          <w:color w:val="000000" w:themeColor="text1"/>
        </w:rPr>
      </w:pPr>
    </w:p>
    <w:p w14:paraId="3AA35F5D" w14:textId="77777777" w:rsidR="00E8188C" w:rsidRPr="00377A6F" w:rsidRDefault="00E8188C" w:rsidP="00E8188C">
      <w:pPr>
        <w:rPr>
          <w:rFonts w:ascii="Arial" w:hAnsi="Arial" w:cs="Arial"/>
          <w:color w:val="000000" w:themeColor="text1"/>
        </w:rPr>
      </w:pPr>
    </w:p>
    <w:p w14:paraId="288E36AC" w14:textId="77777777" w:rsidR="00E8188C" w:rsidRPr="00377A6F" w:rsidRDefault="00E8188C" w:rsidP="00E8188C">
      <w:pPr>
        <w:rPr>
          <w:rFonts w:ascii="Arial" w:hAnsi="Arial" w:cs="Arial"/>
          <w:color w:val="000000" w:themeColor="text1"/>
        </w:rPr>
      </w:pPr>
    </w:p>
    <w:p w14:paraId="72D42DB0" w14:textId="77777777" w:rsidR="00E8188C" w:rsidRPr="00377A6F" w:rsidRDefault="00E8188C" w:rsidP="00E8188C">
      <w:pPr>
        <w:rPr>
          <w:rFonts w:ascii="Arial" w:hAnsi="Arial" w:cs="Arial"/>
          <w:color w:val="000000" w:themeColor="text1"/>
        </w:rPr>
      </w:pPr>
    </w:p>
    <w:p w14:paraId="50E9A489" w14:textId="77777777" w:rsidR="00E8188C" w:rsidRPr="00377A6F" w:rsidRDefault="00E8188C" w:rsidP="00E8188C">
      <w:pPr>
        <w:rPr>
          <w:rFonts w:ascii="Arial" w:hAnsi="Arial" w:cs="Arial"/>
          <w:color w:val="000000" w:themeColor="text1"/>
        </w:rPr>
      </w:pPr>
    </w:p>
    <w:p w14:paraId="2E59EF51" w14:textId="77777777" w:rsidR="00E8188C" w:rsidRPr="00377A6F" w:rsidRDefault="00E8188C" w:rsidP="00E8188C">
      <w:pPr>
        <w:rPr>
          <w:rFonts w:ascii="Arial" w:hAnsi="Arial" w:cs="Arial"/>
          <w:color w:val="000000" w:themeColor="text1"/>
        </w:rPr>
      </w:pPr>
    </w:p>
    <w:p w14:paraId="4B3EBE35" w14:textId="77777777" w:rsidR="00E8188C" w:rsidRPr="00377A6F" w:rsidRDefault="00E8188C" w:rsidP="00E8188C">
      <w:pPr>
        <w:rPr>
          <w:rFonts w:ascii="Arial" w:hAnsi="Arial" w:cs="Arial"/>
          <w:color w:val="000000" w:themeColor="text1"/>
        </w:rPr>
      </w:pPr>
    </w:p>
    <w:p w14:paraId="4113D18B" w14:textId="77777777" w:rsidR="00E8188C" w:rsidRPr="00377A6F" w:rsidRDefault="00E8188C" w:rsidP="00E8188C">
      <w:pPr>
        <w:spacing w:line="480" w:lineRule="auto"/>
        <w:jc w:val="both"/>
        <w:rPr>
          <w:rFonts w:ascii="Arial" w:hAnsi="Arial" w:cs="Arial"/>
          <w:color w:val="000000" w:themeColor="text1"/>
        </w:rPr>
      </w:pPr>
    </w:p>
    <w:p w14:paraId="305A969E" w14:textId="77777777" w:rsidR="00E34067" w:rsidRPr="00377A6F" w:rsidRDefault="00E34067">
      <w:pPr>
        <w:rPr>
          <w:rFonts w:ascii="Arial" w:hAnsi="Arial" w:cs="Arial"/>
          <w:color w:val="000000" w:themeColor="text1"/>
        </w:rPr>
      </w:pPr>
    </w:p>
    <w:sectPr w:rsidR="00E34067" w:rsidRPr="00377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6327B1"/>
    <w:multiLevelType w:val="hybridMultilevel"/>
    <w:tmpl w:val="76FAD6C0"/>
    <w:lvl w:ilvl="0" w:tplc="3C584EDA">
      <w:numFmt w:val="bullet"/>
      <w:lvlText w:val=""/>
      <w:lvlJc w:val="left"/>
      <w:pPr>
        <w:ind w:left="720" w:hanging="360"/>
      </w:pPr>
      <w:rPr>
        <w:rFonts w:ascii="Symbol" w:eastAsia="Times New Roman"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B83207"/>
    <w:multiLevelType w:val="hybridMultilevel"/>
    <w:tmpl w:val="D6621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8C"/>
    <w:rsid w:val="000879DD"/>
    <w:rsid w:val="00093B82"/>
    <w:rsid w:val="000C5E0B"/>
    <w:rsid w:val="00126B2F"/>
    <w:rsid w:val="00180D4A"/>
    <w:rsid w:val="00195E12"/>
    <w:rsid w:val="001B2C8D"/>
    <w:rsid w:val="001C0492"/>
    <w:rsid w:val="001F080F"/>
    <w:rsid w:val="00260169"/>
    <w:rsid w:val="002B71AE"/>
    <w:rsid w:val="002E287B"/>
    <w:rsid w:val="003214EB"/>
    <w:rsid w:val="00372743"/>
    <w:rsid w:val="00374A00"/>
    <w:rsid w:val="00377A6F"/>
    <w:rsid w:val="00384A89"/>
    <w:rsid w:val="00397E40"/>
    <w:rsid w:val="003A07B9"/>
    <w:rsid w:val="003C4D8A"/>
    <w:rsid w:val="00475133"/>
    <w:rsid w:val="004B33C8"/>
    <w:rsid w:val="00506017"/>
    <w:rsid w:val="00552A25"/>
    <w:rsid w:val="00575E31"/>
    <w:rsid w:val="005A021D"/>
    <w:rsid w:val="005B2C4C"/>
    <w:rsid w:val="00677E95"/>
    <w:rsid w:val="006D2D97"/>
    <w:rsid w:val="006E4724"/>
    <w:rsid w:val="006E6BA4"/>
    <w:rsid w:val="00777296"/>
    <w:rsid w:val="007E5999"/>
    <w:rsid w:val="008914D4"/>
    <w:rsid w:val="00893020"/>
    <w:rsid w:val="00926838"/>
    <w:rsid w:val="009747FD"/>
    <w:rsid w:val="00994CCF"/>
    <w:rsid w:val="009C3457"/>
    <w:rsid w:val="00A15624"/>
    <w:rsid w:val="00A5143A"/>
    <w:rsid w:val="00A517A3"/>
    <w:rsid w:val="00AA2008"/>
    <w:rsid w:val="00AC113A"/>
    <w:rsid w:val="00AE315C"/>
    <w:rsid w:val="00AE5DFC"/>
    <w:rsid w:val="00B55DFC"/>
    <w:rsid w:val="00C27BD7"/>
    <w:rsid w:val="00C7605B"/>
    <w:rsid w:val="00CC1214"/>
    <w:rsid w:val="00D25D8A"/>
    <w:rsid w:val="00D30DBE"/>
    <w:rsid w:val="00DA67CC"/>
    <w:rsid w:val="00DE1D2D"/>
    <w:rsid w:val="00DF25BF"/>
    <w:rsid w:val="00E34067"/>
    <w:rsid w:val="00E46A7E"/>
    <w:rsid w:val="00E666E5"/>
    <w:rsid w:val="00E8188C"/>
    <w:rsid w:val="00EF5915"/>
    <w:rsid w:val="00F742BF"/>
    <w:rsid w:val="00FB2243"/>
    <w:rsid w:val="00FC47AA"/>
    <w:rsid w:val="00FD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7853"/>
  <w15:docId w15:val="{FE4E6CFE-7C08-4894-A371-5BDE090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8C"/>
  </w:style>
  <w:style w:type="paragraph" w:styleId="Heading1">
    <w:name w:val="heading 1"/>
    <w:basedOn w:val="Normal"/>
    <w:next w:val="Normal"/>
    <w:link w:val="Heading1Char"/>
    <w:uiPriority w:val="9"/>
    <w:qFormat/>
    <w:rsid w:val="00E81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1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1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1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1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1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1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1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88C"/>
    <w:rPr>
      <w:rFonts w:eastAsiaTheme="majorEastAsia" w:cstheme="majorBidi"/>
      <w:color w:val="272727" w:themeColor="text1" w:themeTint="D8"/>
    </w:rPr>
  </w:style>
  <w:style w:type="paragraph" w:styleId="Title">
    <w:name w:val="Title"/>
    <w:basedOn w:val="Normal"/>
    <w:next w:val="Normal"/>
    <w:link w:val="TitleChar"/>
    <w:uiPriority w:val="10"/>
    <w:qFormat/>
    <w:rsid w:val="00E81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88C"/>
    <w:pPr>
      <w:spacing w:before="160"/>
      <w:jc w:val="center"/>
    </w:pPr>
    <w:rPr>
      <w:i/>
      <w:iCs/>
      <w:color w:val="404040" w:themeColor="text1" w:themeTint="BF"/>
    </w:rPr>
  </w:style>
  <w:style w:type="character" w:customStyle="1" w:styleId="QuoteChar">
    <w:name w:val="Quote Char"/>
    <w:basedOn w:val="DefaultParagraphFont"/>
    <w:link w:val="Quote"/>
    <w:uiPriority w:val="29"/>
    <w:rsid w:val="00E8188C"/>
    <w:rPr>
      <w:i/>
      <w:iCs/>
      <w:color w:val="404040" w:themeColor="text1" w:themeTint="BF"/>
    </w:rPr>
  </w:style>
  <w:style w:type="paragraph" w:styleId="ListParagraph">
    <w:name w:val="List Paragraph"/>
    <w:basedOn w:val="Normal"/>
    <w:uiPriority w:val="34"/>
    <w:qFormat/>
    <w:rsid w:val="00E8188C"/>
    <w:pPr>
      <w:ind w:left="720"/>
      <w:contextualSpacing/>
    </w:pPr>
  </w:style>
  <w:style w:type="character" w:styleId="IntenseEmphasis">
    <w:name w:val="Intense Emphasis"/>
    <w:basedOn w:val="DefaultParagraphFont"/>
    <w:uiPriority w:val="21"/>
    <w:qFormat/>
    <w:rsid w:val="00E8188C"/>
    <w:rPr>
      <w:i/>
      <w:iCs/>
      <w:color w:val="2F5496" w:themeColor="accent1" w:themeShade="BF"/>
    </w:rPr>
  </w:style>
  <w:style w:type="paragraph" w:styleId="IntenseQuote">
    <w:name w:val="Intense Quote"/>
    <w:basedOn w:val="Normal"/>
    <w:next w:val="Normal"/>
    <w:link w:val="IntenseQuoteChar"/>
    <w:uiPriority w:val="30"/>
    <w:qFormat/>
    <w:rsid w:val="00E81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88C"/>
    <w:rPr>
      <w:i/>
      <w:iCs/>
      <w:color w:val="2F5496" w:themeColor="accent1" w:themeShade="BF"/>
    </w:rPr>
  </w:style>
  <w:style w:type="character" w:styleId="IntenseReference">
    <w:name w:val="Intense Reference"/>
    <w:basedOn w:val="DefaultParagraphFont"/>
    <w:uiPriority w:val="32"/>
    <w:qFormat/>
    <w:rsid w:val="00E8188C"/>
    <w:rPr>
      <w:b/>
      <w:bCs/>
      <w:smallCaps/>
      <w:color w:val="2F5496" w:themeColor="accent1" w:themeShade="BF"/>
      <w:spacing w:val="5"/>
    </w:rPr>
  </w:style>
  <w:style w:type="paragraph" w:customStyle="1" w:styleId="p1">
    <w:name w:val="p1"/>
    <w:basedOn w:val="Normal"/>
    <w:rsid w:val="00E8188C"/>
    <w:pPr>
      <w:spacing w:after="0" w:line="240" w:lineRule="auto"/>
    </w:pPr>
    <w:rPr>
      <w:rFonts w:ascii="Helvetica" w:eastAsia="Times New Roman" w:hAnsi="Helvetica" w:cs="Times New Roman"/>
      <w:color w:val="000000"/>
      <w:kern w:val="0"/>
      <w:sz w:val="14"/>
      <w:szCs w:val="14"/>
    </w:rPr>
  </w:style>
  <w:style w:type="character" w:customStyle="1" w:styleId="s1">
    <w:name w:val="s1"/>
    <w:basedOn w:val="DefaultParagraphFont"/>
    <w:rsid w:val="00E8188C"/>
    <w:rPr>
      <w:rFonts w:ascii="Times" w:hAnsi="Times" w:cs="Times" w:hint="default"/>
      <w:sz w:val="2"/>
      <w:szCs w:val="2"/>
    </w:rPr>
  </w:style>
  <w:style w:type="table" w:customStyle="1" w:styleId="TableGrid12">
    <w:name w:val="Table Grid12"/>
    <w:basedOn w:val="TableNormal"/>
    <w:uiPriority w:val="39"/>
    <w:qFormat/>
    <w:rsid w:val="00E8188C"/>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188C"/>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39"/>
    <w:rsid w:val="00AA2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7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0936">
      <w:bodyDiv w:val="1"/>
      <w:marLeft w:val="0"/>
      <w:marRight w:val="0"/>
      <w:marTop w:val="0"/>
      <w:marBottom w:val="0"/>
      <w:divBdr>
        <w:top w:val="none" w:sz="0" w:space="0" w:color="auto"/>
        <w:left w:val="none" w:sz="0" w:space="0" w:color="auto"/>
        <w:bottom w:val="none" w:sz="0" w:space="0" w:color="auto"/>
        <w:right w:val="none" w:sz="0" w:space="0" w:color="auto"/>
      </w:divBdr>
      <w:divsChild>
        <w:div w:id="803159942">
          <w:marLeft w:val="0"/>
          <w:marRight w:val="0"/>
          <w:marTop w:val="0"/>
          <w:marBottom w:val="0"/>
          <w:divBdr>
            <w:top w:val="none" w:sz="0" w:space="0" w:color="auto"/>
            <w:left w:val="none" w:sz="0" w:space="0" w:color="auto"/>
            <w:bottom w:val="none" w:sz="0" w:space="0" w:color="auto"/>
            <w:right w:val="none" w:sz="0" w:space="0" w:color="auto"/>
          </w:divBdr>
        </w:div>
      </w:divsChild>
    </w:div>
    <w:div w:id="81147455">
      <w:bodyDiv w:val="1"/>
      <w:marLeft w:val="0"/>
      <w:marRight w:val="0"/>
      <w:marTop w:val="0"/>
      <w:marBottom w:val="0"/>
      <w:divBdr>
        <w:top w:val="none" w:sz="0" w:space="0" w:color="auto"/>
        <w:left w:val="none" w:sz="0" w:space="0" w:color="auto"/>
        <w:bottom w:val="none" w:sz="0" w:space="0" w:color="auto"/>
        <w:right w:val="none" w:sz="0" w:space="0" w:color="auto"/>
      </w:divBdr>
      <w:divsChild>
        <w:div w:id="1565024142">
          <w:marLeft w:val="0"/>
          <w:marRight w:val="0"/>
          <w:marTop w:val="0"/>
          <w:marBottom w:val="0"/>
          <w:divBdr>
            <w:top w:val="none" w:sz="0" w:space="0" w:color="auto"/>
            <w:left w:val="none" w:sz="0" w:space="0" w:color="auto"/>
            <w:bottom w:val="none" w:sz="0" w:space="0" w:color="auto"/>
            <w:right w:val="none" w:sz="0" w:space="0" w:color="auto"/>
          </w:divBdr>
          <w:divsChild>
            <w:div w:id="1442337063">
              <w:marLeft w:val="0"/>
              <w:marRight w:val="0"/>
              <w:marTop w:val="0"/>
              <w:marBottom w:val="0"/>
              <w:divBdr>
                <w:top w:val="none" w:sz="0" w:space="0" w:color="auto"/>
                <w:left w:val="none" w:sz="0" w:space="0" w:color="auto"/>
                <w:bottom w:val="none" w:sz="0" w:space="0" w:color="auto"/>
                <w:right w:val="none" w:sz="0" w:space="0" w:color="auto"/>
              </w:divBdr>
            </w:div>
          </w:divsChild>
        </w:div>
        <w:div w:id="1226187582">
          <w:marLeft w:val="0"/>
          <w:marRight w:val="0"/>
          <w:marTop w:val="0"/>
          <w:marBottom w:val="0"/>
          <w:divBdr>
            <w:top w:val="none" w:sz="0" w:space="0" w:color="auto"/>
            <w:left w:val="none" w:sz="0" w:space="0" w:color="auto"/>
            <w:bottom w:val="none" w:sz="0" w:space="0" w:color="auto"/>
            <w:right w:val="none" w:sz="0" w:space="0" w:color="auto"/>
          </w:divBdr>
          <w:divsChild>
            <w:div w:id="290552712">
              <w:marLeft w:val="0"/>
              <w:marRight w:val="0"/>
              <w:marTop w:val="0"/>
              <w:marBottom w:val="0"/>
              <w:divBdr>
                <w:top w:val="none" w:sz="0" w:space="0" w:color="auto"/>
                <w:left w:val="none" w:sz="0" w:space="0" w:color="auto"/>
                <w:bottom w:val="none" w:sz="0" w:space="0" w:color="auto"/>
                <w:right w:val="none" w:sz="0" w:space="0" w:color="auto"/>
              </w:divBdr>
            </w:div>
          </w:divsChild>
        </w:div>
        <w:div w:id="778840735">
          <w:marLeft w:val="0"/>
          <w:marRight w:val="0"/>
          <w:marTop w:val="0"/>
          <w:marBottom w:val="0"/>
          <w:divBdr>
            <w:top w:val="none" w:sz="0" w:space="0" w:color="auto"/>
            <w:left w:val="none" w:sz="0" w:space="0" w:color="auto"/>
            <w:bottom w:val="none" w:sz="0" w:space="0" w:color="auto"/>
            <w:right w:val="none" w:sz="0" w:space="0" w:color="auto"/>
          </w:divBdr>
          <w:divsChild>
            <w:div w:id="1989818126">
              <w:marLeft w:val="0"/>
              <w:marRight w:val="0"/>
              <w:marTop w:val="0"/>
              <w:marBottom w:val="0"/>
              <w:divBdr>
                <w:top w:val="none" w:sz="0" w:space="0" w:color="auto"/>
                <w:left w:val="none" w:sz="0" w:space="0" w:color="auto"/>
                <w:bottom w:val="none" w:sz="0" w:space="0" w:color="auto"/>
                <w:right w:val="none" w:sz="0" w:space="0" w:color="auto"/>
              </w:divBdr>
            </w:div>
          </w:divsChild>
        </w:div>
        <w:div w:id="1425035671">
          <w:marLeft w:val="0"/>
          <w:marRight w:val="0"/>
          <w:marTop w:val="0"/>
          <w:marBottom w:val="0"/>
          <w:divBdr>
            <w:top w:val="none" w:sz="0" w:space="0" w:color="auto"/>
            <w:left w:val="none" w:sz="0" w:space="0" w:color="auto"/>
            <w:bottom w:val="none" w:sz="0" w:space="0" w:color="auto"/>
            <w:right w:val="none" w:sz="0" w:space="0" w:color="auto"/>
          </w:divBdr>
          <w:divsChild>
            <w:div w:id="931935928">
              <w:marLeft w:val="0"/>
              <w:marRight w:val="0"/>
              <w:marTop w:val="0"/>
              <w:marBottom w:val="0"/>
              <w:divBdr>
                <w:top w:val="none" w:sz="0" w:space="0" w:color="auto"/>
                <w:left w:val="none" w:sz="0" w:space="0" w:color="auto"/>
                <w:bottom w:val="none" w:sz="0" w:space="0" w:color="auto"/>
                <w:right w:val="none" w:sz="0" w:space="0" w:color="auto"/>
              </w:divBdr>
            </w:div>
          </w:divsChild>
        </w:div>
        <w:div w:id="1123957518">
          <w:marLeft w:val="0"/>
          <w:marRight w:val="0"/>
          <w:marTop w:val="0"/>
          <w:marBottom w:val="0"/>
          <w:divBdr>
            <w:top w:val="none" w:sz="0" w:space="0" w:color="auto"/>
            <w:left w:val="none" w:sz="0" w:space="0" w:color="auto"/>
            <w:bottom w:val="none" w:sz="0" w:space="0" w:color="auto"/>
            <w:right w:val="none" w:sz="0" w:space="0" w:color="auto"/>
          </w:divBdr>
          <w:divsChild>
            <w:div w:id="1256134175">
              <w:marLeft w:val="0"/>
              <w:marRight w:val="0"/>
              <w:marTop w:val="0"/>
              <w:marBottom w:val="0"/>
              <w:divBdr>
                <w:top w:val="none" w:sz="0" w:space="0" w:color="auto"/>
                <w:left w:val="none" w:sz="0" w:space="0" w:color="auto"/>
                <w:bottom w:val="none" w:sz="0" w:space="0" w:color="auto"/>
                <w:right w:val="none" w:sz="0" w:space="0" w:color="auto"/>
              </w:divBdr>
            </w:div>
          </w:divsChild>
        </w:div>
        <w:div w:id="1356346782">
          <w:marLeft w:val="0"/>
          <w:marRight w:val="0"/>
          <w:marTop w:val="0"/>
          <w:marBottom w:val="0"/>
          <w:divBdr>
            <w:top w:val="none" w:sz="0" w:space="0" w:color="auto"/>
            <w:left w:val="none" w:sz="0" w:space="0" w:color="auto"/>
            <w:bottom w:val="none" w:sz="0" w:space="0" w:color="auto"/>
            <w:right w:val="none" w:sz="0" w:space="0" w:color="auto"/>
          </w:divBdr>
          <w:divsChild>
            <w:div w:id="13982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7486">
      <w:bodyDiv w:val="1"/>
      <w:marLeft w:val="0"/>
      <w:marRight w:val="0"/>
      <w:marTop w:val="0"/>
      <w:marBottom w:val="0"/>
      <w:divBdr>
        <w:top w:val="none" w:sz="0" w:space="0" w:color="auto"/>
        <w:left w:val="none" w:sz="0" w:space="0" w:color="auto"/>
        <w:bottom w:val="none" w:sz="0" w:space="0" w:color="auto"/>
        <w:right w:val="none" w:sz="0" w:space="0" w:color="auto"/>
      </w:divBdr>
    </w:div>
    <w:div w:id="625357484">
      <w:bodyDiv w:val="1"/>
      <w:marLeft w:val="0"/>
      <w:marRight w:val="0"/>
      <w:marTop w:val="0"/>
      <w:marBottom w:val="0"/>
      <w:divBdr>
        <w:top w:val="none" w:sz="0" w:space="0" w:color="auto"/>
        <w:left w:val="none" w:sz="0" w:space="0" w:color="auto"/>
        <w:bottom w:val="none" w:sz="0" w:space="0" w:color="auto"/>
        <w:right w:val="none" w:sz="0" w:space="0" w:color="auto"/>
      </w:divBdr>
      <w:divsChild>
        <w:div w:id="946540854">
          <w:marLeft w:val="0"/>
          <w:marRight w:val="0"/>
          <w:marTop w:val="0"/>
          <w:marBottom w:val="0"/>
          <w:divBdr>
            <w:top w:val="none" w:sz="0" w:space="0" w:color="auto"/>
            <w:left w:val="none" w:sz="0" w:space="0" w:color="auto"/>
            <w:bottom w:val="none" w:sz="0" w:space="0" w:color="auto"/>
            <w:right w:val="none" w:sz="0" w:space="0" w:color="auto"/>
          </w:divBdr>
          <w:divsChild>
            <w:div w:id="1534270270">
              <w:marLeft w:val="0"/>
              <w:marRight w:val="0"/>
              <w:marTop w:val="0"/>
              <w:marBottom w:val="0"/>
              <w:divBdr>
                <w:top w:val="none" w:sz="0" w:space="0" w:color="auto"/>
                <w:left w:val="none" w:sz="0" w:space="0" w:color="auto"/>
                <w:bottom w:val="none" w:sz="0" w:space="0" w:color="auto"/>
                <w:right w:val="none" w:sz="0" w:space="0" w:color="auto"/>
              </w:divBdr>
            </w:div>
          </w:divsChild>
        </w:div>
        <w:div w:id="58330186">
          <w:marLeft w:val="0"/>
          <w:marRight w:val="0"/>
          <w:marTop w:val="0"/>
          <w:marBottom w:val="0"/>
          <w:divBdr>
            <w:top w:val="none" w:sz="0" w:space="0" w:color="auto"/>
            <w:left w:val="none" w:sz="0" w:space="0" w:color="auto"/>
            <w:bottom w:val="none" w:sz="0" w:space="0" w:color="auto"/>
            <w:right w:val="none" w:sz="0" w:space="0" w:color="auto"/>
          </w:divBdr>
          <w:divsChild>
            <w:div w:id="458229797">
              <w:marLeft w:val="0"/>
              <w:marRight w:val="0"/>
              <w:marTop w:val="0"/>
              <w:marBottom w:val="0"/>
              <w:divBdr>
                <w:top w:val="none" w:sz="0" w:space="0" w:color="auto"/>
                <w:left w:val="none" w:sz="0" w:space="0" w:color="auto"/>
                <w:bottom w:val="none" w:sz="0" w:space="0" w:color="auto"/>
                <w:right w:val="none" w:sz="0" w:space="0" w:color="auto"/>
              </w:divBdr>
            </w:div>
          </w:divsChild>
        </w:div>
        <w:div w:id="871381023">
          <w:marLeft w:val="0"/>
          <w:marRight w:val="0"/>
          <w:marTop w:val="0"/>
          <w:marBottom w:val="0"/>
          <w:divBdr>
            <w:top w:val="none" w:sz="0" w:space="0" w:color="auto"/>
            <w:left w:val="none" w:sz="0" w:space="0" w:color="auto"/>
            <w:bottom w:val="none" w:sz="0" w:space="0" w:color="auto"/>
            <w:right w:val="none" w:sz="0" w:space="0" w:color="auto"/>
          </w:divBdr>
          <w:divsChild>
            <w:div w:id="12463355">
              <w:marLeft w:val="0"/>
              <w:marRight w:val="0"/>
              <w:marTop w:val="0"/>
              <w:marBottom w:val="0"/>
              <w:divBdr>
                <w:top w:val="none" w:sz="0" w:space="0" w:color="auto"/>
                <w:left w:val="none" w:sz="0" w:space="0" w:color="auto"/>
                <w:bottom w:val="none" w:sz="0" w:space="0" w:color="auto"/>
                <w:right w:val="none" w:sz="0" w:space="0" w:color="auto"/>
              </w:divBdr>
            </w:div>
          </w:divsChild>
        </w:div>
        <w:div w:id="1236747362">
          <w:marLeft w:val="0"/>
          <w:marRight w:val="0"/>
          <w:marTop w:val="0"/>
          <w:marBottom w:val="0"/>
          <w:divBdr>
            <w:top w:val="none" w:sz="0" w:space="0" w:color="auto"/>
            <w:left w:val="none" w:sz="0" w:space="0" w:color="auto"/>
            <w:bottom w:val="none" w:sz="0" w:space="0" w:color="auto"/>
            <w:right w:val="none" w:sz="0" w:space="0" w:color="auto"/>
          </w:divBdr>
          <w:divsChild>
            <w:div w:id="1582641354">
              <w:marLeft w:val="0"/>
              <w:marRight w:val="0"/>
              <w:marTop w:val="0"/>
              <w:marBottom w:val="0"/>
              <w:divBdr>
                <w:top w:val="none" w:sz="0" w:space="0" w:color="auto"/>
                <w:left w:val="none" w:sz="0" w:space="0" w:color="auto"/>
                <w:bottom w:val="none" w:sz="0" w:space="0" w:color="auto"/>
                <w:right w:val="none" w:sz="0" w:space="0" w:color="auto"/>
              </w:divBdr>
            </w:div>
          </w:divsChild>
        </w:div>
        <w:div w:id="1628967561">
          <w:marLeft w:val="0"/>
          <w:marRight w:val="0"/>
          <w:marTop w:val="0"/>
          <w:marBottom w:val="0"/>
          <w:divBdr>
            <w:top w:val="none" w:sz="0" w:space="0" w:color="auto"/>
            <w:left w:val="none" w:sz="0" w:space="0" w:color="auto"/>
            <w:bottom w:val="none" w:sz="0" w:space="0" w:color="auto"/>
            <w:right w:val="none" w:sz="0" w:space="0" w:color="auto"/>
          </w:divBdr>
          <w:divsChild>
            <w:div w:id="7484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5544">
      <w:bodyDiv w:val="1"/>
      <w:marLeft w:val="0"/>
      <w:marRight w:val="0"/>
      <w:marTop w:val="0"/>
      <w:marBottom w:val="0"/>
      <w:divBdr>
        <w:top w:val="none" w:sz="0" w:space="0" w:color="auto"/>
        <w:left w:val="none" w:sz="0" w:space="0" w:color="auto"/>
        <w:bottom w:val="none" w:sz="0" w:space="0" w:color="auto"/>
        <w:right w:val="none" w:sz="0" w:space="0" w:color="auto"/>
      </w:divBdr>
    </w:div>
    <w:div w:id="939024485">
      <w:bodyDiv w:val="1"/>
      <w:marLeft w:val="0"/>
      <w:marRight w:val="0"/>
      <w:marTop w:val="0"/>
      <w:marBottom w:val="0"/>
      <w:divBdr>
        <w:top w:val="none" w:sz="0" w:space="0" w:color="auto"/>
        <w:left w:val="none" w:sz="0" w:space="0" w:color="auto"/>
        <w:bottom w:val="none" w:sz="0" w:space="0" w:color="auto"/>
        <w:right w:val="none" w:sz="0" w:space="0" w:color="auto"/>
      </w:divBdr>
      <w:divsChild>
        <w:div w:id="93675455">
          <w:marLeft w:val="0"/>
          <w:marRight w:val="0"/>
          <w:marTop w:val="0"/>
          <w:marBottom w:val="0"/>
          <w:divBdr>
            <w:top w:val="none" w:sz="0" w:space="0" w:color="auto"/>
            <w:left w:val="none" w:sz="0" w:space="0" w:color="auto"/>
            <w:bottom w:val="none" w:sz="0" w:space="0" w:color="auto"/>
            <w:right w:val="none" w:sz="0" w:space="0" w:color="auto"/>
          </w:divBdr>
          <w:divsChild>
            <w:div w:id="16153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7686">
      <w:bodyDiv w:val="1"/>
      <w:marLeft w:val="0"/>
      <w:marRight w:val="0"/>
      <w:marTop w:val="0"/>
      <w:marBottom w:val="0"/>
      <w:divBdr>
        <w:top w:val="none" w:sz="0" w:space="0" w:color="auto"/>
        <w:left w:val="none" w:sz="0" w:space="0" w:color="auto"/>
        <w:bottom w:val="none" w:sz="0" w:space="0" w:color="auto"/>
        <w:right w:val="none" w:sz="0" w:space="0" w:color="auto"/>
      </w:divBdr>
    </w:div>
    <w:div w:id="1401172358">
      <w:bodyDiv w:val="1"/>
      <w:marLeft w:val="0"/>
      <w:marRight w:val="0"/>
      <w:marTop w:val="0"/>
      <w:marBottom w:val="0"/>
      <w:divBdr>
        <w:top w:val="none" w:sz="0" w:space="0" w:color="auto"/>
        <w:left w:val="none" w:sz="0" w:space="0" w:color="auto"/>
        <w:bottom w:val="none" w:sz="0" w:space="0" w:color="auto"/>
        <w:right w:val="none" w:sz="0" w:space="0" w:color="auto"/>
      </w:divBdr>
    </w:div>
    <w:div w:id="1768042004">
      <w:bodyDiv w:val="1"/>
      <w:marLeft w:val="0"/>
      <w:marRight w:val="0"/>
      <w:marTop w:val="0"/>
      <w:marBottom w:val="0"/>
      <w:divBdr>
        <w:top w:val="none" w:sz="0" w:space="0" w:color="auto"/>
        <w:left w:val="none" w:sz="0" w:space="0" w:color="auto"/>
        <w:bottom w:val="none" w:sz="0" w:space="0" w:color="auto"/>
        <w:right w:val="none" w:sz="0" w:space="0" w:color="auto"/>
      </w:divBdr>
      <w:divsChild>
        <w:div w:id="349989511">
          <w:marLeft w:val="0"/>
          <w:marRight w:val="0"/>
          <w:marTop w:val="0"/>
          <w:marBottom w:val="0"/>
          <w:divBdr>
            <w:top w:val="none" w:sz="0" w:space="0" w:color="auto"/>
            <w:left w:val="none" w:sz="0" w:space="0" w:color="auto"/>
            <w:bottom w:val="none" w:sz="0" w:space="0" w:color="auto"/>
            <w:right w:val="none" w:sz="0" w:space="0" w:color="auto"/>
          </w:divBdr>
          <w:divsChild>
            <w:div w:id="5106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80441">
      <w:bodyDiv w:val="1"/>
      <w:marLeft w:val="0"/>
      <w:marRight w:val="0"/>
      <w:marTop w:val="0"/>
      <w:marBottom w:val="0"/>
      <w:divBdr>
        <w:top w:val="none" w:sz="0" w:space="0" w:color="auto"/>
        <w:left w:val="none" w:sz="0" w:space="0" w:color="auto"/>
        <w:bottom w:val="none" w:sz="0" w:space="0" w:color="auto"/>
        <w:right w:val="none" w:sz="0" w:space="0" w:color="auto"/>
      </w:divBdr>
    </w:div>
    <w:div w:id="1788313407">
      <w:bodyDiv w:val="1"/>
      <w:marLeft w:val="0"/>
      <w:marRight w:val="0"/>
      <w:marTop w:val="0"/>
      <w:marBottom w:val="0"/>
      <w:divBdr>
        <w:top w:val="none" w:sz="0" w:space="0" w:color="auto"/>
        <w:left w:val="none" w:sz="0" w:space="0" w:color="auto"/>
        <w:bottom w:val="none" w:sz="0" w:space="0" w:color="auto"/>
        <w:right w:val="none" w:sz="0" w:space="0" w:color="auto"/>
      </w:divBdr>
      <w:divsChild>
        <w:div w:id="1973898391">
          <w:marLeft w:val="0"/>
          <w:marRight w:val="0"/>
          <w:marTop w:val="0"/>
          <w:marBottom w:val="0"/>
          <w:divBdr>
            <w:top w:val="none" w:sz="0" w:space="0" w:color="auto"/>
            <w:left w:val="none" w:sz="0" w:space="0" w:color="auto"/>
            <w:bottom w:val="none" w:sz="0" w:space="0" w:color="auto"/>
            <w:right w:val="none" w:sz="0" w:space="0" w:color="auto"/>
          </w:divBdr>
          <w:divsChild>
            <w:div w:id="18451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1356">
      <w:bodyDiv w:val="1"/>
      <w:marLeft w:val="0"/>
      <w:marRight w:val="0"/>
      <w:marTop w:val="0"/>
      <w:marBottom w:val="0"/>
      <w:divBdr>
        <w:top w:val="none" w:sz="0" w:space="0" w:color="auto"/>
        <w:left w:val="none" w:sz="0" w:space="0" w:color="auto"/>
        <w:bottom w:val="none" w:sz="0" w:space="0" w:color="auto"/>
        <w:right w:val="none" w:sz="0" w:space="0" w:color="auto"/>
      </w:divBdr>
      <w:divsChild>
        <w:div w:id="306402393">
          <w:marLeft w:val="0"/>
          <w:marRight w:val="0"/>
          <w:marTop w:val="0"/>
          <w:marBottom w:val="0"/>
          <w:divBdr>
            <w:top w:val="none" w:sz="0" w:space="0" w:color="auto"/>
            <w:left w:val="none" w:sz="0" w:space="0" w:color="auto"/>
            <w:bottom w:val="none" w:sz="0" w:space="0" w:color="auto"/>
            <w:right w:val="none" w:sz="0" w:space="0" w:color="auto"/>
          </w:divBdr>
          <w:divsChild>
            <w:div w:id="11387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5CD2D96F0A59419C02BB04737D0E0B"/>
        <w:category>
          <w:name w:val="General"/>
          <w:gallery w:val="placeholder"/>
        </w:category>
        <w:types>
          <w:type w:val="bbPlcHdr"/>
        </w:types>
        <w:behaviors>
          <w:behavior w:val="content"/>
        </w:behaviors>
        <w:guid w:val="{37D3E5A1-5088-8F47-8188-1BE90E041BE3}"/>
      </w:docPartPr>
      <w:docPartBody>
        <w:p w:rsidR="00AB7BC2" w:rsidRDefault="00690324" w:rsidP="00690324">
          <w:pPr>
            <w:pStyle w:val="CE5CD2D96F0A59419C02BB04737D0E0B"/>
          </w:pPr>
          <w:r w:rsidRPr="003F48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24"/>
    <w:rsid w:val="004E0153"/>
    <w:rsid w:val="005F61D7"/>
    <w:rsid w:val="00690324"/>
    <w:rsid w:val="006A4E93"/>
    <w:rsid w:val="007366C5"/>
    <w:rsid w:val="008D341E"/>
    <w:rsid w:val="00AB7BC2"/>
    <w:rsid w:val="00D25D8A"/>
    <w:rsid w:val="00F0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324"/>
    <w:rPr>
      <w:color w:val="666666"/>
    </w:rPr>
  </w:style>
  <w:style w:type="paragraph" w:customStyle="1" w:styleId="CE5CD2D96F0A59419C02BB04737D0E0B">
    <w:name w:val="CE5CD2D96F0A59419C02BB04737D0E0B"/>
    <w:rsid w:val="00690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5253</Words>
  <Characters>29945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8</cp:revision>
  <dcterms:created xsi:type="dcterms:W3CDTF">2026-03-06T08:19:00Z</dcterms:created>
  <dcterms:modified xsi:type="dcterms:W3CDTF">2026-03-10T11:20:00Z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45b4b9b9-e0c6-4d7e-92a5-15291381a63f</vt:lpwstr>
  </property>
</Properties>
</file>