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A37" w:rsidRDefault="009D638E">
      <w:pPr>
        <w:widowControl w:val="0"/>
        <w:pBdr>
          <w:top w:val="nil"/>
          <w:left w:val="nil"/>
          <w:bottom w:val="nil"/>
          <w:right w:val="nil"/>
          <w:between w:val="nil"/>
        </w:pBdr>
        <w:spacing w:before="41"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ESG VS FINANCIAL PERFORMANCE:TO EXAMINE WHETHER COMPANIES WITH HIGH ESG SCORES ALSO DEMONSTRATE STRONGER FINANCIAL PERFORMANCE — MEASURED USING PROFITABILITY, EFFICIENCY, OR VALUATION RATIOS.</w:t>
      </w:r>
    </w:p>
    <w:p w:rsidR="00AF0A37" w:rsidRDefault="009D638E">
      <w:pPr>
        <w:widowControl w:val="0"/>
        <w:pBdr>
          <w:top w:val="nil"/>
          <w:left w:val="nil"/>
          <w:bottom w:val="nil"/>
          <w:right w:val="nil"/>
          <w:between w:val="nil"/>
        </w:pBdr>
        <w:spacing w:before="1263" w:line="229" w:lineRule="auto"/>
        <w:jc w:val="both"/>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bCs/>
          <w:color w:val="000000"/>
          <w:sz w:val="24"/>
          <w:szCs w:val="24"/>
        </w:rPr>
        <w:t>Abstract</w:t>
      </w:r>
      <w:r>
        <w:rPr>
          <w:rFonts w:ascii="Times New Roman" w:eastAsia="Times New Roman" w:hAnsi="Times New Roman" w:cs="Times New Roman"/>
          <w:color w:val="000000"/>
          <w:sz w:val="20"/>
          <w:szCs w:val="20"/>
        </w:rPr>
        <w:t>:</w:t>
      </w:r>
      <w:r>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4"/>
          <w:szCs w:val="24"/>
        </w:rPr>
        <w:t xml:space="preserve">The study examines the relationship between Environmental, Social, and Governance (ESG) performance and the financial performance of JSW Infrastructure Ltd., a major player in India’s port and logistics sector, at a time when sustainability considerations </w:t>
      </w:r>
      <w:r>
        <w:rPr>
          <w:rFonts w:ascii="Times New Roman" w:eastAsia="Times New Roman" w:hAnsi="Times New Roman" w:cs="Times New Roman"/>
          <w:color w:val="000000"/>
          <w:sz w:val="24"/>
          <w:szCs w:val="24"/>
        </w:rPr>
        <w:t>are increasingly influencing corporate strategy, investor preferences, and regulatory frameworks. Using secondary data from Sustainalytics and the company’s annual reports, the research evaluates financial performance through profitability, efficiency, liq</w:t>
      </w:r>
      <w:r>
        <w:rPr>
          <w:rFonts w:ascii="Times New Roman" w:eastAsia="Times New Roman" w:hAnsi="Times New Roman" w:cs="Times New Roman"/>
          <w:color w:val="000000"/>
          <w:sz w:val="24"/>
          <w:szCs w:val="24"/>
        </w:rPr>
        <w:t>uidity, and valuation ratios, supported by comparative and common-size financial statements to track structural changes over five years. Correlation and regression analyses are employed to determine whether ESG risk scores—where lower scores indicate stron</w:t>
      </w:r>
      <w:r>
        <w:rPr>
          <w:rFonts w:ascii="Times New Roman" w:eastAsia="Times New Roman" w:hAnsi="Times New Roman" w:cs="Times New Roman"/>
          <w:color w:val="000000"/>
          <w:sz w:val="24"/>
          <w:szCs w:val="24"/>
        </w:rPr>
        <w:t>ger ESG performance—are associated with variations in net profit. The findings show fluctuating profitability and efficiency ratios but an overall improving financial trajectory, alongside expanding asset bases and strengthening liquidity. Statistical resu</w:t>
      </w:r>
      <w:r>
        <w:rPr>
          <w:rFonts w:ascii="Times New Roman" w:eastAsia="Times New Roman" w:hAnsi="Times New Roman" w:cs="Times New Roman"/>
          <w:color w:val="000000"/>
          <w:sz w:val="24"/>
          <w:szCs w:val="24"/>
        </w:rPr>
        <w:t>lts indicate a negative relationship between ESG risk and net profit, suggesting that stronger ESG performance aligns with higher profitability for the company. The study concludes that integrating ESG practices can enhance long-term financial value in cap</w:t>
      </w:r>
      <w:r>
        <w:rPr>
          <w:rFonts w:ascii="Times New Roman" w:eastAsia="Times New Roman" w:hAnsi="Times New Roman" w:cs="Times New Roman"/>
          <w:color w:val="000000"/>
          <w:sz w:val="24"/>
          <w:szCs w:val="24"/>
        </w:rPr>
        <w:t>ital-intensive sectors such as infrastructure, while also offering insights for corporate managers, investors, and policymakers seeking a balance between sustainability commitments and financial outcomes in the Indian context.</w:t>
      </w:r>
    </w:p>
    <w:p w:rsidR="00AF0A37" w:rsidRDefault="00AF0A37">
      <w:pPr>
        <w:widowControl w:val="0"/>
        <w:pBdr>
          <w:top w:val="nil"/>
          <w:left w:val="nil"/>
          <w:bottom w:val="nil"/>
          <w:right w:val="nil"/>
          <w:between w:val="nil"/>
        </w:pBdr>
        <w:spacing w:before="421" w:line="229" w:lineRule="auto"/>
        <w:ind w:left="116" w:right="324" w:firstLine="4"/>
        <w:rPr>
          <w:rFonts w:ascii="Times New Roman" w:eastAsia="Times New Roman" w:hAnsi="Times New Roman" w:cs="Times New Roman"/>
          <w:sz w:val="24"/>
          <w:szCs w:val="24"/>
        </w:rPr>
      </w:pPr>
    </w:p>
    <w:p w:rsidR="00AF0A37" w:rsidRDefault="009D638E">
      <w:pPr>
        <w:widowControl w:val="0"/>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INTRODUCTION </w:t>
      </w:r>
    </w:p>
    <w:p w:rsidR="00AF0A37" w:rsidRDefault="00AF0A37">
      <w:pPr>
        <w:widowControl w:val="0"/>
        <w:pBdr>
          <w:top w:val="nil"/>
          <w:left w:val="nil"/>
          <w:bottom w:val="nil"/>
          <w:right w:val="nil"/>
          <w:between w:val="nil"/>
        </w:pBdr>
        <w:spacing w:line="240" w:lineRule="auto"/>
        <w:ind w:left="117"/>
        <w:jc w:val="both"/>
        <w:rPr>
          <w:rFonts w:ascii="Times New Roman" w:eastAsia="Times New Roman" w:hAnsi="Times New Roman" w:cs="Times New Roman"/>
          <w:b/>
          <w:bCs/>
          <w:sz w:val="24"/>
          <w:szCs w:val="24"/>
        </w:rPr>
      </w:pPr>
    </w:p>
    <w:p w:rsidR="00AF0A37" w:rsidRDefault="009D638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recent years, the global business landscape has undergone a major shift as companies are increasingly evaluated not only on traditional financial metrics but also on their commitment to sustainability and responsible governance. Environmental, Social, a</w:t>
      </w:r>
      <w:r>
        <w:rPr>
          <w:rFonts w:ascii="Times New Roman" w:eastAsia="Times New Roman" w:hAnsi="Times New Roman" w:cs="Times New Roman"/>
          <w:sz w:val="24"/>
          <w:szCs w:val="24"/>
        </w:rPr>
        <w:t>nd Governance (ESG) performance has emerged as a critical framework for understanding how responsibly a company operates and how effectively it manages long-term risks. With rising concerns over climate change, ethical business conduct, and social welfare,</w:t>
      </w:r>
      <w:r>
        <w:rPr>
          <w:rFonts w:ascii="Times New Roman" w:eastAsia="Times New Roman" w:hAnsi="Times New Roman" w:cs="Times New Roman"/>
          <w:sz w:val="24"/>
          <w:szCs w:val="24"/>
        </w:rPr>
        <w:t xml:space="preserve"> stakeholders such as investors, regulators, and consumers now place significant value on ESG indicators when assessing a company’s overall health and future potential.</w:t>
      </w:r>
    </w:p>
    <w:p w:rsidR="00AF0A37" w:rsidRDefault="00AF0A37">
      <w:pPr>
        <w:jc w:val="both"/>
        <w:rPr>
          <w:rFonts w:ascii="Times New Roman" w:eastAsia="Times New Roman" w:hAnsi="Times New Roman" w:cs="Times New Roman"/>
          <w:sz w:val="24"/>
          <w:szCs w:val="24"/>
        </w:rPr>
      </w:pPr>
    </w:p>
    <w:p w:rsidR="00AF0A37" w:rsidRDefault="009D638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growing emphasis on ESG has sparked worldwide academic and corporate interest in </w:t>
      </w:r>
      <w:r>
        <w:rPr>
          <w:rFonts w:ascii="Times New Roman" w:eastAsia="Times New Roman" w:hAnsi="Times New Roman" w:cs="Times New Roman"/>
          <w:sz w:val="24"/>
          <w:szCs w:val="24"/>
        </w:rPr>
        <w:t>understanding whether strong ESG performance translates into superior financial outcomes. While many studies suggest that sustainable practices improve profitability, reduce operational risks, and enhance reputation, others argue that ESG initiatives may i</w:t>
      </w:r>
      <w:r>
        <w:rPr>
          <w:rFonts w:ascii="Times New Roman" w:eastAsia="Times New Roman" w:hAnsi="Times New Roman" w:cs="Times New Roman"/>
          <w:sz w:val="24"/>
          <w:szCs w:val="24"/>
        </w:rPr>
        <w:t xml:space="preserve">ncrease short-term costs or fail to produce immediate financial benefits. This ongoing debate highlights the need for company-specific research, especially within emerging markets like India, where sustainability disclosure </w:t>
      </w:r>
      <w:r>
        <w:rPr>
          <w:rFonts w:ascii="Times New Roman" w:eastAsia="Times New Roman" w:hAnsi="Times New Roman" w:cs="Times New Roman"/>
          <w:sz w:val="24"/>
          <w:szCs w:val="24"/>
        </w:rPr>
        <w:lastRenderedPageBreak/>
        <w:t>frameworks are still evolving an</w:t>
      </w:r>
      <w:r>
        <w:rPr>
          <w:rFonts w:ascii="Times New Roman" w:eastAsia="Times New Roman" w:hAnsi="Times New Roman" w:cs="Times New Roman"/>
          <w:sz w:val="24"/>
          <w:szCs w:val="24"/>
        </w:rPr>
        <w:t>d industries operate under unique economic and regulatory pressures.</w:t>
      </w:r>
    </w:p>
    <w:p w:rsidR="00AF0A37" w:rsidRDefault="00AF0A37">
      <w:pPr>
        <w:jc w:val="both"/>
        <w:rPr>
          <w:rFonts w:ascii="Times New Roman" w:eastAsia="Times New Roman" w:hAnsi="Times New Roman" w:cs="Times New Roman"/>
          <w:sz w:val="24"/>
          <w:szCs w:val="24"/>
        </w:rPr>
      </w:pPr>
    </w:p>
    <w:p w:rsidR="00AF0A37" w:rsidRDefault="009D638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context, JSW Infrastructure Ltd., one of India’s rapidly growing port and logistics companies, presents an ideal case for exploring the ESG–financial performance relationship. Op</w:t>
      </w:r>
      <w:r>
        <w:rPr>
          <w:rFonts w:ascii="Times New Roman" w:eastAsia="Times New Roman" w:hAnsi="Times New Roman" w:cs="Times New Roman"/>
          <w:sz w:val="24"/>
          <w:szCs w:val="24"/>
        </w:rPr>
        <w:t>erating in a sector that is both capital-intensive and environmentally sensitive, the company faces the dual challenge of achieving economic growth while adhering to sustainability expectations. This study examines whether variations in JSW Infrastructure’</w:t>
      </w:r>
      <w:r>
        <w:rPr>
          <w:rFonts w:ascii="Times New Roman" w:eastAsia="Times New Roman" w:hAnsi="Times New Roman" w:cs="Times New Roman"/>
          <w:sz w:val="24"/>
          <w:szCs w:val="24"/>
        </w:rPr>
        <w:t>s ESG risk scores are associated with changes in financial performance, using ratio analysis, comparative financial statements, and statistical tools such as correlation and regression. The research provides valuable insights into whether responsible busin</w:t>
      </w:r>
      <w:r>
        <w:rPr>
          <w:rFonts w:ascii="Times New Roman" w:eastAsia="Times New Roman" w:hAnsi="Times New Roman" w:cs="Times New Roman"/>
          <w:sz w:val="24"/>
          <w:szCs w:val="24"/>
        </w:rPr>
        <w:t>ess practices can drive financial value in India’s infrastructure sector and offers guidance to investors, policymakers, and corporate leaders navigating the shift toward sustainability-driven performance evaluation.</w:t>
      </w:r>
    </w:p>
    <w:p w:rsidR="00AF0A37" w:rsidRDefault="00AF0A37">
      <w:pPr>
        <w:widowControl w:val="0"/>
        <w:pBdr>
          <w:top w:val="nil"/>
          <w:left w:val="nil"/>
          <w:bottom w:val="nil"/>
          <w:right w:val="nil"/>
          <w:between w:val="nil"/>
        </w:pBdr>
        <w:spacing w:before="6"/>
        <w:ind w:left="116" w:right="4" w:firstLine="720"/>
        <w:jc w:val="both"/>
        <w:rPr>
          <w:rFonts w:ascii="Times New Roman" w:eastAsia="Times New Roman" w:hAnsi="Times New Roman" w:cs="Times New Roman"/>
          <w:sz w:val="24"/>
          <w:szCs w:val="24"/>
        </w:rPr>
      </w:pP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LITERATURE REVIEW </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Financial performance shortfall, ESG controversies, and ESG performance: Evidence from firms around the world</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DasGupta, 2022</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research investigates how firms react to financial performance shortfalls by improving their ESG practices as a means to pres</w:t>
      </w:r>
      <w:r>
        <w:rPr>
          <w:rFonts w:ascii="Times New Roman" w:eastAsia="Times New Roman" w:hAnsi="Times New Roman" w:cs="Times New Roman"/>
          <w:color w:val="000000"/>
          <w:sz w:val="24"/>
          <w:szCs w:val="24"/>
        </w:rPr>
        <w:t>erve legitimacy. It also explores whether ESG controversies play a mediating role in shaping such responses. The study finds that declining financial performance motivates firms to enhance their ESG efforts. However, when companies face significant ESG con</w:t>
      </w:r>
      <w:r>
        <w:rPr>
          <w:rFonts w:ascii="Times New Roman" w:eastAsia="Times New Roman" w:hAnsi="Times New Roman" w:cs="Times New Roman"/>
          <w:color w:val="000000"/>
          <w:sz w:val="24"/>
          <w:szCs w:val="24"/>
        </w:rPr>
        <w:t>troversies, their ability to engage in strong ESG initiatives weakens. Even so, controversies partially mediate the relationship between financial shortfalls and ESG performance, indicating that they indirectly influence firms’ sustainability strategies.</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z w:val="24"/>
          <w:szCs w:val="24"/>
        </w:rPr>
        <w:t xml:space="preserve">SG factors and corporate financial performance </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Ghassan H. Mardini</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study examines how environmental, social, and governance (ESG) dimensions influence corporate financial performance (CFP) across 7,081 non-financial firms from 35 countries between 20</w:t>
      </w:r>
      <w:r>
        <w:rPr>
          <w:rFonts w:ascii="Times New Roman" w:eastAsia="Times New Roman" w:hAnsi="Times New Roman" w:cs="Times New Roman"/>
          <w:color w:val="000000"/>
          <w:sz w:val="24"/>
          <w:szCs w:val="24"/>
        </w:rPr>
        <w:t>12 and 2020. The analysis reveals that ESG factors collectively strengthen both market-based (Tobin’s Q) and accounting-based (ROA and ROE) performance indicators. Firms with robust environmental and governance practices tend to improve market valuation, w</w:t>
      </w:r>
      <w:r>
        <w:rPr>
          <w:rFonts w:ascii="Times New Roman" w:eastAsia="Times New Roman" w:hAnsi="Times New Roman" w:cs="Times New Roman"/>
          <w:color w:val="000000"/>
          <w:sz w:val="24"/>
          <w:szCs w:val="24"/>
        </w:rPr>
        <w:t xml:space="preserve">hile the social component shows a negative relationship with performance, suggesting possible cost implications and reputational effects. The research contributes by offering broad empirical </w:t>
      </w:r>
      <w:r>
        <w:rPr>
          <w:rFonts w:ascii="Times New Roman" w:eastAsia="Times New Roman" w:hAnsi="Times New Roman" w:cs="Times New Roman"/>
          <w:color w:val="000000"/>
          <w:sz w:val="24"/>
          <w:szCs w:val="24"/>
        </w:rPr>
        <w:lastRenderedPageBreak/>
        <w:t>insights into the independent and combined effects of ESG dimensi</w:t>
      </w:r>
      <w:r>
        <w:rPr>
          <w:rFonts w:ascii="Times New Roman" w:eastAsia="Times New Roman" w:hAnsi="Times New Roman" w:cs="Times New Roman"/>
          <w:color w:val="000000"/>
          <w:sz w:val="24"/>
          <w:szCs w:val="24"/>
        </w:rPr>
        <w:t>ons on financial outcomes globally.</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ESG risk and financial performance of the Indian financial firms</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Mohit Saini, Barkha Dhingra, Mahender Yadav </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stakeholder theory, this study evaluates the relationship between ESG risk levels and financial performance for 57 Indian financial firms in the year 2021. Using data from Prowess IQ and Sustainalytics, and employing OLS regression, the results in</w:t>
      </w:r>
      <w:r>
        <w:rPr>
          <w:rFonts w:ascii="Times New Roman" w:eastAsia="Times New Roman" w:hAnsi="Times New Roman" w:cs="Times New Roman"/>
          <w:color w:val="000000"/>
          <w:sz w:val="24"/>
          <w:szCs w:val="24"/>
        </w:rPr>
        <w:t>dicate a significant negative correlation between ESG risk and firm profitability. Companies with higher ESG risks show weaker financial returns. The findings highlight the need for financial institutions to actively reduce ESG risks to sustain profitabili</w:t>
      </w:r>
      <w:r>
        <w:rPr>
          <w:rFonts w:ascii="Times New Roman" w:eastAsia="Times New Roman" w:hAnsi="Times New Roman" w:cs="Times New Roman"/>
          <w:color w:val="000000"/>
          <w:sz w:val="24"/>
          <w:szCs w:val="24"/>
        </w:rPr>
        <w:t>ty and strengthen stakeholder confidence. This study bridges a crucial research gap by addressing ESG risk within India’s financial industry.</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Good for the planet, good for the wallet: The ESG impact on financial performance in India</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Amar Rao , Vishal Dagar</w:t>
      </w:r>
      <w:r>
        <w:rPr>
          <w:rFonts w:ascii="Times New Roman" w:eastAsia="Times New Roman" w:hAnsi="Times New Roman" w:cs="Times New Roman"/>
          <w:color w:val="000000"/>
          <w:sz w:val="24"/>
          <w:szCs w:val="24"/>
        </w:rPr>
        <w:t xml:space="preserve"> , Kazi Sohag , Leila Dagher , Tauhidul Islam Tanin </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assesses the relationship between ESG practices and financial performance among Nifty 50 companies in India from 2015 to 2022 using fixed-effects panel quantile regression. Results demonstrate</w:t>
      </w:r>
      <w:r>
        <w:rPr>
          <w:rFonts w:ascii="Times New Roman" w:eastAsia="Times New Roman" w:hAnsi="Times New Roman" w:cs="Times New Roman"/>
          <w:color w:val="000000"/>
          <w:sz w:val="24"/>
          <w:szCs w:val="24"/>
        </w:rPr>
        <w:t xml:space="preserve"> that ESG’s impact on profitability varies across the ROE distribution. The environmental and governance dimensions consistently exert a negative effect on ROE across most quantiles, while the social pillar shows weak or insignificant influence. These find</w:t>
      </w:r>
      <w:r>
        <w:rPr>
          <w:rFonts w:ascii="Times New Roman" w:eastAsia="Times New Roman" w:hAnsi="Times New Roman" w:cs="Times New Roman"/>
          <w:color w:val="000000"/>
          <w:sz w:val="24"/>
          <w:szCs w:val="24"/>
        </w:rPr>
        <w:t>ings underline the complex nature of ESG–performance dynamics and provide valuable implications for investors, corporate managers, and policymakers seeking to balance sustainability goals with financial outcomes.</w:t>
      </w:r>
    </w:p>
    <w:p w:rsidR="00AF0A37" w:rsidRDefault="00AF0A37">
      <w:pPr>
        <w:widowControl w:val="0"/>
        <w:pBdr>
          <w:top w:val="nil"/>
          <w:left w:val="nil"/>
          <w:bottom w:val="nil"/>
          <w:right w:val="nil"/>
          <w:between w:val="nil"/>
        </w:pBdr>
        <w:spacing w:before="286"/>
        <w:ind w:left="117"/>
        <w:jc w:val="both"/>
        <w:rPr>
          <w:rFonts w:ascii="Times New Roman" w:eastAsia="Times New Roman" w:hAnsi="Times New Roman" w:cs="Times New Roman"/>
          <w:color w:val="000000"/>
          <w:sz w:val="24"/>
          <w:szCs w:val="24"/>
        </w:rPr>
      </w:pP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The business value of ESG performance: the</w:t>
      </w:r>
      <w:r>
        <w:rPr>
          <w:rFonts w:ascii="Times New Roman" w:eastAsia="Times New Roman" w:hAnsi="Times New Roman" w:cs="Times New Roman"/>
          <w:b/>
          <w:bCs/>
          <w:color w:val="000000"/>
          <w:sz w:val="24"/>
          <w:szCs w:val="24"/>
        </w:rPr>
        <w:t xml:space="preserve"> Indian context </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Hemlata Chelawat &amp;Indra Vardhan Trivedi </w:t>
      </w:r>
    </w:p>
    <w:p w:rsidR="00AF0A37" w:rsidRDefault="009D638E">
      <w:pPr>
        <w:widowControl w:val="0"/>
        <w:pBdr>
          <w:top w:val="nil"/>
          <w:left w:val="nil"/>
          <w:bottom w:val="nil"/>
          <w:right w:val="nil"/>
          <w:between w:val="nil"/>
        </w:pBdr>
        <w:spacing w:before="286"/>
        <w:ind w:lef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paper explores the influence of ESG performance on corporate financial results in India, addressing a gap in research from emerging economies. Using panel regression models, the study finds th</w:t>
      </w:r>
      <w:r>
        <w:rPr>
          <w:rFonts w:ascii="Times New Roman" w:eastAsia="Times New Roman" w:hAnsi="Times New Roman" w:cs="Times New Roman"/>
          <w:color w:val="000000"/>
          <w:sz w:val="24"/>
          <w:szCs w:val="24"/>
        </w:rPr>
        <w:t>at companies demonstrating higher ESG performance experience improved financial outcomes. Enhanced sustainability practices appear to reduce business risks and strengthen profitability. The findings emphasize the growing importance of ESG integration for i</w:t>
      </w:r>
      <w:r>
        <w:rPr>
          <w:rFonts w:ascii="Times New Roman" w:eastAsia="Times New Roman" w:hAnsi="Times New Roman" w:cs="Times New Roman"/>
          <w:color w:val="000000"/>
          <w:sz w:val="24"/>
          <w:szCs w:val="24"/>
        </w:rPr>
        <w:t>nvestors, regulators, and management in developing markets such as India.</w:t>
      </w:r>
    </w:p>
    <w:p w:rsidR="00AF0A37" w:rsidRDefault="00AF0A37">
      <w:pPr>
        <w:widowControl w:val="0"/>
        <w:ind w:left="113" w:right="2"/>
        <w:rPr>
          <w:rFonts w:ascii="Times New Roman" w:eastAsia="Times New Roman" w:hAnsi="Times New Roman" w:cs="Times New Roman"/>
          <w:sz w:val="24"/>
          <w:szCs w:val="24"/>
        </w:rPr>
      </w:pPr>
    </w:p>
    <w:p w:rsidR="00AF0A37" w:rsidRDefault="009D638E">
      <w:pPr>
        <w:widowControl w:val="0"/>
        <w:ind w:left="113" w:right="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Impact of ESG score on financial performance of Indian firms: static and dynamic panel regression analysis</w:t>
      </w:r>
    </w:p>
    <w:p w:rsidR="00AF0A37" w:rsidRDefault="00AF0A37">
      <w:pPr>
        <w:widowControl w:val="0"/>
        <w:ind w:left="113" w:right="2"/>
        <w:rPr>
          <w:rFonts w:ascii="Times New Roman" w:eastAsia="Times New Roman" w:hAnsi="Times New Roman" w:cs="Times New Roman"/>
          <w:sz w:val="24"/>
          <w:szCs w:val="24"/>
        </w:rPr>
      </w:pPr>
    </w:p>
    <w:p w:rsidR="00AF0A37" w:rsidRDefault="009D638E">
      <w:pPr>
        <w:widowControl w:val="0"/>
        <w:ind w:left="113" w:righ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Rupamanjari Sinha Ray, Sandeep Goel </w:t>
      </w:r>
    </w:p>
    <w:p w:rsidR="00AF0A37" w:rsidRDefault="00AF0A37">
      <w:pPr>
        <w:widowControl w:val="0"/>
        <w:ind w:left="113" w:right="2"/>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investigates the influence of ESG scores on financial indicators among 48 Indian firms listed in the BSE-100 index between 2011 and 2019. Employing static and dynamic panel regression models, the analysis incorporates variables such as ROA, ROE,</w:t>
      </w:r>
      <w:r>
        <w:rPr>
          <w:rFonts w:ascii="Times New Roman" w:eastAsia="Times New Roman" w:hAnsi="Times New Roman" w:cs="Times New Roman"/>
          <w:sz w:val="24"/>
          <w:szCs w:val="24"/>
        </w:rPr>
        <w:t xml:space="preserve"> firm size, market capitalization, Tobin’s Q, and share price. The findings indicate that ESG performance affects these financial variables, though often with a time lag. Importantly, a long-term positive association is observed between ESG disclosures and</w:t>
      </w:r>
      <w:r>
        <w:rPr>
          <w:rFonts w:ascii="Times New Roman" w:eastAsia="Times New Roman" w:hAnsi="Times New Roman" w:cs="Times New Roman"/>
          <w:sz w:val="24"/>
          <w:szCs w:val="24"/>
        </w:rPr>
        <w:t xml:space="preserve"> share price, suggesting that ESG serves as a forward-looking measure of firm value and risk management in developing economies.</w:t>
      </w:r>
    </w:p>
    <w:p w:rsidR="00AF0A37" w:rsidRDefault="00AF0A37">
      <w:pPr>
        <w:widowControl w:val="0"/>
        <w:ind w:left="113" w:right="2"/>
        <w:rPr>
          <w:rFonts w:ascii="Times New Roman" w:eastAsia="Times New Roman" w:hAnsi="Times New Roman" w:cs="Times New Roman"/>
          <w:b/>
          <w:bCs/>
          <w:sz w:val="24"/>
          <w:szCs w:val="24"/>
        </w:rPr>
      </w:pPr>
    </w:p>
    <w:p w:rsidR="00AF0A37" w:rsidRDefault="009D638E">
      <w:pPr>
        <w:widowControl w:val="0"/>
        <w:ind w:left="113" w:right="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ESG measures and financial performance of logistics companies </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Jitendra Nenavani, Asha Prasuna, S.N.V. Siva Kumar &amp; Alivelu K</w:t>
      </w:r>
      <w:r>
        <w:rPr>
          <w:rFonts w:ascii="Times New Roman" w:eastAsia="Times New Roman" w:hAnsi="Times New Roman" w:cs="Times New Roman"/>
          <w:sz w:val="24"/>
          <w:szCs w:val="24"/>
        </w:rPr>
        <w:t>asturi</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explores the link between ESG compliance and financial performance in the logistics industry, which plays a pivotal role in global trade. The study acknowledges the sector’s contribution to carbon emissions and sustainability challeng</w:t>
      </w:r>
      <w:r>
        <w:rPr>
          <w:rFonts w:ascii="Times New Roman" w:eastAsia="Times New Roman" w:hAnsi="Times New Roman" w:cs="Times New Roman"/>
          <w:sz w:val="24"/>
          <w:szCs w:val="24"/>
        </w:rPr>
        <w:t xml:space="preserve">es but also its ongoing transition towards greener technologies. Using panel data models, the study analyses how ESG investment affects profitability in logistics and supply chain firms. Findings indicate mixed results, highlighting that while ESG efforts </w:t>
      </w:r>
      <w:r>
        <w:rPr>
          <w:rFonts w:ascii="Times New Roman" w:eastAsia="Times New Roman" w:hAnsi="Times New Roman" w:cs="Times New Roman"/>
          <w:sz w:val="24"/>
          <w:szCs w:val="24"/>
        </w:rPr>
        <w:t>improve environmental responsibility, their immediate financial returns vary across firms. Managerial insights focus on balancing sustainability and profitability in a post-pandemic economy.</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Unveiling the financial effect of ESG disclosure on financial pe</w:t>
      </w:r>
      <w:r>
        <w:rPr>
          <w:rFonts w:ascii="Times New Roman" w:eastAsia="Times New Roman" w:hAnsi="Times New Roman" w:cs="Times New Roman"/>
          <w:sz w:val="24"/>
          <w:szCs w:val="24"/>
        </w:rPr>
        <w:t xml:space="preserve">rformance in India: climate-sensitive corporates’ perspective </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Santi Gopal Maji, Prachi Lohia </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examines how ESG disclosure influences firm performance, considering the moderating role of climate sensitivity across industries. The analysis reve</w:t>
      </w:r>
      <w:r>
        <w:rPr>
          <w:rFonts w:ascii="Times New Roman" w:eastAsia="Times New Roman" w:hAnsi="Times New Roman" w:cs="Times New Roman"/>
          <w:sz w:val="24"/>
          <w:szCs w:val="24"/>
        </w:rPr>
        <w:t xml:space="preserve">als that ESG disclosure positively affects financial outcomes, with governance showing the strongest influence. Moreover, the relationship between ESG disclosure and performance is moderated by industry type—firms in less climate-sensitive sectors benefit </w:t>
      </w:r>
      <w:r>
        <w:rPr>
          <w:rFonts w:ascii="Times New Roman" w:eastAsia="Times New Roman" w:hAnsi="Times New Roman" w:cs="Times New Roman"/>
          <w:sz w:val="24"/>
          <w:szCs w:val="24"/>
        </w:rPr>
        <w:t>more from ESG reporting. The results confirm the value-enhancing role of transparent ESG communication, particularly for industries with lower environmental exposure.</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 of ESG on financial performance: An Indian perspective</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Vidhi, Joseph Durai Sel</w:t>
      </w:r>
      <w:r>
        <w:rPr>
          <w:rFonts w:ascii="Times New Roman" w:eastAsia="Times New Roman" w:hAnsi="Times New Roman" w:cs="Times New Roman"/>
          <w:sz w:val="24"/>
          <w:szCs w:val="24"/>
        </w:rPr>
        <w:t xml:space="preserve">vam </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explores the relationship between ESG performance and financial results in Indian companies from a corporate viewpoint. By using ROA and Tobin’s Q as accounting-based and market-based indicators respectively, the study employs correlati</w:t>
      </w:r>
      <w:r>
        <w:rPr>
          <w:rFonts w:ascii="Times New Roman" w:eastAsia="Times New Roman" w:hAnsi="Times New Roman" w:cs="Times New Roman"/>
          <w:sz w:val="24"/>
          <w:szCs w:val="24"/>
        </w:rPr>
        <w:t>on and regression analyses to determine the linkages. Results confirm a positive connection between ESG initiatives and firm performance, underscoring how sustainable practices can enhance shareholder value. The findings encourage Indian companies to integ</w:t>
      </w:r>
      <w:r>
        <w:rPr>
          <w:rFonts w:ascii="Times New Roman" w:eastAsia="Times New Roman" w:hAnsi="Times New Roman" w:cs="Times New Roman"/>
          <w:sz w:val="24"/>
          <w:szCs w:val="24"/>
        </w:rPr>
        <w:t>rate ESG principles as part of their long-term value creation strategy.</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Analysis of corporate sustainability performance and corporate financial performance causal linkage in the Indian context </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Milind Kumar Jha &amp;K. Rangarajan </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investigates the bidirectional relationship between corporate sustainability performance (CSP) and financial performance (CFP) for the top 500 Indian firms from 2008 to 2018. Using Granger causality and panel regression, the findings suggest lim</w:t>
      </w:r>
      <w:r>
        <w:rPr>
          <w:rFonts w:ascii="Times New Roman" w:eastAsia="Times New Roman" w:hAnsi="Times New Roman" w:cs="Times New Roman"/>
          <w:sz w:val="24"/>
          <w:szCs w:val="24"/>
        </w:rPr>
        <w:t>ited causal linkage between CSP and CFP overall. However, at a disaggregated level, certain ESG dimensions show negative associations with profitability. The study concludes that Indian firms do not yet experience consistent financial benefits from sustain</w:t>
      </w:r>
      <w:r>
        <w:rPr>
          <w:rFonts w:ascii="Times New Roman" w:eastAsia="Times New Roman" w:hAnsi="Times New Roman" w:cs="Times New Roman"/>
          <w:sz w:val="24"/>
          <w:szCs w:val="24"/>
        </w:rPr>
        <w:t>ability investments, offering insights for policymakers and corporate strategists.</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 empirical study of supply chain sustainability with financial performances of Indian firms </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Nikunj Sachin &amp; R. Rajesh </w:t>
      </w:r>
    </w:p>
    <w:p w:rsidR="00AF0A37" w:rsidRDefault="00AF0A37">
      <w:pPr>
        <w:widowControl w:val="0"/>
        <w:ind w:left="113" w:right="2"/>
        <w:jc w:val="both"/>
        <w:rPr>
          <w:rFonts w:ascii="Times New Roman" w:eastAsia="Times New Roman" w:hAnsi="Times New Roman" w:cs="Times New Roman"/>
          <w:sz w:val="24"/>
          <w:szCs w:val="24"/>
        </w:rPr>
      </w:pPr>
    </w:p>
    <w:p w:rsidR="00AF0A37" w:rsidRDefault="009D638E">
      <w:pPr>
        <w:widowControl w:val="0"/>
        <w:ind w:left="113"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empirically evaluates how sustainable supply chain practices influence the financial performance of 25 Indian firms listed with ESG scores on Bloomberg. Using Partial Least Squares (PLS) regression, the analysis indicates that sustainable practi</w:t>
      </w:r>
      <w:r>
        <w:rPr>
          <w:rFonts w:ascii="Times New Roman" w:eastAsia="Times New Roman" w:hAnsi="Times New Roman" w:cs="Times New Roman"/>
          <w:sz w:val="24"/>
          <w:szCs w:val="24"/>
        </w:rPr>
        <w:t xml:space="preserve">ces in the supply chain may not directly enhance financial returns as measured by ROA and ROE. The study highlights the importance of aligning ESG efforts with profitability strategies and calls for extended research across developing economies to capture </w:t>
      </w:r>
      <w:r>
        <w:rPr>
          <w:rFonts w:ascii="Times New Roman" w:eastAsia="Times New Roman" w:hAnsi="Times New Roman" w:cs="Times New Roman"/>
          <w:sz w:val="24"/>
          <w:szCs w:val="24"/>
        </w:rPr>
        <w:t>broader insights on sustainable supply chain management.</w:t>
      </w:r>
    </w:p>
    <w:p w:rsidR="00AF0A37" w:rsidRDefault="009D638E">
      <w:pPr>
        <w:widowControl w:val="0"/>
        <w:ind w:left="114"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
    <w:p w:rsidR="00AF0A37" w:rsidRDefault="00AF0A37">
      <w:pPr>
        <w:widowControl w:val="0"/>
        <w:pBdr>
          <w:top w:val="nil"/>
          <w:left w:val="nil"/>
          <w:bottom w:val="nil"/>
          <w:right w:val="nil"/>
          <w:between w:val="nil"/>
        </w:pBdr>
        <w:ind w:left="113" w:right="5" w:firstLine="3"/>
        <w:jc w:val="both"/>
        <w:rPr>
          <w:rFonts w:ascii="Times New Roman" w:eastAsia="Times New Roman" w:hAnsi="Times New Roman" w:cs="Times New Roman"/>
          <w:sz w:val="24"/>
          <w:szCs w:val="24"/>
        </w:rPr>
      </w:pPr>
    </w:p>
    <w:p w:rsidR="00AF0A37" w:rsidRDefault="009D638E">
      <w:pPr>
        <w:widowControl w:val="0"/>
        <w:pBdr>
          <w:top w:val="nil"/>
          <w:left w:val="nil"/>
          <w:bottom w:val="nil"/>
          <w:right w:val="nil"/>
          <w:between w:val="nil"/>
        </w:pBdr>
        <w:ind w:left="11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Research Objectives </w:t>
      </w:r>
    </w:p>
    <w:p w:rsidR="00AF0A37" w:rsidRDefault="00AF0A37">
      <w:pPr>
        <w:widowControl w:val="0"/>
        <w:pBdr>
          <w:top w:val="nil"/>
          <w:left w:val="nil"/>
          <w:bottom w:val="nil"/>
          <w:right w:val="nil"/>
          <w:between w:val="nil"/>
        </w:pBdr>
        <w:ind w:left="119"/>
        <w:rPr>
          <w:rFonts w:ascii="Times New Roman" w:eastAsia="Times New Roman" w:hAnsi="Times New Roman" w:cs="Times New Roman"/>
          <w:b/>
          <w:bCs/>
          <w:sz w:val="24"/>
          <w:szCs w:val="24"/>
        </w:rPr>
      </w:pPr>
    </w:p>
    <w:p w:rsidR="00AF0A37" w:rsidRDefault="009D638E">
      <w:pPr>
        <w:widowControl w:val="0"/>
        <w:spacing w:line="229" w:lineRule="auto"/>
        <w:ind w:left="835" w:right="81" w:hanging="350"/>
        <w:rPr>
          <w:rFonts w:ascii="Times New Roman" w:eastAsia="Times New Roman" w:hAnsi="Times New Roman" w:cs="Times New Roman"/>
          <w:b/>
          <w:bCs/>
          <w:sz w:val="24"/>
          <w:szCs w:val="24"/>
        </w:rPr>
      </w:pPr>
      <w:r>
        <w:rPr>
          <w:rFonts w:ascii="Noto Sans Symbols" w:eastAsia="Noto Sans Symbols" w:hAnsi="Noto Sans Symbols" w:cs="Noto Sans Symbols"/>
          <w:sz w:val="24"/>
          <w:szCs w:val="24"/>
        </w:rPr>
        <w:lastRenderedPageBreak/>
        <w:t>❖</w:t>
      </w:r>
      <w:r>
        <w:rPr>
          <w:rFonts w:ascii="Noto Sans Symbols" w:eastAsia="Noto Sans Symbols" w:hAnsi="Noto Sans Symbols" w:cs="Noto Sans Symbols"/>
          <w:sz w:val="24"/>
          <w:szCs w:val="24"/>
        </w:rPr>
        <w:t xml:space="preserve"> </w:t>
      </w:r>
      <w:r>
        <w:rPr>
          <w:rFonts w:ascii="Times New Roman" w:eastAsia="Times New Roman" w:hAnsi="Times New Roman" w:cs="Times New Roman"/>
          <w:b/>
          <w:bCs/>
          <w:sz w:val="24"/>
          <w:szCs w:val="24"/>
        </w:rPr>
        <w:t>PRIMARY OBJECTIVE</w:t>
      </w:r>
    </w:p>
    <w:p w:rsidR="00AF0A37" w:rsidRDefault="009D638E">
      <w:pPr>
        <w:widowControl w:val="0"/>
        <w:ind w:left="835" w:right="81" w:hanging="35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1. </w:t>
      </w:r>
      <w:r>
        <w:rPr>
          <w:rFonts w:ascii="Times New Roman" w:eastAsia="Times New Roman" w:hAnsi="Times New Roman" w:cs="Times New Roman"/>
          <w:sz w:val="24"/>
          <w:szCs w:val="24"/>
        </w:rPr>
        <w:t>To examine whether there is any relationship between the ESG score and the financial performance of JSW Infrastructure Ltd</w:t>
      </w:r>
      <w:r>
        <w:rPr>
          <w:rFonts w:ascii="Noto Sans Symbols" w:eastAsia="Noto Sans Symbols" w:hAnsi="Noto Sans Symbols" w:cs="Noto Sans Symbols"/>
          <w:sz w:val="24"/>
          <w:szCs w:val="24"/>
        </w:rPr>
        <w:t>.</w:t>
      </w:r>
    </w:p>
    <w:p w:rsidR="00AF0A37" w:rsidRDefault="00AF0A37">
      <w:pPr>
        <w:widowControl w:val="0"/>
        <w:ind w:left="835" w:right="81" w:hanging="350"/>
        <w:jc w:val="both"/>
        <w:rPr>
          <w:rFonts w:ascii="Noto Sans Symbols" w:eastAsia="Noto Sans Symbols" w:hAnsi="Noto Sans Symbols" w:cs="Noto Sans Symbols"/>
          <w:sz w:val="24"/>
          <w:szCs w:val="24"/>
        </w:rPr>
      </w:pPr>
    </w:p>
    <w:p w:rsidR="00AF0A37" w:rsidRDefault="009D638E">
      <w:pPr>
        <w:widowControl w:val="0"/>
        <w:ind w:left="835" w:right="81" w:hanging="350"/>
        <w:jc w:val="both"/>
        <w:rPr>
          <w:rFonts w:ascii="Noto Sans Symbols" w:eastAsia="Noto Sans Symbols" w:hAnsi="Noto Sans Symbols" w:cs="Noto Sans Symbols"/>
          <w:b/>
          <w:bCs/>
          <w:sz w:val="24"/>
          <w:szCs w:val="24"/>
        </w:rPr>
      </w:pPr>
      <w:r>
        <w:rPr>
          <w:rFonts w:ascii="Noto Sans Symbols" w:eastAsia="Noto Sans Symbols" w:hAnsi="Noto Sans Symbols" w:cs="Noto Sans Symbols"/>
          <w:sz w:val="24"/>
          <w:szCs w:val="24"/>
        </w:rPr>
        <w:t>❖</w:t>
      </w:r>
      <w:r>
        <w:rPr>
          <w:rFonts w:ascii="Noto Sans Symbols" w:eastAsia="Noto Sans Symbols" w:hAnsi="Noto Sans Symbols" w:cs="Noto Sans Symbols"/>
          <w:sz w:val="24"/>
          <w:szCs w:val="24"/>
        </w:rPr>
        <w:t xml:space="preserve"> </w:t>
      </w:r>
      <w:r>
        <w:rPr>
          <w:rFonts w:ascii="Times New Roman" w:eastAsia="Times New Roman" w:hAnsi="Times New Roman" w:cs="Times New Roman"/>
          <w:b/>
          <w:bCs/>
          <w:sz w:val="24"/>
          <w:szCs w:val="24"/>
        </w:rPr>
        <w:t>SECONDARY OBJECTIVE</w:t>
      </w:r>
    </w:p>
    <w:p w:rsidR="00AF0A37" w:rsidRDefault="009D638E">
      <w:pPr>
        <w:widowControl w:val="0"/>
        <w:tabs>
          <w:tab w:val="left" w:pos="7607"/>
        </w:tabs>
        <w:ind w:left="835" w:right="81" w:hanging="35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1. </w:t>
      </w:r>
      <w:r>
        <w:rPr>
          <w:rFonts w:ascii="Times New Roman" w:eastAsia="Times New Roman" w:hAnsi="Times New Roman" w:cs="Times New Roman"/>
          <w:sz w:val="24"/>
          <w:szCs w:val="24"/>
        </w:rPr>
        <w:t>To analyze the overall financial performance of JSW Infrastructure Ltd. using profitability, efficiency, and valuation ratios.</w:t>
      </w:r>
    </w:p>
    <w:p w:rsidR="00AF0A37" w:rsidRDefault="009D638E">
      <w:pPr>
        <w:widowControl w:val="0"/>
        <w:ind w:left="835" w:right="81" w:hanging="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To assess the correlation between the ESG risk score and the company’s financial performance, specifically its net profit.</w:t>
      </w:r>
    </w:p>
    <w:p w:rsidR="00AF0A37" w:rsidRDefault="009D638E">
      <w:pPr>
        <w:widowControl w:val="0"/>
        <w:ind w:left="835" w:right="81" w:hanging="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To determine the impact of ESG performance on financial outcomes using regression analysis.</w:t>
      </w:r>
    </w:p>
    <w:p w:rsidR="00AF0A37" w:rsidRDefault="009D638E">
      <w:pPr>
        <w:widowControl w:val="0"/>
        <w:pBdr>
          <w:top w:val="nil"/>
          <w:left w:val="nil"/>
          <w:bottom w:val="nil"/>
          <w:right w:val="nil"/>
          <w:between w:val="nil"/>
        </w:pBdr>
        <w:spacing w:before="202"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AF0A37" w:rsidRDefault="009D638E">
      <w:pPr>
        <w:widowControl w:val="0"/>
        <w:pBdr>
          <w:top w:val="nil"/>
          <w:left w:val="nil"/>
          <w:bottom w:val="nil"/>
          <w:right w:val="nil"/>
          <w:between w:val="nil"/>
        </w:pBdr>
        <w:spacing w:before="202" w:line="240" w:lineRule="auto"/>
        <w:ind w:left="11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Research Method and Data </w:t>
      </w:r>
    </w:p>
    <w:p w:rsidR="00AF0A37" w:rsidRDefault="009D638E">
      <w:pPr>
        <w:widowControl w:val="0"/>
        <w:pBdr>
          <w:top w:val="nil"/>
          <w:left w:val="nil"/>
          <w:bottom w:val="nil"/>
          <w:right w:val="nil"/>
          <w:between w:val="nil"/>
        </w:pBdr>
        <w:spacing w:before="202" w:line="240" w:lineRule="auto"/>
        <w:ind w:left="1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adopts a quantitative research approach based entirely on secondary data to examine the relationship between ESG performance </w:t>
      </w:r>
      <w:r>
        <w:rPr>
          <w:rFonts w:ascii="Times New Roman" w:eastAsia="Times New Roman" w:hAnsi="Times New Roman" w:cs="Times New Roman"/>
          <w:color w:val="000000"/>
          <w:sz w:val="24"/>
          <w:szCs w:val="24"/>
        </w:rPr>
        <w:t>and the financial performance of JSW Infrastructure Ltd. The ESG risk scores are obtained from Sustainalytics, while financial data such as profitability, efficiency, and valuation ratios are collected from the company’s annual reports. The financial stren</w:t>
      </w:r>
      <w:r>
        <w:rPr>
          <w:rFonts w:ascii="Times New Roman" w:eastAsia="Times New Roman" w:hAnsi="Times New Roman" w:cs="Times New Roman"/>
          <w:color w:val="000000"/>
          <w:sz w:val="24"/>
          <w:szCs w:val="24"/>
        </w:rPr>
        <w:t>gth and position of the company are analyzed through ratio analysis, comparative balance sheets, and common-size statements to understand trends and performance over time. To determine the relationship between ESG performance and financial outcomes, correl</w:t>
      </w:r>
      <w:r>
        <w:rPr>
          <w:rFonts w:ascii="Times New Roman" w:eastAsia="Times New Roman" w:hAnsi="Times New Roman" w:cs="Times New Roman"/>
          <w:color w:val="000000"/>
          <w:sz w:val="24"/>
          <w:szCs w:val="24"/>
        </w:rPr>
        <w:t>ation and regression analyses are conducted, considering the ESG risk score as the independent variable and net profit as the dependent variable. The results aim to provide insights into whether stronger ESG performance contributes to improved financial re</w:t>
      </w:r>
      <w:r>
        <w:rPr>
          <w:rFonts w:ascii="Times New Roman" w:eastAsia="Times New Roman" w:hAnsi="Times New Roman" w:cs="Times New Roman"/>
          <w:color w:val="000000"/>
          <w:sz w:val="24"/>
          <w:szCs w:val="24"/>
        </w:rPr>
        <w:t>sults and sustainable value creation.</w:t>
      </w:r>
    </w:p>
    <w:p w:rsidR="00AF0A37" w:rsidRDefault="00AF0A37">
      <w:pPr>
        <w:widowControl w:val="0"/>
        <w:pBdr>
          <w:top w:val="nil"/>
          <w:left w:val="nil"/>
          <w:bottom w:val="nil"/>
          <w:right w:val="nil"/>
          <w:between w:val="nil"/>
        </w:pBdr>
        <w:spacing w:before="570" w:line="240" w:lineRule="auto"/>
        <w:ind w:left="116"/>
        <w:rPr>
          <w:rFonts w:ascii="Times New Roman" w:eastAsia="Times New Roman" w:hAnsi="Times New Roman" w:cs="Times New Roman"/>
          <w:b/>
          <w:bCs/>
          <w:color w:val="000000"/>
          <w:sz w:val="24"/>
          <w:szCs w:val="24"/>
        </w:rPr>
      </w:pPr>
    </w:p>
    <w:p w:rsidR="00AF0A37" w:rsidRDefault="00AF0A37">
      <w:pPr>
        <w:widowControl w:val="0"/>
        <w:pBdr>
          <w:top w:val="nil"/>
          <w:left w:val="nil"/>
          <w:bottom w:val="nil"/>
          <w:right w:val="nil"/>
          <w:between w:val="nil"/>
        </w:pBdr>
        <w:spacing w:before="570" w:line="240" w:lineRule="auto"/>
        <w:ind w:left="116"/>
        <w:rPr>
          <w:rFonts w:ascii="Times New Roman" w:eastAsia="Times New Roman" w:hAnsi="Times New Roman" w:cs="Times New Roman"/>
          <w:b/>
          <w:bCs/>
          <w:color w:val="000000"/>
          <w:sz w:val="24"/>
          <w:szCs w:val="24"/>
        </w:rPr>
      </w:pPr>
    </w:p>
    <w:p w:rsidR="00AF0A37" w:rsidRDefault="009D638E">
      <w:pPr>
        <w:widowControl w:val="0"/>
        <w:pBdr>
          <w:top w:val="nil"/>
          <w:left w:val="nil"/>
          <w:bottom w:val="nil"/>
          <w:right w:val="nil"/>
          <w:between w:val="nil"/>
        </w:pBdr>
        <w:spacing w:before="570" w:line="240" w:lineRule="auto"/>
        <w:ind w:left="11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Data Analysis </w:t>
      </w:r>
    </w:p>
    <w:p w:rsidR="00AF0A37" w:rsidRDefault="009D638E">
      <w:pPr>
        <w:widowControl w:val="0"/>
        <w:pBdr>
          <w:top w:val="nil"/>
          <w:left w:val="nil"/>
          <w:bottom w:val="nil"/>
          <w:right w:val="nil"/>
          <w:between w:val="nil"/>
        </w:pBdr>
        <w:spacing w:before="348" w:line="240" w:lineRule="auto"/>
        <w:ind w:left="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RATIO ANALYSIS</w:t>
      </w:r>
    </w:p>
    <w:p w:rsidR="00AF0A37" w:rsidRDefault="009D638E">
      <w:pPr>
        <w:widowControl w:val="0"/>
        <w:pBdr>
          <w:top w:val="nil"/>
          <w:left w:val="nil"/>
          <w:bottom w:val="nil"/>
          <w:right w:val="nil"/>
          <w:between w:val="nil"/>
        </w:pBdr>
        <w:spacing w:before="348" w:line="240" w:lineRule="auto"/>
        <w:ind w:left="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Return on Assets (ROA)</w:t>
      </w:r>
    </w:p>
    <w:p w:rsidR="00AF0A37" w:rsidRDefault="00AF0A37">
      <w:pPr>
        <w:widowControl w:val="0"/>
        <w:pBdr>
          <w:top w:val="nil"/>
          <w:left w:val="nil"/>
          <w:bottom w:val="nil"/>
          <w:right w:val="nil"/>
          <w:between w:val="nil"/>
        </w:pBdr>
        <w:rPr>
          <w:b/>
          <w:bCs/>
          <w:color w:val="000000"/>
        </w:rPr>
      </w:pPr>
    </w:p>
    <w:tbl>
      <w:tblPr>
        <w:tblStyle w:val="afd"/>
        <w:tblpPr w:leftFromText="180" w:rightFromText="180" w:vertAnchor="text" w:tblpY="1096"/>
        <w:tblW w:w="72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1805"/>
        <w:gridCol w:w="1805"/>
        <w:gridCol w:w="1805"/>
      </w:tblGrid>
      <w:tr w:rsidR="00AF0A37">
        <w:trPr>
          <w:trHeight w:val="274"/>
        </w:trPr>
        <w:tc>
          <w:tcPr>
            <w:tcW w:w="1805"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1805"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Profit</w:t>
            </w:r>
          </w:p>
        </w:tc>
        <w:tc>
          <w:tcPr>
            <w:tcW w:w="1805"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Assets</w:t>
            </w:r>
          </w:p>
        </w:tc>
        <w:tc>
          <w:tcPr>
            <w:tcW w:w="1805"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ROA</w:t>
            </w:r>
          </w:p>
        </w:tc>
      </w:tr>
      <w:tr w:rsidR="00AF0A37">
        <w:trPr>
          <w:trHeight w:val="239"/>
        </w:trPr>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9,898.81</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1,95,893.76</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5.05%</w:t>
            </w:r>
          </w:p>
        </w:tc>
      </w:tr>
      <w:tr w:rsidR="00AF0A37">
        <w:trPr>
          <w:trHeight w:val="329"/>
        </w:trPr>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14,054.28</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4,80,805.52</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r>
      <w:tr w:rsidR="00AF0A37">
        <w:trPr>
          <w:trHeight w:val="277"/>
        </w:trPr>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6,706.55</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5,05,231.08</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r>
      <w:tr w:rsidR="00AF0A37">
        <w:trPr>
          <w:trHeight w:val="225"/>
        </w:trPr>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28,721</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8,32,798</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r>
      <w:tr w:rsidR="00AF0A37">
        <w:trPr>
          <w:trHeight w:val="187"/>
        </w:trPr>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39,139</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9,19,339</w:t>
            </w:r>
          </w:p>
        </w:tc>
        <w:tc>
          <w:tcPr>
            <w:tcW w:w="180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r>
    </w:tbl>
    <w:p w:rsidR="00AF0A37" w:rsidRDefault="00AF0A37">
      <w:pPr>
        <w:widowControl w:val="0"/>
        <w:pBdr>
          <w:top w:val="nil"/>
          <w:left w:val="nil"/>
          <w:bottom w:val="nil"/>
          <w:right w:val="nil"/>
          <w:between w:val="nil"/>
        </w:pBdr>
        <w:rPr>
          <w:rFonts w:ascii="Times New Roman" w:eastAsia="Times New Roman" w:hAnsi="Times New Roman" w:cs="Times New Roman"/>
          <w:b/>
          <w:bCs/>
          <w:sz w:val="28"/>
          <w:szCs w:val="28"/>
        </w:rPr>
      </w:pPr>
    </w:p>
    <w:p w:rsidR="00AF0A37" w:rsidRDefault="00AF0A37">
      <w:pPr>
        <w:widowControl w:val="0"/>
        <w:pBdr>
          <w:top w:val="nil"/>
          <w:left w:val="nil"/>
          <w:bottom w:val="nil"/>
          <w:right w:val="nil"/>
          <w:between w:val="nil"/>
        </w:pBdr>
        <w:rPr>
          <w:rFonts w:ascii="Times New Roman" w:eastAsia="Times New Roman" w:hAnsi="Times New Roman" w:cs="Times New Roman"/>
          <w:b/>
          <w:bCs/>
          <w:sz w:val="28"/>
          <w:szCs w:val="28"/>
        </w:rPr>
      </w:pPr>
    </w:p>
    <w:p w:rsidR="00AF0A37" w:rsidRDefault="009D638E">
      <w:pPr>
        <w:widowControl w:val="0"/>
        <w:pBdr>
          <w:top w:val="nil"/>
          <w:left w:val="nil"/>
          <w:bottom w:val="nil"/>
          <w:right w:val="nil"/>
          <w:between w:val="nil"/>
        </w:pBdr>
        <w:jc w:val="center"/>
        <w:rPr>
          <w:color w:val="000000"/>
        </w:rPr>
      </w:pPr>
      <w:r>
        <w:rPr>
          <w:color w:val="000000"/>
        </w:rPr>
        <w:t xml:space="preserve">                                                               In Lakhs</w:t>
      </w:r>
    </w:p>
    <w:p w:rsidR="00AF0A37" w:rsidRDefault="00AF0A3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bookmarkStart w:id="1" w:name="_heading=h.e9jqzvg7jcb9" w:colFirst="0" w:colLast="0"/>
      <w:bookmarkEnd w:id="1"/>
    </w:p>
    <w:p w:rsidR="00AF0A37" w:rsidRDefault="00AF0A37">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AF0A37" w:rsidRDefault="00AF0A37">
      <w:pPr>
        <w:widowControl w:val="0"/>
        <w:pBdr>
          <w:top w:val="nil"/>
          <w:left w:val="nil"/>
          <w:bottom w:val="nil"/>
          <w:right w:val="nil"/>
          <w:between w:val="nil"/>
        </w:pBdr>
        <w:spacing w:line="240" w:lineRule="auto"/>
        <w:ind w:left="826"/>
        <w:rPr>
          <w:rFonts w:ascii="Times New Roman" w:eastAsia="Times New Roman" w:hAnsi="Times New Roman" w:cs="Times New Roman"/>
          <w:b/>
          <w:bCs/>
          <w:color w:val="000000"/>
          <w:sz w:val="24"/>
          <w:szCs w:val="24"/>
        </w:rPr>
      </w:pPr>
    </w:p>
    <w:p w:rsidR="00AF0A37" w:rsidRDefault="00AF0A37">
      <w:pPr>
        <w:widowControl w:val="0"/>
        <w:pBdr>
          <w:top w:val="nil"/>
          <w:left w:val="nil"/>
          <w:bottom w:val="nil"/>
          <w:right w:val="nil"/>
          <w:between w:val="nil"/>
        </w:pBdr>
        <w:spacing w:before="216" w:line="234" w:lineRule="auto"/>
        <w:ind w:left="473" w:right="174"/>
        <w:jc w:val="center"/>
        <w:rPr>
          <w:rFonts w:ascii="Times New Roman" w:eastAsia="Times New Roman" w:hAnsi="Times New Roman" w:cs="Times New Roman"/>
          <w:color w:val="000000"/>
          <w:sz w:val="24"/>
          <w:szCs w:val="24"/>
        </w:rPr>
      </w:pPr>
    </w:p>
    <w:p w:rsidR="00AF0A37" w:rsidRDefault="00AF0A37">
      <w:pPr>
        <w:rPr>
          <w:rFonts w:ascii="Times New Roman" w:eastAsia="Times New Roman" w:hAnsi="Times New Roman" w:cs="Times New Roman"/>
          <w:sz w:val="24"/>
          <w:szCs w:val="24"/>
        </w:rPr>
      </w:pPr>
    </w:p>
    <w:p w:rsidR="00AF0A37" w:rsidRDefault="00AF0A37">
      <w:pPr>
        <w:rPr>
          <w:rFonts w:ascii="Times New Roman" w:eastAsia="Times New Roman" w:hAnsi="Times New Roman" w:cs="Times New Roman"/>
          <w:sz w:val="24"/>
          <w:szCs w:val="24"/>
        </w:rPr>
      </w:pPr>
    </w:p>
    <w:p w:rsidR="00AF0A37" w:rsidRDefault="00AF0A37">
      <w:pPr>
        <w:rPr>
          <w:rFonts w:ascii="Times New Roman" w:eastAsia="Times New Roman" w:hAnsi="Times New Roman" w:cs="Times New Roman"/>
          <w:sz w:val="24"/>
          <w:szCs w:val="24"/>
        </w:rPr>
      </w:pPr>
    </w:p>
    <w:p w:rsidR="00AF0A37" w:rsidRDefault="009D638E">
      <w:pPr>
        <w:tabs>
          <w:tab w:val="left" w:pos="1752"/>
        </w:tabs>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INTERPRETATION</w:t>
      </w: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company's Return on Assets (ROA) fluctuated from 2021 to 2025, initially strong at 5.05% in 2021, dropping to a low of 1.33% in 2023, and then recovering to 4.26% by 2025, indicating a bounce back in asset efficiency after a period of decline.</w:t>
      </w:r>
    </w:p>
    <w:p w:rsidR="00AF0A37" w:rsidRDefault="00AF0A37">
      <w:pPr>
        <w:tabs>
          <w:tab w:val="left" w:pos="1752"/>
        </w:tabs>
        <w:rPr>
          <w:rFonts w:ascii="Times New Roman" w:eastAsia="Times New Roman" w:hAnsi="Times New Roman" w:cs="Times New Roman"/>
          <w:sz w:val="24"/>
          <w:szCs w:val="24"/>
        </w:rPr>
      </w:pPr>
    </w:p>
    <w:p w:rsidR="00AF0A37" w:rsidRDefault="009D638E">
      <w:pPr>
        <w:tabs>
          <w:tab w:val="left" w:pos="1752"/>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Return on Equity (ROE)</w:t>
      </w:r>
    </w:p>
    <w:p w:rsidR="00AF0A37" w:rsidRDefault="00AF0A37">
      <w:pPr>
        <w:tabs>
          <w:tab w:val="left" w:pos="1752"/>
        </w:tabs>
        <w:rPr>
          <w:rFonts w:ascii="Times New Roman" w:eastAsia="Times New Roman" w:hAnsi="Times New Roman" w:cs="Times New Roman"/>
          <w:sz w:val="24"/>
          <w:szCs w:val="24"/>
        </w:rPr>
      </w:pPr>
    </w:p>
    <w:p w:rsidR="00AF0A37" w:rsidRDefault="009D638E">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ROE = Net profit / Shareholders’ Equity</w:t>
      </w:r>
    </w:p>
    <w:p w:rsidR="00AF0A37" w:rsidRDefault="00AF0A37">
      <w:pPr>
        <w:pBdr>
          <w:top w:val="nil"/>
          <w:left w:val="nil"/>
          <w:bottom w:val="nil"/>
          <w:right w:val="nil"/>
          <w:between w:val="nil"/>
        </w:pBdr>
        <w:ind w:left="720"/>
        <w:rPr>
          <w:rFonts w:ascii="Times New Roman" w:eastAsia="Times New Roman" w:hAnsi="Times New Roman" w:cs="Times New Roman"/>
          <w:color w:val="000000"/>
          <w:sz w:val="24"/>
          <w:szCs w:val="24"/>
        </w:rPr>
      </w:pPr>
    </w:p>
    <w:p w:rsidR="00AF0A37" w:rsidRDefault="009D638E">
      <w:pPr>
        <w:pBdr>
          <w:top w:val="nil"/>
          <w:left w:val="nil"/>
          <w:bottom w:val="nil"/>
          <w:right w:val="nil"/>
          <w:between w:val="nil"/>
        </w:pBdr>
        <w:spacing w:after="16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Lakhs</w:t>
      </w:r>
    </w:p>
    <w:tbl>
      <w:tblPr>
        <w:tblStyle w:val="afe"/>
        <w:tblpPr w:leftFromText="180" w:rightFromText="180" w:vertAnchor="text" w:tblpY="244"/>
        <w:tblW w:w="7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843"/>
        <w:gridCol w:w="1701"/>
        <w:gridCol w:w="1843"/>
      </w:tblGrid>
      <w:tr w:rsidR="00AF0A37">
        <w:trPr>
          <w:trHeight w:val="551"/>
        </w:trPr>
        <w:tc>
          <w:tcPr>
            <w:tcW w:w="1809"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1843"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Profit</w:t>
            </w:r>
          </w:p>
        </w:tc>
        <w:tc>
          <w:tcPr>
            <w:tcW w:w="1701"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Shareholders’ Equity</w:t>
            </w:r>
          </w:p>
        </w:tc>
        <w:tc>
          <w:tcPr>
            <w:tcW w:w="1843"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ROE</w:t>
            </w:r>
          </w:p>
        </w:tc>
      </w:tr>
      <w:tr w:rsidR="00AF0A37">
        <w:trPr>
          <w:trHeight w:val="306"/>
        </w:trPr>
        <w:tc>
          <w:tcPr>
            <w:tcW w:w="1809"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9,898.81</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1,20,069.88</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8.24%</w:t>
            </w:r>
          </w:p>
        </w:tc>
      </w:tr>
      <w:tr w:rsidR="00AF0A37">
        <w:trPr>
          <w:trHeight w:val="317"/>
        </w:trPr>
        <w:tc>
          <w:tcPr>
            <w:tcW w:w="1809"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14,054.28</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1,39,249.47</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10.09%</w:t>
            </w:r>
          </w:p>
        </w:tc>
      </w:tr>
      <w:tr w:rsidR="00AF0A37">
        <w:trPr>
          <w:trHeight w:val="317"/>
        </w:trPr>
        <w:tc>
          <w:tcPr>
            <w:tcW w:w="1809"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6,706.55</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1,60,276.44</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4.18%</w:t>
            </w:r>
          </w:p>
        </w:tc>
      </w:tr>
      <w:tr w:rsidR="00AF0A37">
        <w:trPr>
          <w:trHeight w:val="317"/>
        </w:trPr>
        <w:tc>
          <w:tcPr>
            <w:tcW w:w="1809"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28,721</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4,79,674</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5.99%</w:t>
            </w:r>
          </w:p>
        </w:tc>
      </w:tr>
      <w:tr w:rsidR="00AF0A37">
        <w:trPr>
          <w:trHeight w:val="306"/>
        </w:trPr>
        <w:tc>
          <w:tcPr>
            <w:tcW w:w="1809"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39,139</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5,14,453</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7.61%</w:t>
            </w:r>
          </w:p>
        </w:tc>
      </w:tr>
    </w:tbl>
    <w:p w:rsidR="00AF0A37" w:rsidRDefault="00AF0A37">
      <w:pPr>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9D638E">
      <w:pPr>
        <w:rPr>
          <w:rFonts w:ascii="Times New Roman" w:eastAsia="Times New Roman" w:hAnsi="Times New Roman" w:cs="Times New Roman"/>
          <w:sz w:val="28"/>
          <w:szCs w:val="28"/>
        </w:rPr>
      </w:pPr>
      <w:r>
        <w:rPr>
          <w:rFonts w:ascii="Times New Roman" w:eastAsia="Times New Roman" w:hAnsi="Times New Roman" w:cs="Times New Roman"/>
          <w:sz w:val="28"/>
          <w:szCs w:val="28"/>
        </w:rPr>
        <w:t>INTERPRETATION</w:t>
      </w:r>
    </w:p>
    <w:p w:rsidR="00AF0A37" w:rsidRDefault="009D638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company's Return on Equity (ROE) fluctuated, peaking at 10.09% in 2022, then dropping to 4.18% in 2023, before recovering to 7.61% by 2025. This shows a period of declining efficiency in using shareholder funds, followed by a strong rebound.</w:t>
      </w:r>
    </w:p>
    <w:p w:rsidR="00AF0A37" w:rsidRDefault="00AF0A37">
      <w:pPr>
        <w:tabs>
          <w:tab w:val="left" w:pos="1752"/>
        </w:tabs>
        <w:rPr>
          <w:rFonts w:ascii="Times New Roman" w:eastAsia="Times New Roman" w:hAnsi="Times New Roman" w:cs="Times New Roman"/>
          <w:sz w:val="24"/>
          <w:szCs w:val="24"/>
        </w:rPr>
      </w:pPr>
    </w:p>
    <w:p w:rsidR="00AF0A37" w:rsidRDefault="009D638E">
      <w:pPr>
        <w:tabs>
          <w:tab w:val="left" w:pos="1752"/>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Profi</w:t>
      </w:r>
      <w:r>
        <w:rPr>
          <w:rFonts w:ascii="Times New Roman" w:eastAsia="Times New Roman" w:hAnsi="Times New Roman" w:cs="Times New Roman"/>
          <w:b/>
          <w:bCs/>
          <w:sz w:val="24"/>
          <w:szCs w:val="24"/>
        </w:rPr>
        <w:t>t Margin</w:t>
      </w:r>
    </w:p>
    <w:p w:rsidR="00AF0A37" w:rsidRDefault="00AF0A37">
      <w:pPr>
        <w:tabs>
          <w:tab w:val="left" w:pos="1752"/>
        </w:tabs>
        <w:rPr>
          <w:rFonts w:ascii="Times New Roman" w:eastAsia="Times New Roman" w:hAnsi="Times New Roman" w:cs="Times New Roman"/>
          <w:sz w:val="24"/>
          <w:szCs w:val="24"/>
        </w:rPr>
      </w:pPr>
    </w:p>
    <w:p w:rsidR="00AF0A37" w:rsidRDefault="009D638E">
      <w:pPr>
        <w:pBdr>
          <w:top w:val="nil"/>
          <w:left w:val="nil"/>
          <w:bottom w:val="nil"/>
          <w:right w:val="nil"/>
          <w:between w:val="nil"/>
        </w:pBdr>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Net Profit Margin = Net Profit / Revenue</w:t>
      </w:r>
    </w:p>
    <w:p w:rsidR="00AF0A37" w:rsidRDefault="009D638E">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lakhs</w:t>
      </w:r>
    </w:p>
    <w:tbl>
      <w:tblPr>
        <w:tblStyle w:val="aff"/>
        <w:tblpPr w:leftFromText="180" w:rightFromText="180" w:vertAnchor="text" w:tblpY="381"/>
        <w:tblW w:w="7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843"/>
        <w:gridCol w:w="1701"/>
        <w:gridCol w:w="1843"/>
      </w:tblGrid>
      <w:tr w:rsidR="00AF0A37">
        <w:trPr>
          <w:trHeight w:val="315"/>
        </w:trPr>
        <w:tc>
          <w:tcPr>
            <w:tcW w:w="1809"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Year</w:t>
            </w:r>
          </w:p>
        </w:tc>
        <w:tc>
          <w:tcPr>
            <w:tcW w:w="1843"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Profit</w:t>
            </w:r>
          </w:p>
        </w:tc>
        <w:tc>
          <w:tcPr>
            <w:tcW w:w="1701"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Revenue</w:t>
            </w:r>
          </w:p>
        </w:tc>
        <w:tc>
          <w:tcPr>
            <w:tcW w:w="1843"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Profit Margin</w:t>
            </w:r>
          </w:p>
        </w:tc>
      </w:tr>
      <w:tr w:rsidR="00AF0A37">
        <w:trPr>
          <w:trHeight w:val="304"/>
        </w:trPr>
        <w:tc>
          <w:tcPr>
            <w:tcW w:w="1809"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843"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9,898.81</w:t>
            </w:r>
          </w:p>
        </w:tc>
        <w:tc>
          <w:tcPr>
            <w:tcW w:w="1701"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32,025.89</w:t>
            </w:r>
          </w:p>
        </w:tc>
        <w:tc>
          <w:tcPr>
            <w:tcW w:w="1843"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r>
      <w:tr w:rsidR="00AF0A37">
        <w:trPr>
          <w:trHeight w:val="315"/>
        </w:trPr>
        <w:tc>
          <w:tcPr>
            <w:tcW w:w="1809"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843"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14,054.28</w:t>
            </w:r>
          </w:p>
        </w:tc>
        <w:tc>
          <w:tcPr>
            <w:tcW w:w="1701"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45,797.24</w:t>
            </w:r>
          </w:p>
        </w:tc>
        <w:tc>
          <w:tcPr>
            <w:tcW w:w="1843"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30.69%</w:t>
            </w:r>
          </w:p>
        </w:tc>
      </w:tr>
      <w:tr w:rsidR="00AF0A37">
        <w:trPr>
          <w:trHeight w:val="315"/>
        </w:trPr>
        <w:tc>
          <w:tcPr>
            <w:tcW w:w="1809"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843"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6,706.55</w:t>
            </w:r>
          </w:p>
        </w:tc>
        <w:tc>
          <w:tcPr>
            <w:tcW w:w="1701"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53,158.17</w:t>
            </w:r>
          </w:p>
        </w:tc>
        <w:tc>
          <w:tcPr>
            <w:tcW w:w="1843"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12.62%</w:t>
            </w:r>
          </w:p>
        </w:tc>
      </w:tr>
      <w:tr w:rsidR="00AF0A37">
        <w:trPr>
          <w:trHeight w:val="315"/>
        </w:trPr>
        <w:tc>
          <w:tcPr>
            <w:tcW w:w="1809"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1843"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28,721</w:t>
            </w:r>
          </w:p>
        </w:tc>
        <w:tc>
          <w:tcPr>
            <w:tcW w:w="1701"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53,438</w:t>
            </w:r>
          </w:p>
        </w:tc>
        <w:tc>
          <w:tcPr>
            <w:tcW w:w="1843"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53.7%</w:t>
            </w:r>
          </w:p>
        </w:tc>
      </w:tr>
      <w:tr w:rsidR="00AF0A37">
        <w:trPr>
          <w:trHeight w:val="304"/>
        </w:trPr>
        <w:tc>
          <w:tcPr>
            <w:tcW w:w="1809"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1843"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39,139</w:t>
            </w:r>
          </w:p>
        </w:tc>
        <w:tc>
          <w:tcPr>
            <w:tcW w:w="1701"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51,993</w:t>
            </w:r>
          </w:p>
        </w:tc>
        <w:tc>
          <w:tcPr>
            <w:tcW w:w="1843" w:type="dxa"/>
          </w:tcPr>
          <w:p w:rsidR="00AF0A37" w:rsidRDefault="009D638E">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75.27%</w:t>
            </w:r>
          </w:p>
        </w:tc>
      </w:tr>
    </w:tbl>
    <w:p w:rsidR="00AF0A37" w:rsidRDefault="009D638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9D638E">
      <w:pPr>
        <w:spacing w:after="143"/>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INTERPRETATION </w:t>
      </w:r>
    </w:p>
    <w:p w:rsidR="00AF0A37" w:rsidRDefault="009D638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net profit margin of JSW Infrastructure was at a stable level of about 30% in 2021-2022. It then halved as of 2023 to 12.62%, probably because of the economic strains of the post-pandemic period such as Cost-effecting supply chain disruptions in the wo</w:t>
      </w:r>
      <w:r>
        <w:rPr>
          <w:rFonts w:ascii="Times New Roman" w:eastAsia="Times New Roman" w:hAnsi="Times New Roman" w:cs="Times New Roman"/>
          <w:sz w:val="24"/>
          <w:szCs w:val="24"/>
        </w:rPr>
        <w:t>rld, even when the revenue is growing. Nevertheless, the company has made an impressive recovery and tremendous growth in 2024. It has a high operational efficiency and recovery of 2025 (75.27%), and 53.7%. profitability, which may be through efficient cos</w:t>
      </w:r>
      <w:r>
        <w:rPr>
          <w:rFonts w:ascii="Times New Roman" w:eastAsia="Times New Roman" w:hAnsi="Times New Roman" w:cs="Times New Roman"/>
          <w:sz w:val="24"/>
          <w:szCs w:val="24"/>
        </w:rPr>
        <w:t>t management or better market conditions.</w:t>
      </w:r>
    </w:p>
    <w:p w:rsidR="00AF0A37" w:rsidRDefault="00AF0A37">
      <w:pPr>
        <w:tabs>
          <w:tab w:val="left" w:pos="1752"/>
        </w:tabs>
        <w:rPr>
          <w:rFonts w:ascii="Times New Roman" w:eastAsia="Times New Roman" w:hAnsi="Times New Roman" w:cs="Times New Roman"/>
          <w:sz w:val="24"/>
          <w:szCs w:val="24"/>
        </w:rPr>
      </w:pPr>
    </w:p>
    <w:p w:rsidR="00AF0A37" w:rsidRDefault="009D638E">
      <w:pPr>
        <w:tabs>
          <w:tab w:val="left" w:pos="1752"/>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Asset Turnover Ratio</w:t>
      </w:r>
    </w:p>
    <w:p w:rsidR="00AF0A37" w:rsidRDefault="00AF0A37">
      <w:pPr>
        <w:spacing w:after="143"/>
        <w:rPr>
          <w:sz w:val="24"/>
          <w:szCs w:val="24"/>
        </w:rPr>
      </w:pPr>
    </w:p>
    <w:p w:rsidR="00AF0A37" w:rsidRDefault="009D638E">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Asset Turnover = Revenue / Total Assets</w:t>
      </w:r>
    </w:p>
    <w:p w:rsidR="00AF0A37" w:rsidRDefault="009D638E">
      <w:pPr>
        <w:pBdr>
          <w:top w:val="nil"/>
          <w:left w:val="nil"/>
          <w:bottom w:val="nil"/>
          <w:right w:val="nil"/>
          <w:between w:val="nil"/>
        </w:pBdr>
        <w:spacing w:after="16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Lakhs</w:t>
      </w:r>
    </w:p>
    <w:tbl>
      <w:tblPr>
        <w:tblStyle w:val="aff0"/>
        <w:tblpPr w:leftFromText="180" w:rightFromText="180" w:vertAnchor="text" w:tblpY="284"/>
        <w:tblW w:w="7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843"/>
        <w:gridCol w:w="1701"/>
        <w:gridCol w:w="1843"/>
      </w:tblGrid>
      <w:tr w:rsidR="00AF0A37">
        <w:trPr>
          <w:trHeight w:val="431"/>
        </w:trPr>
        <w:tc>
          <w:tcPr>
            <w:tcW w:w="1809"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1843"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Revenue</w:t>
            </w:r>
          </w:p>
        </w:tc>
        <w:tc>
          <w:tcPr>
            <w:tcW w:w="1701"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Assets</w:t>
            </w:r>
          </w:p>
        </w:tc>
        <w:tc>
          <w:tcPr>
            <w:tcW w:w="1843"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Asset Turnover</w:t>
            </w:r>
          </w:p>
        </w:tc>
      </w:tr>
      <w:tr w:rsidR="00AF0A37">
        <w:trPr>
          <w:trHeight w:val="416"/>
        </w:trPr>
        <w:tc>
          <w:tcPr>
            <w:tcW w:w="1809"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32,025.89</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1,95,893.76</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0.1635</w:t>
            </w:r>
          </w:p>
        </w:tc>
      </w:tr>
      <w:tr w:rsidR="00AF0A37">
        <w:trPr>
          <w:trHeight w:val="431"/>
        </w:trPr>
        <w:tc>
          <w:tcPr>
            <w:tcW w:w="1809"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45,797.24</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4,80,805.52</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0.0952</w:t>
            </w:r>
          </w:p>
        </w:tc>
      </w:tr>
      <w:tr w:rsidR="00AF0A37">
        <w:trPr>
          <w:trHeight w:val="431"/>
        </w:trPr>
        <w:tc>
          <w:tcPr>
            <w:tcW w:w="1809"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53,158.17</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5,05,231.08</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0.1052</w:t>
            </w:r>
          </w:p>
        </w:tc>
      </w:tr>
      <w:tr w:rsidR="00AF0A37">
        <w:trPr>
          <w:trHeight w:val="431"/>
        </w:trPr>
        <w:tc>
          <w:tcPr>
            <w:tcW w:w="1809"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53,438</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8,32,798</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0.0642</w:t>
            </w:r>
          </w:p>
        </w:tc>
      </w:tr>
      <w:tr w:rsidR="00AF0A37">
        <w:trPr>
          <w:trHeight w:val="416"/>
        </w:trPr>
        <w:tc>
          <w:tcPr>
            <w:tcW w:w="1809"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51,993</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9,19,339</w:t>
            </w:r>
          </w:p>
        </w:tc>
        <w:tc>
          <w:tcPr>
            <w:tcW w:w="1843"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0.0566</w:t>
            </w:r>
          </w:p>
        </w:tc>
      </w:tr>
    </w:tbl>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9D638E">
      <w:pPr>
        <w:tabs>
          <w:tab w:val="left" w:pos="1752"/>
        </w:tabs>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INTERPRETATION</w:t>
      </w:r>
    </w:p>
    <w:p w:rsidR="00AF0A37" w:rsidRDefault="00AF0A37">
      <w:pPr>
        <w:tabs>
          <w:tab w:val="left" w:pos="1752"/>
        </w:tabs>
        <w:rPr>
          <w:rFonts w:ascii="Times New Roman" w:eastAsia="Times New Roman" w:hAnsi="Times New Roman" w:cs="Times New Roman"/>
          <w:sz w:val="24"/>
          <w:szCs w:val="24"/>
        </w:rPr>
      </w:pPr>
    </w:p>
    <w:p w:rsidR="00AF0A37" w:rsidRDefault="009D638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Asset Turnover Ratio shows that JSW Infrastructure has a downward trend in Asset Turnover Ratio since 16.35% in 2021 to 5.66% in 2025. This trend indicates that the capacity of the company to create is declining. The asset base revenue of this company </w:t>
      </w:r>
      <w:r>
        <w:rPr>
          <w:rFonts w:ascii="Times New Roman" w:eastAsia="Times New Roman" w:hAnsi="Times New Roman" w:cs="Times New Roman"/>
          <w:sz w:val="24"/>
          <w:szCs w:val="24"/>
        </w:rPr>
        <w:t>has been reducing during this period. The notable increase in total assets, especially in 2022 and further on, signifies substantial capital investments. But the revenue generation has not been able to keep Janes of this asset. growth, which causes an inef</w:t>
      </w:r>
      <w:r>
        <w:rPr>
          <w:rFonts w:ascii="Times New Roman" w:eastAsia="Times New Roman" w:hAnsi="Times New Roman" w:cs="Times New Roman"/>
          <w:sz w:val="24"/>
          <w:szCs w:val="24"/>
        </w:rPr>
        <w:t xml:space="preserve">ficient utilization of such assets to generate revenue. This perhaps is a characteristic of a company with long-term investments in </w:t>
      </w:r>
      <w:r>
        <w:rPr>
          <w:rFonts w:ascii="Times New Roman" w:eastAsia="Times New Roman" w:hAnsi="Times New Roman" w:cs="Times New Roman"/>
          <w:sz w:val="24"/>
          <w:szCs w:val="24"/>
        </w:rPr>
        <w:lastRenderedPageBreak/>
        <w:t>new or expanded infrastructure, in which the entire revenue-generating potential of these assets can take time to materializ</w:t>
      </w:r>
      <w:r>
        <w:rPr>
          <w:rFonts w:ascii="Times New Roman" w:eastAsia="Times New Roman" w:hAnsi="Times New Roman" w:cs="Times New Roman"/>
          <w:sz w:val="24"/>
          <w:szCs w:val="24"/>
        </w:rPr>
        <w:t>e.</w:t>
      </w:r>
    </w:p>
    <w:p w:rsidR="00AF0A37" w:rsidRDefault="00AF0A37">
      <w:pPr>
        <w:tabs>
          <w:tab w:val="left" w:pos="1752"/>
        </w:tabs>
        <w:rPr>
          <w:rFonts w:ascii="Times New Roman" w:eastAsia="Times New Roman" w:hAnsi="Times New Roman" w:cs="Times New Roman"/>
          <w:sz w:val="24"/>
          <w:szCs w:val="24"/>
        </w:rPr>
      </w:pPr>
    </w:p>
    <w:p w:rsidR="00AF0A37" w:rsidRDefault="009D638E">
      <w:pPr>
        <w:tabs>
          <w:tab w:val="left" w:pos="1752"/>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Debt-to-Equity Ratio</w:t>
      </w:r>
    </w:p>
    <w:p w:rsidR="00AF0A37" w:rsidRDefault="00AF0A37">
      <w:pPr>
        <w:ind w:left="-5"/>
        <w:rPr>
          <w:rFonts w:ascii="Times New Roman" w:eastAsia="Times New Roman" w:hAnsi="Times New Roman" w:cs="Times New Roman"/>
          <w:sz w:val="24"/>
          <w:szCs w:val="24"/>
        </w:rPr>
      </w:pPr>
    </w:p>
    <w:p w:rsidR="00AF0A37" w:rsidRDefault="009D638E">
      <w:pPr>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Debt-to-Equity Ratio = Total Debt / Shareholders Equity</w:t>
      </w:r>
    </w:p>
    <w:p w:rsidR="00AF0A37" w:rsidRDefault="00AF0A37">
      <w:pPr>
        <w:ind w:left="-5"/>
        <w:rPr>
          <w:rFonts w:ascii="Times New Roman" w:eastAsia="Times New Roman" w:hAnsi="Times New Roman" w:cs="Times New Roman"/>
          <w:sz w:val="24"/>
          <w:szCs w:val="24"/>
        </w:rPr>
      </w:pPr>
    </w:p>
    <w:p w:rsidR="00AF0A37" w:rsidRDefault="009D638E">
      <w:pPr>
        <w:tabs>
          <w:tab w:val="left" w:pos="175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Lakhs</w:t>
      </w:r>
    </w:p>
    <w:tbl>
      <w:tblPr>
        <w:tblStyle w:val="aff1"/>
        <w:tblpPr w:leftFromText="180" w:rightFromText="180" w:vertAnchor="text" w:tblpY="284"/>
        <w:tblW w:w="7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
        <w:gridCol w:w="1775"/>
        <w:gridCol w:w="2410"/>
        <w:gridCol w:w="1701"/>
      </w:tblGrid>
      <w:tr w:rsidR="00AF0A37">
        <w:trPr>
          <w:trHeight w:val="382"/>
        </w:trPr>
        <w:tc>
          <w:tcPr>
            <w:tcW w:w="1310"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1775"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Debt</w:t>
            </w:r>
          </w:p>
        </w:tc>
        <w:tc>
          <w:tcPr>
            <w:tcW w:w="2410"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Shareholders’ Equity</w:t>
            </w:r>
          </w:p>
        </w:tc>
        <w:tc>
          <w:tcPr>
            <w:tcW w:w="1701" w:type="dxa"/>
          </w:tcPr>
          <w:p w:rsidR="00AF0A37" w:rsidRDefault="009D638E">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Debt-to-Equity Ratio</w:t>
            </w:r>
          </w:p>
        </w:tc>
      </w:tr>
      <w:tr w:rsidR="00AF0A37">
        <w:trPr>
          <w:trHeight w:val="368"/>
        </w:trPr>
        <w:tc>
          <w:tcPr>
            <w:tcW w:w="1310"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77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22,47,949</w:t>
            </w:r>
          </w:p>
        </w:tc>
        <w:tc>
          <w:tcPr>
            <w:tcW w:w="2410"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1,20,069.88</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r>
      <w:tr w:rsidR="00AF0A37">
        <w:trPr>
          <w:trHeight w:val="382"/>
        </w:trPr>
        <w:tc>
          <w:tcPr>
            <w:tcW w:w="1310"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77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3,15,674.22</w:t>
            </w:r>
          </w:p>
        </w:tc>
        <w:tc>
          <w:tcPr>
            <w:tcW w:w="2410"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1,39,249.47</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r>
      <w:tr w:rsidR="00AF0A37">
        <w:trPr>
          <w:trHeight w:val="382"/>
        </w:trPr>
        <w:tc>
          <w:tcPr>
            <w:tcW w:w="1310"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77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3,25,963.02</w:t>
            </w:r>
          </w:p>
        </w:tc>
        <w:tc>
          <w:tcPr>
            <w:tcW w:w="2410"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1,60,276.44</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AF0A37">
        <w:trPr>
          <w:trHeight w:val="382"/>
        </w:trPr>
        <w:tc>
          <w:tcPr>
            <w:tcW w:w="1310"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177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3,31,092</w:t>
            </w:r>
          </w:p>
        </w:tc>
        <w:tc>
          <w:tcPr>
            <w:tcW w:w="2410"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4,79,674</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r>
      <w:tr w:rsidR="00AF0A37">
        <w:trPr>
          <w:trHeight w:val="368"/>
        </w:trPr>
        <w:tc>
          <w:tcPr>
            <w:tcW w:w="1310"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1775"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3,40,433</w:t>
            </w:r>
          </w:p>
        </w:tc>
        <w:tc>
          <w:tcPr>
            <w:tcW w:w="2410"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5,14,453</w:t>
            </w:r>
          </w:p>
        </w:tc>
        <w:tc>
          <w:tcPr>
            <w:tcW w:w="1701" w:type="dxa"/>
          </w:tcPr>
          <w:p w:rsidR="00AF0A37" w:rsidRDefault="009D638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r>
    </w:tbl>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9D638E">
      <w:pPr>
        <w:tabs>
          <w:tab w:val="left" w:pos="1752"/>
        </w:tabs>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INTERPRETATION</w:t>
      </w:r>
    </w:p>
    <w:p w:rsidR="00AF0A37" w:rsidRDefault="00AF0A37">
      <w:pPr>
        <w:tabs>
          <w:tab w:val="left" w:pos="1752"/>
        </w:tabs>
        <w:rPr>
          <w:rFonts w:ascii="Times New Roman" w:eastAsia="Times New Roman" w:hAnsi="Times New Roman" w:cs="Times New Roman"/>
          <w:sz w:val="24"/>
          <w:szCs w:val="24"/>
        </w:rPr>
      </w:pPr>
    </w:p>
    <w:p w:rsidR="00AF0A37" w:rsidRDefault="009D638E">
      <w:pPr>
        <w:ind w:lef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Debt levels of JSW Infrastructure are growing largely between 2021 and 2022 because of investments in expansion projects. Nevertheless, the company has achieved significant improvement in cutting its debt burden since. The debt-to-equity ratio of the compa</w:t>
      </w:r>
      <w:r>
        <w:rPr>
          <w:rFonts w:ascii="Times New Roman" w:eastAsia="Times New Roman" w:hAnsi="Times New Roman" w:cs="Times New Roman"/>
          <w:sz w:val="24"/>
          <w:szCs w:val="24"/>
        </w:rPr>
        <w:t xml:space="preserve">ny has decreased to. enhanced significantly, which means improved financial health and minimized risk. This implies that the company has been able to control its debt and is in a successful stage. stable growth path. </w:t>
      </w:r>
    </w:p>
    <w:p w:rsidR="00AF0A37" w:rsidRDefault="009D638E">
      <w:pPr>
        <w:ind w:left="-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CORRELATION</w:t>
      </w:r>
    </w:p>
    <w:p w:rsidR="00AF0A37" w:rsidRDefault="00AF0A37">
      <w:pPr>
        <w:tabs>
          <w:tab w:val="left" w:pos="1752"/>
        </w:tabs>
        <w:rPr>
          <w:rFonts w:ascii="Times New Roman" w:eastAsia="Times New Roman" w:hAnsi="Times New Roman" w:cs="Times New Roman"/>
          <w:sz w:val="24"/>
          <w:szCs w:val="24"/>
        </w:rPr>
      </w:pPr>
    </w:p>
    <w:p w:rsidR="00AF0A37" w:rsidRDefault="009D638E">
      <w:pPr>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 between Profi</w:t>
      </w:r>
      <w:r>
        <w:rPr>
          <w:rFonts w:ascii="Times New Roman" w:eastAsia="Times New Roman" w:hAnsi="Times New Roman" w:cs="Times New Roman"/>
          <w:sz w:val="24"/>
          <w:szCs w:val="24"/>
        </w:rPr>
        <w:t>tability and ESG Risk</w:t>
      </w:r>
    </w:p>
    <w:p w:rsidR="00AF0A37" w:rsidRDefault="00AF0A37">
      <w:pPr>
        <w:rPr>
          <w:rFonts w:ascii="Times New Roman" w:eastAsia="Times New Roman" w:hAnsi="Times New Roman" w:cs="Times New Roman"/>
          <w:sz w:val="24"/>
          <w:szCs w:val="24"/>
        </w:rPr>
      </w:pPr>
    </w:p>
    <w:p w:rsidR="00AF0A37" w:rsidRDefault="009D63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Profit in Crores</w:t>
      </w:r>
    </w:p>
    <w:p w:rsidR="00AF0A37" w:rsidRDefault="00AF0A37">
      <w:pPr>
        <w:rPr>
          <w:rFonts w:ascii="Times New Roman" w:eastAsia="Times New Roman" w:hAnsi="Times New Roman" w:cs="Times New Roman"/>
          <w:sz w:val="24"/>
          <w:szCs w:val="24"/>
        </w:rPr>
      </w:pPr>
    </w:p>
    <w:tbl>
      <w:tblPr>
        <w:tblStyle w:val="aff2"/>
        <w:tblW w:w="69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2154"/>
        <w:gridCol w:w="3826"/>
      </w:tblGrid>
      <w:tr w:rsidR="00AF0A37">
        <w:trPr>
          <w:trHeight w:val="288"/>
        </w:trPr>
        <w:tc>
          <w:tcPr>
            <w:tcW w:w="960" w:type="dxa"/>
            <w:vAlign w:val="bottom"/>
          </w:tcPr>
          <w:p w:rsidR="00AF0A37" w:rsidRDefault="009D638E">
            <w:pPr>
              <w:rPr>
                <w:rFonts w:ascii="Times New Roman" w:eastAsia="Times New Roman" w:hAnsi="Times New Roman" w:cs="Times New Roman"/>
              </w:rPr>
            </w:pPr>
            <w:r>
              <w:rPr>
                <w:rFonts w:ascii="Times New Roman" w:eastAsia="Times New Roman" w:hAnsi="Times New Roman" w:cs="Times New Roman"/>
              </w:rPr>
              <w:t>YEAR</w:t>
            </w:r>
          </w:p>
        </w:tc>
        <w:tc>
          <w:tcPr>
            <w:tcW w:w="2154" w:type="dxa"/>
            <w:vAlign w:val="bottom"/>
          </w:tcPr>
          <w:p w:rsidR="00AF0A37" w:rsidRDefault="009D638E">
            <w:pPr>
              <w:rPr>
                <w:rFonts w:ascii="Times New Roman" w:eastAsia="Times New Roman" w:hAnsi="Times New Roman" w:cs="Times New Roman"/>
              </w:rPr>
            </w:pPr>
            <w:r>
              <w:rPr>
                <w:rFonts w:ascii="Times New Roman" w:eastAsia="Times New Roman" w:hAnsi="Times New Roman" w:cs="Times New Roman"/>
              </w:rPr>
              <w:t>NET PROFIT</w:t>
            </w:r>
          </w:p>
        </w:tc>
        <w:tc>
          <w:tcPr>
            <w:tcW w:w="3827" w:type="dxa"/>
            <w:vAlign w:val="bottom"/>
          </w:tcPr>
          <w:p w:rsidR="00AF0A37" w:rsidRDefault="009D638E">
            <w:pPr>
              <w:rPr>
                <w:rFonts w:ascii="Times New Roman" w:eastAsia="Times New Roman" w:hAnsi="Times New Roman" w:cs="Times New Roman"/>
              </w:rPr>
            </w:pPr>
            <w:r>
              <w:rPr>
                <w:rFonts w:ascii="Times New Roman" w:eastAsia="Times New Roman" w:hAnsi="Times New Roman" w:cs="Times New Roman"/>
              </w:rPr>
              <w:t>ESG RISK SCORE</w:t>
            </w:r>
          </w:p>
        </w:tc>
      </w:tr>
      <w:tr w:rsidR="00AF0A37">
        <w:trPr>
          <w:trHeight w:val="288"/>
        </w:trPr>
        <w:tc>
          <w:tcPr>
            <w:tcW w:w="960"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2023</w:t>
            </w:r>
          </w:p>
        </w:tc>
        <w:tc>
          <w:tcPr>
            <w:tcW w:w="2154"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67.07</w:t>
            </w:r>
          </w:p>
        </w:tc>
        <w:tc>
          <w:tcPr>
            <w:tcW w:w="3827"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23.2</w:t>
            </w:r>
          </w:p>
        </w:tc>
      </w:tr>
      <w:tr w:rsidR="00AF0A37">
        <w:trPr>
          <w:trHeight w:val="288"/>
        </w:trPr>
        <w:tc>
          <w:tcPr>
            <w:tcW w:w="960"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2024</w:t>
            </w:r>
          </w:p>
        </w:tc>
        <w:tc>
          <w:tcPr>
            <w:tcW w:w="2154"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287.21</w:t>
            </w:r>
          </w:p>
        </w:tc>
        <w:tc>
          <w:tcPr>
            <w:tcW w:w="3827"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32</w:t>
            </w:r>
          </w:p>
        </w:tc>
      </w:tr>
      <w:tr w:rsidR="00AF0A37">
        <w:trPr>
          <w:trHeight w:val="288"/>
        </w:trPr>
        <w:tc>
          <w:tcPr>
            <w:tcW w:w="960"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2025</w:t>
            </w:r>
          </w:p>
        </w:tc>
        <w:tc>
          <w:tcPr>
            <w:tcW w:w="2154"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391.39</w:t>
            </w:r>
          </w:p>
        </w:tc>
        <w:tc>
          <w:tcPr>
            <w:tcW w:w="3827"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12.3</w:t>
            </w:r>
          </w:p>
        </w:tc>
      </w:tr>
    </w:tbl>
    <w:p w:rsidR="00AF0A37" w:rsidRDefault="00AF0A37">
      <w:pPr>
        <w:rPr>
          <w:rFonts w:ascii="Times New Roman" w:eastAsia="Times New Roman" w:hAnsi="Times New Roman" w:cs="Times New Roman"/>
          <w:sz w:val="24"/>
          <w:szCs w:val="24"/>
        </w:rPr>
      </w:pPr>
    </w:p>
    <w:p w:rsidR="00AF0A37" w:rsidRDefault="009D638E">
      <w:pPr>
        <w:tabs>
          <w:tab w:val="left" w:pos="1752"/>
        </w:tabs>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w:t>
      </w:r>
    </w:p>
    <w:p w:rsidR="00AF0A37" w:rsidRDefault="00AF0A37">
      <w:pPr>
        <w:tabs>
          <w:tab w:val="left" w:pos="1752"/>
        </w:tabs>
        <w:rPr>
          <w:rFonts w:ascii="Times New Roman" w:eastAsia="Times New Roman" w:hAnsi="Times New Roman" w:cs="Times New Roman"/>
          <w:sz w:val="24"/>
          <w:szCs w:val="24"/>
        </w:rPr>
      </w:pPr>
    </w:p>
    <w:tbl>
      <w:tblPr>
        <w:tblStyle w:val="aff3"/>
        <w:tblW w:w="69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1656"/>
        <w:gridCol w:w="3826"/>
      </w:tblGrid>
      <w:tr w:rsidR="00AF0A37">
        <w:trPr>
          <w:trHeight w:val="288"/>
        </w:trPr>
        <w:tc>
          <w:tcPr>
            <w:tcW w:w="1458" w:type="dxa"/>
            <w:vAlign w:val="bottom"/>
          </w:tcPr>
          <w:p w:rsidR="00AF0A37" w:rsidRDefault="009D638E">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p>
        </w:tc>
        <w:tc>
          <w:tcPr>
            <w:tcW w:w="1656" w:type="dxa"/>
            <w:vAlign w:val="bottom"/>
          </w:tcPr>
          <w:p w:rsidR="00AF0A37" w:rsidRDefault="009D638E">
            <w:pPr>
              <w:jc w:val="cente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NET PROFIT</w:t>
            </w:r>
          </w:p>
        </w:tc>
        <w:tc>
          <w:tcPr>
            <w:tcW w:w="3827" w:type="dxa"/>
            <w:vAlign w:val="bottom"/>
          </w:tcPr>
          <w:p w:rsidR="00AF0A37" w:rsidRDefault="009D638E">
            <w:pPr>
              <w:jc w:val="cente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ESG RISK SCORE</w:t>
            </w:r>
          </w:p>
        </w:tc>
      </w:tr>
      <w:tr w:rsidR="00AF0A37">
        <w:trPr>
          <w:trHeight w:val="288"/>
        </w:trPr>
        <w:tc>
          <w:tcPr>
            <w:tcW w:w="1458" w:type="dxa"/>
            <w:vAlign w:val="bottom"/>
          </w:tcPr>
          <w:p w:rsidR="00AF0A37" w:rsidRDefault="009D638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NET PROFIT</w:t>
            </w:r>
          </w:p>
        </w:tc>
        <w:tc>
          <w:tcPr>
            <w:tcW w:w="1656" w:type="dxa"/>
            <w:vAlign w:val="bottom"/>
          </w:tcPr>
          <w:p w:rsidR="00AF0A37" w:rsidRDefault="009D638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7" w:type="dxa"/>
            <w:vAlign w:val="bottom"/>
          </w:tcPr>
          <w:p w:rsidR="00AF0A37" w:rsidRDefault="00AF0A37">
            <w:pPr>
              <w:jc w:val="right"/>
              <w:rPr>
                <w:rFonts w:ascii="Times New Roman" w:eastAsia="Times New Roman" w:hAnsi="Times New Roman" w:cs="Times New Roman"/>
                <w:sz w:val="24"/>
                <w:szCs w:val="24"/>
              </w:rPr>
            </w:pPr>
          </w:p>
        </w:tc>
      </w:tr>
      <w:tr w:rsidR="00AF0A37">
        <w:trPr>
          <w:trHeight w:val="300"/>
        </w:trPr>
        <w:tc>
          <w:tcPr>
            <w:tcW w:w="1458" w:type="dxa"/>
            <w:vAlign w:val="bottom"/>
          </w:tcPr>
          <w:p w:rsidR="00AF0A37" w:rsidRDefault="009D638E">
            <w:pPr>
              <w:rPr>
                <w:rFonts w:ascii="Times New Roman" w:eastAsia="Times New Roman" w:hAnsi="Times New Roman" w:cs="Times New Roman"/>
                <w:sz w:val="24"/>
                <w:szCs w:val="24"/>
              </w:rPr>
            </w:pPr>
            <w:r>
              <w:rPr>
                <w:rFonts w:ascii="Times New Roman" w:eastAsia="Times New Roman" w:hAnsi="Times New Roman" w:cs="Times New Roman"/>
                <w:sz w:val="24"/>
                <w:szCs w:val="24"/>
              </w:rPr>
              <w:t>ESG RISK SCORE</w:t>
            </w:r>
          </w:p>
        </w:tc>
        <w:tc>
          <w:tcPr>
            <w:tcW w:w="1656" w:type="dxa"/>
            <w:vAlign w:val="bottom"/>
          </w:tcPr>
          <w:p w:rsidR="00AF0A37" w:rsidRDefault="009D638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-0.37230858</w:t>
            </w:r>
          </w:p>
        </w:tc>
        <w:tc>
          <w:tcPr>
            <w:tcW w:w="3827" w:type="dxa"/>
            <w:vAlign w:val="bottom"/>
          </w:tcPr>
          <w:p w:rsidR="00AF0A37" w:rsidRDefault="009D638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AF0A37" w:rsidRDefault="00AF0A37">
      <w:pPr>
        <w:tabs>
          <w:tab w:val="left" w:pos="1752"/>
        </w:tabs>
        <w:rPr>
          <w:rFonts w:ascii="Times New Roman" w:eastAsia="Times New Roman" w:hAnsi="Times New Roman" w:cs="Times New Roman"/>
          <w:sz w:val="24"/>
          <w:szCs w:val="24"/>
        </w:rPr>
      </w:pPr>
    </w:p>
    <w:p w:rsidR="00AF0A37" w:rsidRDefault="009D638E">
      <w:pPr>
        <w:tabs>
          <w:tab w:val="left" w:pos="1752"/>
        </w:tabs>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INTERPRETATION</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571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correlation coefficient of Net Profit and ESG Risk Score is -0.37 which is below one. shows that there is a moderate negative correlation between the two variables. This means that as the profitability of the company is higher, the ESG risk is likely t</w:t>
      </w:r>
      <w:r>
        <w:rPr>
          <w:rFonts w:ascii="Times New Roman" w:eastAsia="Times New Roman" w:hAnsi="Times New Roman" w:cs="Times New Roman"/>
          <w:sz w:val="24"/>
          <w:szCs w:val="24"/>
        </w:rPr>
        <w:t>o be reduced.</w:t>
      </w:r>
    </w:p>
    <w:p w:rsidR="00AF0A37" w:rsidRDefault="00AF0A37">
      <w:pPr>
        <w:tabs>
          <w:tab w:val="left" w:pos="5716"/>
        </w:tabs>
        <w:jc w:val="both"/>
        <w:rPr>
          <w:rFonts w:ascii="Times New Roman" w:eastAsia="Times New Roman" w:hAnsi="Times New Roman" w:cs="Times New Roman"/>
          <w:sz w:val="24"/>
          <w:szCs w:val="24"/>
        </w:rPr>
      </w:pPr>
    </w:p>
    <w:p w:rsidR="00AF0A37" w:rsidRDefault="009D638E">
      <w:pPr>
        <w:tabs>
          <w:tab w:val="left" w:pos="571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Specifically, over the period observed: </w:t>
      </w:r>
    </w:p>
    <w:p w:rsidR="00AF0A37" w:rsidRDefault="00AF0A37">
      <w:pPr>
        <w:tabs>
          <w:tab w:val="left" w:pos="5716"/>
        </w:tabs>
        <w:jc w:val="both"/>
        <w:rPr>
          <w:rFonts w:ascii="Times New Roman" w:eastAsia="Times New Roman" w:hAnsi="Times New Roman" w:cs="Times New Roman"/>
          <w:sz w:val="24"/>
          <w:szCs w:val="24"/>
        </w:rPr>
      </w:pPr>
    </w:p>
    <w:p w:rsidR="00AF0A37" w:rsidRDefault="009D638E">
      <w:pPr>
        <w:tabs>
          <w:tab w:val="left" w:pos="571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 profit rose sharply from ₹67.07 crores in 2023 to ₹391.39 crores in 2025, indicating substantial financial growth. Meanwhile, the ESG Risk Score dropped from 23.2 to 12.3, showing a marked improv</w:t>
      </w:r>
      <w:r>
        <w:rPr>
          <w:rFonts w:ascii="Times New Roman" w:eastAsia="Times New Roman" w:hAnsi="Times New Roman" w:cs="Times New Roman"/>
          <w:sz w:val="24"/>
          <w:szCs w:val="24"/>
        </w:rPr>
        <w:t>ement in the company’s sustainability and governance performance.</w:t>
      </w:r>
    </w:p>
    <w:p w:rsidR="00AF0A37" w:rsidRDefault="00AF0A37">
      <w:pPr>
        <w:tabs>
          <w:tab w:val="left" w:pos="5716"/>
        </w:tabs>
        <w:jc w:val="both"/>
        <w:rPr>
          <w:rFonts w:ascii="Times New Roman" w:eastAsia="Times New Roman" w:hAnsi="Times New Roman" w:cs="Times New Roman"/>
          <w:sz w:val="24"/>
          <w:szCs w:val="24"/>
        </w:rPr>
      </w:pPr>
    </w:p>
    <w:p w:rsidR="00AF0A37" w:rsidRDefault="009D638E">
      <w:pPr>
        <w:tabs>
          <w:tab w:val="left" w:pos="571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trend suggests that higher profitability is associated with stronger ESG performance—likely due to better operational efficiency, more resources allocated toward sustainability practic</w:t>
      </w:r>
      <w:r>
        <w:rPr>
          <w:rFonts w:ascii="Times New Roman" w:eastAsia="Times New Roman" w:hAnsi="Times New Roman" w:cs="Times New Roman"/>
          <w:sz w:val="24"/>
          <w:szCs w:val="24"/>
        </w:rPr>
        <w:t>es, and improved risk management frameworks.</w:t>
      </w:r>
    </w:p>
    <w:p w:rsidR="00AF0A37" w:rsidRDefault="00AF0A37">
      <w:pPr>
        <w:tabs>
          <w:tab w:val="left" w:pos="5716"/>
        </w:tabs>
        <w:jc w:val="both"/>
        <w:rPr>
          <w:rFonts w:ascii="Times New Roman" w:eastAsia="Times New Roman" w:hAnsi="Times New Roman" w:cs="Times New Roman"/>
          <w:sz w:val="24"/>
          <w:szCs w:val="24"/>
        </w:rPr>
      </w:pPr>
    </w:p>
    <w:p w:rsidR="00AF0A37" w:rsidRDefault="00AF0A37">
      <w:pPr>
        <w:tabs>
          <w:tab w:val="left" w:pos="5716"/>
        </w:tabs>
        <w:jc w:val="both"/>
        <w:rPr>
          <w:rFonts w:ascii="Times New Roman" w:eastAsia="Times New Roman" w:hAnsi="Times New Roman" w:cs="Times New Roman"/>
          <w:sz w:val="24"/>
          <w:szCs w:val="24"/>
        </w:rPr>
      </w:pPr>
    </w:p>
    <w:p w:rsidR="00AF0A37" w:rsidRDefault="00AF0A37">
      <w:pPr>
        <w:tabs>
          <w:tab w:val="left" w:pos="1752"/>
        </w:tabs>
        <w:jc w:val="both"/>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AF0A37">
      <w:pPr>
        <w:tabs>
          <w:tab w:val="left" w:pos="1752"/>
        </w:tabs>
        <w:rPr>
          <w:rFonts w:ascii="Times New Roman" w:eastAsia="Times New Roman" w:hAnsi="Times New Roman" w:cs="Times New Roman"/>
          <w:sz w:val="24"/>
          <w:szCs w:val="24"/>
        </w:rPr>
      </w:pPr>
    </w:p>
    <w:p w:rsidR="00AF0A37" w:rsidRDefault="009D638E">
      <w:pPr>
        <w:tabs>
          <w:tab w:val="left" w:pos="1752"/>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REGRESSION</w:t>
      </w:r>
    </w:p>
    <w:p w:rsidR="00AF0A37" w:rsidRDefault="00AF0A37">
      <w:pPr>
        <w:tabs>
          <w:tab w:val="left" w:pos="1752"/>
        </w:tabs>
        <w:rPr>
          <w:rFonts w:ascii="Times New Roman" w:eastAsia="Times New Roman" w:hAnsi="Times New Roman" w:cs="Times New Roman"/>
          <w:sz w:val="24"/>
          <w:szCs w:val="24"/>
        </w:rPr>
      </w:pPr>
    </w:p>
    <w:p w:rsidR="00AF0A37" w:rsidRDefault="009D63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Profit in Crores</w:t>
      </w:r>
    </w:p>
    <w:p w:rsidR="00AF0A37" w:rsidRDefault="00AF0A37">
      <w:pPr>
        <w:rPr>
          <w:rFonts w:ascii="Times New Roman" w:eastAsia="Times New Roman" w:hAnsi="Times New Roman" w:cs="Times New Roman"/>
          <w:sz w:val="24"/>
          <w:szCs w:val="24"/>
        </w:rPr>
      </w:pPr>
    </w:p>
    <w:tbl>
      <w:tblPr>
        <w:tblStyle w:val="aff4"/>
        <w:tblW w:w="69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2154"/>
        <w:gridCol w:w="3826"/>
      </w:tblGrid>
      <w:tr w:rsidR="00AF0A37">
        <w:trPr>
          <w:trHeight w:val="288"/>
        </w:trPr>
        <w:tc>
          <w:tcPr>
            <w:tcW w:w="960" w:type="dxa"/>
            <w:vAlign w:val="bottom"/>
          </w:tcPr>
          <w:p w:rsidR="00AF0A37" w:rsidRDefault="009D638E">
            <w:pPr>
              <w:rPr>
                <w:rFonts w:ascii="Times New Roman" w:eastAsia="Times New Roman" w:hAnsi="Times New Roman" w:cs="Times New Roman"/>
              </w:rPr>
            </w:pPr>
            <w:r>
              <w:rPr>
                <w:rFonts w:ascii="Times New Roman" w:eastAsia="Times New Roman" w:hAnsi="Times New Roman" w:cs="Times New Roman"/>
              </w:rPr>
              <w:t>YEAR</w:t>
            </w:r>
          </w:p>
        </w:tc>
        <w:tc>
          <w:tcPr>
            <w:tcW w:w="2154" w:type="dxa"/>
            <w:vAlign w:val="bottom"/>
          </w:tcPr>
          <w:p w:rsidR="00AF0A37" w:rsidRDefault="009D638E">
            <w:pPr>
              <w:rPr>
                <w:rFonts w:ascii="Times New Roman" w:eastAsia="Times New Roman" w:hAnsi="Times New Roman" w:cs="Times New Roman"/>
              </w:rPr>
            </w:pPr>
            <w:r>
              <w:rPr>
                <w:rFonts w:ascii="Times New Roman" w:eastAsia="Times New Roman" w:hAnsi="Times New Roman" w:cs="Times New Roman"/>
              </w:rPr>
              <w:t>NET PROFIT</w:t>
            </w:r>
          </w:p>
        </w:tc>
        <w:tc>
          <w:tcPr>
            <w:tcW w:w="3827" w:type="dxa"/>
            <w:vAlign w:val="bottom"/>
          </w:tcPr>
          <w:p w:rsidR="00AF0A37" w:rsidRDefault="009D638E">
            <w:pPr>
              <w:rPr>
                <w:rFonts w:ascii="Times New Roman" w:eastAsia="Times New Roman" w:hAnsi="Times New Roman" w:cs="Times New Roman"/>
              </w:rPr>
            </w:pPr>
            <w:r>
              <w:rPr>
                <w:rFonts w:ascii="Times New Roman" w:eastAsia="Times New Roman" w:hAnsi="Times New Roman" w:cs="Times New Roman"/>
              </w:rPr>
              <w:t>ESG RISK SCORE</w:t>
            </w:r>
          </w:p>
        </w:tc>
      </w:tr>
      <w:tr w:rsidR="00AF0A37">
        <w:trPr>
          <w:trHeight w:val="288"/>
        </w:trPr>
        <w:tc>
          <w:tcPr>
            <w:tcW w:w="960"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2023</w:t>
            </w:r>
          </w:p>
        </w:tc>
        <w:tc>
          <w:tcPr>
            <w:tcW w:w="2154"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67.07</w:t>
            </w:r>
          </w:p>
        </w:tc>
        <w:tc>
          <w:tcPr>
            <w:tcW w:w="3827"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23.2</w:t>
            </w:r>
          </w:p>
        </w:tc>
      </w:tr>
      <w:tr w:rsidR="00AF0A37">
        <w:trPr>
          <w:trHeight w:val="288"/>
        </w:trPr>
        <w:tc>
          <w:tcPr>
            <w:tcW w:w="960"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2024</w:t>
            </w:r>
          </w:p>
        </w:tc>
        <w:tc>
          <w:tcPr>
            <w:tcW w:w="2154"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287.21</w:t>
            </w:r>
          </w:p>
        </w:tc>
        <w:tc>
          <w:tcPr>
            <w:tcW w:w="3827"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32</w:t>
            </w:r>
          </w:p>
        </w:tc>
      </w:tr>
      <w:tr w:rsidR="00AF0A37">
        <w:trPr>
          <w:trHeight w:val="288"/>
        </w:trPr>
        <w:tc>
          <w:tcPr>
            <w:tcW w:w="960"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2025</w:t>
            </w:r>
          </w:p>
        </w:tc>
        <w:tc>
          <w:tcPr>
            <w:tcW w:w="2154"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391.39</w:t>
            </w:r>
          </w:p>
        </w:tc>
        <w:tc>
          <w:tcPr>
            <w:tcW w:w="3827" w:type="dxa"/>
            <w:vAlign w:val="bottom"/>
          </w:tcPr>
          <w:p w:rsidR="00AF0A37" w:rsidRDefault="009D638E">
            <w:pPr>
              <w:jc w:val="right"/>
              <w:rPr>
                <w:rFonts w:ascii="Times New Roman" w:eastAsia="Times New Roman" w:hAnsi="Times New Roman" w:cs="Times New Roman"/>
              </w:rPr>
            </w:pPr>
            <w:r>
              <w:rPr>
                <w:rFonts w:ascii="Times New Roman" w:eastAsia="Times New Roman" w:hAnsi="Times New Roman" w:cs="Times New Roman"/>
              </w:rPr>
              <w:t>12.3</w:t>
            </w:r>
          </w:p>
        </w:tc>
      </w:tr>
    </w:tbl>
    <w:p w:rsidR="00AF0A37" w:rsidRDefault="00AF0A37">
      <w:pPr>
        <w:tabs>
          <w:tab w:val="left" w:pos="1752"/>
        </w:tabs>
        <w:jc w:val="both"/>
        <w:rPr>
          <w:rFonts w:ascii="Times New Roman" w:eastAsia="Times New Roman" w:hAnsi="Times New Roman" w:cs="Times New Roman"/>
          <w:sz w:val="24"/>
          <w:szCs w:val="24"/>
        </w:rPr>
      </w:pPr>
    </w:p>
    <w:p w:rsidR="00AF0A37" w:rsidRDefault="00AF0A37">
      <w:pPr>
        <w:tabs>
          <w:tab w:val="left" w:pos="1752"/>
        </w:tabs>
        <w:jc w:val="both"/>
        <w:rPr>
          <w:rFonts w:ascii="Times New Roman" w:eastAsia="Times New Roman" w:hAnsi="Times New Roman" w:cs="Times New Roman"/>
          <w:sz w:val="24"/>
          <w:szCs w:val="24"/>
        </w:rPr>
      </w:pP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noProof/>
          <w:lang w:val="en-IN"/>
        </w:rPr>
        <w:lastRenderedPageBreak/>
        <w:drawing>
          <wp:inline distT="0" distB="0" distL="0" distR="0">
            <wp:extent cx="6019800" cy="3124200"/>
            <wp:effectExtent l="0" t="0" r="0" b="0"/>
            <wp:docPr id="1302115741" name="Chart 13021157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F0A37" w:rsidRDefault="00AF0A37">
      <w:pPr>
        <w:tabs>
          <w:tab w:val="left" w:pos="1752"/>
        </w:tabs>
        <w:rPr>
          <w:rFonts w:ascii="Times New Roman" w:eastAsia="Times New Roman" w:hAnsi="Times New Roman" w:cs="Times New Roman"/>
          <w:sz w:val="24"/>
          <w:szCs w:val="24"/>
        </w:rPr>
      </w:pPr>
    </w:p>
    <w:p w:rsidR="00AF0A37" w:rsidRDefault="009D638E">
      <w:pPr>
        <w:tabs>
          <w:tab w:val="left" w:pos="1752"/>
        </w:tabs>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INTERPRETATION</w:t>
      </w:r>
    </w:p>
    <w:p w:rsidR="00AF0A37" w:rsidRDefault="00AF0A37">
      <w:pPr>
        <w:tabs>
          <w:tab w:val="left" w:pos="1752"/>
        </w:tabs>
        <w:rPr>
          <w:rFonts w:ascii="Times New Roman" w:eastAsia="Times New Roman" w:hAnsi="Times New Roman" w:cs="Times New Roman"/>
          <w:sz w:val="24"/>
          <w:szCs w:val="24"/>
        </w:rPr>
      </w:pPr>
    </w:p>
    <w:p w:rsidR="00AF0A37" w:rsidRDefault="009D638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regression equation is:</w:t>
      </w:r>
    </w:p>
    <w:p w:rsidR="00AF0A37" w:rsidRDefault="00AF0A37">
      <w:pPr>
        <w:rPr>
          <w:rFonts w:ascii="Times New Roman" w:eastAsia="Times New Roman" w:hAnsi="Times New Roman" w:cs="Times New Roman"/>
          <w:sz w:val="24"/>
          <w:szCs w:val="24"/>
        </w:rPr>
      </w:pPr>
    </w:p>
    <w:p w:rsidR="00AF0A37" w:rsidRDefault="009D638E">
      <w:pPr>
        <w:rPr>
          <w:rFonts w:ascii="Times New Roman" w:eastAsia="Times New Roman" w:hAnsi="Times New Roman" w:cs="Times New Roman"/>
          <w:sz w:val="24"/>
          <w:szCs w:val="24"/>
        </w:rPr>
      </w:pPr>
      <w:r>
        <w:rPr>
          <w:rFonts w:ascii="Times New Roman" w:eastAsia="Times New Roman" w:hAnsi="Times New Roman" w:cs="Times New Roman"/>
          <w:sz w:val="24"/>
          <w:szCs w:val="24"/>
        </w:rPr>
        <w:t>ESG Risk Score = -0.0222 × Net Profit + 28.015</w:t>
      </w:r>
    </w:p>
    <w:p w:rsidR="00AF0A37" w:rsidRDefault="00AF0A37">
      <w:pPr>
        <w:rPr>
          <w:rFonts w:ascii="Times New Roman" w:eastAsia="Times New Roman" w:hAnsi="Times New Roman" w:cs="Times New Roman"/>
          <w:sz w:val="24"/>
          <w:szCs w:val="24"/>
        </w:rPr>
      </w:pPr>
    </w:p>
    <w:p w:rsidR="00AF0A37" w:rsidRDefault="009D638E">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an R² value of 0.1386.</w:t>
      </w:r>
    </w:p>
    <w:p w:rsidR="00AF0A37" w:rsidRDefault="00AF0A37">
      <w:pPr>
        <w:rPr>
          <w:rFonts w:ascii="Times New Roman" w:eastAsia="Times New Roman" w:hAnsi="Times New Roman" w:cs="Times New Roman"/>
          <w:sz w:val="24"/>
          <w:szCs w:val="24"/>
        </w:rPr>
      </w:pPr>
    </w:p>
    <w:p w:rsidR="00AF0A37" w:rsidRDefault="009D638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indicates a negative relationship between Net Profit and ESG Risk Score — as the company’s profitability increases, its ESG (En</w:t>
      </w:r>
      <w:r>
        <w:rPr>
          <w:rFonts w:ascii="Times New Roman" w:eastAsia="Times New Roman" w:hAnsi="Times New Roman" w:cs="Times New Roman"/>
          <w:sz w:val="24"/>
          <w:szCs w:val="24"/>
        </w:rPr>
        <w:t>vironmental, Social, and Governance) risk tends to decrease.</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Specifically, between 2023 and 2025, </w:t>
      </w: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JSW Infrastructure’s Net Profit increased significantly from ₹67.07 crore to ₹391.39 crore, while its ESG Risk Score reduced from 23.2 to 12.3. </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trend suggests that as the company improved its financial performance, it likely also enhanced its sustainability practices or governance quality, resulting in lower ESG-related risks.</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R² value of 0.1386 (13.86%) means that only a small </w:t>
      </w:r>
      <w:r>
        <w:rPr>
          <w:rFonts w:ascii="Times New Roman" w:eastAsia="Times New Roman" w:hAnsi="Times New Roman" w:cs="Times New Roman"/>
          <w:sz w:val="24"/>
          <w:szCs w:val="24"/>
        </w:rPr>
        <w:t>portion of the variation in ESG Risk Score is explained by Net Profit alone. Other factors — such as environmental policies, social impact initiatives, or external ratings methodology — also play important roles.</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Insights</w:t>
      </w:r>
    </w:p>
    <w:p w:rsidR="00AF0A37" w:rsidRDefault="00AF0A37">
      <w:pPr>
        <w:jc w:val="both"/>
        <w:rPr>
          <w:rFonts w:ascii="Times New Roman" w:eastAsia="Times New Roman" w:hAnsi="Times New Roman" w:cs="Times New Roman"/>
          <w:sz w:val="24"/>
          <w:szCs w:val="24"/>
        </w:rPr>
      </w:pPr>
    </w:p>
    <w:p w:rsidR="00AF0A37" w:rsidRDefault="009D638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is a negative relation</w:t>
      </w:r>
      <w:r>
        <w:rPr>
          <w:rFonts w:ascii="Times New Roman" w:eastAsia="Times New Roman" w:hAnsi="Times New Roman" w:cs="Times New Roman"/>
          <w:sz w:val="24"/>
          <w:szCs w:val="24"/>
        </w:rPr>
        <w:t>ship between Net Profit and ESG Risk Score — as profits rise, ESG risk tends to decline.</w:t>
      </w:r>
    </w:p>
    <w:p w:rsidR="00AF0A37" w:rsidRDefault="00AF0A37">
      <w:pPr>
        <w:jc w:val="both"/>
        <w:rPr>
          <w:rFonts w:ascii="Times New Roman" w:eastAsia="Times New Roman" w:hAnsi="Times New Roman" w:cs="Times New Roman"/>
          <w:sz w:val="24"/>
          <w:szCs w:val="24"/>
        </w:rPr>
      </w:pPr>
    </w:p>
    <w:p w:rsidR="00AF0A37" w:rsidRDefault="009D638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 Profit was also rising in the timeframe of 2023-2025, with the figure growing at 67.07 to 391.39 crores. Risk Score had decreased to 12.3 and 23.2, which means th</w:t>
      </w:r>
      <w:r>
        <w:rPr>
          <w:rFonts w:ascii="Times New Roman" w:eastAsia="Times New Roman" w:hAnsi="Times New Roman" w:cs="Times New Roman"/>
          <w:sz w:val="24"/>
          <w:szCs w:val="24"/>
        </w:rPr>
        <w:t>at the sustainability performance improved.</w:t>
      </w:r>
    </w:p>
    <w:p w:rsidR="00AF0A37" w:rsidRDefault="00AF0A37">
      <w:pPr>
        <w:jc w:val="both"/>
        <w:rPr>
          <w:rFonts w:ascii="Times New Roman" w:eastAsia="Times New Roman" w:hAnsi="Times New Roman" w:cs="Times New Roman"/>
          <w:sz w:val="24"/>
          <w:szCs w:val="24"/>
        </w:rPr>
      </w:pPr>
    </w:p>
    <w:p w:rsidR="00AF0A37" w:rsidRDefault="009D638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regression equation (ESG Risk Score = -0.0222 × Net Profit + 28.015) shows that higher profitability is associated with lower ESG risk.</w:t>
      </w:r>
    </w:p>
    <w:p w:rsidR="00AF0A37" w:rsidRDefault="00AF0A37">
      <w:pPr>
        <w:jc w:val="both"/>
        <w:rPr>
          <w:rFonts w:ascii="Times New Roman" w:eastAsia="Times New Roman" w:hAnsi="Times New Roman" w:cs="Times New Roman"/>
          <w:sz w:val="24"/>
          <w:szCs w:val="24"/>
        </w:rPr>
      </w:pPr>
    </w:p>
    <w:p w:rsidR="00AF0A37" w:rsidRDefault="009D638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R² value of 0.1386 suggests that only around 14% of ESG v</w:t>
      </w:r>
      <w:r>
        <w:rPr>
          <w:rFonts w:ascii="Times New Roman" w:eastAsia="Times New Roman" w:hAnsi="Times New Roman" w:cs="Times New Roman"/>
          <w:sz w:val="24"/>
          <w:szCs w:val="24"/>
        </w:rPr>
        <w:t>ariation is explained by profit; other operational, environmental, and governance factors also influence ESG risk.</w:t>
      </w:r>
    </w:p>
    <w:p w:rsidR="00AF0A37" w:rsidRDefault="00AF0A37">
      <w:pPr>
        <w:tabs>
          <w:tab w:val="left" w:pos="1752"/>
        </w:tabs>
        <w:jc w:val="both"/>
        <w:rPr>
          <w:rFonts w:ascii="Times New Roman" w:eastAsia="Times New Roman" w:hAnsi="Times New Roman" w:cs="Times New Roman"/>
          <w:b/>
          <w:bCs/>
          <w:sz w:val="24"/>
          <w:szCs w:val="24"/>
        </w:rPr>
      </w:pPr>
    </w:p>
    <w:p w:rsidR="00AF0A37" w:rsidRDefault="009D638E">
      <w:pPr>
        <w:tabs>
          <w:tab w:val="left" w:pos="1752"/>
        </w:tabs>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FINDINGS</w:t>
      </w:r>
    </w:p>
    <w:p w:rsidR="00AF0A37" w:rsidRDefault="00AF0A37">
      <w:pPr>
        <w:tabs>
          <w:tab w:val="left" w:pos="1752"/>
        </w:tabs>
        <w:jc w:val="both"/>
        <w:rPr>
          <w:rFonts w:ascii="Times New Roman" w:eastAsia="Times New Roman" w:hAnsi="Times New Roman" w:cs="Times New Roman"/>
          <w:b/>
          <w:bCs/>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Ratio Analysis (Profitability, Efficiency, and Valuation Ratios) </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profitability ratios indicate steady improvement in the com</w:t>
      </w:r>
      <w:r>
        <w:rPr>
          <w:rFonts w:ascii="Times New Roman" w:eastAsia="Times New Roman" w:hAnsi="Times New Roman" w:cs="Times New Roman"/>
          <w:sz w:val="24"/>
          <w:szCs w:val="24"/>
        </w:rPr>
        <w:t>pany’s earning capacity over the study period, supported by consistent growth in net profit and efficient cost management.</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Efficiency ratios show effective utilization of assets, with better turnover of working capital and improved collection efficiency.</w:t>
      </w:r>
      <w:r>
        <w:rPr>
          <w:rFonts w:ascii="Times New Roman" w:eastAsia="Times New Roman" w:hAnsi="Times New Roman" w:cs="Times New Roman"/>
          <w:sz w:val="24"/>
          <w:szCs w:val="24"/>
        </w:rPr>
        <w:t xml:space="preserve"> </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Valuation ratios highlight increasing investor confidence, reflecting the company’s strengthening financial position and market value over time. </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JSW Infrastructure demonstrated sustained operational and financial efficiency, contributing to l</w:t>
      </w:r>
      <w:r>
        <w:rPr>
          <w:rFonts w:ascii="Times New Roman" w:eastAsia="Times New Roman" w:hAnsi="Times New Roman" w:cs="Times New Roman"/>
          <w:sz w:val="24"/>
          <w:szCs w:val="24"/>
        </w:rPr>
        <w:t>ong-term stability and profitability.</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Correlation Analysis </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correlation coefficient between Net Profit and ESG Risk Score was –0.37, indicating a moderate negative relationship.</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means that as JSW Infrastructure’s profits increased, its ESG risk decreased— suggesting that better financial performance was accompanied by improved sustainability and governance practices. </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negative correlation reinforces that financially str</w:t>
      </w:r>
      <w:r>
        <w:rPr>
          <w:rFonts w:ascii="Times New Roman" w:eastAsia="Times New Roman" w:hAnsi="Times New Roman" w:cs="Times New Roman"/>
          <w:sz w:val="24"/>
          <w:szCs w:val="24"/>
        </w:rPr>
        <w:t>ong companies tend to invest more effectively in ESG initiatives, leading to reduced environmental and social risks.</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Regression Analysis </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regression equation (ESG Risk Score = –0.0222 × Net Profit + 28.015) confirmed a negative relationship between E</w:t>
      </w:r>
      <w:r>
        <w:rPr>
          <w:rFonts w:ascii="Times New Roman" w:eastAsia="Times New Roman" w:hAnsi="Times New Roman" w:cs="Times New Roman"/>
          <w:sz w:val="24"/>
          <w:szCs w:val="24"/>
        </w:rPr>
        <w:t xml:space="preserve">SG risk and profitability. </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R² value of 0.1386 (13.86%) shows that profitability explains a small but meaningful part of ESG risk variation—indicating that while profit growth aligns with better ESG outcomes, other operational and policy factors also play major roles. </w:t>
      </w:r>
    </w:p>
    <w:p w:rsidR="00AF0A37" w:rsidRDefault="00AF0A37">
      <w:pPr>
        <w:tabs>
          <w:tab w:val="left" w:pos="1752"/>
        </w:tabs>
        <w:jc w:val="both"/>
        <w:rPr>
          <w:rFonts w:ascii="Times New Roman" w:eastAsia="Times New Roman" w:hAnsi="Times New Roman" w:cs="Times New Roman"/>
          <w:sz w:val="24"/>
          <w:szCs w:val="24"/>
        </w:rPr>
      </w:pPr>
    </w:p>
    <w:p w:rsidR="00AF0A37" w:rsidRDefault="009D638E">
      <w:pPr>
        <w:tabs>
          <w:tab w:val="left" w:pos="17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w:t>
      </w:r>
      <w:r>
        <w:rPr>
          <w:rFonts w:ascii="Times New Roman" w:eastAsia="Times New Roman" w:hAnsi="Times New Roman" w:cs="Times New Roman"/>
          <w:sz w:val="24"/>
          <w:szCs w:val="24"/>
        </w:rPr>
        <w:t>ts suggest that as JSW Infrastructure improved its profits between 2023 and 2025, it simultaneously enhanced its ESG standards, contributing to lower overall risk and stronger long-term sustainability.</w:t>
      </w:r>
    </w:p>
    <w:p w:rsidR="00AF0A37" w:rsidRDefault="00AF0A37">
      <w:pPr>
        <w:tabs>
          <w:tab w:val="left" w:pos="1752"/>
        </w:tabs>
        <w:rPr>
          <w:rFonts w:ascii="Times New Roman" w:eastAsia="Times New Roman" w:hAnsi="Times New Roman" w:cs="Times New Roman"/>
          <w:b/>
          <w:bCs/>
          <w:sz w:val="24"/>
          <w:szCs w:val="24"/>
        </w:rPr>
      </w:pPr>
    </w:p>
    <w:p w:rsidR="00AF0A37" w:rsidRDefault="009D638E">
      <w:pPr>
        <w:tabs>
          <w:tab w:val="left" w:pos="1752"/>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SUGGESTIONS</w:t>
      </w:r>
    </w:p>
    <w:p w:rsidR="00AF0A37" w:rsidRDefault="00AF0A37">
      <w:pPr>
        <w:tabs>
          <w:tab w:val="left" w:pos="1752"/>
        </w:tabs>
        <w:rPr>
          <w:rFonts w:ascii="Times New Roman" w:eastAsia="Times New Roman" w:hAnsi="Times New Roman" w:cs="Times New Roman"/>
          <w:b/>
          <w:bCs/>
          <w:sz w:val="24"/>
          <w:szCs w:val="24"/>
        </w:rPr>
      </w:pPr>
    </w:p>
    <w:p w:rsidR="00AF0A37" w:rsidRDefault="009D638E">
      <w:pPr>
        <w:numPr>
          <w:ilvl w:val="0"/>
          <w:numId w:val="1"/>
        </w:numPr>
        <w:pBdr>
          <w:top w:val="nil"/>
          <w:left w:val="nil"/>
          <w:bottom w:val="nil"/>
          <w:right w:val="nil"/>
          <w:between w:val="nil"/>
        </w:pBdr>
        <w:tabs>
          <w:tab w:val="left" w:pos="1752"/>
        </w:tabs>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 ESG Integration into Core Strate</w:t>
      </w:r>
      <w:r>
        <w:rPr>
          <w:rFonts w:ascii="Times New Roman" w:eastAsia="Times New Roman" w:hAnsi="Times New Roman" w:cs="Times New Roman"/>
          <w:color w:val="000000"/>
          <w:sz w:val="24"/>
          <w:szCs w:val="24"/>
        </w:rPr>
        <w:t xml:space="preserve">gy: </w:t>
      </w:r>
    </w:p>
    <w:p w:rsidR="00AF0A37" w:rsidRDefault="009D638E">
      <w:pPr>
        <w:tabs>
          <w:tab w:val="left" w:pos="1752"/>
        </w:tabs>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moderate negative relationship between ESG risk and profitability indicates that financial success supports better ESG outcomes. JSW Infrastructure should further integrate ESG principles into its business strategy by investing in cleaner technologies,</w:t>
      </w:r>
      <w:r>
        <w:rPr>
          <w:rFonts w:ascii="Times New Roman" w:eastAsia="Times New Roman" w:hAnsi="Times New Roman" w:cs="Times New Roman"/>
          <w:sz w:val="24"/>
          <w:szCs w:val="24"/>
        </w:rPr>
        <w:t xml:space="preserve"> renewable energy use, and sustainable port operations to sustain long-term growth. </w:t>
      </w:r>
    </w:p>
    <w:p w:rsidR="00AF0A37" w:rsidRDefault="00AF0A37">
      <w:pPr>
        <w:tabs>
          <w:tab w:val="left" w:pos="1752"/>
        </w:tabs>
        <w:ind w:left="360"/>
        <w:jc w:val="both"/>
        <w:rPr>
          <w:rFonts w:ascii="Times New Roman" w:eastAsia="Times New Roman" w:hAnsi="Times New Roman" w:cs="Times New Roman"/>
          <w:sz w:val="24"/>
          <w:szCs w:val="24"/>
        </w:rPr>
      </w:pPr>
    </w:p>
    <w:p w:rsidR="00AF0A37" w:rsidRDefault="009D638E">
      <w:pPr>
        <w:numPr>
          <w:ilvl w:val="0"/>
          <w:numId w:val="1"/>
        </w:numPr>
        <w:pBdr>
          <w:top w:val="nil"/>
          <w:left w:val="nil"/>
          <w:bottom w:val="nil"/>
          <w:right w:val="nil"/>
          <w:between w:val="nil"/>
        </w:pBdr>
        <w:tabs>
          <w:tab w:val="left" w:pos="1752"/>
        </w:tabs>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Improve Operational Efficiency:</w:t>
      </w:r>
    </w:p>
    <w:p w:rsidR="00AF0A37" w:rsidRDefault="009D638E">
      <w:pPr>
        <w:tabs>
          <w:tab w:val="left" w:pos="1752"/>
        </w:tabs>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Common-size and ratio analyses reveal scope for improvement in operating expense management. The company should adopt process automation</w:t>
      </w:r>
      <w:r>
        <w:rPr>
          <w:rFonts w:ascii="Times New Roman" w:eastAsia="Times New Roman" w:hAnsi="Times New Roman" w:cs="Times New Roman"/>
          <w:sz w:val="24"/>
          <w:szCs w:val="24"/>
        </w:rPr>
        <w:t xml:space="preserve">, better resource utilization, and digital systems to reduce operating and administrative costs while improving service efficiency. </w:t>
      </w:r>
    </w:p>
    <w:p w:rsidR="00AF0A37" w:rsidRDefault="009D638E">
      <w:pPr>
        <w:numPr>
          <w:ilvl w:val="0"/>
          <w:numId w:val="1"/>
        </w:numPr>
        <w:pBdr>
          <w:top w:val="nil"/>
          <w:left w:val="nil"/>
          <w:bottom w:val="nil"/>
          <w:right w:val="nil"/>
          <w:between w:val="nil"/>
        </w:pBdr>
        <w:tabs>
          <w:tab w:val="left" w:pos="1752"/>
        </w:tabs>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Increase Transparency and ESG Reporting:</w:t>
      </w:r>
    </w:p>
    <w:p w:rsidR="00AF0A37" w:rsidRDefault="009D638E">
      <w:pPr>
        <w:tabs>
          <w:tab w:val="left" w:pos="1752"/>
        </w:tabs>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Expanding the scope and quality of ESG disclosures can strengthen stakeholder co</w:t>
      </w:r>
      <w:r>
        <w:rPr>
          <w:rFonts w:ascii="Times New Roman" w:eastAsia="Times New Roman" w:hAnsi="Times New Roman" w:cs="Times New Roman"/>
          <w:sz w:val="24"/>
          <w:szCs w:val="24"/>
        </w:rPr>
        <w:t xml:space="preserve">nfidence and attract responsible investors. Clear reporting on sustainability goals, carbon reduction, community development, and governance practices will enhance the company’s market credibility. </w:t>
      </w:r>
    </w:p>
    <w:p w:rsidR="00AF0A37" w:rsidRDefault="00AF0A37">
      <w:pPr>
        <w:tabs>
          <w:tab w:val="left" w:pos="1752"/>
        </w:tabs>
        <w:ind w:left="360"/>
        <w:jc w:val="both"/>
        <w:rPr>
          <w:rFonts w:ascii="Times New Roman" w:eastAsia="Times New Roman" w:hAnsi="Times New Roman" w:cs="Times New Roman"/>
          <w:sz w:val="24"/>
          <w:szCs w:val="24"/>
        </w:rPr>
      </w:pPr>
    </w:p>
    <w:p w:rsidR="00AF0A37" w:rsidRDefault="009D638E">
      <w:pPr>
        <w:numPr>
          <w:ilvl w:val="0"/>
          <w:numId w:val="1"/>
        </w:numPr>
        <w:pBdr>
          <w:top w:val="nil"/>
          <w:left w:val="nil"/>
          <w:bottom w:val="nil"/>
          <w:right w:val="nil"/>
          <w:between w:val="nil"/>
        </w:pBdr>
        <w:tabs>
          <w:tab w:val="left" w:pos="1752"/>
        </w:tabs>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Diversify Income Sources: </w:t>
      </w:r>
    </w:p>
    <w:p w:rsidR="00AF0A37" w:rsidRDefault="009D638E">
      <w:pPr>
        <w:tabs>
          <w:tab w:val="left" w:pos="1752"/>
        </w:tabs>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financial statements show</w:t>
      </w:r>
      <w:r>
        <w:rPr>
          <w:rFonts w:ascii="Times New Roman" w:eastAsia="Times New Roman" w:hAnsi="Times New Roman" w:cs="Times New Roman"/>
          <w:sz w:val="24"/>
          <w:szCs w:val="24"/>
        </w:rPr>
        <w:t xml:space="preserve"> reliance on core operations for revenue. The company can explore value-added logistics services, green infrastructure projects, and digital port solutions to diversify revenue streams and strengthen financial resilience.</w:t>
      </w:r>
    </w:p>
    <w:p w:rsidR="00AF0A37" w:rsidRDefault="00AF0A37">
      <w:pPr>
        <w:tabs>
          <w:tab w:val="left" w:pos="1752"/>
        </w:tabs>
        <w:ind w:left="360"/>
        <w:jc w:val="both"/>
        <w:rPr>
          <w:rFonts w:ascii="Times New Roman" w:eastAsia="Times New Roman" w:hAnsi="Times New Roman" w:cs="Times New Roman"/>
          <w:sz w:val="24"/>
          <w:szCs w:val="24"/>
        </w:rPr>
      </w:pPr>
    </w:p>
    <w:p w:rsidR="00AF0A37" w:rsidRDefault="009D638E">
      <w:pPr>
        <w:numPr>
          <w:ilvl w:val="0"/>
          <w:numId w:val="1"/>
        </w:numPr>
        <w:pBdr>
          <w:top w:val="nil"/>
          <w:left w:val="nil"/>
          <w:bottom w:val="nil"/>
          <w:right w:val="nil"/>
          <w:between w:val="nil"/>
        </w:pBdr>
        <w:tabs>
          <w:tab w:val="left" w:pos="1752"/>
        </w:tabs>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Sustain Profit–ESG Synergy: </w:t>
      </w:r>
    </w:p>
    <w:p w:rsidR="00AF0A37" w:rsidRDefault="009D638E">
      <w:pPr>
        <w:tabs>
          <w:tab w:val="left" w:pos="1752"/>
        </w:tabs>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regression and correlation results show that profitability and ESG performance move in a complementary direction. The company should continue to align profit generation with sustainable practices to maintain this positive synergy and ensure long-term stake</w:t>
      </w:r>
      <w:r>
        <w:rPr>
          <w:rFonts w:ascii="Times New Roman" w:eastAsia="Times New Roman" w:hAnsi="Times New Roman" w:cs="Times New Roman"/>
          <w:sz w:val="24"/>
          <w:szCs w:val="24"/>
        </w:rPr>
        <w:t xml:space="preserve">holder value creation. </w:t>
      </w:r>
    </w:p>
    <w:p w:rsidR="00AF0A37" w:rsidRDefault="00AF0A37">
      <w:pPr>
        <w:tabs>
          <w:tab w:val="left" w:pos="1752"/>
        </w:tabs>
        <w:ind w:left="360"/>
        <w:jc w:val="both"/>
        <w:rPr>
          <w:rFonts w:ascii="Times New Roman" w:eastAsia="Times New Roman" w:hAnsi="Times New Roman" w:cs="Times New Roman"/>
          <w:sz w:val="24"/>
          <w:szCs w:val="24"/>
        </w:rPr>
      </w:pPr>
    </w:p>
    <w:p w:rsidR="00AF0A37" w:rsidRDefault="009D638E">
      <w:pPr>
        <w:numPr>
          <w:ilvl w:val="0"/>
          <w:numId w:val="1"/>
        </w:numPr>
        <w:pBdr>
          <w:top w:val="nil"/>
          <w:left w:val="nil"/>
          <w:bottom w:val="nil"/>
          <w:right w:val="nil"/>
          <w:between w:val="nil"/>
        </w:pBdr>
        <w:tabs>
          <w:tab w:val="left" w:pos="1752"/>
        </w:tabs>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Foster Innovation for Sustainable Growth: </w:t>
      </w:r>
    </w:p>
    <w:p w:rsidR="00AF0A37" w:rsidRDefault="009D638E">
      <w:pPr>
        <w:tabs>
          <w:tab w:val="left" w:pos="1752"/>
        </w:tabs>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should encourage innovation in operational and environmental practices, such as adopting smart port technologies and energy-efficient systems. Innovative approaches can enhance</w:t>
      </w:r>
      <w:r>
        <w:rPr>
          <w:rFonts w:ascii="Times New Roman" w:eastAsia="Times New Roman" w:hAnsi="Times New Roman" w:cs="Times New Roman"/>
          <w:sz w:val="24"/>
          <w:szCs w:val="24"/>
        </w:rPr>
        <w:t xml:space="preserve"> performance while reducing environmental impact. </w:t>
      </w:r>
    </w:p>
    <w:p w:rsidR="00AF0A37" w:rsidRDefault="00AF0A37">
      <w:pPr>
        <w:tabs>
          <w:tab w:val="left" w:pos="1752"/>
        </w:tabs>
        <w:ind w:left="360"/>
        <w:jc w:val="both"/>
        <w:rPr>
          <w:rFonts w:ascii="Times New Roman" w:eastAsia="Times New Roman" w:hAnsi="Times New Roman" w:cs="Times New Roman"/>
          <w:sz w:val="24"/>
          <w:szCs w:val="24"/>
        </w:rPr>
      </w:pPr>
    </w:p>
    <w:p w:rsidR="00AF0A37" w:rsidRDefault="009D638E">
      <w:pPr>
        <w:numPr>
          <w:ilvl w:val="0"/>
          <w:numId w:val="1"/>
        </w:numPr>
        <w:pBdr>
          <w:top w:val="nil"/>
          <w:left w:val="nil"/>
          <w:bottom w:val="nil"/>
          <w:right w:val="nil"/>
          <w:between w:val="nil"/>
        </w:pBdr>
        <w:tabs>
          <w:tab w:val="left" w:pos="1752"/>
        </w:tabs>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Enhance Employee Welfare and Skill Development: </w:t>
      </w:r>
    </w:p>
    <w:p w:rsidR="00AF0A37" w:rsidRDefault="009D638E">
      <w:pPr>
        <w:tabs>
          <w:tab w:val="left" w:pos="1752"/>
        </w:tabs>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Improving employee welfare, training, and skill development can increase productivity and strengthen the social dimension of ESG performance. A motivated a</w:t>
      </w:r>
      <w:r>
        <w:rPr>
          <w:rFonts w:ascii="Times New Roman" w:eastAsia="Times New Roman" w:hAnsi="Times New Roman" w:cs="Times New Roman"/>
          <w:sz w:val="24"/>
          <w:szCs w:val="24"/>
        </w:rPr>
        <w:t xml:space="preserve">nd skilled workforce contributes directly to higher efficiency and organizational sustainability. </w:t>
      </w:r>
    </w:p>
    <w:p w:rsidR="00AF0A37" w:rsidRDefault="00AF0A37">
      <w:pPr>
        <w:tabs>
          <w:tab w:val="left" w:pos="1752"/>
        </w:tabs>
        <w:ind w:left="360"/>
        <w:jc w:val="both"/>
        <w:rPr>
          <w:rFonts w:ascii="Times New Roman" w:eastAsia="Times New Roman" w:hAnsi="Times New Roman" w:cs="Times New Roman"/>
          <w:sz w:val="24"/>
          <w:szCs w:val="24"/>
        </w:rPr>
      </w:pPr>
    </w:p>
    <w:p w:rsidR="00AF0A37" w:rsidRDefault="009D638E">
      <w:pPr>
        <w:numPr>
          <w:ilvl w:val="0"/>
          <w:numId w:val="1"/>
        </w:numPr>
        <w:pBdr>
          <w:top w:val="nil"/>
          <w:left w:val="nil"/>
          <w:bottom w:val="nil"/>
          <w:right w:val="nil"/>
          <w:between w:val="nil"/>
        </w:pBdr>
        <w:tabs>
          <w:tab w:val="left" w:pos="1752"/>
        </w:tabs>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Strengthen Stakeholder Engagement: </w:t>
      </w:r>
    </w:p>
    <w:p w:rsidR="00AF0A37" w:rsidRDefault="009D638E">
      <w:pPr>
        <w:tabs>
          <w:tab w:val="left" w:pos="1752"/>
        </w:tabs>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JSW Infrastructure should actively collaborate with stakeholders — including investors, local communities, and environme</w:t>
      </w:r>
      <w:r>
        <w:rPr>
          <w:rFonts w:ascii="Times New Roman" w:eastAsia="Times New Roman" w:hAnsi="Times New Roman" w:cs="Times New Roman"/>
          <w:sz w:val="24"/>
          <w:szCs w:val="24"/>
        </w:rPr>
        <w:t>ntal agencies — to align business goals with broader sustainability objectives. This engagement builds trust and reinforces the company’s commitment to responsible growth.</w:t>
      </w:r>
    </w:p>
    <w:p w:rsidR="00AF0A37" w:rsidRDefault="00AF0A37">
      <w:pPr>
        <w:tabs>
          <w:tab w:val="left" w:pos="1752"/>
        </w:tabs>
        <w:ind w:left="360"/>
        <w:jc w:val="both"/>
        <w:rPr>
          <w:rFonts w:ascii="Times New Roman" w:eastAsia="Times New Roman" w:hAnsi="Times New Roman" w:cs="Times New Roman"/>
          <w:sz w:val="24"/>
          <w:szCs w:val="24"/>
        </w:rPr>
      </w:pPr>
    </w:p>
    <w:p w:rsidR="00AF0A37" w:rsidRDefault="009D638E">
      <w:pPr>
        <w:tabs>
          <w:tab w:val="left" w:pos="1752"/>
        </w:tabs>
        <w:ind w:left="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 OF THE STUDY</w:t>
      </w:r>
    </w:p>
    <w:p w:rsidR="00AF0A37" w:rsidRDefault="00AF0A37">
      <w:pPr>
        <w:tabs>
          <w:tab w:val="left" w:pos="1752"/>
        </w:tabs>
        <w:ind w:left="360"/>
        <w:jc w:val="both"/>
        <w:rPr>
          <w:rFonts w:ascii="Times New Roman" w:eastAsia="Times New Roman" w:hAnsi="Times New Roman" w:cs="Times New Roman"/>
          <w:b/>
          <w:bCs/>
          <w:sz w:val="24"/>
          <w:szCs w:val="24"/>
        </w:rPr>
      </w:pPr>
    </w:p>
    <w:p w:rsidR="00AF0A37" w:rsidRDefault="009D638E">
      <w:pPr>
        <w:tabs>
          <w:tab w:val="left" w:pos="1752"/>
        </w:tabs>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examined the relationship between Environmental, Social, and Governance (ESG) performance and the financial performance of JSW Infrastructure Ltd. using both accounting and statistical tools. The analysis of financial ratios, comparative balance </w:t>
      </w:r>
      <w:r>
        <w:rPr>
          <w:rFonts w:ascii="Times New Roman" w:eastAsia="Times New Roman" w:hAnsi="Times New Roman" w:cs="Times New Roman"/>
          <w:sz w:val="24"/>
          <w:szCs w:val="24"/>
        </w:rPr>
        <w:t>sheets, and common-size statements revealed that the company has shown consistent growth in assets, revenue, and profitability, supported by efficient operations and better cost control. However, high finance costs occasionally affected margins, highlighti</w:t>
      </w:r>
      <w:r>
        <w:rPr>
          <w:rFonts w:ascii="Times New Roman" w:eastAsia="Times New Roman" w:hAnsi="Times New Roman" w:cs="Times New Roman"/>
          <w:sz w:val="24"/>
          <w:szCs w:val="24"/>
        </w:rPr>
        <w:t xml:space="preserve">ng the need for stronger debt management. The correlation and regression analyses indicated a moderate negative relationship between ESG risk scores and profitability, suggesting that as the company’s financial performance improves, its ESG risk declines. </w:t>
      </w:r>
      <w:r>
        <w:rPr>
          <w:rFonts w:ascii="Times New Roman" w:eastAsia="Times New Roman" w:hAnsi="Times New Roman" w:cs="Times New Roman"/>
          <w:sz w:val="24"/>
          <w:szCs w:val="24"/>
        </w:rPr>
        <w:t>This finding demonstrates that financial strength enables greater investment in sustainable and responsible business practices. Overall, the study concludes that ESG and financial performance are interlinked—companies that actively integrate sustainability</w:t>
      </w:r>
      <w:r>
        <w:rPr>
          <w:rFonts w:ascii="Times New Roman" w:eastAsia="Times New Roman" w:hAnsi="Times New Roman" w:cs="Times New Roman"/>
          <w:sz w:val="24"/>
          <w:szCs w:val="24"/>
        </w:rPr>
        <w:t xml:space="preserve"> and governance principles into their operations are more likely to achieve long-term profitability, resilience, and stakeholder trust.</w:t>
      </w:r>
    </w:p>
    <w:p w:rsidR="00AF0A37" w:rsidRDefault="00AF0A37">
      <w:pPr>
        <w:tabs>
          <w:tab w:val="left" w:pos="1752"/>
        </w:tabs>
        <w:ind w:left="360"/>
        <w:jc w:val="both"/>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b/>
          <w:bCs/>
          <w:sz w:val="24"/>
          <w:szCs w:val="24"/>
        </w:rPr>
      </w:pPr>
      <w:bookmarkStart w:id="2" w:name="_heading=h.qlmjcnhukvj0" w:colFirst="0" w:colLast="0"/>
      <w:bookmarkEnd w:id="2"/>
      <w:r>
        <w:rPr>
          <w:rFonts w:ascii="Times New Roman" w:eastAsia="Times New Roman" w:hAnsi="Times New Roman" w:cs="Times New Roman"/>
          <w:b/>
          <w:bCs/>
          <w:sz w:val="24"/>
          <w:szCs w:val="24"/>
        </w:rPr>
        <w:lastRenderedPageBreak/>
        <w:t>BIBLIOGRAPHY</w:t>
      </w:r>
    </w:p>
    <w:p w:rsidR="00AF0A37" w:rsidRDefault="00AF0A37">
      <w:pPr>
        <w:tabs>
          <w:tab w:val="left" w:pos="1752"/>
        </w:tabs>
        <w:ind w:left="360"/>
        <w:rPr>
          <w:rFonts w:ascii="Times New Roman" w:eastAsia="Times New Roman" w:hAnsi="Times New Roman" w:cs="Times New Roman"/>
          <w:b/>
          <w:bCs/>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DasGupta, R. (2022). Financial performance shortfall, ESG controversies, and ESG performance: Evidence from firms around the world. Finance Research Letters, 46, 102487. </w:t>
      </w:r>
      <w:hyperlink r:id="rId8">
        <w:r>
          <w:rPr>
            <w:rFonts w:ascii="Times New Roman" w:eastAsia="Times New Roman" w:hAnsi="Times New Roman" w:cs="Times New Roman"/>
            <w:color w:val="0000FF"/>
            <w:sz w:val="24"/>
            <w:szCs w:val="24"/>
            <w:u w:val="single"/>
          </w:rPr>
          <w:t>https://doi.org/10.1016/j</w:t>
        </w:r>
        <w:r>
          <w:rPr>
            <w:rFonts w:ascii="Times New Roman" w:eastAsia="Times New Roman" w:hAnsi="Times New Roman" w:cs="Times New Roman"/>
            <w:color w:val="0000FF"/>
            <w:sz w:val="24"/>
            <w:szCs w:val="24"/>
            <w:u w:val="single"/>
          </w:rPr>
          <w:t>.frl.2021.102487</w:t>
        </w:r>
      </w:hyperlink>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Jha, M. K., &amp; Rangarajan, K. (2020). Analysis of corporate sustainability performance and corporate financial performance causal linkage in the Indian context. Asian Journal of Sustainability and Social Responsibility, 5(1), 10. https://d</w:t>
      </w:r>
      <w:r>
        <w:rPr>
          <w:rFonts w:ascii="Times New Roman" w:eastAsia="Times New Roman" w:hAnsi="Times New Roman" w:cs="Times New Roman"/>
          <w:sz w:val="24"/>
          <w:szCs w:val="24"/>
        </w:rPr>
        <w:t>oi.org/10.1186/s41180-020 00038-z</w:t>
      </w:r>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Jyoti, G., &amp; Khanna, A. (2021). Does sustainability performance impact financial performance? Evidence from Indian service sector firms. Sustainable Development, 29(6), 1086–1095. </w:t>
      </w:r>
      <w:hyperlink r:id="rId9">
        <w:r>
          <w:rPr>
            <w:rFonts w:ascii="Times New Roman" w:eastAsia="Times New Roman" w:hAnsi="Times New Roman" w:cs="Times New Roman"/>
            <w:color w:val="0000FF"/>
            <w:sz w:val="24"/>
            <w:szCs w:val="24"/>
            <w:u w:val="single"/>
          </w:rPr>
          <w:t>https://doi.org/10.1002/sd.2204</w:t>
        </w:r>
      </w:hyperlink>
      <w:r>
        <w:rPr>
          <w:rFonts w:ascii="Times New Roman" w:eastAsia="Times New Roman" w:hAnsi="Times New Roman" w:cs="Times New Roman"/>
          <w:sz w:val="24"/>
          <w:szCs w:val="24"/>
        </w:rPr>
        <w:t xml:space="preserve"> </w:t>
      </w:r>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Kalia, D., &amp; Aggarwal, D. (2023). Examining impact of ESG score on financial performance of healthcare companies. Journal of Global Responsibility, 14(1), 155–176. </w:t>
      </w:r>
      <w:hyperlink r:id="rId10">
        <w:r>
          <w:rPr>
            <w:rFonts w:ascii="Times New Roman" w:eastAsia="Times New Roman" w:hAnsi="Times New Roman" w:cs="Times New Roman"/>
            <w:color w:val="0000FF"/>
            <w:sz w:val="24"/>
            <w:szCs w:val="24"/>
            <w:u w:val="single"/>
          </w:rPr>
          <w:t>https://doi.org/10.1108/JGR-05-2022-0045</w:t>
        </w:r>
      </w:hyperlink>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Maji, S. G., &amp; Lohia, P. (2023). Environmental, social and governance (ESG) performance and firm performance in India. Society and Business Review, 18(1), 175–194. https://doi.org/10.1108/SBR-06-2022-01</w:t>
      </w:r>
      <w:r>
        <w:rPr>
          <w:rFonts w:ascii="Times New Roman" w:eastAsia="Times New Roman" w:hAnsi="Times New Roman" w:cs="Times New Roman"/>
          <w:sz w:val="24"/>
          <w:szCs w:val="24"/>
        </w:rPr>
        <w:t xml:space="preserve">62 </w:t>
      </w:r>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Maji, S. G., &amp; Lohia, P. (2024). Unveiling the financial effect of ESG disclosure on financial performance in India: Climate-sensitive corporates’ perspective. International Journal of Ethics and Systems. </w:t>
      </w:r>
      <w:hyperlink r:id="rId11">
        <w:r>
          <w:rPr>
            <w:rFonts w:ascii="Times New Roman" w:eastAsia="Times New Roman" w:hAnsi="Times New Roman" w:cs="Times New Roman"/>
            <w:color w:val="0000FF"/>
            <w:sz w:val="24"/>
            <w:szCs w:val="24"/>
            <w:u w:val="single"/>
          </w:rPr>
          <w:t>https://doi.org/10.1108/IJOES-02-2024-0039</w:t>
        </w:r>
      </w:hyperlink>
      <w:r>
        <w:rPr>
          <w:rFonts w:ascii="Times New Roman" w:eastAsia="Times New Roman" w:hAnsi="Times New Roman" w:cs="Times New Roman"/>
          <w:sz w:val="24"/>
          <w:szCs w:val="24"/>
        </w:rPr>
        <w:t xml:space="preserve"> </w:t>
      </w:r>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Mardini, G. H. (2022). ESG factors and corporate financial performance. International Journal of Managerial and Financial Accounting, 14(3), 247. </w:t>
      </w:r>
      <w:hyperlink r:id="rId12">
        <w:r>
          <w:rPr>
            <w:rFonts w:ascii="Times New Roman" w:eastAsia="Times New Roman" w:hAnsi="Times New Roman" w:cs="Times New Roman"/>
            <w:color w:val="0000FF"/>
            <w:sz w:val="24"/>
            <w:szCs w:val="24"/>
            <w:u w:val="single"/>
          </w:rPr>
          <w:t>https://doi.org/10.1504/IJMFA.2022.123895</w:t>
        </w:r>
      </w:hyperlink>
      <w:r>
        <w:rPr>
          <w:rFonts w:ascii="Times New Roman" w:eastAsia="Times New Roman" w:hAnsi="Times New Roman" w:cs="Times New Roman"/>
          <w:sz w:val="24"/>
          <w:szCs w:val="24"/>
        </w:rPr>
        <w:t xml:space="preserve"> </w:t>
      </w: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Nenavani, J., Prasuna, A., Siva Kumar, S. N. V., &amp; Kasturi, A. (2024). ESG measures and financial performance of logistics companies. Letters in Spatial and Resource Sciences, 17(1), 5. </w:t>
      </w:r>
      <w:hyperlink r:id="rId13">
        <w:r>
          <w:rPr>
            <w:rFonts w:ascii="Times New Roman" w:eastAsia="Times New Roman" w:hAnsi="Times New Roman" w:cs="Times New Roman"/>
            <w:color w:val="0000FF"/>
            <w:sz w:val="24"/>
            <w:szCs w:val="24"/>
            <w:u w:val="single"/>
          </w:rPr>
          <w:t>https://doi.org/10.1007/s12076-023-00358-4</w:t>
        </w:r>
      </w:hyperlink>
      <w:r>
        <w:rPr>
          <w:rFonts w:ascii="Times New Roman" w:eastAsia="Times New Roman" w:hAnsi="Times New Roman" w:cs="Times New Roman"/>
          <w:sz w:val="24"/>
          <w:szCs w:val="24"/>
        </w:rPr>
        <w:t xml:space="preserve"> </w:t>
      </w:r>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Nirino, N., Santoro, G., Miglietta, N., &amp; Quaglia, R. (2021). Corporate controversies and company’s financial performance: Exploring the moderating role of ESG prac</w:t>
      </w:r>
      <w:r>
        <w:rPr>
          <w:rFonts w:ascii="Times New Roman" w:eastAsia="Times New Roman" w:hAnsi="Times New Roman" w:cs="Times New Roman"/>
          <w:sz w:val="24"/>
          <w:szCs w:val="24"/>
        </w:rPr>
        <w:t xml:space="preserve">tices. Technological Forecasting and Social Change, 162, 120341. </w:t>
      </w:r>
      <w:hyperlink r:id="rId14">
        <w:r>
          <w:rPr>
            <w:rFonts w:ascii="Times New Roman" w:eastAsia="Times New Roman" w:hAnsi="Times New Roman" w:cs="Times New Roman"/>
            <w:color w:val="0000FF"/>
            <w:sz w:val="24"/>
            <w:szCs w:val="24"/>
            <w:u w:val="single"/>
          </w:rPr>
          <w:t>https://doi.org/10.1016/j.techfore.2020.120341</w:t>
        </w:r>
      </w:hyperlink>
      <w:r>
        <w:rPr>
          <w:rFonts w:ascii="Times New Roman" w:eastAsia="Times New Roman" w:hAnsi="Times New Roman" w:cs="Times New Roman"/>
          <w:sz w:val="24"/>
          <w:szCs w:val="24"/>
        </w:rPr>
        <w:t xml:space="preserve"> </w:t>
      </w:r>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Paridhi &amp; Ritika. (2025). Impact of ESG Disclosures on Corporate Financial P</w:t>
      </w:r>
      <w:r>
        <w:rPr>
          <w:rFonts w:ascii="Times New Roman" w:eastAsia="Times New Roman" w:hAnsi="Times New Roman" w:cs="Times New Roman"/>
          <w:sz w:val="24"/>
          <w:szCs w:val="24"/>
        </w:rPr>
        <w:t xml:space="preserve">erformance: An Industry‐Specific Analysis of Indian Firms. Business Strategy &amp; Development, 8(1), e70055. </w:t>
      </w:r>
      <w:hyperlink r:id="rId15">
        <w:r>
          <w:rPr>
            <w:rFonts w:ascii="Times New Roman" w:eastAsia="Times New Roman" w:hAnsi="Times New Roman" w:cs="Times New Roman"/>
            <w:color w:val="0000FF"/>
            <w:sz w:val="24"/>
            <w:szCs w:val="24"/>
            <w:u w:val="single"/>
          </w:rPr>
          <w:t>https://doi.org/10.1002/bsd2.70055</w:t>
        </w:r>
      </w:hyperlink>
      <w:r>
        <w:rPr>
          <w:rFonts w:ascii="Times New Roman" w:eastAsia="Times New Roman" w:hAnsi="Times New Roman" w:cs="Times New Roman"/>
          <w:sz w:val="24"/>
          <w:szCs w:val="24"/>
        </w:rPr>
        <w:t xml:space="preserve"> </w:t>
      </w:r>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Prasad, R., &amp; Mondal, A. (2025). Nexus between ESG scores a</w:t>
      </w:r>
      <w:r>
        <w:rPr>
          <w:rFonts w:ascii="Times New Roman" w:eastAsia="Times New Roman" w:hAnsi="Times New Roman" w:cs="Times New Roman"/>
          <w:sz w:val="24"/>
          <w:szCs w:val="24"/>
        </w:rPr>
        <w:t xml:space="preserve">nd financial performance: Evidence from the Indian banking sector. Asian Journal of Accounting Research. </w:t>
      </w:r>
      <w:hyperlink r:id="rId16">
        <w:r>
          <w:rPr>
            <w:rFonts w:ascii="Times New Roman" w:eastAsia="Times New Roman" w:hAnsi="Times New Roman" w:cs="Times New Roman"/>
            <w:color w:val="0000FF"/>
            <w:sz w:val="24"/>
            <w:szCs w:val="24"/>
            <w:u w:val="single"/>
          </w:rPr>
          <w:t>https://doi.org/10.1108/AJAR-06-2024-0244</w:t>
        </w:r>
      </w:hyperlink>
      <w:r>
        <w:rPr>
          <w:rFonts w:ascii="Times New Roman" w:eastAsia="Times New Roman" w:hAnsi="Times New Roman" w:cs="Times New Roman"/>
          <w:sz w:val="24"/>
          <w:szCs w:val="24"/>
        </w:rPr>
        <w:t xml:space="preserve"> </w:t>
      </w:r>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Rao, A., Dagar, V., Sohag, K., Dagher, L., &amp;</w:t>
      </w:r>
      <w:r>
        <w:rPr>
          <w:rFonts w:ascii="Times New Roman" w:eastAsia="Times New Roman" w:hAnsi="Times New Roman" w:cs="Times New Roman"/>
          <w:sz w:val="24"/>
          <w:szCs w:val="24"/>
        </w:rPr>
        <w:t xml:space="preserve"> Tanin, T. I. (2023). Good for the planet, good for the wallet: The ESG impact on financial performance in India. Finance Research Letters, 56, 104093. </w:t>
      </w:r>
      <w:hyperlink r:id="rId17">
        <w:r>
          <w:rPr>
            <w:rFonts w:ascii="Times New Roman" w:eastAsia="Times New Roman" w:hAnsi="Times New Roman" w:cs="Times New Roman"/>
            <w:color w:val="0000FF"/>
            <w:sz w:val="24"/>
            <w:szCs w:val="24"/>
            <w:u w:val="single"/>
          </w:rPr>
          <w:t>https://doi.org/10.1016/j.frl.2023.104093</w:t>
        </w:r>
      </w:hyperlink>
      <w:r>
        <w:rPr>
          <w:rFonts w:ascii="Times New Roman" w:eastAsia="Times New Roman" w:hAnsi="Times New Roman" w:cs="Times New Roman"/>
          <w:sz w:val="24"/>
          <w:szCs w:val="24"/>
        </w:rPr>
        <w:t xml:space="preserve"> </w:t>
      </w:r>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Sachin, N., &amp; Rajesh, R. (2022). An empirical study of supply chain sustainability with financial performances of Indian firms. Environment, Development and Sustainability, 24(5), 6577–6601. </w:t>
      </w:r>
      <w:hyperlink r:id="rId18">
        <w:r>
          <w:rPr>
            <w:rFonts w:ascii="Times New Roman" w:eastAsia="Times New Roman" w:hAnsi="Times New Roman" w:cs="Times New Roman"/>
            <w:color w:val="0000FF"/>
            <w:sz w:val="24"/>
            <w:szCs w:val="24"/>
            <w:u w:val="single"/>
          </w:rPr>
          <w:t>ht</w:t>
        </w:r>
        <w:r>
          <w:rPr>
            <w:rFonts w:ascii="Times New Roman" w:eastAsia="Times New Roman" w:hAnsi="Times New Roman" w:cs="Times New Roman"/>
            <w:color w:val="0000FF"/>
            <w:sz w:val="24"/>
            <w:szCs w:val="24"/>
            <w:u w:val="single"/>
          </w:rPr>
          <w:t>tps://doi.org/10.1007/s10668-021-01717-1</w:t>
        </w:r>
      </w:hyperlink>
      <w:r>
        <w:rPr>
          <w:rFonts w:ascii="Times New Roman" w:eastAsia="Times New Roman" w:hAnsi="Times New Roman" w:cs="Times New Roman"/>
          <w:sz w:val="24"/>
          <w:szCs w:val="24"/>
        </w:rPr>
        <w:t xml:space="preserve"> </w:t>
      </w:r>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Saini, M., Dhingra, B., &amp; Yadav, M. (2023). ESG risk and financial performance of the Indian financial firms. International Journal of Governance and Financial Intermediation, 1(4), 304–314. </w:t>
      </w:r>
      <w:hyperlink r:id="rId19">
        <w:r>
          <w:rPr>
            <w:rFonts w:ascii="Times New Roman" w:eastAsia="Times New Roman" w:hAnsi="Times New Roman" w:cs="Times New Roman"/>
            <w:color w:val="0000FF"/>
            <w:sz w:val="24"/>
            <w:szCs w:val="24"/>
            <w:u w:val="single"/>
          </w:rPr>
          <w:t>https://doi.org/10.1504/IJGFI.2023.131480</w:t>
        </w:r>
      </w:hyperlink>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Sinha Ray, R., &amp; Goel, S. (2023). Impact of ESG score on financial performance of Indian firms: Static and dynamic panel regression analyses. Applied Economics, 55(15), 1742 </w:t>
      </w:r>
      <w:r>
        <w:rPr>
          <w:rFonts w:ascii="Times New Roman" w:eastAsia="Times New Roman" w:hAnsi="Times New Roman" w:cs="Times New Roman"/>
          <w:sz w:val="24"/>
          <w:szCs w:val="24"/>
        </w:rPr>
        <w:t xml:space="preserve">1755. https://doi.org/10.1080/00036846.2022.2101611 </w:t>
      </w:r>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Vidhi, S., &amp; Selvam, J. D. (2022). Impact of ESG on financial performance: An Indian perspective. In D. Chanda, A. Sengupta, &amp; D. Mohanti, Advances in Management Research (1st ed., pp. 143–153). Routled</w:t>
      </w:r>
      <w:r>
        <w:rPr>
          <w:rFonts w:ascii="Times New Roman" w:eastAsia="Times New Roman" w:hAnsi="Times New Roman" w:cs="Times New Roman"/>
          <w:sz w:val="24"/>
          <w:szCs w:val="24"/>
        </w:rPr>
        <w:t xml:space="preserve">ge. </w:t>
      </w:r>
      <w:hyperlink r:id="rId20">
        <w:r>
          <w:rPr>
            <w:rFonts w:ascii="Times New Roman" w:eastAsia="Times New Roman" w:hAnsi="Times New Roman" w:cs="Times New Roman"/>
            <w:color w:val="0000FF"/>
            <w:sz w:val="24"/>
            <w:szCs w:val="24"/>
            <w:u w:val="single"/>
          </w:rPr>
          <w:t>https://doi.org/10.4324/9781003366638-10</w:t>
        </w:r>
      </w:hyperlink>
      <w:r>
        <w:rPr>
          <w:rFonts w:ascii="Times New Roman" w:eastAsia="Times New Roman" w:hAnsi="Times New Roman" w:cs="Times New Roman"/>
          <w:sz w:val="24"/>
          <w:szCs w:val="24"/>
        </w:rPr>
        <w:t xml:space="preserve"> </w:t>
      </w:r>
    </w:p>
    <w:p w:rsidR="00AF0A37" w:rsidRDefault="00AF0A37">
      <w:pPr>
        <w:tabs>
          <w:tab w:val="left" w:pos="1752"/>
        </w:tabs>
        <w:ind w:left="360"/>
        <w:rPr>
          <w:rFonts w:ascii="Times New Roman" w:eastAsia="Times New Roman" w:hAnsi="Times New Roman" w:cs="Times New Roman"/>
          <w:sz w:val="24"/>
          <w:szCs w:val="24"/>
        </w:rPr>
      </w:pPr>
    </w:p>
    <w:p w:rsidR="00AF0A37" w:rsidRDefault="009D638E">
      <w:pPr>
        <w:tabs>
          <w:tab w:val="left" w:pos="1752"/>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Yoo, S., &amp; Managi, S. (2022). Disclosure or action: Evaluating ESG behavior towards financial performance. Finance Research Letters, 44, 102108. http</w:t>
      </w:r>
      <w:r>
        <w:rPr>
          <w:rFonts w:ascii="Times New Roman" w:eastAsia="Times New Roman" w:hAnsi="Times New Roman" w:cs="Times New Roman"/>
          <w:sz w:val="24"/>
          <w:szCs w:val="24"/>
        </w:rPr>
        <w:t>s://doi.org/10.1016/j.frl.2021.102108</w:t>
      </w:r>
    </w:p>
    <w:sectPr w:rsidR="00AF0A37">
      <w:pgSz w:w="12240" w:h="15840"/>
      <w:pgMar w:top="1415" w:right="1378" w:bottom="1546" w:left="132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13D9023-FE91-4DF7-A9BC-2C1185F863F5}"/>
  </w:font>
  <w:font w:name="Tahoma">
    <w:panose1 w:val="020B0604030504040204"/>
    <w:charset w:val="00"/>
    <w:family w:val="swiss"/>
    <w:pitch w:val="variable"/>
    <w:sig w:usb0="E1002EFF" w:usb1="C000605B" w:usb2="00000029" w:usb3="00000000" w:csb0="000101FF" w:csb1="00000000"/>
    <w:embedRegular r:id="rId2" w:fontKey="{5A4C5354-2E78-485B-8324-0208F1EC73E7}"/>
  </w:font>
  <w:font w:name="Georgia">
    <w:panose1 w:val="02040502050405020303"/>
    <w:charset w:val="00"/>
    <w:family w:val="roman"/>
    <w:pitch w:val="variable"/>
    <w:sig w:usb0="00000287" w:usb1="00000000" w:usb2="00000000" w:usb3="00000000" w:csb0="0000009F" w:csb1="00000000"/>
    <w:embedItalic r:id="rId3" w:fontKey="{DD9353DB-B004-49D9-86FA-933DB3E46C0A}"/>
  </w:font>
  <w:font w:name="Noto Sans Symbols">
    <w:charset w:val="00"/>
    <w:family w:val="auto"/>
    <w:pitch w:val="default"/>
    <w:embedRegular r:id="rId4" w:fontKey="{3E9A9092-E38A-4A44-A269-660241881DD0}"/>
    <w:embedBold r:id="rId5" w:fontKey="{424C7B50-BD48-470A-8078-0D29045ACE93}"/>
  </w:font>
  <w:font w:name="Calibri">
    <w:panose1 w:val="020F0502020204030204"/>
    <w:charset w:val="00"/>
    <w:family w:val="swiss"/>
    <w:pitch w:val="variable"/>
    <w:sig w:usb0="E4002EFF" w:usb1="C000247B" w:usb2="00000009" w:usb3="00000000" w:csb0="000001FF" w:csb1="00000000"/>
    <w:embedRegular r:id="rId6" w:fontKey="{3A5082BE-0BF0-415E-81B2-DA08E8DD0A0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452803"/>
    <w:multiLevelType w:val="multilevel"/>
    <w:tmpl w:val="580C1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AF0A37"/>
    <w:rsid w:val="009D638E"/>
    <w:rsid w:val="00AF0A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3B6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rl">
    <w:name w:val="url"/>
    <w:basedOn w:val="DefaultParagraphFont"/>
    <w:rsid w:val="003B68BC"/>
  </w:style>
  <w:style w:type="character" w:styleId="Hyperlink">
    <w:name w:val="Hyperlink"/>
    <w:basedOn w:val="DefaultParagraphFont"/>
    <w:uiPriority w:val="99"/>
    <w:unhideWhenUsed/>
    <w:rsid w:val="003B68BC"/>
    <w:rPr>
      <w:color w:val="0000FF" w:themeColor="hyperlink"/>
      <w:u w:val="single"/>
    </w:r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tblPr>
      <w:tblStyleRowBandSize w:val="1"/>
      <w:tblStyleColBandSize w:val="1"/>
      <w:tblInd w:w="0" w:type="dxa"/>
      <w:tblCellMar>
        <w:top w:w="0" w:type="dxa"/>
        <w:left w:w="0" w:type="dxa"/>
        <w:bottom w:w="0" w:type="dxa"/>
        <w:right w:w="0"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0" w:type="dxa"/>
        <w:bottom w:w="0" w:type="dxa"/>
        <w:right w:w="0"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0" w:type="dxa"/>
        <w:bottom w:w="0" w:type="dxa"/>
        <w:right w:w="0" w:type="dxa"/>
      </w:tblCellMar>
    </w:tblPr>
  </w:style>
  <w:style w:type="table" w:customStyle="1" w:styleId="af7">
    <w:basedOn w:val="TableNormal"/>
    <w:tblPr>
      <w:tblStyleRowBandSize w:val="1"/>
      <w:tblStyleColBandSize w:val="1"/>
      <w:tblInd w:w="0" w:type="dxa"/>
      <w:tblCellMar>
        <w:top w:w="0" w:type="dxa"/>
        <w:left w:w="0" w:type="dxa"/>
        <w:bottom w:w="0" w:type="dxa"/>
        <w:right w:w="0" w:type="dxa"/>
      </w:tblCellMar>
    </w:tblPr>
  </w:style>
  <w:style w:type="table" w:customStyle="1" w:styleId="af8">
    <w:basedOn w:val="TableNormal"/>
    <w:tblPr>
      <w:tblStyleRowBandSize w:val="1"/>
      <w:tblStyleColBandSize w:val="1"/>
      <w:tblInd w:w="0" w:type="dxa"/>
      <w:tblCellMar>
        <w:top w:w="0" w:type="dxa"/>
        <w:left w:w="0" w:type="dxa"/>
        <w:bottom w:w="0" w:type="dxa"/>
        <w:right w:w="0" w:type="dxa"/>
      </w:tblCellMar>
    </w:tblPr>
  </w:style>
  <w:style w:type="table" w:customStyle="1" w:styleId="af9">
    <w:basedOn w:val="TableNormal"/>
    <w:tblPr>
      <w:tblStyleRowBandSize w:val="1"/>
      <w:tblStyleColBandSize w:val="1"/>
      <w:tblInd w:w="0" w:type="dxa"/>
      <w:tblCellMar>
        <w:top w:w="0" w:type="dxa"/>
        <w:left w:w="0" w:type="dxa"/>
        <w:bottom w:w="0" w:type="dxa"/>
        <w:right w:w="0" w:type="dxa"/>
      </w:tblCellMar>
    </w:tblPr>
  </w:style>
  <w:style w:type="table" w:customStyle="1" w:styleId="afa">
    <w:basedOn w:val="TableNormal"/>
    <w:tblPr>
      <w:tblStyleRowBandSize w:val="1"/>
      <w:tblStyleColBandSize w:val="1"/>
      <w:tblInd w:w="0" w:type="dxa"/>
      <w:tblCellMar>
        <w:top w:w="0" w:type="dxa"/>
        <w:left w:w="0" w:type="dxa"/>
        <w:bottom w:w="0" w:type="dxa"/>
        <w:right w:w="0" w:type="dxa"/>
      </w:tblCellMar>
    </w:tblPr>
  </w:style>
  <w:style w:type="table" w:customStyle="1" w:styleId="afb">
    <w:basedOn w:val="TableNormal"/>
    <w:tblPr>
      <w:tblStyleRowBandSize w:val="1"/>
      <w:tblStyleColBandSize w:val="1"/>
      <w:tblInd w:w="0" w:type="dxa"/>
      <w:tblCellMar>
        <w:top w:w="0" w:type="dxa"/>
        <w:left w:w="0" w:type="dxa"/>
        <w:bottom w:w="0" w:type="dxa"/>
        <w:right w:w="0" w:type="dxa"/>
      </w:tblCellMar>
    </w:tblPr>
  </w:style>
  <w:style w:type="table" w:customStyle="1" w:styleId="afc">
    <w:basedOn w:val="TableNormal"/>
    <w:tblPr>
      <w:tblStyleRowBandSize w:val="1"/>
      <w:tblStyleColBandSize w:val="1"/>
      <w:tblInd w:w="0" w:type="dxa"/>
      <w:tblCellMar>
        <w:top w:w="0" w:type="dxa"/>
        <w:left w:w="0" w:type="dxa"/>
        <w:bottom w:w="0" w:type="dxa"/>
        <w:right w:w="0" w:type="dxa"/>
      </w:tblCellMar>
    </w:tblPr>
  </w:style>
  <w:style w:type="character" w:styleId="Strong">
    <w:name w:val="Strong"/>
    <w:basedOn w:val="DefaultParagraphFont"/>
    <w:uiPriority w:val="22"/>
    <w:qFormat/>
    <w:rsid w:val="00F7067F"/>
    <w:rPr>
      <w:b/>
      <w:bCs/>
    </w:rPr>
  </w:style>
  <w:style w:type="table" w:styleId="TableGrid">
    <w:name w:val="Table Grid"/>
    <w:basedOn w:val="TableNormal"/>
    <w:uiPriority w:val="39"/>
    <w:rsid w:val="006D3BD7"/>
    <w:pPr>
      <w:spacing w:line="240" w:lineRule="auto"/>
    </w:pPr>
    <w:rPr>
      <w:rFonts w:asciiTheme="minorHAnsi" w:eastAsiaTheme="minorHAnsi" w:hAnsiTheme="minorHAnsi" w:cstheme="minorBidi"/>
      <w:kern w:val="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5CC9"/>
    <w:pPr>
      <w:spacing w:after="160" w:line="259" w:lineRule="auto"/>
      <w:ind w:left="720"/>
      <w:contextualSpacing/>
    </w:pPr>
    <w:rPr>
      <w:rFonts w:asciiTheme="minorHAnsi" w:eastAsiaTheme="minorHAnsi" w:hAnsiTheme="minorHAnsi" w:cstheme="minorBidi"/>
      <w:kern w:val="2"/>
      <w:lang w:val="en-IN"/>
    </w:rPr>
  </w:style>
  <w:style w:type="character" w:customStyle="1" w:styleId="UnresolvedMention">
    <w:name w:val="Unresolved Mention"/>
    <w:basedOn w:val="DefaultParagraphFont"/>
    <w:uiPriority w:val="99"/>
    <w:semiHidden/>
    <w:unhideWhenUsed/>
    <w:rsid w:val="002E3ED8"/>
    <w:rPr>
      <w:color w:val="605E5C"/>
      <w:shd w:val="clear" w:color="auto" w:fill="E1DFDD"/>
    </w:rPr>
  </w:style>
  <w:style w:type="paragraph" w:styleId="BalloonText">
    <w:name w:val="Balloon Text"/>
    <w:basedOn w:val="Normal"/>
    <w:link w:val="BalloonTextChar"/>
    <w:uiPriority w:val="99"/>
    <w:semiHidden/>
    <w:unhideWhenUsed/>
    <w:rsid w:val="00272F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F72"/>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d">
    <w:basedOn w:val="TableNormal"/>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3B6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rl">
    <w:name w:val="url"/>
    <w:basedOn w:val="DefaultParagraphFont"/>
    <w:rsid w:val="003B68BC"/>
  </w:style>
  <w:style w:type="character" w:styleId="Hyperlink">
    <w:name w:val="Hyperlink"/>
    <w:basedOn w:val="DefaultParagraphFont"/>
    <w:uiPriority w:val="99"/>
    <w:unhideWhenUsed/>
    <w:rsid w:val="003B68BC"/>
    <w:rPr>
      <w:color w:val="0000FF" w:themeColor="hyperlink"/>
      <w:u w:val="single"/>
    </w:r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tblPr>
      <w:tblStyleRowBandSize w:val="1"/>
      <w:tblStyleColBandSize w:val="1"/>
      <w:tblInd w:w="0" w:type="dxa"/>
      <w:tblCellMar>
        <w:top w:w="0" w:type="dxa"/>
        <w:left w:w="0" w:type="dxa"/>
        <w:bottom w:w="0" w:type="dxa"/>
        <w:right w:w="0"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0" w:type="dxa"/>
        <w:bottom w:w="0" w:type="dxa"/>
        <w:right w:w="0"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0" w:type="dxa"/>
        <w:bottom w:w="0" w:type="dxa"/>
        <w:right w:w="0" w:type="dxa"/>
      </w:tblCellMar>
    </w:tblPr>
  </w:style>
  <w:style w:type="table" w:customStyle="1" w:styleId="af7">
    <w:basedOn w:val="TableNormal"/>
    <w:tblPr>
      <w:tblStyleRowBandSize w:val="1"/>
      <w:tblStyleColBandSize w:val="1"/>
      <w:tblInd w:w="0" w:type="dxa"/>
      <w:tblCellMar>
        <w:top w:w="0" w:type="dxa"/>
        <w:left w:w="0" w:type="dxa"/>
        <w:bottom w:w="0" w:type="dxa"/>
        <w:right w:w="0" w:type="dxa"/>
      </w:tblCellMar>
    </w:tblPr>
  </w:style>
  <w:style w:type="table" w:customStyle="1" w:styleId="af8">
    <w:basedOn w:val="TableNormal"/>
    <w:tblPr>
      <w:tblStyleRowBandSize w:val="1"/>
      <w:tblStyleColBandSize w:val="1"/>
      <w:tblInd w:w="0" w:type="dxa"/>
      <w:tblCellMar>
        <w:top w:w="0" w:type="dxa"/>
        <w:left w:w="0" w:type="dxa"/>
        <w:bottom w:w="0" w:type="dxa"/>
        <w:right w:w="0" w:type="dxa"/>
      </w:tblCellMar>
    </w:tblPr>
  </w:style>
  <w:style w:type="table" w:customStyle="1" w:styleId="af9">
    <w:basedOn w:val="TableNormal"/>
    <w:tblPr>
      <w:tblStyleRowBandSize w:val="1"/>
      <w:tblStyleColBandSize w:val="1"/>
      <w:tblInd w:w="0" w:type="dxa"/>
      <w:tblCellMar>
        <w:top w:w="0" w:type="dxa"/>
        <w:left w:w="0" w:type="dxa"/>
        <w:bottom w:w="0" w:type="dxa"/>
        <w:right w:w="0" w:type="dxa"/>
      </w:tblCellMar>
    </w:tblPr>
  </w:style>
  <w:style w:type="table" w:customStyle="1" w:styleId="afa">
    <w:basedOn w:val="TableNormal"/>
    <w:tblPr>
      <w:tblStyleRowBandSize w:val="1"/>
      <w:tblStyleColBandSize w:val="1"/>
      <w:tblInd w:w="0" w:type="dxa"/>
      <w:tblCellMar>
        <w:top w:w="0" w:type="dxa"/>
        <w:left w:w="0" w:type="dxa"/>
        <w:bottom w:w="0" w:type="dxa"/>
        <w:right w:w="0" w:type="dxa"/>
      </w:tblCellMar>
    </w:tblPr>
  </w:style>
  <w:style w:type="table" w:customStyle="1" w:styleId="afb">
    <w:basedOn w:val="TableNormal"/>
    <w:tblPr>
      <w:tblStyleRowBandSize w:val="1"/>
      <w:tblStyleColBandSize w:val="1"/>
      <w:tblInd w:w="0" w:type="dxa"/>
      <w:tblCellMar>
        <w:top w:w="0" w:type="dxa"/>
        <w:left w:w="0" w:type="dxa"/>
        <w:bottom w:w="0" w:type="dxa"/>
        <w:right w:w="0" w:type="dxa"/>
      </w:tblCellMar>
    </w:tblPr>
  </w:style>
  <w:style w:type="table" w:customStyle="1" w:styleId="afc">
    <w:basedOn w:val="TableNormal"/>
    <w:tblPr>
      <w:tblStyleRowBandSize w:val="1"/>
      <w:tblStyleColBandSize w:val="1"/>
      <w:tblInd w:w="0" w:type="dxa"/>
      <w:tblCellMar>
        <w:top w:w="0" w:type="dxa"/>
        <w:left w:w="0" w:type="dxa"/>
        <w:bottom w:w="0" w:type="dxa"/>
        <w:right w:w="0" w:type="dxa"/>
      </w:tblCellMar>
    </w:tblPr>
  </w:style>
  <w:style w:type="character" w:styleId="Strong">
    <w:name w:val="Strong"/>
    <w:basedOn w:val="DefaultParagraphFont"/>
    <w:uiPriority w:val="22"/>
    <w:qFormat/>
    <w:rsid w:val="00F7067F"/>
    <w:rPr>
      <w:b/>
      <w:bCs/>
    </w:rPr>
  </w:style>
  <w:style w:type="table" w:styleId="TableGrid">
    <w:name w:val="Table Grid"/>
    <w:basedOn w:val="TableNormal"/>
    <w:uiPriority w:val="39"/>
    <w:rsid w:val="006D3BD7"/>
    <w:pPr>
      <w:spacing w:line="240" w:lineRule="auto"/>
    </w:pPr>
    <w:rPr>
      <w:rFonts w:asciiTheme="minorHAnsi" w:eastAsiaTheme="minorHAnsi" w:hAnsiTheme="minorHAnsi" w:cstheme="minorBidi"/>
      <w:kern w:val="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5CC9"/>
    <w:pPr>
      <w:spacing w:after="160" w:line="259" w:lineRule="auto"/>
      <w:ind w:left="720"/>
      <w:contextualSpacing/>
    </w:pPr>
    <w:rPr>
      <w:rFonts w:asciiTheme="minorHAnsi" w:eastAsiaTheme="minorHAnsi" w:hAnsiTheme="minorHAnsi" w:cstheme="minorBidi"/>
      <w:kern w:val="2"/>
      <w:lang w:val="en-IN"/>
    </w:rPr>
  </w:style>
  <w:style w:type="character" w:customStyle="1" w:styleId="UnresolvedMention">
    <w:name w:val="Unresolved Mention"/>
    <w:basedOn w:val="DefaultParagraphFont"/>
    <w:uiPriority w:val="99"/>
    <w:semiHidden/>
    <w:unhideWhenUsed/>
    <w:rsid w:val="002E3ED8"/>
    <w:rPr>
      <w:color w:val="605E5C"/>
      <w:shd w:val="clear" w:color="auto" w:fill="E1DFDD"/>
    </w:rPr>
  </w:style>
  <w:style w:type="paragraph" w:styleId="BalloonText">
    <w:name w:val="Balloon Text"/>
    <w:basedOn w:val="Normal"/>
    <w:link w:val="BalloonTextChar"/>
    <w:uiPriority w:val="99"/>
    <w:semiHidden/>
    <w:unhideWhenUsed/>
    <w:rsid w:val="00272F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F72"/>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d">
    <w:basedOn w:val="TableNormal"/>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i.org/10.1016/j.frl.2021.102487" TargetMode="External"/><Relationship Id="rId13" Type="http://schemas.openxmlformats.org/officeDocument/2006/relationships/hyperlink" Target="https://doi.org/10.1007/s12076-023-00358-4" TargetMode="External"/><Relationship Id="rId18" Type="http://schemas.openxmlformats.org/officeDocument/2006/relationships/hyperlink" Target="https://doi.org/10.1007/s10668-021-01717-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hyperlink" Target="https://doi.org/10.1504/IJMFA.2022.123895" TargetMode="External"/><Relationship Id="rId17" Type="http://schemas.openxmlformats.org/officeDocument/2006/relationships/hyperlink" Target="https://doi.org/10.1016/j.frl.2023.104093" TargetMode="External"/><Relationship Id="rId2" Type="http://schemas.openxmlformats.org/officeDocument/2006/relationships/numbering" Target="numbering.xml"/><Relationship Id="rId16" Type="http://schemas.openxmlformats.org/officeDocument/2006/relationships/hyperlink" Target="https://doi.org/10.1108/AJAR-06-2024-0244" TargetMode="External"/><Relationship Id="rId20" Type="http://schemas.openxmlformats.org/officeDocument/2006/relationships/hyperlink" Target="https://doi.org/10.4324/9781003366638-1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108/IJOES-02-2024-0039" TargetMode="External"/><Relationship Id="rId5" Type="http://schemas.openxmlformats.org/officeDocument/2006/relationships/settings" Target="settings.xml"/><Relationship Id="rId15" Type="http://schemas.openxmlformats.org/officeDocument/2006/relationships/hyperlink" Target="https://doi.org/10.1002/bsd2.70055" TargetMode="External"/><Relationship Id="rId10" Type="http://schemas.openxmlformats.org/officeDocument/2006/relationships/hyperlink" Target="https://doi.org/10.1108/JGR-05-2022-0045" TargetMode="External"/><Relationship Id="rId19" Type="http://schemas.openxmlformats.org/officeDocument/2006/relationships/hyperlink" Target="https://doi.org/10.1504/IJGFI.2023.131480" TargetMode="External"/><Relationship Id="rId4" Type="http://schemas.microsoft.com/office/2007/relationships/stylesWithEffects" Target="stylesWithEffects.xml"/><Relationship Id="rId9" Type="http://schemas.openxmlformats.org/officeDocument/2006/relationships/hyperlink" Target="https://doi.org/10.1002/sd.2204" TargetMode="External"/><Relationship Id="rId14" Type="http://schemas.openxmlformats.org/officeDocument/2006/relationships/hyperlink" Target="https://doi.org/10.1016/j.techfore.2020.120341"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REGRESSION</a:t>
            </a:r>
          </a:p>
        </c:rich>
      </c:tx>
      <c:overlay val="0"/>
      <c:spPr>
        <a:noFill/>
        <a:ln>
          <a:noFill/>
        </a:ln>
        <a:effectLst/>
      </c:spPr>
    </c:title>
    <c:autoTitleDeleted val="0"/>
    <c:plotArea>
      <c:layout>
        <c:manualLayout>
          <c:layoutTarget val="inner"/>
          <c:xMode val="edge"/>
          <c:yMode val="edge"/>
          <c:x val="9.5248131862305088E-2"/>
          <c:y val="0.2239016371788568"/>
          <c:w val="0.81615157953740636"/>
          <c:h val="0.62295108032278812"/>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44450" cap="rnd" cmpd="sng">
                <a:solidFill>
                  <a:srgbClr val="C00000"/>
                </a:solidFill>
                <a:prstDash val="solid"/>
              </a:ln>
              <a:effectLst/>
            </c:spPr>
            <c:trendlineType val="linear"/>
            <c:dispRSqr val="1"/>
            <c:dispEq val="1"/>
            <c:trendlineLbl>
              <c:layout>
                <c:manualLayout>
                  <c:x val="0.15484799685413878"/>
                  <c:y val="-0.3798073936004970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b="1" baseline="0"/>
                      <a:t>y = -0.0222x + 28.015</a:t>
                    </a:r>
                    <a:br>
                      <a:rPr lang="en-US" sz="1200" b="1" baseline="0"/>
                    </a:br>
                    <a:r>
                      <a:rPr lang="en-US" sz="1200" b="1" baseline="0"/>
                      <a:t>R² = 0.1386</a:t>
                    </a:r>
                    <a:endParaRPr lang="en-US" sz="1200" b="1"/>
                  </a:p>
                </c:rich>
              </c:tx>
              <c:numFmt formatCode="General" sourceLinked="0"/>
              <c:spPr>
                <a:noFill/>
                <a:ln>
                  <a:noFill/>
                </a:ln>
                <a:effectLst/>
              </c:spPr>
            </c:trendlineLbl>
          </c:trendline>
          <c:xVal>
            <c:numRef>
              <c:f>Sheet1!$B$2:$B$4</c:f>
              <c:numCache>
                <c:formatCode>General</c:formatCode>
                <c:ptCount val="3"/>
                <c:pt idx="0">
                  <c:v>67.069999999999993</c:v>
                </c:pt>
                <c:pt idx="1">
                  <c:v>287.20999999999998</c:v>
                </c:pt>
                <c:pt idx="2">
                  <c:v>391.39</c:v>
                </c:pt>
              </c:numCache>
            </c:numRef>
          </c:xVal>
          <c:yVal>
            <c:numRef>
              <c:f>Sheet1!$C$2:$C$4</c:f>
              <c:numCache>
                <c:formatCode>General</c:formatCode>
                <c:ptCount val="3"/>
                <c:pt idx="0">
                  <c:v>23.2</c:v>
                </c:pt>
                <c:pt idx="1">
                  <c:v>32</c:v>
                </c:pt>
                <c:pt idx="2">
                  <c:v>12.3</c:v>
                </c:pt>
              </c:numCache>
            </c:numRef>
          </c:yVal>
          <c:smooth val="0"/>
          <c:extLst xmlns:c16r2="http://schemas.microsoft.com/office/drawing/2015/06/chart">
            <c:ext xmlns:c16="http://schemas.microsoft.com/office/drawing/2014/chart" uri="{C3380CC4-5D6E-409C-BE32-E72D297353CC}">
              <c16:uniqueId val="{00000001-DBD3-4DBE-9E03-6DADBFA7E77E}"/>
            </c:ext>
          </c:extLst>
        </c:ser>
        <c:dLbls>
          <c:showLegendKey val="0"/>
          <c:showVal val="0"/>
          <c:showCatName val="0"/>
          <c:showSerName val="0"/>
          <c:showPercent val="0"/>
          <c:showBubbleSize val="0"/>
        </c:dLbls>
        <c:axId val="37350784"/>
        <c:axId val="37315136"/>
      </c:scatterChart>
      <c:valAx>
        <c:axId val="37350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NET</a:t>
                </a:r>
                <a:r>
                  <a:rPr lang="en-IN" sz="1100" b="1" baseline="0"/>
                  <a:t> PROFIT IN CRORES</a:t>
                </a:r>
                <a:endParaRPr lang="en-IN" sz="1100" b="1"/>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5136"/>
        <c:crosses val="autoZero"/>
        <c:crossBetween val="midCat"/>
      </c:valAx>
      <c:valAx>
        <c:axId val="37315136"/>
        <c:scaling>
          <c:orientation val="minMax"/>
        </c:scaling>
        <c:delete val="0"/>
        <c:axPos val="l"/>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ESG</a:t>
                </a:r>
                <a:r>
                  <a:rPr lang="en-IN" sz="1100" b="1" baseline="0"/>
                  <a:t> RISK SCORE</a:t>
                </a:r>
              </a:p>
              <a:p>
                <a:pPr>
                  <a:defRPr sz="1000" b="0" i="0" u="none" strike="noStrike" kern="1200" baseline="0">
                    <a:solidFill>
                      <a:schemeClr val="tx1">
                        <a:lumMod val="65000"/>
                        <a:lumOff val="35000"/>
                      </a:schemeClr>
                    </a:solidFill>
                    <a:latin typeface="+mn-lt"/>
                    <a:ea typeface="+mn-ea"/>
                    <a:cs typeface="+mn-cs"/>
                  </a:defRPr>
                </a:pPr>
                <a:endParaRPr lang="en-IN"/>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5078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pAh7uU1AmmhhOaRqIrFt4ZI2A==">CgMxLjAyDmguZTlqcXp2ZzdqY2I5Mg5oLnFsbWpjbmh1a3ZqMDgAciExeGF3RVZnblBDOFp1YmgwX0N6NE9DSzZFMXUxM19LT1M=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4673</Words>
  <Characters>26638</Characters>
  <Application>Microsoft Office Word</Application>
  <DocSecurity>0</DocSecurity>
  <Lines>221</Lines>
  <Paragraphs>62</Paragraphs>
  <ScaleCrop>false</ScaleCrop>
  <Company/>
  <LinksUpToDate>false</LinksUpToDate>
  <CharactersWithSpaces>31249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alvin andrews</dc:creator>
  <cp:lastModifiedBy>qwert</cp:lastModifiedBy>
  <cp:revision>2</cp:revision>
  <dcterms:created xsi:type="dcterms:W3CDTF">2026-03-05T05:37:00Z</dcterms:created>
  <dcterms:modified xsi:type="dcterms:W3CDTF">2026-03-11T10:28:00Z</dcterms:modified>
</cp:coreProperties>
</file>