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62A" w:rsidRPr="00425C92" w:rsidRDefault="0080162A" w:rsidP="00E61B22">
      <w:pPr>
        <w:pStyle w:val="Author"/>
        <w:spacing w:before="100" w:beforeAutospacing="1" w:after="100" w:afterAutospacing="1" w:line="240" w:lineRule="auto"/>
        <w:jc w:val="center"/>
        <w:rPr>
          <w:rFonts w:ascii="Times New Roman" w:hAnsi="Times New Roman"/>
          <w:bCs/>
          <w:iCs/>
          <w:kern w:val="28"/>
          <w:sz w:val="36"/>
          <w:szCs w:val="36"/>
        </w:rPr>
      </w:pPr>
      <w:r w:rsidRPr="00425C92">
        <w:rPr>
          <w:rFonts w:ascii="Times New Roman" w:hAnsi="Times New Roman"/>
          <w:bCs/>
          <w:iCs/>
          <w:kern w:val="28"/>
          <w:sz w:val="36"/>
          <w:szCs w:val="36"/>
        </w:rPr>
        <w:t>From Soil to Market: Enhancing Hill Farmer Incomes through Digital Platforms</w:t>
      </w:r>
    </w:p>
    <w:p w:rsidR="009477DA" w:rsidRPr="00425C92" w:rsidRDefault="002709FA" w:rsidP="00E61B22">
      <w:pPr>
        <w:pStyle w:val="NormalWeb"/>
        <w:jc w:val="both"/>
        <w:rPr>
          <w:sz w:val="22"/>
          <w:szCs w:val="22"/>
        </w:rPr>
      </w:pPr>
      <w:bookmarkStart w:id="0" w:name="_GoBack"/>
      <w:bookmarkEnd w:id="0"/>
      <w:r w:rsidRPr="00425C92">
        <w:rPr>
          <w:b/>
          <w:bCs/>
          <w:sz w:val="22"/>
          <w:szCs w:val="22"/>
        </w:rPr>
        <w:t>Abstract:</w:t>
      </w:r>
      <w:r w:rsidRPr="00425C92">
        <w:rPr>
          <w:sz w:val="22"/>
          <w:szCs w:val="22"/>
        </w:rPr>
        <w:t xml:space="preserve"> </w:t>
      </w:r>
      <w:r w:rsidR="009477DA" w:rsidRPr="00425C92">
        <w:rPr>
          <w:sz w:val="22"/>
          <w:szCs w:val="22"/>
        </w:rPr>
        <w:t xml:space="preserve">This study investigates the role of digital platforms in transforming agribusiness linkages and improving farmer incomes in the Himalayan hill districts of Uttarakhand, India. Implemented as part of the World Bank–supported </w:t>
      </w:r>
      <w:r w:rsidR="009477DA" w:rsidRPr="00425C92">
        <w:rPr>
          <w:rStyle w:val="Emphasis"/>
          <w:sz w:val="22"/>
          <w:szCs w:val="22"/>
        </w:rPr>
        <w:t>Uttarakhand Decentralized Watershed Development Project Phase II</w:t>
      </w:r>
      <w:r w:rsidR="009477DA" w:rsidRPr="00425C92">
        <w:rPr>
          <w:sz w:val="22"/>
          <w:szCs w:val="22"/>
        </w:rPr>
        <w:t xml:space="preserve"> (UDWDP-II), also known as </w:t>
      </w:r>
      <w:r w:rsidR="009477DA" w:rsidRPr="00425C92">
        <w:rPr>
          <w:rStyle w:val="Emphasis"/>
          <w:sz w:val="22"/>
          <w:szCs w:val="22"/>
        </w:rPr>
        <w:t>GRAMYA-II</w:t>
      </w:r>
      <w:r w:rsidR="009477DA" w:rsidRPr="00425C92">
        <w:rPr>
          <w:sz w:val="22"/>
          <w:szCs w:val="22"/>
        </w:rPr>
        <w:t xml:space="preserve">, the initiative integrated mobile applications, e-commerce tools, and centralized data systems within a decentralized institutional framework comprising Farmer Interest Groups (FIGs), Farmer Federations (FFs), and Agribusiness Growth Centres (ABGCs). Using a mixed-methods approach that combined project </w:t>
      </w:r>
      <w:r w:rsidR="001E00D6">
        <w:rPr>
          <w:sz w:val="22"/>
          <w:szCs w:val="22"/>
        </w:rPr>
        <w:t>documents</w:t>
      </w:r>
      <w:r w:rsidR="009477DA" w:rsidRPr="00425C92">
        <w:rPr>
          <w:sz w:val="22"/>
          <w:szCs w:val="22"/>
        </w:rPr>
        <w:t xml:space="preserve">, </w:t>
      </w:r>
      <w:r w:rsidR="001E00D6">
        <w:rPr>
          <w:sz w:val="22"/>
          <w:szCs w:val="22"/>
        </w:rPr>
        <w:t xml:space="preserve">digital </w:t>
      </w:r>
      <w:r w:rsidR="009477DA" w:rsidRPr="00425C92">
        <w:rPr>
          <w:sz w:val="22"/>
          <w:szCs w:val="22"/>
        </w:rPr>
        <w:t xml:space="preserve">platform analytics, sales data, and stakeholder interviews, the study evaluated digital platform adoption, marketing performance, and institutional synergies. The </w:t>
      </w:r>
      <w:proofErr w:type="spellStart"/>
      <w:r w:rsidR="009477DA" w:rsidRPr="00425C92">
        <w:rPr>
          <w:rStyle w:val="Emphasis"/>
          <w:sz w:val="22"/>
          <w:szCs w:val="22"/>
        </w:rPr>
        <w:t>Gramyashree</w:t>
      </w:r>
      <w:proofErr w:type="spellEnd"/>
      <w:r w:rsidR="009477DA" w:rsidRPr="00425C92">
        <w:rPr>
          <w:sz w:val="22"/>
          <w:szCs w:val="22"/>
        </w:rPr>
        <w:t xml:space="preserve"> platform functioned as both a digital marketplace and a management tool, facilitating direct producer–buyer engagement, real-time inventory tracking, yield forecasting, and coordinated marketing. Findings indicate that digital interventions improved market transparency, reduced transaction costs, and expanded access to urban and institutional buyers, particularly benefiting smallholders in remote areas. However, adoption varied due to connectivity limitations, uneven digital literacy, and product quality challenges. The study concludes that digital platforms can significantly enhance agribusiness outcomes in mountainous contexts when embedded within federated governance structures and supported by investments in capacity building, branding, quality assurance, and last</w:t>
      </w:r>
      <w:r w:rsidR="001E00D6">
        <w:rPr>
          <w:sz w:val="22"/>
          <w:szCs w:val="22"/>
        </w:rPr>
        <w:t xml:space="preserve"> </w:t>
      </w:r>
      <w:r w:rsidR="009477DA" w:rsidRPr="00425C92">
        <w:rPr>
          <w:sz w:val="22"/>
          <w:szCs w:val="22"/>
        </w:rPr>
        <w:t>mile logistics.</w:t>
      </w:r>
    </w:p>
    <w:p w:rsidR="009477DA" w:rsidRPr="00425C92" w:rsidRDefault="009477DA" w:rsidP="00E61B22">
      <w:pPr>
        <w:pStyle w:val="Body"/>
        <w:spacing w:before="100" w:beforeAutospacing="1" w:after="100" w:afterAutospacing="1"/>
        <w:rPr>
          <w:rFonts w:ascii="Times New Roman" w:hAnsi="Times New Roman"/>
          <w:sz w:val="22"/>
          <w:szCs w:val="22"/>
          <w:lang w:val="en-IN" w:eastAsia="en-IN" w:bidi="hi-IN"/>
        </w:rPr>
      </w:pPr>
      <w:r w:rsidRPr="00425C92">
        <w:rPr>
          <w:rFonts w:ascii="Times New Roman" w:hAnsi="Times New Roman"/>
          <w:b/>
          <w:bCs/>
          <w:sz w:val="22"/>
          <w:szCs w:val="22"/>
          <w:lang w:val="en-IN" w:eastAsia="en-IN" w:bidi="hi-IN"/>
        </w:rPr>
        <w:t>Keywords</w:t>
      </w:r>
      <w:r w:rsidRPr="00425C92">
        <w:rPr>
          <w:rFonts w:ascii="Times New Roman" w:hAnsi="Times New Roman"/>
          <w:sz w:val="22"/>
          <w:szCs w:val="22"/>
          <w:lang w:val="en-IN" w:eastAsia="en-IN" w:bidi="hi-IN"/>
        </w:rPr>
        <w:t xml:space="preserve">: Agribusiness Growth Centres; Digital platform; e-commerce; Farmer federations; Farmer Interest group; Smallholder farmers; Value chains.  </w:t>
      </w:r>
    </w:p>
    <w:p w:rsidR="00562653" w:rsidRPr="00425C92" w:rsidRDefault="00562653" w:rsidP="00562653">
      <w:pPr>
        <w:spacing w:before="91"/>
        <w:rPr>
          <w:rFonts w:ascii="Times New Roman" w:hAnsi="Times New Roman"/>
          <w:sz w:val="22"/>
          <w:szCs w:val="22"/>
          <w:lang w:val="en-IN" w:eastAsia="en-IN" w:bidi="hi-IN"/>
        </w:rPr>
      </w:pPr>
      <w:r w:rsidRPr="00425C92">
        <w:rPr>
          <w:rFonts w:ascii="Times New Roman" w:hAnsi="Times New Roman"/>
          <w:b/>
          <w:bCs/>
          <w:sz w:val="22"/>
          <w:szCs w:val="22"/>
          <w:lang w:val="en-IN" w:eastAsia="en-IN" w:bidi="hi-IN"/>
        </w:rPr>
        <w:t>JEL codes</w:t>
      </w:r>
      <w:r w:rsidRPr="00425C92">
        <w:rPr>
          <w:rFonts w:ascii="Times New Roman" w:hAnsi="Times New Roman"/>
          <w:sz w:val="22"/>
          <w:szCs w:val="22"/>
          <w:lang w:val="en-IN" w:eastAsia="en-IN" w:bidi="hi-IN"/>
        </w:rPr>
        <w:t xml:space="preserve"> Q1</w:t>
      </w:r>
      <w:r w:rsidR="00425C92">
        <w:rPr>
          <w:rFonts w:ascii="Times New Roman" w:hAnsi="Times New Roman"/>
          <w:sz w:val="22"/>
          <w:szCs w:val="22"/>
          <w:lang w:val="en-IN" w:eastAsia="en-IN" w:bidi="hi-IN"/>
        </w:rPr>
        <w:t>3</w:t>
      </w:r>
      <w:r w:rsidRPr="00425C92">
        <w:rPr>
          <w:rFonts w:ascii="Times New Roman" w:hAnsi="Times New Roman"/>
          <w:sz w:val="22"/>
          <w:szCs w:val="22"/>
          <w:lang w:val="en-IN" w:eastAsia="en-IN" w:bidi="hi-IN"/>
        </w:rPr>
        <w:t>, Q</w:t>
      </w:r>
      <w:r w:rsidR="00425C92">
        <w:rPr>
          <w:rFonts w:ascii="Times New Roman" w:hAnsi="Times New Roman"/>
          <w:sz w:val="22"/>
          <w:szCs w:val="22"/>
          <w:lang w:val="en-IN" w:eastAsia="en-IN" w:bidi="hi-IN"/>
        </w:rPr>
        <w:t>16</w:t>
      </w:r>
    </w:p>
    <w:p w:rsidR="009477DA" w:rsidRPr="00425C92" w:rsidRDefault="002709FA" w:rsidP="00E61B22">
      <w:pPr>
        <w:pStyle w:val="Heading2"/>
        <w:spacing w:before="100" w:beforeAutospacing="1" w:after="100" w:afterAutospacing="1"/>
        <w:rPr>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Introduction</w:t>
      </w:r>
    </w:p>
    <w:p w:rsidR="009477DA" w:rsidRPr="00425C92" w:rsidRDefault="009477DA" w:rsidP="00E61B22">
      <w:pPr>
        <w:pStyle w:val="NormalWeb"/>
        <w:jc w:val="both"/>
      </w:pPr>
      <w:r w:rsidRPr="00425C92">
        <w:t>The agricultural sector in developing countries is undergoing a structural transformation, increasingly driven by the integration of digital technologies. These innovations not only enhance productivity but also offer new pathways for market access, financial inclusion, and value chain integration. In geographically disadvantaged regions such as the Indian Himalayas, where market access remains constrained by terrain, poor infrastructure, and fragmented supply chains, digital platforms have emerged as viable solutions to bridge gaps between producers and markets.</w:t>
      </w:r>
    </w:p>
    <w:p w:rsidR="009477DA" w:rsidRPr="00425C92" w:rsidRDefault="009477DA" w:rsidP="00E61B22">
      <w:pPr>
        <w:pStyle w:val="NormalWeb"/>
        <w:jc w:val="both"/>
      </w:pPr>
      <w:r w:rsidRPr="00425C92">
        <w:t>India’s agriculture, employing nearly 54% of the population and contributing about 17–18% to national GDP, remains largely smallholder</w:t>
      </w:r>
      <w:r w:rsidR="001E00D6">
        <w:t xml:space="preserve"> </w:t>
      </w:r>
      <w:r w:rsidRPr="00425C92">
        <w:t>based (Department of Agriculture and Farmers Welfare</w:t>
      </w:r>
      <w:r w:rsidR="008540B1" w:rsidRPr="00425C92">
        <w:t>,</w:t>
      </w:r>
      <w:r w:rsidRPr="00425C92">
        <w:t xml:space="preserve"> 2025). Despite this significance, farmers in hilly states like Uttarakhand face challenges in accessing organized markets. Traditional mandi systems involve multiple intermediaries, high transaction costs, and delayed price discovery, reducing farmers’ income share.</w:t>
      </w:r>
    </w:p>
    <w:p w:rsidR="009477DA" w:rsidRPr="00425C92" w:rsidRDefault="009477DA" w:rsidP="00E61B22">
      <w:pPr>
        <w:pStyle w:val="NormalWeb"/>
        <w:jc w:val="both"/>
      </w:pPr>
      <w:r w:rsidRPr="00425C92">
        <w:lastRenderedPageBreak/>
        <w:t xml:space="preserve">In this context, the </w:t>
      </w:r>
      <w:r w:rsidRPr="00425C92">
        <w:rPr>
          <w:rStyle w:val="Emphasis"/>
        </w:rPr>
        <w:t xml:space="preserve">Uttarakhand Decentralized Watershed Development Project </w:t>
      </w:r>
      <w:r w:rsidRPr="00694639">
        <w:rPr>
          <w:rStyle w:val="Emphasis"/>
          <w:i w:val="0"/>
          <w:iCs w:val="0"/>
        </w:rPr>
        <w:t>Phase II</w:t>
      </w:r>
      <w:r w:rsidRPr="00425C92">
        <w:rPr>
          <w:rStyle w:val="Emphasis"/>
        </w:rPr>
        <w:t xml:space="preserve"> </w:t>
      </w:r>
      <w:r w:rsidRPr="00694639">
        <w:rPr>
          <w:rStyle w:val="Emphasis"/>
          <w:i w:val="0"/>
          <w:iCs w:val="0"/>
        </w:rPr>
        <w:t>(</w:t>
      </w:r>
      <w:proofErr w:type="spellStart"/>
      <w:r w:rsidRPr="00425C92">
        <w:rPr>
          <w:rStyle w:val="Emphasis"/>
        </w:rPr>
        <w:t>Gramya</w:t>
      </w:r>
      <w:proofErr w:type="spellEnd"/>
      <w:r w:rsidRPr="00425C92">
        <w:rPr>
          <w:rStyle w:val="Emphasis"/>
        </w:rPr>
        <w:t>-II</w:t>
      </w:r>
      <w:r w:rsidRPr="00694639">
        <w:rPr>
          <w:rStyle w:val="Emphasis"/>
          <w:i w:val="0"/>
          <w:iCs w:val="0"/>
        </w:rPr>
        <w:t>)</w:t>
      </w:r>
      <w:r w:rsidRPr="00425C92">
        <w:t>, implemented by the Watershed Management Directorate (WMD) with World Bank support (2014–2022), introduced interventions to enhance watershed management, climate-resilient agriculture, and market-driven agribusiness (Watershed Management Directorate</w:t>
      </w:r>
      <w:r w:rsidR="00FD6B0D" w:rsidRPr="00425C92">
        <w:t>,</w:t>
      </w:r>
      <w:r w:rsidRPr="00425C92">
        <w:t xml:space="preserve"> 2023). Central to this effort was the deployment of digital tools to improve value chains and create sustainable market linkages.</w:t>
      </w:r>
    </w:p>
    <w:p w:rsidR="00425C92" w:rsidRPr="00425C92" w:rsidRDefault="00425C92" w:rsidP="00425C92">
      <w:pPr>
        <w:pStyle w:val="NormalWeb"/>
        <w:jc w:val="both"/>
      </w:pPr>
      <w:r w:rsidRPr="00425C92">
        <w:t xml:space="preserve">The project established the </w:t>
      </w:r>
      <w:proofErr w:type="spellStart"/>
      <w:r w:rsidRPr="00425C92">
        <w:rPr>
          <w:rStyle w:val="Emphasis"/>
        </w:rPr>
        <w:t>Gramya</w:t>
      </w:r>
      <w:proofErr w:type="spellEnd"/>
      <w:r w:rsidRPr="00425C92">
        <w:rPr>
          <w:rStyle w:val="Emphasis"/>
        </w:rPr>
        <w:t xml:space="preserve"> Shree</w:t>
      </w:r>
      <w:r w:rsidRPr="00425C92">
        <w:t xml:space="preserve"> brand and the </w:t>
      </w:r>
      <w:proofErr w:type="spellStart"/>
      <w:r w:rsidRPr="00425C92">
        <w:rPr>
          <w:rStyle w:val="Emphasis"/>
        </w:rPr>
        <w:t>Gramyashree</w:t>
      </w:r>
      <w:proofErr w:type="spellEnd"/>
      <w:r w:rsidRPr="00425C92">
        <w:t xml:space="preserve"> digital platform (mobile app and e-commerce portal) to enable real-time listing of produce, connect farmers directly to buyers, and provide transparent information on price and availability. By reducing dependence on middle men and expanding digital reach, the platform empowered farmers to access broader markets, while offering buyers traceable, fresh, and often organic produce. Embedded within a larger ecosystem of FIGs, FFs, and ABGCs, the digital component amplified transparency and outreach</w:t>
      </w:r>
      <w:r w:rsidR="00694639">
        <w:t xml:space="preserve"> </w:t>
      </w:r>
      <w:r w:rsidRPr="00425C92">
        <w:t>key for inclusive agribusiness in hilly terrains.</w:t>
      </w:r>
    </w:p>
    <w:p w:rsidR="009477DA" w:rsidRPr="00425C92" w:rsidRDefault="002709FA" w:rsidP="00E61B2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Literature Review</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t>Over the past two decades, digital innovation has transformed agribusiness from basic communication tools to integrated platforms using</w:t>
      </w:r>
      <w:r w:rsidR="00AB3582" w:rsidRPr="00425C92">
        <w:rPr>
          <w:rFonts w:ascii="Times New Roman" w:hAnsi="Times New Roman"/>
          <w:sz w:val="24"/>
          <w:szCs w:val="24"/>
          <w:lang w:val="en-IN" w:eastAsia="en-IN" w:bidi="hi-IN"/>
        </w:rPr>
        <w:t xml:space="preserve"> artificial intelligence</w:t>
      </w:r>
      <w:r w:rsidRPr="00425C92">
        <w:rPr>
          <w:rFonts w:ascii="Times New Roman" w:hAnsi="Times New Roman"/>
          <w:sz w:val="24"/>
          <w:szCs w:val="24"/>
          <w:lang w:val="en-IN" w:eastAsia="en-IN" w:bidi="hi-IN"/>
        </w:rPr>
        <w:t xml:space="preserve"> </w:t>
      </w:r>
      <w:r w:rsidR="00AB3582"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AI</w:t>
      </w:r>
      <w:r w:rsidR="00AB3582"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w:t>
      </w:r>
      <w:r w:rsidR="00AB3582" w:rsidRPr="00425C92">
        <w:rPr>
          <w:rFonts w:ascii="Times New Roman" w:hAnsi="Times New Roman"/>
          <w:sz w:val="24"/>
          <w:szCs w:val="24"/>
          <w:lang w:val="en-IN" w:eastAsia="en-IN" w:bidi="hi-IN"/>
        </w:rPr>
        <w:t>Internet of Things (</w:t>
      </w:r>
      <w:r w:rsidRPr="00425C92">
        <w:rPr>
          <w:rFonts w:ascii="Times New Roman" w:hAnsi="Times New Roman"/>
          <w:sz w:val="24"/>
          <w:szCs w:val="24"/>
          <w:lang w:val="en-IN" w:eastAsia="en-IN" w:bidi="hi-IN"/>
        </w:rPr>
        <w:t>IoT</w:t>
      </w:r>
      <w:r w:rsidR="00AB3582"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and blockchain. In the early 2000s, </w:t>
      </w:r>
      <w:r w:rsidR="00AB3582" w:rsidRPr="00425C92">
        <w:rPr>
          <w:rFonts w:ascii="Times New Roman" w:hAnsi="Times New Roman"/>
          <w:sz w:val="24"/>
          <w:szCs w:val="24"/>
          <w:lang w:val="en-IN" w:eastAsia="en-IN" w:bidi="hi-IN"/>
        </w:rPr>
        <w:t>digital agriculture</w:t>
      </w:r>
      <w:r w:rsidRPr="00425C92">
        <w:rPr>
          <w:rFonts w:ascii="Times New Roman" w:hAnsi="Times New Roman"/>
          <w:sz w:val="24"/>
          <w:szCs w:val="24"/>
          <w:lang w:val="en-IN" w:eastAsia="en-IN" w:bidi="hi-IN"/>
        </w:rPr>
        <w:t xml:space="preserve"> interventions mainly focused on agricultural advisories and price dissemination via SMS or radio. Glendenning and </w:t>
      </w:r>
      <w:proofErr w:type="spellStart"/>
      <w:r w:rsidRPr="00425C92">
        <w:rPr>
          <w:rFonts w:ascii="Times New Roman" w:hAnsi="Times New Roman"/>
          <w:sz w:val="24"/>
          <w:szCs w:val="24"/>
          <w:lang w:val="en-IN" w:eastAsia="en-IN" w:bidi="hi-IN"/>
        </w:rPr>
        <w:t>Ficarelli</w:t>
      </w:r>
      <w:proofErr w:type="spellEnd"/>
      <w:r w:rsidRPr="00425C92">
        <w:rPr>
          <w:rFonts w:ascii="Times New Roman" w:hAnsi="Times New Roman"/>
          <w:sz w:val="24"/>
          <w:szCs w:val="24"/>
          <w:lang w:val="en-IN" w:eastAsia="en-IN" w:bidi="hi-IN"/>
        </w:rPr>
        <w:t xml:space="preserve"> (2012) emphasized the localization of ICT content, laying the foundation for ICT4Ag innovations.</w:t>
      </w:r>
    </w:p>
    <w:p w:rsidR="00AB3582"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t xml:space="preserve">By the mid-2010s, ICT began playing a central role in market integration. Nakasone and </w:t>
      </w:r>
      <w:proofErr w:type="spellStart"/>
      <w:r w:rsidRPr="00425C92">
        <w:rPr>
          <w:rFonts w:ascii="Times New Roman" w:hAnsi="Times New Roman"/>
          <w:sz w:val="24"/>
          <w:szCs w:val="24"/>
          <w:lang w:val="en-IN" w:eastAsia="en-IN" w:bidi="hi-IN"/>
        </w:rPr>
        <w:t>Minten</w:t>
      </w:r>
      <w:proofErr w:type="spellEnd"/>
      <w:r w:rsidRPr="00425C92">
        <w:rPr>
          <w:rFonts w:ascii="Times New Roman" w:hAnsi="Times New Roman"/>
          <w:sz w:val="24"/>
          <w:szCs w:val="24"/>
          <w:lang w:val="en-IN" w:eastAsia="en-IN" w:bidi="hi-IN"/>
        </w:rPr>
        <w:t xml:space="preserve"> (2013) showed that digital tools reduced price dispersion and improved efficiency. Similarly, </w:t>
      </w:r>
      <w:proofErr w:type="spellStart"/>
      <w:r w:rsidRPr="00425C92">
        <w:rPr>
          <w:rFonts w:ascii="Times New Roman" w:hAnsi="Times New Roman"/>
          <w:sz w:val="24"/>
          <w:szCs w:val="24"/>
          <w:lang w:val="en-IN" w:eastAsia="en-IN" w:bidi="hi-IN"/>
        </w:rPr>
        <w:t>Shalendra</w:t>
      </w:r>
      <w:proofErr w:type="spellEnd"/>
      <w:r w:rsidRPr="00425C92">
        <w:rPr>
          <w:rFonts w:ascii="Times New Roman" w:hAnsi="Times New Roman"/>
          <w:sz w:val="24"/>
          <w:szCs w:val="24"/>
          <w:lang w:val="en-IN" w:eastAsia="en-IN" w:bidi="hi-IN"/>
        </w:rPr>
        <w:t xml:space="preserve">, Sharma, and </w:t>
      </w:r>
      <w:proofErr w:type="spellStart"/>
      <w:r w:rsidRPr="00425C92">
        <w:rPr>
          <w:rFonts w:ascii="Times New Roman" w:hAnsi="Times New Roman"/>
          <w:sz w:val="24"/>
          <w:szCs w:val="24"/>
          <w:lang w:val="en-IN" w:eastAsia="en-IN" w:bidi="hi-IN"/>
        </w:rPr>
        <w:t>Gummagolmath</w:t>
      </w:r>
      <w:proofErr w:type="spellEnd"/>
      <w:r w:rsidRPr="00425C92">
        <w:rPr>
          <w:rFonts w:ascii="Times New Roman" w:hAnsi="Times New Roman"/>
          <w:sz w:val="24"/>
          <w:szCs w:val="24"/>
          <w:lang w:val="en-IN" w:eastAsia="en-IN" w:bidi="hi-IN"/>
        </w:rPr>
        <w:t xml:space="preserve"> (2019) found that e-tendering improved price discovery and transparency. </w:t>
      </w:r>
      <w:r w:rsidR="00694639" w:rsidRPr="00694639">
        <w:rPr>
          <w:rFonts w:ascii="Times New Roman" w:hAnsi="Times New Roman"/>
          <w:sz w:val="24"/>
          <w:szCs w:val="24"/>
          <w:lang w:val="en-IN" w:eastAsia="en-IN" w:bidi="hi-IN"/>
        </w:rPr>
        <w:t>Market Information Systems (MIS) such as Kenya’s KACE enabled real-time access to price data, thereby strengthening farmers’ bargaining power (</w:t>
      </w:r>
      <w:proofErr w:type="spellStart"/>
      <w:r w:rsidR="00694639" w:rsidRPr="00694639">
        <w:rPr>
          <w:rFonts w:ascii="Times New Roman" w:hAnsi="Times New Roman"/>
          <w:sz w:val="24"/>
          <w:szCs w:val="24"/>
          <w:lang w:val="en-IN" w:eastAsia="en-IN" w:bidi="hi-IN"/>
        </w:rPr>
        <w:t>Mukhebi</w:t>
      </w:r>
      <w:proofErr w:type="spellEnd"/>
      <w:r w:rsidR="00694639" w:rsidRPr="00694639">
        <w:rPr>
          <w:rFonts w:ascii="Times New Roman" w:hAnsi="Times New Roman"/>
          <w:sz w:val="24"/>
          <w:szCs w:val="24"/>
          <w:lang w:val="en-IN" w:eastAsia="en-IN" w:bidi="hi-IN"/>
        </w:rPr>
        <w:t xml:space="preserve"> et al. 2008).</w:t>
      </w:r>
      <w:r w:rsidRPr="00425C92">
        <w:rPr>
          <w:rFonts w:ascii="Times New Roman" w:hAnsi="Times New Roman"/>
          <w:sz w:val="24"/>
          <w:szCs w:val="24"/>
          <w:lang w:val="en-IN" w:eastAsia="en-IN" w:bidi="hi-IN"/>
        </w:rPr>
        <w:t xml:space="preserve"> </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proofErr w:type="spellStart"/>
      <w:r w:rsidRPr="00425C92">
        <w:rPr>
          <w:rFonts w:ascii="Times New Roman" w:hAnsi="Times New Roman"/>
          <w:sz w:val="24"/>
          <w:szCs w:val="24"/>
          <w:lang w:val="en-IN" w:eastAsia="en-IN" w:bidi="hi-IN"/>
        </w:rPr>
        <w:t>Sermuksnyte-Alesiuniene</w:t>
      </w:r>
      <w:proofErr w:type="spellEnd"/>
      <w:r w:rsidRPr="00425C92">
        <w:rPr>
          <w:rFonts w:ascii="Times New Roman" w:hAnsi="Times New Roman"/>
          <w:sz w:val="24"/>
          <w:szCs w:val="24"/>
          <w:lang w:val="en-IN" w:eastAsia="en-IN" w:bidi="hi-IN"/>
        </w:rPr>
        <w:t xml:space="preserve"> and </w:t>
      </w:r>
      <w:proofErr w:type="spellStart"/>
      <w:r w:rsidRPr="00425C92">
        <w:rPr>
          <w:rFonts w:ascii="Times New Roman" w:hAnsi="Times New Roman"/>
          <w:sz w:val="24"/>
          <w:szCs w:val="24"/>
          <w:lang w:val="en-IN" w:eastAsia="en-IN" w:bidi="hi-IN"/>
        </w:rPr>
        <w:t>Melnikiene</w:t>
      </w:r>
      <w:proofErr w:type="spellEnd"/>
      <w:r w:rsidRPr="00425C92">
        <w:rPr>
          <w:rFonts w:ascii="Times New Roman" w:hAnsi="Times New Roman"/>
          <w:sz w:val="24"/>
          <w:szCs w:val="24"/>
          <w:lang w:val="en-IN" w:eastAsia="en-IN" w:bidi="hi-IN"/>
        </w:rPr>
        <w:t xml:space="preserve"> (2024) demonstrated how digitalization improved small farm sustainability, while studies by Ju and Lou (2024), </w:t>
      </w:r>
      <w:proofErr w:type="spellStart"/>
      <w:r w:rsidRPr="00425C92">
        <w:rPr>
          <w:rFonts w:ascii="Times New Roman" w:hAnsi="Times New Roman"/>
          <w:sz w:val="24"/>
          <w:szCs w:val="24"/>
          <w:lang w:val="en-IN" w:eastAsia="en-IN" w:bidi="hi-IN"/>
        </w:rPr>
        <w:t>Ningsih</w:t>
      </w:r>
      <w:proofErr w:type="spellEnd"/>
      <w:r w:rsidRPr="00425C92">
        <w:rPr>
          <w:rFonts w:ascii="Times New Roman" w:hAnsi="Times New Roman"/>
          <w:sz w:val="24"/>
          <w:szCs w:val="24"/>
          <w:lang w:val="en-IN" w:eastAsia="en-IN" w:bidi="hi-IN"/>
        </w:rPr>
        <w:t xml:space="preserve"> et al. (2024), and </w:t>
      </w:r>
      <w:proofErr w:type="spellStart"/>
      <w:r w:rsidRPr="00425C92">
        <w:rPr>
          <w:rFonts w:ascii="Times New Roman" w:hAnsi="Times New Roman"/>
          <w:sz w:val="24"/>
          <w:szCs w:val="24"/>
          <w:lang w:val="en-IN" w:eastAsia="en-IN" w:bidi="hi-IN"/>
        </w:rPr>
        <w:t>Chiwaridzo</w:t>
      </w:r>
      <w:proofErr w:type="spellEnd"/>
      <w:r w:rsidRPr="00425C92">
        <w:rPr>
          <w:rFonts w:ascii="Times New Roman" w:hAnsi="Times New Roman"/>
          <w:sz w:val="24"/>
          <w:szCs w:val="24"/>
          <w:lang w:val="en-IN" w:eastAsia="en-IN" w:bidi="hi-IN"/>
        </w:rPr>
        <w:t xml:space="preserve"> et al. (2024) confirmed the income-enhancing potential of e-commerce platforms for smallholders. These interventions also increased traceability and consumer trust.</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t>Digital platforms economic benefits</w:t>
      </w:r>
      <w:r w:rsidR="00FD6B0D" w:rsidRPr="00425C92">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such as price realization, improved access, and reduced post-harvest losses</w:t>
      </w:r>
      <w:r w:rsidR="00FD6B0D" w:rsidRPr="00425C92">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are widely documented (Barton</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2003; </w:t>
      </w:r>
      <w:proofErr w:type="spellStart"/>
      <w:r w:rsidRPr="00425C92">
        <w:rPr>
          <w:rFonts w:ascii="Times New Roman" w:hAnsi="Times New Roman"/>
          <w:sz w:val="24"/>
          <w:szCs w:val="24"/>
          <w:lang w:val="en-IN" w:eastAsia="en-IN" w:bidi="hi-IN"/>
        </w:rPr>
        <w:t>Clasen</w:t>
      </w:r>
      <w:proofErr w:type="spellEnd"/>
      <w:r w:rsidRPr="00425C92">
        <w:rPr>
          <w:rFonts w:ascii="Times New Roman" w:hAnsi="Times New Roman"/>
          <w:sz w:val="24"/>
          <w:szCs w:val="24"/>
          <w:lang w:val="en-IN" w:eastAsia="en-IN" w:bidi="hi-IN"/>
        </w:rPr>
        <w:t xml:space="preserve"> and Mueller</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2006; Landreth</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2022). Integrated solutions like </w:t>
      </w:r>
      <w:proofErr w:type="spellStart"/>
      <w:r w:rsidRPr="00425C92">
        <w:rPr>
          <w:rFonts w:ascii="Times New Roman" w:hAnsi="Times New Roman"/>
          <w:sz w:val="24"/>
          <w:szCs w:val="24"/>
          <w:lang w:val="en-IN" w:eastAsia="en-IN" w:bidi="hi-IN"/>
        </w:rPr>
        <w:t>DigiFarm</w:t>
      </w:r>
      <w:proofErr w:type="spellEnd"/>
      <w:r w:rsidRPr="00425C92">
        <w:rPr>
          <w:rFonts w:ascii="Times New Roman" w:hAnsi="Times New Roman"/>
          <w:sz w:val="24"/>
          <w:szCs w:val="24"/>
          <w:lang w:val="en-IN" w:eastAsia="en-IN" w:bidi="hi-IN"/>
        </w:rPr>
        <w:t xml:space="preserve"> have enhanced access to inputs and credit (Sam and Grobbelaar</w:t>
      </w:r>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2021). However, </w:t>
      </w:r>
      <w:proofErr w:type="spellStart"/>
      <w:r w:rsidRPr="00425C92">
        <w:rPr>
          <w:rFonts w:ascii="Times New Roman" w:hAnsi="Times New Roman"/>
          <w:sz w:val="24"/>
          <w:szCs w:val="24"/>
          <w:lang w:val="en-IN" w:eastAsia="en-IN" w:bidi="hi-IN"/>
        </w:rPr>
        <w:t>Hackfort</w:t>
      </w:r>
      <w:proofErr w:type="spellEnd"/>
      <w:r w:rsidRPr="00425C92">
        <w:rPr>
          <w:rFonts w:ascii="Times New Roman" w:hAnsi="Times New Roman"/>
          <w:sz w:val="24"/>
          <w:szCs w:val="24"/>
          <w:lang w:val="en-IN" w:eastAsia="en-IN" w:bidi="hi-IN"/>
        </w:rPr>
        <w:t xml:space="preserve"> (2021) cautioned that inequalities in access persist due to connectivity and cost barriers, while </w:t>
      </w:r>
      <w:proofErr w:type="spellStart"/>
      <w:r w:rsidRPr="00425C92">
        <w:rPr>
          <w:rFonts w:ascii="Times New Roman" w:hAnsi="Times New Roman"/>
          <w:sz w:val="24"/>
          <w:szCs w:val="24"/>
          <w:lang w:val="en-IN" w:eastAsia="en-IN" w:bidi="hi-IN"/>
        </w:rPr>
        <w:t>Saha</w:t>
      </w:r>
      <w:proofErr w:type="spellEnd"/>
      <w:r w:rsidRPr="00425C92">
        <w:rPr>
          <w:rFonts w:ascii="Times New Roman" w:hAnsi="Times New Roman"/>
          <w:sz w:val="24"/>
          <w:szCs w:val="24"/>
          <w:lang w:val="en-IN" w:eastAsia="en-IN" w:bidi="hi-IN"/>
        </w:rPr>
        <w:t xml:space="preserve">, </w:t>
      </w:r>
      <w:proofErr w:type="spellStart"/>
      <w:r w:rsidRPr="00425C92">
        <w:rPr>
          <w:rFonts w:ascii="Times New Roman" w:hAnsi="Times New Roman"/>
          <w:sz w:val="24"/>
          <w:szCs w:val="24"/>
          <w:lang w:val="en-IN" w:eastAsia="en-IN" w:bidi="hi-IN"/>
        </w:rPr>
        <w:t>Prusty</w:t>
      </w:r>
      <w:proofErr w:type="spellEnd"/>
      <w:r w:rsidRPr="00425C92">
        <w:rPr>
          <w:rFonts w:ascii="Times New Roman" w:hAnsi="Times New Roman"/>
          <w:sz w:val="24"/>
          <w:szCs w:val="24"/>
          <w:lang w:val="en-IN" w:eastAsia="en-IN" w:bidi="hi-IN"/>
        </w:rPr>
        <w:t>, and Nanda (2024) noted gendered gaps in digital participation.</w:t>
      </w:r>
    </w:p>
    <w:p w:rsidR="009477DA" w:rsidRPr="00425C92" w:rsidRDefault="009477DA" w:rsidP="00E61B22">
      <w:pPr>
        <w:spacing w:before="100" w:beforeAutospacing="1" w:after="100" w:afterAutospacing="1"/>
        <w:jc w:val="both"/>
        <w:rPr>
          <w:rFonts w:ascii="Times New Roman" w:hAnsi="Times New Roman"/>
          <w:sz w:val="24"/>
          <w:szCs w:val="24"/>
          <w:lang w:val="en-IN" w:eastAsia="en-IN" w:bidi="hi-IN"/>
        </w:rPr>
      </w:pPr>
      <w:r w:rsidRPr="00425C92">
        <w:rPr>
          <w:rFonts w:ascii="Times New Roman" w:hAnsi="Times New Roman"/>
          <w:sz w:val="24"/>
          <w:szCs w:val="24"/>
          <w:lang w:val="en-IN" w:eastAsia="en-IN" w:bidi="hi-IN"/>
        </w:rPr>
        <w:lastRenderedPageBreak/>
        <w:t xml:space="preserve">Environmental and institutional implications have also been recognized. Blockchain and IoT-based traceability support low-emission, climate-smart systems (Deshmukh and </w:t>
      </w:r>
      <w:proofErr w:type="spellStart"/>
      <w:r w:rsidRPr="00425C92">
        <w:rPr>
          <w:rFonts w:ascii="Times New Roman" w:hAnsi="Times New Roman"/>
          <w:sz w:val="24"/>
          <w:szCs w:val="24"/>
          <w:lang w:val="en-IN" w:eastAsia="en-IN" w:bidi="hi-IN"/>
        </w:rPr>
        <w:t>Patil</w:t>
      </w:r>
      <w:proofErr w:type="spellEnd"/>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2022; </w:t>
      </w:r>
      <w:proofErr w:type="spellStart"/>
      <w:r w:rsidRPr="00425C92">
        <w:rPr>
          <w:rFonts w:ascii="Times New Roman" w:hAnsi="Times New Roman"/>
          <w:sz w:val="24"/>
          <w:szCs w:val="24"/>
          <w:lang w:val="en-IN" w:eastAsia="en-IN" w:bidi="hi-IN"/>
        </w:rPr>
        <w:t>Pavesi</w:t>
      </w:r>
      <w:proofErr w:type="spellEnd"/>
      <w:r w:rsidRPr="00425C92">
        <w:rPr>
          <w:rFonts w:ascii="Times New Roman" w:hAnsi="Times New Roman"/>
          <w:sz w:val="24"/>
          <w:szCs w:val="24"/>
          <w:lang w:val="en-IN" w:eastAsia="en-IN" w:bidi="hi-IN"/>
        </w:rPr>
        <w:t xml:space="preserve">, </w:t>
      </w:r>
      <w:proofErr w:type="spellStart"/>
      <w:r w:rsidRPr="00425C92">
        <w:rPr>
          <w:rFonts w:ascii="Times New Roman" w:hAnsi="Times New Roman"/>
          <w:sz w:val="24"/>
          <w:szCs w:val="24"/>
          <w:lang w:val="en-IN" w:eastAsia="en-IN" w:bidi="hi-IN"/>
        </w:rPr>
        <w:t>Orsi</w:t>
      </w:r>
      <w:proofErr w:type="spellEnd"/>
      <w:r w:rsidRPr="00425C92">
        <w:rPr>
          <w:rFonts w:ascii="Times New Roman" w:hAnsi="Times New Roman"/>
          <w:sz w:val="24"/>
          <w:szCs w:val="24"/>
          <w:lang w:val="en-IN" w:eastAsia="en-IN" w:bidi="hi-IN"/>
        </w:rPr>
        <w:t xml:space="preserve">, and </w:t>
      </w:r>
      <w:proofErr w:type="spellStart"/>
      <w:r w:rsidRPr="00425C92">
        <w:rPr>
          <w:rFonts w:ascii="Times New Roman" w:hAnsi="Times New Roman"/>
          <w:sz w:val="24"/>
          <w:szCs w:val="24"/>
          <w:lang w:val="en-IN" w:eastAsia="en-IN" w:bidi="hi-IN"/>
        </w:rPr>
        <w:t>Zanderighi</w:t>
      </w:r>
      <w:proofErr w:type="spellEnd"/>
      <w:r w:rsidR="00FD6B0D"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2024). Nonetheless, few studies evaluate long-term institutional sustainability or interoperability in low-bandwidth contexts, suggesting that successful digital agriculture requires strong governance, robust infrastructure, and integration with existing local systems.</w:t>
      </w:r>
    </w:p>
    <w:p w:rsidR="007F7B32" w:rsidRPr="00425C92" w:rsidRDefault="00187416" w:rsidP="00562653">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Methodology</w:t>
      </w:r>
    </w:p>
    <w:p w:rsidR="00187416" w:rsidRPr="00425C92" w:rsidRDefault="00187416" w:rsidP="00E61B22">
      <w:pPr>
        <w:pStyle w:val="Body"/>
        <w:spacing w:before="100" w:beforeAutospacing="1" w:after="100" w:afterAutospacing="1"/>
        <w:rPr>
          <w:rFonts w:ascii="Times New Roman" w:hAnsi="Times New Roman"/>
          <w:sz w:val="24"/>
          <w:szCs w:val="24"/>
          <w:lang w:val="en-IN" w:eastAsia="en-IN" w:bidi="hi-IN"/>
        </w:rPr>
      </w:pPr>
      <w:r w:rsidRPr="00425C92">
        <w:rPr>
          <w:rFonts w:ascii="Times New Roman" w:hAnsi="Times New Roman"/>
          <w:sz w:val="24"/>
          <w:szCs w:val="24"/>
          <w:lang w:val="en-IN" w:eastAsia="en-IN" w:bidi="hi-IN"/>
        </w:rPr>
        <w:t xml:space="preserve">This study adopts a mixed methods research design to assess the role of digital platforms in strengthening agribusiness linkages within the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-II project, implemented in Uttarakhand, India. The methodology combines quantitative data analysis with qualitative insights, drawing on field-level observations, institutional records and stakeholders interviews</w:t>
      </w:r>
    </w:p>
    <w:p w:rsidR="00F92A6C" w:rsidRPr="00425C92" w:rsidRDefault="00187416"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t>Study Area</w:t>
      </w:r>
      <w:r w:rsidRPr="00425C92">
        <w:rPr>
          <w:rFonts w:ascii="Times New Roman" w:hAnsi="Times New Roman"/>
          <w:b/>
          <w:sz w:val="28"/>
          <w:szCs w:val="28"/>
        </w:rPr>
        <w:t>:</w:t>
      </w:r>
      <w:r w:rsidRPr="00425C92">
        <w:rPr>
          <w:rFonts w:ascii="Times New Roman" w:hAnsi="Times New Roman"/>
          <w:sz w:val="28"/>
          <w:szCs w:val="28"/>
        </w:rPr>
        <w:t xml:space="preserve"> </w:t>
      </w:r>
      <w:r w:rsidRPr="00425C92">
        <w:rPr>
          <w:rFonts w:ascii="Times New Roman" w:hAnsi="Times New Roman"/>
          <w:sz w:val="24"/>
          <w:szCs w:val="24"/>
          <w:lang w:val="en-IN" w:eastAsia="en-IN" w:bidi="hi-IN"/>
        </w:rPr>
        <w:t xml:space="preserve">The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-II project was implemented between 2014 and 2022 across 527 Gram Panchayats (GPs) situated in 82 micro-watersheds of Uttarakhand (fig</w:t>
      </w:r>
      <w:r w:rsidR="00562653" w:rsidRPr="00425C92">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1)</w:t>
      </w:r>
      <w:r w:rsidR="00694639">
        <w:rPr>
          <w:rFonts w:ascii="Times New Roman" w:hAnsi="Times New Roman"/>
          <w:sz w:val="24"/>
          <w:szCs w:val="24"/>
          <w:lang w:val="en-IN" w:eastAsia="en-IN" w:bidi="hi-IN"/>
        </w:rPr>
        <w:t>,</w:t>
      </w:r>
      <w:r w:rsidRPr="00425C92">
        <w:rPr>
          <w:rFonts w:ascii="Times New Roman" w:hAnsi="Times New Roman"/>
          <w:sz w:val="24"/>
          <w:szCs w:val="24"/>
          <w:lang w:val="en-IN" w:eastAsia="en-IN" w:bidi="hi-IN"/>
        </w:rPr>
        <w:t xml:space="preserve"> characterized by rugged Himalayan terrain and limited market accessibility. </w:t>
      </w:r>
    </w:p>
    <w:p w:rsidR="00187416" w:rsidRPr="00425C92" w:rsidRDefault="00837826" w:rsidP="00837826">
      <w:pPr>
        <w:pStyle w:val="Body"/>
        <w:spacing w:after="0"/>
        <w:jc w:val="center"/>
        <w:rPr>
          <w:rFonts w:ascii="Times New Roman" w:hAnsi="Times New Roman"/>
          <w:sz w:val="28"/>
          <w:szCs w:val="28"/>
        </w:rPr>
      </w:pPr>
      <w:r w:rsidRPr="00425C92">
        <w:rPr>
          <w:rFonts w:ascii="Times New Roman" w:hAnsi="Times New Roman"/>
          <w:noProof/>
          <w:sz w:val="28"/>
          <w:szCs w:val="28"/>
          <w:lang w:val="en-IN" w:eastAsia="en-IN"/>
        </w:rPr>
        <w:drawing>
          <wp:inline distT="0" distB="0" distL="0" distR="0" wp14:anchorId="7A321BCC">
            <wp:extent cx="4070985" cy="28848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0985" cy="2884805"/>
                    </a:xfrm>
                    <a:prstGeom prst="rect">
                      <a:avLst/>
                    </a:prstGeom>
                    <a:noFill/>
                    <a:ln>
                      <a:noFill/>
                    </a:ln>
                  </pic:spPr>
                </pic:pic>
              </a:graphicData>
            </a:graphic>
          </wp:inline>
        </w:drawing>
      </w:r>
    </w:p>
    <w:p w:rsidR="00187416" w:rsidRPr="00425C92" w:rsidRDefault="00187416"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Fig. 1: Project location of UDWDP-II(GRAMYA-II)</w:t>
      </w:r>
    </w:p>
    <w:p w:rsidR="00837826" w:rsidRPr="00425C92" w:rsidRDefault="00837826" w:rsidP="00837826">
      <w:pPr>
        <w:pStyle w:val="Body"/>
        <w:spacing w:before="100" w:beforeAutospacing="1" w:after="100" w:afterAutospacing="1"/>
        <w:rPr>
          <w:rFonts w:ascii="Times New Roman" w:hAnsi="Times New Roman"/>
          <w:sz w:val="28"/>
          <w:szCs w:val="28"/>
        </w:rPr>
      </w:pPr>
      <w:r w:rsidRPr="00425C92">
        <w:rPr>
          <w:rFonts w:ascii="Times New Roman" w:hAnsi="Times New Roman"/>
          <w:sz w:val="24"/>
          <w:szCs w:val="24"/>
          <w:lang w:val="en-IN" w:eastAsia="en-IN" w:bidi="hi-IN"/>
        </w:rPr>
        <w:t>The project aimed to enhance rural livelihoods through watershed management, climate-resilient agriculture, and digitally enabled agribusiness promotion. These interventions were particularly focused on remote and ecologically fragile hill regions where conventional market systems are often inaccessible or inefficient</w:t>
      </w:r>
    </w:p>
    <w:p w:rsidR="00A323A3" w:rsidRPr="00425C92" w:rsidRDefault="00A323A3"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t>Agribusiness Model and Digital Integration:</w:t>
      </w:r>
      <w:r w:rsidRPr="00425C92">
        <w:rPr>
          <w:rFonts w:ascii="Times New Roman" w:hAnsi="Times New Roman"/>
          <w:sz w:val="24"/>
          <w:szCs w:val="24"/>
          <w:lang w:val="en-IN" w:eastAsia="en-IN" w:bidi="hi-IN"/>
        </w:rPr>
        <w:t xml:space="preserve"> The agribusiness strategy under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 xml:space="preserve">-II was </w:t>
      </w:r>
      <w:proofErr w:type="spellStart"/>
      <w:r w:rsidRPr="00425C92">
        <w:rPr>
          <w:rFonts w:ascii="Times New Roman" w:hAnsi="Times New Roman"/>
          <w:sz w:val="24"/>
          <w:szCs w:val="24"/>
          <w:lang w:val="en-IN" w:eastAsia="en-IN" w:bidi="hi-IN"/>
        </w:rPr>
        <w:t>centered</w:t>
      </w:r>
      <w:proofErr w:type="spellEnd"/>
      <w:r w:rsidRPr="00425C92">
        <w:rPr>
          <w:rFonts w:ascii="Times New Roman" w:hAnsi="Times New Roman"/>
          <w:sz w:val="24"/>
          <w:szCs w:val="24"/>
          <w:lang w:val="en-IN" w:eastAsia="en-IN" w:bidi="hi-IN"/>
        </w:rPr>
        <w:t xml:space="preserve"> around the formation of Farmer Interest Groups (FIGs) </w:t>
      </w:r>
      <w:r w:rsidRPr="00425C92">
        <w:rPr>
          <w:rFonts w:ascii="Times New Roman" w:hAnsi="Times New Roman"/>
          <w:sz w:val="24"/>
          <w:szCs w:val="24"/>
          <w:lang w:val="en-IN" w:eastAsia="en-IN" w:bidi="hi-IN"/>
        </w:rPr>
        <w:lastRenderedPageBreak/>
        <w:t>voluntary associations of 5–15 farmers within a GP. These groups were consolidated into Farmer Federations (FFs) and supported through the establishment of Agribusiness Growth Centres (ABGCs). The ABGCs functioned as local hubs for aggregation, post-harvest management, value addition, and product marketing.</w:t>
      </w:r>
    </w:p>
    <w:p w:rsidR="00A323A3" w:rsidRPr="00425C92" w:rsidRDefault="00A323A3" w:rsidP="00E61B22">
      <w:pPr>
        <w:pStyle w:val="Body"/>
        <w:spacing w:before="100" w:beforeAutospacing="1" w:after="100" w:afterAutospacing="1"/>
        <w:rPr>
          <w:rFonts w:ascii="Times New Roman" w:hAnsi="Times New Roman"/>
          <w:sz w:val="24"/>
          <w:szCs w:val="24"/>
          <w:lang w:val="en-IN" w:eastAsia="en-IN" w:bidi="hi-IN"/>
        </w:rPr>
      </w:pPr>
      <w:r w:rsidRPr="00425C92">
        <w:rPr>
          <w:rFonts w:ascii="Times New Roman" w:hAnsi="Times New Roman"/>
          <w:sz w:val="24"/>
          <w:szCs w:val="24"/>
          <w:lang w:val="en-IN" w:eastAsia="en-IN" w:bidi="hi-IN"/>
        </w:rPr>
        <w:t>To enable digital integration, a digital platform</w:t>
      </w:r>
      <w:r w:rsidR="00562653" w:rsidRPr="00425C92">
        <w:rPr>
          <w:rFonts w:ascii="Times New Roman" w:hAnsi="Times New Roman"/>
          <w:sz w:val="24"/>
          <w:szCs w:val="24"/>
          <w:lang w:val="en-IN" w:eastAsia="en-IN" w:bidi="hi-IN"/>
        </w:rPr>
        <w:t xml:space="preserve"> </w:t>
      </w:r>
      <w:r w:rsidRPr="00425C92">
        <w:rPr>
          <w:rFonts w:ascii="Times New Roman" w:hAnsi="Times New Roman"/>
          <w:i/>
          <w:iCs/>
          <w:sz w:val="24"/>
          <w:szCs w:val="24"/>
          <w:lang w:val="en-IN" w:eastAsia="en-IN" w:bidi="hi-IN"/>
        </w:rPr>
        <w:t>(</w:t>
      </w:r>
      <w:hyperlink r:id="rId10" w:history="1">
        <w:r w:rsidR="00562653" w:rsidRPr="00425C92">
          <w:rPr>
            <w:rStyle w:val="Hyperlink"/>
            <w:rFonts w:ascii="Times New Roman" w:hAnsi="Times New Roman"/>
            <w:i/>
            <w:iCs/>
            <w:color w:val="auto"/>
            <w:sz w:val="24"/>
            <w:szCs w:val="24"/>
            <w:lang w:val="en-IN" w:eastAsia="en-IN" w:bidi="hi-IN"/>
          </w:rPr>
          <w:t>www.gramyashree.in</w:t>
        </w:r>
      </w:hyperlink>
      <w:r w:rsidRPr="00425C92">
        <w:rPr>
          <w:rFonts w:ascii="Times New Roman" w:hAnsi="Times New Roman"/>
          <w:sz w:val="24"/>
          <w:szCs w:val="24"/>
          <w:lang w:val="en-IN" w:eastAsia="en-IN" w:bidi="hi-IN"/>
        </w:rPr>
        <w:t>)</w:t>
      </w:r>
      <w:r w:rsidR="00562653" w:rsidRPr="00425C92">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(fig-2) including mobile application “</w:t>
      </w:r>
      <w:proofErr w:type="spellStart"/>
      <w:r w:rsidRPr="00425C92">
        <w:rPr>
          <w:rFonts w:ascii="Times New Roman" w:hAnsi="Times New Roman"/>
          <w:sz w:val="24"/>
          <w:szCs w:val="24"/>
          <w:lang w:val="en-IN" w:eastAsia="en-IN" w:bidi="hi-IN"/>
        </w:rPr>
        <w:t>Gramyashree</w:t>
      </w:r>
      <w:proofErr w:type="spellEnd"/>
      <w:r w:rsidRPr="00425C92">
        <w:rPr>
          <w:rFonts w:ascii="Times New Roman" w:hAnsi="Times New Roman"/>
          <w:sz w:val="24"/>
          <w:szCs w:val="24"/>
          <w:lang w:val="en-IN" w:eastAsia="en-IN" w:bidi="hi-IN"/>
        </w:rPr>
        <w:t>” was developed by the Project Management Unit (PMU), using the ODK platform (ODK Inc., n.d.). The</w:t>
      </w:r>
      <w:r w:rsidR="00F92A6C" w:rsidRPr="00425C92">
        <w:rPr>
          <w:rFonts w:ascii="Times New Roman" w:hAnsi="Times New Roman"/>
          <w:sz w:val="24"/>
          <w:szCs w:val="24"/>
          <w:lang w:val="en-IN" w:eastAsia="en-IN" w:bidi="hi-IN"/>
        </w:rPr>
        <w:t xml:space="preserve"> customised</w:t>
      </w:r>
      <w:r w:rsidRPr="00425C92">
        <w:rPr>
          <w:rFonts w:ascii="Times New Roman" w:hAnsi="Times New Roman"/>
          <w:sz w:val="24"/>
          <w:szCs w:val="24"/>
          <w:lang w:val="en-IN" w:eastAsia="en-IN" w:bidi="hi-IN"/>
        </w:rPr>
        <w:t xml:space="preserve"> app allowed farmers to enter crop production and sales data, receive advisories, and engage directly with registered vendors and buyers (fig 3). This information was synchronized with a centralized Project Management Information System (PMIS), which provided real-time inventory tracking, yield forecasting, and financial monitoring (</w:t>
      </w:r>
      <w:proofErr w:type="spellStart"/>
      <w:r w:rsidRPr="00425C92">
        <w:rPr>
          <w:rFonts w:ascii="Times New Roman" w:hAnsi="Times New Roman"/>
          <w:sz w:val="24"/>
          <w:szCs w:val="24"/>
          <w:lang w:val="en-IN" w:eastAsia="en-IN" w:bidi="hi-IN"/>
        </w:rPr>
        <w:t>Semwal</w:t>
      </w:r>
      <w:proofErr w:type="spellEnd"/>
      <w:r w:rsidR="00562653" w:rsidRPr="00425C92">
        <w:rPr>
          <w:rFonts w:ascii="Times New Roman" w:hAnsi="Times New Roman"/>
          <w:sz w:val="24"/>
          <w:szCs w:val="24"/>
          <w:lang w:val="en-IN" w:eastAsia="en-IN" w:bidi="hi-IN"/>
        </w:rPr>
        <w:t xml:space="preserve">, </w:t>
      </w:r>
      <w:proofErr w:type="spellStart"/>
      <w:r w:rsidR="00562653" w:rsidRPr="00425C92">
        <w:rPr>
          <w:rFonts w:ascii="Times New Roman" w:hAnsi="Times New Roman"/>
          <w:sz w:val="24"/>
          <w:szCs w:val="24"/>
          <w:lang w:val="en-IN" w:eastAsia="en-IN" w:bidi="hi-IN"/>
        </w:rPr>
        <w:t>Vatsa</w:t>
      </w:r>
      <w:proofErr w:type="spellEnd"/>
      <w:r w:rsidR="00562653" w:rsidRPr="00425C92">
        <w:rPr>
          <w:rFonts w:ascii="Times New Roman" w:hAnsi="Times New Roman"/>
          <w:sz w:val="24"/>
          <w:szCs w:val="24"/>
          <w:lang w:val="en-IN" w:eastAsia="en-IN" w:bidi="hi-IN"/>
        </w:rPr>
        <w:t xml:space="preserve"> and </w:t>
      </w:r>
      <w:proofErr w:type="spellStart"/>
      <w:r w:rsidR="00562653" w:rsidRPr="00425C92">
        <w:rPr>
          <w:rFonts w:ascii="Times New Roman" w:hAnsi="Times New Roman"/>
          <w:sz w:val="24"/>
          <w:szCs w:val="24"/>
          <w:lang w:val="en-IN" w:eastAsia="en-IN" w:bidi="hi-IN"/>
        </w:rPr>
        <w:t>Rana</w:t>
      </w:r>
      <w:proofErr w:type="spellEnd"/>
      <w:r w:rsidR="00562653" w:rsidRPr="00425C92">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2025). Additional data on seasonal availability was collected using Google Forms. Digital outreach was further expanded through active social media marketing on platforms such as Instagram and Facebook. These tools collectively created a digitally supported agribusiness value chain that linked smallholder production with consumer demand, both locally and in urban markets.</w:t>
      </w:r>
    </w:p>
    <w:p w:rsidR="00A323A3" w:rsidRPr="00425C92" w:rsidRDefault="00837826" w:rsidP="00837826">
      <w:pPr>
        <w:pStyle w:val="Body"/>
        <w:spacing w:after="0"/>
        <w:jc w:val="center"/>
        <w:rPr>
          <w:rFonts w:ascii="Times New Roman" w:hAnsi="Times New Roman"/>
          <w:sz w:val="28"/>
          <w:szCs w:val="28"/>
        </w:rPr>
      </w:pPr>
      <w:r w:rsidRPr="00425C92">
        <w:rPr>
          <w:rFonts w:ascii="Times New Roman" w:hAnsi="Times New Roman"/>
          <w:noProof/>
          <w:sz w:val="28"/>
          <w:szCs w:val="28"/>
          <w:lang w:val="en-IN" w:eastAsia="en-IN"/>
        </w:rPr>
        <w:drawing>
          <wp:inline distT="0" distB="0" distL="0" distR="0" wp14:anchorId="5BAFDADA">
            <wp:extent cx="4046680" cy="2970377"/>
            <wp:effectExtent l="133350" t="114300" r="106680" b="154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9263" cy="29722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23A3" w:rsidRPr="00425C92" w:rsidRDefault="00A323A3"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 xml:space="preserve">Fig. 2: Screenshot of </w:t>
      </w:r>
      <w:proofErr w:type="spellStart"/>
      <w:r w:rsidRPr="00425C92">
        <w:rPr>
          <w:rFonts w:ascii="Times New Roman" w:hAnsi="Times New Roman"/>
          <w:b/>
          <w:bCs/>
          <w:sz w:val="22"/>
          <w:szCs w:val="22"/>
        </w:rPr>
        <w:t>Gramyashree</w:t>
      </w:r>
      <w:proofErr w:type="spellEnd"/>
      <w:r w:rsidRPr="00425C92">
        <w:rPr>
          <w:rFonts w:ascii="Times New Roman" w:hAnsi="Times New Roman"/>
          <w:b/>
          <w:bCs/>
          <w:sz w:val="22"/>
          <w:szCs w:val="22"/>
        </w:rPr>
        <w:t xml:space="preserve"> digital platform)</w:t>
      </w:r>
    </w:p>
    <w:p w:rsidR="00A323A3" w:rsidRPr="00425C92" w:rsidRDefault="00A323A3"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t>Data Collection</w:t>
      </w:r>
      <w:r w:rsidRPr="00425C92">
        <w:rPr>
          <w:rFonts w:ascii="Times New Roman" w:hAnsi="Times New Roman"/>
          <w:b/>
          <w:sz w:val="22"/>
          <w:szCs w:val="22"/>
        </w:rPr>
        <w:t>:</w:t>
      </w:r>
      <w:r w:rsidRPr="00425C92">
        <w:rPr>
          <w:rFonts w:ascii="Times New Roman" w:hAnsi="Times New Roman"/>
          <w:b/>
          <w:sz w:val="28"/>
          <w:szCs w:val="28"/>
        </w:rPr>
        <w:t xml:space="preserve"> </w:t>
      </w:r>
      <w:r w:rsidRPr="00425C92">
        <w:rPr>
          <w:rFonts w:ascii="Times New Roman" w:hAnsi="Times New Roman"/>
          <w:sz w:val="24"/>
          <w:szCs w:val="24"/>
          <w:lang w:val="en-IN" w:eastAsia="en-IN" w:bidi="hi-IN"/>
        </w:rPr>
        <w:t>Primary data sources included app</w:t>
      </w:r>
      <w:r w:rsidR="00837826">
        <w:rPr>
          <w:rFonts w:ascii="Times New Roman" w:hAnsi="Times New Roman"/>
          <w:sz w:val="24"/>
          <w:szCs w:val="24"/>
          <w:lang w:val="en-IN" w:eastAsia="en-IN" w:bidi="hi-IN"/>
        </w:rPr>
        <w:t xml:space="preserve"> </w:t>
      </w:r>
      <w:r w:rsidRPr="00425C92">
        <w:rPr>
          <w:rFonts w:ascii="Times New Roman" w:hAnsi="Times New Roman"/>
          <w:sz w:val="24"/>
          <w:szCs w:val="24"/>
          <w:lang w:val="en-IN" w:eastAsia="en-IN" w:bidi="hi-IN"/>
        </w:rPr>
        <w:t xml:space="preserve">based analytics from the </w:t>
      </w:r>
      <w:proofErr w:type="spellStart"/>
      <w:r w:rsidRPr="00425C92">
        <w:rPr>
          <w:rFonts w:ascii="Times New Roman" w:hAnsi="Times New Roman"/>
          <w:sz w:val="24"/>
          <w:szCs w:val="24"/>
          <w:lang w:val="en-IN" w:eastAsia="en-IN" w:bidi="hi-IN"/>
        </w:rPr>
        <w:t>Gramyashree</w:t>
      </w:r>
      <w:proofErr w:type="spellEnd"/>
      <w:r w:rsidRPr="00425C92">
        <w:rPr>
          <w:rFonts w:ascii="Times New Roman" w:hAnsi="Times New Roman"/>
          <w:sz w:val="24"/>
          <w:szCs w:val="24"/>
          <w:lang w:val="en-IN" w:eastAsia="en-IN" w:bidi="hi-IN"/>
        </w:rPr>
        <w:t xml:space="preserve"> platform, covering metrics such as vendor registration, crop-wise production, and transaction volumes. Additional data was obtained from PMIS dashboards, internal sales registers of ABGCs, and periodic reports generated at the district and state levels. Supplementary information was drawn from project evaluation documents and official </w:t>
      </w:r>
      <w:proofErr w:type="spellStart"/>
      <w:r w:rsidRPr="00425C92">
        <w:rPr>
          <w:rFonts w:ascii="Times New Roman" w:hAnsi="Times New Roman"/>
          <w:sz w:val="24"/>
          <w:szCs w:val="24"/>
          <w:lang w:val="en-IN" w:eastAsia="en-IN" w:bidi="hi-IN"/>
        </w:rPr>
        <w:t>Gramya</w:t>
      </w:r>
      <w:proofErr w:type="spellEnd"/>
      <w:r w:rsidRPr="00425C92">
        <w:rPr>
          <w:rFonts w:ascii="Times New Roman" w:hAnsi="Times New Roman"/>
          <w:sz w:val="24"/>
          <w:szCs w:val="24"/>
          <w:lang w:val="en-IN" w:eastAsia="en-IN" w:bidi="hi-IN"/>
        </w:rPr>
        <w:t xml:space="preserve">-II completion reports. Where necessary, </w:t>
      </w:r>
      <w:r w:rsidRPr="00425C92">
        <w:rPr>
          <w:rFonts w:ascii="Times New Roman" w:hAnsi="Times New Roman"/>
          <w:sz w:val="24"/>
          <w:szCs w:val="24"/>
          <w:lang w:val="en-IN" w:eastAsia="en-IN" w:bidi="hi-IN"/>
        </w:rPr>
        <w:lastRenderedPageBreak/>
        <w:t>qualitative insights were gathered through interviews with federation</w:t>
      </w:r>
      <w:r w:rsidR="000225BF" w:rsidRPr="00425C92">
        <w:rPr>
          <w:rFonts w:ascii="Times New Roman" w:hAnsi="Times New Roman"/>
          <w:sz w:val="24"/>
          <w:szCs w:val="24"/>
          <w:lang w:val="en-IN" w:eastAsia="en-IN" w:bidi="hi-IN"/>
        </w:rPr>
        <w:t xml:space="preserve"> members</w:t>
      </w:r>
      <w:r w:rsidRPr="00425C92">
        <w:rPr>
          <w:rFonts w:ascii="Times New Roman" w:hAnsi="Times New Roman"/>
          <w:sz w:val="24"/>
          <w:szCs w:val="24"/>
          <w:lang w:val="en-IN" w:eastAsia="en-IN" w:bidi="hi-IN"/>
        </w:rPr>
        <w:t>, digital facilitators, and field coordinators.</w:t>
      </w:r>
    </w:p>
    <w:p w:rsidR="00A323A3" w:rsidRPr="00425C92" w:rsidRDefault="00A323A3" w:rsidP="00E61B22">
      <w:pPr>
        <w:pStyle w:val="Body"/>
        <w:spacing w:before="100" w:beforeAutospacing="1" w:after="100" w:afterAutospacing="1"/>
        <w:rPr>
          <w:rFonts w:ascii="Times New Roman" w:hAnsi="Times New Roman"/>
          <w:sz w:val="24"/>
          <w:szCs w:val="24"/>
          <w:lang w:val="en-IN" w:eastAsia="en-IN" w:bidi="hi-IN"/>
        </w:rPr>
      </w:pPr>
      <w:r w:rsidRPr="00425C92">
        <w:rPr>
          <w:rFonts w:ascii="Times New Roman" w:hAnsi="Times New Roman"/>
          <w:b/>
          <w:sz w:val="24"/>
          <w:szCs w:val="24"/>
        </w:rPr>
        <w:t xml:space="preserve">Analytical Framework: </w:t>
      </w:r>
      <w:r w:rsidRPr="00425C92">
        <w:rPr>
          <w:rFonts w:ascii="Times New Roman" w:hAnsi="Times New Roman"/>
          <w:sz w:val="24"/>
          <w:szCs w:val="24"/>
          <w:lang w:val="en-IN" w:eastAsia="en-IN" w:bidi="hi-IN"/>
        </w:rPr>
        <w:t>The analysis was organized across three dimensions-</w:t>
      </w:r>
    </w:p>
    <w:p w:rsidR="00A323A3" w:rsidRPr="00425C92" w:rsidRDefault="00A323A3" w:rsidP="00837826">
      <w:pPr>
        <w:pStyle w:val="NormalWeb"/>
        <w:spacing w:before="0" w:beforeAutospacing="0" w:after="0" w:afterAutospacing="0"/>
        <w:ind w:left="357"/>
        <w:jc w:val="both"/>
      </w:pPr>
      <w:r w:rsidRPr="00425C92">
        <w:rPr>
          <w:b/>
          <w:bCs/>
          <w:i/>
          <w:iCs/>
        </w:rPr>
        <w:t>Descriptive Statistics:</w:t>
      </w:r>
      <w:r w:rsidRPr="00425C92">
        <w:t xml:space="preserve"> Aggregated data was used to</w:t>
      </w:r>
      <w:r w:rsidR="000225BF" w:rsidRPr="00425C92">
        <w:t xml:space="preserve"> analysed the</w:t>
      </w:r>
      <w:r w:rsidRPr="00425C92">
        <w:t xml:space="preserve"> usage of digital tools, including the number of registered farmers and vendors, the volume of produce marketed through the app, and the distribution of sales across different marketing channels.</w:t>
      </w:r>
    </w:p>
    <w:p w:rsidR="00A323A3" w:rsidRPr="00425C92" w:rsidRDefault="00A323A3" w:rsidP="00837826">
      <w:pPr>
        <w:pStyle w:val="NormalWeb"/>
        <w:spacing w:before="0" w:beforeAutospacing="0" w:after="0" w:afterAutospacing="0"/>
        <w:ind w:left="357"/>
        <w:jc w:val="both"/>
      </w:pPr>
      <w:r w:rsidRPr="00425C92">
        <w:rPr>
          <w:b/>
          <w:bCs/>
          <w:i/>
          <w:iCs/>
        </w:rPr>
        <w:t>Comparative Assessment:</w:t>
      </w:r>
      <w:r w:rsidRPr="00425C92">
        <w:rPr>
          <w:sz w:val="28"/>
          <w:szCs w:val="28"/>
          <w:lang w:val="en-US" w:eastAsia="en-US" w:bidi="ar-SA"/>
        </w:rPr>
        <w:t xml:space="preserve"> </w:t>
      </w:r>
      <w:r w:rsidRPr="00425C92">
        <w:t xml:space="preserve">Digital platform performance was evaluated by comparing sales volume and income generation across </w:t>
      </w:r>
      <w:proofErr w:type="spellStart"/>
      <w:r w:rsidRPr="00425C92">
        <w:t>Gramyashree</w:t>
      </w:r>
      <w:proofErr w:type="spellEnd"/>
      <w:r w:rsidRPr="00425C92">
        <w:t xml:space="preserve"> app users, physical </w:t>
      </w:r>
      <w:proofErr w:type="spellStart"/>
      <w:r w:rsidRPr="00425C92">
        <w:t>Gramyashree</w:t>
      </w:r>
      <w:proofErr w:type="spellEnd"/>
      <w:r w:rsidRPr="00425C92">
        <w:t xml:space="preserve"> outlets, and</w:t>
      </w:r>
      <w:r w:rsidR="000225BF" w:rsidRPr="00425C92">
        <w:t xml:space="preserve"> other</w:t>
      </w:r>
      <w:r w:rsidRPr="00425C92">
        <w:t xml:space="preserve"> sales channels.</w:t>
      </w:r>
    </w:p>
    <w:p w:rsidR="0092688E" w:rsidRDefault="0092688E" w:rsidP="00837826">
      <w:pPr>
        <w:pStyle w:val="NormalWeb"/>
        <w:spacing w:before="0" w:beforeAutospacing="0" w:after="0" w:afterAutospacing="0"/>
        <w:ind w:left="357"/>
        <w:jc w:val="both"/>
      </w:pPr>
      <w:r w:rsidRPr="00425C92">
        <w:rPr>
          <w:b/>
          <w:bCs/>
          <w:i/>
          <w:iCs/>
        </w:rPr>
        <w:t>Platform Evaluation</w:t>
      </w:r>
      <w:r w:rsidR="002C4FD6" w:rsidRPr="00425C92">
        <w:rPr>
          <w:b/>
          <w:bCs/>
          <w:i/>
          <w:iCs/>
        </w:rPr>
        <w:t>:</w:t>
      </w:r>
      <w:r w:rsidR="002C4FD6" w:rsidRPr="00425C92">
        <w:t xml:space="preserve"> </w:t>
      </w:r>
      <w:r w:rsidRPr="00425C92">
        <w:t>Qualitative feedback from farmers and consumers was analyzed to assess user satisfaction across online and offline marketing platforms. The review also examined the PMU’s initiatives to streamline and enhance sales channels, ensuring balanced promotion and accessibility of both digital and physical marketing pathways.</w:t>
      </w:r>
    </w:p>
    <w:p w:rsidR="00837826" w:rsidRPr="00425C92" w:rsidRDefault="00837826" w:rsidP="00837826">
      <w:pPr>
        <w:pStyle w:val="NormalWeb"/>
        <w:spacing w:before="0" w:beforeAutospacing="0" w:after="0" w:afterAutospacing="0"/>
        <w:ind w:left="357"/>
        <w:jc w:val="both"/>
      </w:pPr>
    </w:p>
    <w:p w:rsidR="00F24FB2" w:rsidRPr="00425C92" w:rsidRDefault="00F24FB2" w:rsidP="00425C92">
      <w:pPr>
        <w:pStyle w:val="NormalWeb"/>
        <w:spacing w:before="0" w:beforeAutospacing="0" w:after="0" w:afterAutospacing="0"/>
        <w:ind w:left="360"/>
        <w:jc w:val="both"/>
        <w:rPr>
          <w:sz w:val="28"/>
          <w:szCs w:val="28"/>
          <w:lang w:val="en-US" w:eastAsia="en-US" w:bidi="ar-SA"/>
        </w:rPr>
      </w:pPr>
      <w:r w:rsidRPr="00425C92">
        <w:rPr>
          <w:b/>
          <w:bCs/>
          <w:noProof/>
          <w:sz w:val="28"/>
          <w:szCs w:val="28"/>
          <w:lang w:bidi="ar-SA"/>
        </w:rPr>
        <w:drawing>
          <wp:inline distT="0" distB="0" distL="0" distR="0" wp14:anchorId="670625CE" wp14:editId="71E54EB0">
            <wp:extent cx="4771581" cy="2687320"/>
            <wp:effectExtent l="133350" t="114300" r="124460" b="1701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0602" cy="2692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FB2" w:rsidRPr="00425C92" w:rsidRDefault="00F24FB2"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 xml:space="preserve">Fig.3: Step by Step data entry in </w:t>
      </w:r>
      <w:proofErr w:type="spellStart"/>
      <w:r w:rsidRPr="00425C92">
        <w:rPr>
          <w:rFonts w:ascii="Times New Roman" w:hAnsi="Times New Roman"/>
          <w:b/>
          <w:bCs/>
          <w:sz w:val="22"/>
          <w:szCs w:val="22"/>
        </w:rPr>
        <w:t>Gramyashree</w:t>
      </w:r>
      <w:proofErr w:type="spellEnd"/>
      <w:r w:rsidRPr="00425C92">
        <w:rPr>
          <w:rFonts w:ascii="Times New Roman" w:hAnsi="Times New Roman"/>
          <w:b/>
          <w:bCs/>
          <w:sz w:val="22"/>
          <w:szCs w:val="22"/>
        </w:rPr>
        <w:t xml:space="preserve"> App</w:t>
      </w:r>
    </w:p>
    <w:p w:rsidR="00ED60BB" w:rsidRDefault="00ED60BB" w:rsidP="00E761C2">
      <w:pPr>
        <w:pStyle w:val="Body"/>
        <w:spacing w:before="100" w:beforeAutospacing="1" w:after="0"/>
        <w:rPr>
          <w:rFonts w:ascii="Times New Roman" w:hAnsi="Times New Roman"/>
          <w:b/>
          <w:sz w:val="24"/>
          <w:szCs w:val="24"/>
        </w:rPr>
      </w:pPr>
    </w:p>
    <w:p w:rsidR="00524BB0" w:rsidRDefault="00524BB0" w:rsidP="00ED60BB">
      <w:pPr>
        <w:pStyle w:val="Body"/>
        <w:spacing w:after="0"/>
        <w:rPr>
          <w:rFonts w:ascii="Times New Roman" w:hAnsi="Times New Roman"/>
          <w:b/>
          <w:sz w:val="24"/>
          <w:szCs w:val="24"/>
        </w:rPr>
      </w:pPr>
    </w:p>
    <w:p w:rsidR="00A323A3" w:rsidRPr="00425C92" w:rsidRDefault="00A323A3" w:rsidP="00ED60BB">
      <w:pPr>
        <w:pStyle w:val="Body"/>
        <w:spacing w:after="0"/>
        <w:rPr>
          <w:rFonts w:ascii="Times New Roman" w:hAnsi="Times New Roman"/>
          <w:sz w:val="22"/>
          <w:szCs w:val="22"/>
        </w:rPr>
      </w:pPr>
      <w:r w:rsidRPr="00425C92">
        <w:rPr>
          <w:rFonts w:ascii="Times New Roman" w:hAnsi="Times New Roman"/>
          <w:b/>
          <w:sz w:val="24"/>
          <w:szCs w:val="24"/>
        </w:rPr>
        <w:t xml:space="preserve">Variables Considered: </w:t>
      </w:r>
      <w:r w:rsidRPr="00425C92">
        <w:rPr>
          <w:rFonts w:ascii="Times New Roman" w:hAnsi="Times New Roman"/>
          <w:sz w:val="22"/>
          <w:szCs w:val="22"/>
        </w:rPr>
        <w:t>Key variables analyzed included--</w:t>
      </w:r>
    </w:p>
    <w:p w:rsidR="0020296C" w:rsidRPr="00425C92" w:rsidRDefault="0020296C" w:rsidP="00ED60BB">
      <w:pPr>
        <w:pStyle w:val="NormalWeb"/>
        <w:numPr>
          <w:ilvl w:val="0"/>
          <w:numId w:val="33"/>
        </w:numPr>
        <w:spacing w:before="0" w:beforeAutospacing="0" w:after="0" w:afterAutospacing="0"/>
        <w:ind w:left="284"/>
        <w:jc w:val="both"/>
        <w:rPr>
          <w:sz w:val="22"/>
          <w:szCs w:val="22"/>
          <w:lang w:val="en-US" w:eastAsia="en-US" w:bidi="ar-SA"/>
        </w:rPr>
      </w:pPr>
      <w:r w:rsidRPr="00425C92">
        <w:rPr>
          <w:sz w:val="22"/>
          <w:szCs w:val="22"/>
          <w:lang w:val="en-US" w:eastAsia="en-US" w:bidi="ar-SA"/>
        </w:rPr>
        <w:t>Volume of produce marketed via the digital platform versus traditional mandis</w:t>
      </w:r>
    </w:p>
    <w:p w:rsidR="0020296C" w:rsidRPr="00425C92" w:rsidRDefault="0020296C" w:rsidP="00ED60BB">
      <w:pPr>
        <w:pStyle w:val="NormalWeb"/>
        <w:numPr>
          <w:ilvl w:val="0"/>
          <w:numId w:val="33"/>
        </w:numPr>
        <w:spacing w:before="0" w:beforeAutospacing="0" w:after="0" w:afterAutospacing="0"/>
        <w:ind w:left="284"/>
        <w:jc w:val="both"/>
        <w:rPr>
          <w:sz w:val="22"/>
          <w:szCs w:val="22"/>
          <w:lang w:val="en-US" w:eastAsia="en-US" w:bidi="ar-SA"/>
        </w:rPr>
      </w:pPr>
      <w:r w:rsidRPr="00425C92">
        <w:rPr>
          <w:sz w:val="22"/>
          <w:szCs w:val="22"/>
          <w:lang w:val="en-US" w:eastAsia="en-US" w:bidi="ar-SA"/>
        </w:rPr>
        <w:t>Number of digital transactions per FIG or Federation</w:t>
      </w:r>
    </w:p>
    <w:p w:rsidR="0020296C" w:rsidRPr="00425C92" w:rsidRDefault="0020296C" w:rsidP="00E761C2">
      <w:pPr>
        <w:pStyle w:val="NormalWeb"/>
        <w:numPr>
          <w:ilvl w:val="0"/>
          <w:numId w:val="33"/>
        </w:numPr>
        <w:spacing w:after="0" w:afterAutospacing="0"/>
        <w:ind w:left="284"/>
        <w:jc w:val="both"/>
        <w:rPr>
          <w:sz w:val="22"/>
          <w:szCs w:val="22"/>
          <w:lang w:val="en-US" w:eastAsia="en-US" w:bidi="ar-SA"/>
        </w:rPr>
      </w:pPr>
      <w:r w:rsidRPr="00425C92">
        <w:rPr>
          <w:sz w:val="22"/>
          <w:szCs w:val="22"/>
          <w:lang w:val="en-US" w:eastAsia="en-US" w:bidi="ar-SA"/>
        </w:rPr>
        <w:t>Income realized from digital sales compared to offline counterparts</w:t>
      </w:r>
    </w:p>
    <w:p w:rsidR="0020296C" w:rsidRPr="00425C92" w:rsidRDefault="0020296C" w:rsidP="00E761C2">
      <w:pPr>
        <w:pStyle w:val="NormalWeb"/>
        <w:numPr>
          <w:ilvl w:val="0"/>
          <w:numId w:val="33"/>
        </w:numPr>
        <w:spacing w:after="0" w:afterAutospacing="0"/>
        <w:ind w:left="284"/>
        <w:jc w:val="both"/>
        <w:rPr>
          <w:sz w:val="22"/>
          <w:szCs w:val="22"/>
          <w:lang w:val="en-US" w:eastAsia="en-US" w:bidi="ar-SA"/>
        </w:rPr>
      </w:pPr>
      <w:r w:rsidRPr="00425C92">
        <w:rPr>
          <w:sz w:val="22"/>
          <w:szCs w:val="22"/>
          <w:lang w:val="en-US" w:eastAsia="en-US" w:bidi="ar-SA"/>
        </w:rPr>
        <w:t>Crop-wise price differentials linked to digital access</w:t>
      </w:r>
    </w:p>
    <w:p w:rsidR="0020296C" w:rsidRPr="00425C92" w:rsidRDefault="0020296C" w:rsidP="00E761C2">
      <w:pPr>
        <w:pStyle w:val="NormalWeb"/>
        <w:numPr>
          <w:ilvl w:val="0"/>
          <w:numId w:val="33"/>
        </w:numPr>
        <w:spacing w:after="0" w:afterAutospacing="0"/>
        <w:ind w:left="284"/>
        <w:jc w:val="both"/>
        <w:rPr>
          <w:sz w:val="22"/>
          <w:szCs w:val="22"/>
          <w:lang w:val="en-US" w:eastAsia="en-US" w:bidi="ar-SA"/>
        </w:rPr>
      </w:pPr>
      <w:r w:rsidRPr="00425C92">
        <w:rPr>
          <w:sz w:val="22"/>
          <w:szCs w:val="22"/>
          <w:lang w:val="en-US" w:eastAsia="en-US" w:bidi="ar-SA"/>
        </w:rPr>
        <w:t>Vendor and farmer engagement levels with the platform</w:t>
      </w:r>
    </w:p>
    <w:p w:rsidR="00790ADA" w:rsidRPr="00425C92" w:rsidRDefault="0020296C" w:rsidP="00E61B22">
      <w:pPr>
        <w:pStyle w:val="Body"/>
        <w:spacing w:before="100" w:beforeAutospacing="1" w:after="100" w:afterAutospacing="1"/>
        <w:rPr>
          <w:rFonts w:ascii="Times New Roman" w:hAnsi="Times New Roman"/>
          <w:sz w:val="28"/>
          <w:szCs w:val="28"/>
        </w:rPr>
      </w:pPr>
      <w:r w:rsidRPr="00425C92">
        <w:rPr>
          <w:rFonts w:ascii="Times New Roman" w:hAnsi="Times New Roman"/>
          <w:b/>
          <w:sz w:val="24"/>
          <w:szCs w:val="24"/>
        </w:rPr>
        <w:lastRenderedPageBreak/>
        <w:t xml:space="preserve">Limitations: </w:t>
      </w:r>
      <w:r w:rsidRPr="00425C92">
        <w:rPr>
          <w:rFonts w:ascii="Times New Roman" w:hAnsi="Times New Roman"/>
          <w:sz w:val="22"/>
          <w:szCs w:val="22"/>
        </w:rPr>
        <w:t>The effectiveness of digital adoption varied across districts due to differences in internet connectivity, digital literacy, and institutional support. While centralized sales outlets showed higher adoption rates, app-based participation was more prominent in areas with better digital infrastructure. Consequently, the findings are contextualized within the specific geographical and infrastructural conditions of Uttarakhand’s hill districts.</w:t>
      </w:r>
    </w:p>
    <w:p w:rsidR="00902823" w:rsidRPr="00425C92" w:rsidRDefault="00E761C2" w:rsidP="00E761C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 xml:space="preserve">Results and </w:t>
      </w:r>
      <w:r w:rsidR="00D4417F">
        <w:rPr>
          <w:rStyle w:val="Strong"/>
          <w:rFonts w:ascii="Times New Roman" w:hAnsi="Times New Roman" w:cs="Times New Roman"/>
          <w:color w:val="auto"/>
          <w:sz w:val="28"/>
          <w:szCs w:val="28"/>
        </w:rPr>
        <w:t>D</w:t>
      </w:r>
      <w:r w:rsidRPr="00425C92">
        <w:rPr>
          <w:rStyle w:val="Strong"/>
          <w:rFonts w:ascii="Times New Roman" w:hAnsi="Times New Roman" w:cs="Times New Roman"/>
          <w:color w:val="auto"/>
          <w:sz w:val="28"/>
          <w:szCs w:val="28"/>
        </w:rPr>
        <w:t>iscussion</w:t>
      </w:r>
    </w:p>
    <w:p w:rsidR="0020296C" w:rsidRPr="00425C92" w:rsidRDefault="0020296C"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GRAMYA-II project underscores the transformative potential of integrating digital tools within decentralized agribusiness models in hill geographies. The introduction of the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digital platform, in combination with physical infrastructure through Agribusiness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(ABGCs), demonstrated a replicable model for improving market access and income diversification among smallholder farmers in Uttarakhand.</w:t>
      </w:r>
    </w:p>
    <w:p w:rsidR="0020296C" w:rsidRPr="00425C92" w:rsidRDefault="0020296C"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digital platform registered 7,729 farmers and 309 buyers/vendors, facilitating structured engagement through its mobile application and web interface. Over the project duration, digital sales totaled ₹20.88 million, with ₹107.47 million transacted through physical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outlets and an additional ₹42.92 million through external markets (</w:t>
      </w:r>
      <w:r w:rsidR="00ED60BB">
        <w:rPr>
          <w:rFonts w:ascii="Times New Roman" w:hAnsi="Times New Roman"/>
          <w:sz w:val="22"/>
          <w:szCs w:val="22"/>
        </w:rPr>
        <w:t>T</w:t>
      </w:r>
      <w:r w:rsidRPr="00425C92">
        <w:rPr>
          <w:rFonts w:ascii="Times New Roman" w:hAnsi="Times New Roman"/>
          <w:sz w:val="22"/>
          <w:szCs w:val="22"/>
        </w:rPr>
        <w:t>able1). These figures highlight the importance of hybrid digital-physical market pathways.</w:t>
      </w:r>
    </w:p>
    <w:p w:rsidR="0020296C" w:rsidRPr="00425C92" w:rsidRDefault="0020296C" w:rsidP="00425C92">
      <w:pPr>
        <w:tabs>
          <w:tab w:val="left" w:pos="1080"/>
        </w:tabs>
        <w:jc w:val="both"/>
        <w:rPr>
          <w:rFonts w:ascii="Times New Roman" w:hAnsi="Times New Roman"/>
          <w:b/>
          <w:bCs/>
          <w:sz w:val="22"/>
          <w:szCs w:val="22"/>
        </w:rPr>
      </w:pPr>
      <w:r w:rsidRPr="00425C92">
        <w:rPr>
          <w:rFonts w:ascii="Times New Roman" w:hAnsi="Times New Roman"/>
          <w:b/>
          <w:bCs/>
          <w:sz w:val="22"/>
          <w:szCs w:val="22"/>
        </w:rPr>
        <w:t>Table1: Sales Performance by Channel (GRAMYA-II)</w:t>
      </w:r>
    </w:p>
    <w:tbl>
      <w:tblPr>
        <w:tblStyle w:val="TableGrid"/>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620"/>
        <w:gridCol w:w="2459"/>
      </w:tblGrid>
      <w:tr w:rsidR="00425C92" w:rsidRPr="00425C92" w:rsidTr="0084055F">
        <w:trPr>
          <w:trHeight w:val="262"/>
        </w:trPr>
        <w:tc>
          <w:tcPr>
            <w:tcW w:w="2996" w:type="dxa"/>
          </w:tcPr>
          <w:p w:rsidR="0020296C" w:rsidRPr="00425C92" w:rsidRDefault="0020296C" w:rsidP="00425C92">
            <w:pPr>
              <w:jc w:val="both"/>
              <w:rPr>
                <w:rFonts w:ascii="Times New Roman" w:eastAsia="Times New Roman" w:hAnsi="Times New Roman"/>
                <w:b/>
                <w:sz w:val="24"/>
                <w:szCs w:val="24"/>
              </w:rPr>
            </w:pPr>
            <w:r w:rsidRPr="00425C92">
              <w:rPr>
                <w:rFonts w:ascii="Times New Roman" w:eastAsia="Times New Roman" w:hAnsi="Times New Roman"/>
                <w:b/>
                <w:sz w:val="24"/>
                <w:szCs w:val="24"/>
              </w:rPr>
              <w:t>Sales Channel</w:t>
            </w:r>
          </w:p>
        </w:tc>
        <w:tc>
          <w:tcPr>
            <w:tcW w:w="2620" w:type="dxa"/>
          </w:tcPr>
          <w:p w:rsidR="0020296C" w:rsidRPr="00425C92" w:rsidRDefault="0020296C" w:rsidP="00425C92">
            <w:pPr>
              <w:jc w:val="both"/>
              <w:rPr>
                <w:rFonts w:ascii="Times New Roman" w:eastAsia="Times New Roman" w:hAnsi="Times New Roman"/>
                <w:b/>
                <w:sz w:val="24"/>
                <w:szCs w:val="24"/>
              </w:rPr>
            </w:pPr>
            <w:r w:rsidRPr="00425C92">
              <w:rPr>
                <w:rFonts w:ascii="Times New Roman" w:eastAsia="Times New Roman" w:hAnsi="Times New Roman"/>
                <w:b/>
                <w:sz w:val="24"/>
                <w:szCs w:val="24"/>
              </w:rPr>
              <w:t>Amount (₹ million)</w:t>
            </w:r>
          </w:p>
        </w:tc>
        <w:tc>
          <w:tcPr>
            <w:tcW w:w="2459" w:type="dxa"/>
          </w:tcPr>
          <w:p w:rsidR="0020296C" w:rsidRPr="00425C92" w:rsidRDefault="0020296C" w:rsidP="00425C92">
            <w:pPr>
              <w:jc w:val="both"/>
              <w:rPr>
                <w:rFonts w:ascii="Times New Roman" w:eastAsia="Times New Roman" w:hAnsi="Times New Roman"/>
                <w:b/>
                <w:sz w:val="24"/>
                <w:szCs w:val="24"/>
              </w:rPr>
            </w:pPr>
            <w:r w:rsidRPr="00425C92">
              <w:rPr>
                <w:rFonts w:ascii="Times New Roman" w:eastAsia="Times New Roman" w:hAnsi="Times New Roman"/>
                <w:b/>
                <w:sz w:val="24"/>
                <w:szCs w:val="24"/>
              </w:rPr>
              <w:t>% Contribution</w:t>
            </w:r>
          </w:p>
        </w:tc>
      </w:tr>
      <w:tr w:rsidR="00425C92" w:rsidRPr="00425C92" w:rsidTr="0084055F">
        <w:trPr>
          <w:trHeight w:val="262"/>
        </w:trPr>
        <w:tc>
          <w:tcPr>
            <w:tcW w:w="2996" w:type="dxa"/>
          </w:tcPr>
          <w:p w:rsidR="0020296C" w:rsidRPr="00425C92" w:rsidRDefault="0020296C" w:rsidP="00425C92">
            <w:pPr>
              <w:jc w:val="both"/>
              <w:rPr>
                <w:rFonts w:ascii="Times New Roman" w:eastAsia="Times New Roman" w:hAnsi="Times New Roman"/>
                <w:sz w:val="24"/>
                <w:szCs w:val="24"/>
              </w:rPr>
            </w:pPr>
            <w:proofErr w:type="spellStart"/>
            <w:r w:rsidRPr="00425C92">
              <w:rPr>
                <w:rFonts w:ascii="Times New Roman" w:eastAsia="Times New Roman" w:hAnsi="Times New Roman"/>
                <w:sz w:val="24"/>
                <w:szCs w:val="24"/>
              </w:rPr>
              <w:t>Gramyashree</w:t>
            </w:r>
            <w:proofErr w:type="spellEnd"/>
            <w:r w:rsidRPr="00425C92">
              <w:rPr>
                <w:rFonts w:ascii="Times New Roman" w:eastAsia="Times New Roman" w:hAnsi="Times New Roman"/>
                <w:sz w:val="24"/>
                <w:szCs w:val="24"/>
              </w:rPr>
              <w:t xml:space="preserve"> Outlets</w:t>
            </w:r>
          </w:p>
        </w:tc>
        <w:tc>
          <w:tcPr>
            <w:tcW w:w="2620"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107.47</w:t>
            </w:r>
          </w:p>
        </w:tc>
        <w:tc>
          <w:tcPr>
            <w:tcW w:w="2459"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62.78%</w:t>
            </w:r>
          </w:p>
        </w:tc>
      </w:tr>
      <w:tr w:rsidR="00425C92" w:rsidRPr="00425C92" w:rsidTr="0084055F">
        <w:trPr>
          <w:trHeight w:val="262"/>
        </w:trPr>
        <w:tc>
          <w:tcPr>
            <w:tcW w:w="2996"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Other External Markets</w:t>
            </w:r>
          </w:p>
        </w:tc>
        <w:tc>
          <w:tcPr>
            <w:tcW w:w="2620"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42.92</w:t>
            </w:r>
          </w:p>
        </w:tc>
        <w:tc>
          <w:tcPr>
            <w:tcW w:w="2459" w:type="dxa"/>
          </w:tcPr>
          <w:p w:rsidR="0020296C" w:rsidRPr="00425C92" w:rsidRDefault="0020296C" w:rsidP="00425C92">
            <w:pPr>
              <w:jc w:val="both"/>
              <w:rPr>
                <w:rFonts w:ascii="Times New Roman" w:eastAsia="Times New Roman" w:hAnsi="Times New Roman"/>
                <w:sz w:val="24"/>
                <w:szCs w:val="24"/>
              </w:rPr>
            </w:pPr>
            <w:r w:rsidRPr="00425C92">
              <w:rPr>
                <w:rFonts w:ascii="Times New Roman" w:eastAsia="Times New Roman" w:hAnsi="Times New Roman"/>
                <w:sz w:val="24"/>
                <w:szCs w:val="24"/>
              </w:rPr>
              <w:t>25.07%</w:t>
            </w:r>
          </w:p>
        </w:tc>
      </w:tr>
      <w:tr w:rsidR="00425C92" w:rsidRPr="00425C92" w:rsidTr="0084055F">
        <w:trPr>
          <w:trHeight w:val="262"/>
        </w:trPr>
        <w:tc>
          <w:tcPr>
            <w:tcW w:w="2996" w:type="dxa"/>
          </w:tcPr>
          <w:p w:rsidR="0020296C" w:rsidRPr="00425C92" w:rsidRDefault="0020296C" w:rsidP="00E61B22">
            <w:pPr>
              <w:spacing w:before="100" w:beforeAutospacing="1" w:after="100" w:afterAutospacing="1"/>
              <w:jc w:val="both"/>
              <w:rPr>
                <w:rFonts w:ascii="Times New Roman" w:eastAsia="Times New Roman" w:hAnsi="Times New Roman"/>
                <w:sz w:val="24"/>
                <w:szCs w:val="24"/>
              </w:rPr>
            </w:pPr>
            <w:r w:rsidRPr="00425C92">
              <w:rPr>
                <w:rFonts w:ascii="Times New Roman" w:eastAsia="Times New Roman" w:hAnsi="Times New Roman"/>
                <w:sz w:val="24"/>
                <w:szCs w:val="24"/>
              </w:rPr>
              <w:t>Digital Sales (App-based)</w:t>
            </w:r>
          </w:p>
        </w:tc>
        <w:tc>
          <w:tcPr>
            <w:tcW w:w="2620" w:type="dxa"/>
          </w:tcPr>
          <w:p w:rsidR="0020296C" w:rsidRPr="00425C92" w:rsidRDefault="0020296C" w:rsidP="00E61B22">
            <w:pPr>
              <w:spacing w:before="100" w:beforeAutospacing="1" w:after="100" w:afterAutospacing="1"/>
              <w:jc w:val="both"/>
              <w:rPr>
                <w:rFonts w:ascii="Times New Roman" w:eastAsia="Times New Roman" w:hAnsi="Times New Roman"/>
                <w:sz w:val="24"/>
                <w:szCs w:val="24"/>
              </w:rPr>
            </w:pPr>
            <w:r w:rsidRPr="00425C92">
              <w:rPr>
                <w:rFonts w:ascii="Times New Roman" w:eastAsia="Times New Roman" w:hAnsi="Times New Roman"/>
                <w:sz w:val="24"/>
                <w:szCs w:val="24"/>
              </w:rPr>
              <w:t>20.88</w:t>
            </w:r>
          </w:p>
        </w:tc>
        <w:tc>
          <w:tcPr>
            <w:tcW w:w="2459" w:type="dxa"/>
          </w:tcPr>
          <w:p w:rsidR="0020296C" w:rsidRPr="00425C92" w:rsidRDefault="0020296C" w:rsidP="00E61B22">
            <w:pPr>
              <w:spacing w:before="100" w:beforeAutospacing="1" w:after="100" w:afterAutospacing="1"/>
              <w:jc w:val="both"/>
              <w:rPr>
                <w:rFonts w:ascii="Times New Roman" w:eastAsia="Times New Roman" w:hAnsi="Times New Roman"/>
                <w:sz w:val="24"/>
                <w:szCs w:val="24"/>
              </w:rPr>
            </w:pPr>
            <w:r w:rsidRPr="00425C92">
              <w:rPr>
                <w:rFonts w:ascii="Times New Roman" w:eastAsia="Times New Roman" w:hAnsi="Times New Roman"/>
                <w:sz w:val="24"/>
                <w:szCs w:val="24"/>
              </w:rPr>
              <w:t>12.20%</w:t>
            </w:r>
          </w:p>
        </w:tc>
      </w:tr>
      <w:tr w:rsidR="00425C92" w:rsidRPr="00425C92" w:rsidTr="0084055F">
        <w:trPr>
          <w:trHeight w:val="252"/>
        </w:trPr>
        <w:tc>
          <w:tcPr>
            <w:tcW w:w="2996" w:type="dxa"/>
          </w:tcPr>
          <w:p w:rsidR="0020296C" w:rsidRPr="00425C92" w:rsidRDefault="0020296C" w:rsidP="00E61B22">
            <w:pPr>
              <w:spacing w:before="100" w:beforeAutospacing="1" w:after="100" w:afterAutospacing="1"/>
              <w:jc w:val="both"/>
              <w:rPr>
                <w:rFonts w:ascii="Times New Roman" w:eastAsia="Times New Roman" w:hAnsi="Times New Roman"/>
                <w:b/>
                <w:bCs/>
                <w:sz w:val="24"/>
                <w:szCs w:val="24"/>
              </w:rPr>
            </w:pPr>
            <w:r w:rsidRPr="00425C92">
              <w:rPr>
                <w:rFonts w:ascii="Times New Roman" w:eastAsia="Times New Roman" w:hAnsi="Times New Roman"/>
                <w:b/>
                <w:bCs/>
                <w:sz w:val="24"/>
                <w:szCs w:val="24"/>
              </w:rPr>
              <w:t>Total Sales</w:t>
            </w:r>
          </w:p>
        </w:tc>
        <w:tc>
          <w:tcPr>
            <w:tcW w:w="2620" w:type="dxa"/>
          </w:tcPr>
          <w:p w:rsidR="0020296C" w:rsidRPr="00425C92" w:rsidRDefault="0020296C" w:rsidP="00E61B22">
            <w:pPr>
              <w:spacing w:before="100" w:beforeAutospacing="1" w:after="100" w:afterAutospacing="1"/>
              <w:jc w:val="both"/>
              <w:rPr>
                <w:rFonts w:ascii="Times New Roman" w:eastAsia="Times New Roman" w:hAnsi="Times New Roman"/>
                <w:b/>
                <w:bCs/>
                <w:sz w:val="24"/>
                <w:szCs w:val="24"/>
              </w:rPr>
            </w:pPr>
            <w:r w:rsidRPr="00425C92">
              <w:rPr>
                <w:rFonts w:ascii="Times New Roman" w:eastAsia="Times New Roman" w:hAnsi="Times New Roman"/>
                <w:b/>
                <w:bCs/>
                <w:sz w:val="24"/>
                <w:szCs w:val="24"/>
              </w:rPr>
              <w:t>171.27</w:t>
            </w:r>
          </w:p>
        </w:tc>
        <w:tc>
          <w:tcPr>
            <w:tcW w:w="2459" w:type="dxa"/>
          </w:tcPr>
          <w:p w:rsidR="0020296C" w:rsidRPr="00425C92" w:rsidRDefault="0020296C" w:rsidP="00E61B22">
            <w:pPr>
              <w:spacing w:before="100" w:beforeAutospacing="1" w:after="100" w:afterAutospacing="1"/>
              <w:jc w:val="both"/>
              <w:rPr>
                <w:rFonts w:ascii="Times New Roman" w:eastAsia="Times New Roman" w:hAnsi="Times New Roman"/>
                <w:b/>
                <w:bCs/>
                <w:sz w:val="24"/>
                <w:szCs w:val="24"/>
              </w:rPr>
            </w:pPr>
            <w:r w:rsidRPr="00425C92">
              <w:rPr>
                <w:rFonts w:ascii="Times New Roman" w:eastAsia="Times New Roman" w:hAnsi="Times New Roman"/>
                <w:b/>
                <w:bCs/>
                <w:sz w:val="24"/>
                <w:szCs w:val="24"/>
              </w:rPr>
              <w:t>100%</w:t>
            </w:r>
          </w:p>
        </w:tc>
      </w:tr>
    </w:tbl>
    <w:p w:rsidR="0020296C" w:rsidRPr="00425C92" w:rsidRDefault="0020296C"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Furthermore, analysis of the potential marketable surplus from project-supported crops. suggests an untapped value exceeding ₹8,128 million (</w:t>
      </w:r>
      <w:r w:rsidR="00ED60BB">
        <w:rPr>
          <w:rFonts w:ascii="Times New Roman" w:hAnsi="Times New Roman"/>
          <w:sz w:val="22"/>
          <w:szCs w:val="22"/>
        </w:rPr>
        <w:t>T</w:t>
      </w:r>
      <w:r w:rsidRPr="00425C92">
        <w:rPr>
          <w:rFonts w:ascii="Times New Roman" w:hAnsi="Times New Roman"/>
          <w:sz w:val="22"/>
          <w:szCs w:val="22"/>
        </w:rPr>
        <w:t>able 2), if full-scale digital integration and cluster-based market mobilization are achieved. These findings reinforce the scalability of the model and the economic potential of digitally integrated agribusiness in hill states.</w:t>
      </w:r>
    </w:p>
    <w:p w:rsidR="00F24FB2" w:rsidRPr="00425C92" w:rsidRDefault="00F24FB2" w:rsidP="00425C92">
      <w:pPr>
        <w:tabs>
          <w:tab w:val="left" w:pos="1080"/>
        </w:tabs>
        <w:jc w:val="both"/>
        <w:rPr>
          <w:rFonts w:ascii="Times New Roman" w:hAnsi="Times New Roman"/>
          <w:b/>
          <w:sz w:val="22"/>
          <w:szCs w:val="22"/>
        </w:rPr>
      </w:pPr>
      <w:r w:rsidRPr="00425C92">
        <w:rPr>
          <w:rFonts w:ascii="Times New Roman" w:hAnsi="Times New Roman"/>
          <w:b/>
          <w:sz w:val="22"/>
          <w:szCs w:val="22"/>
        </w:rPr>
        <w:t>Table2: Adoption and Participation Metrics</w:t>
      </w:r>
    </w:p>
    <w:tbl>
      <w:tblPr>
        <w:tblStyle w:val="TableGrid"/>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402"/>
      </w:tblGrid>
      <w:tr w:rsidR="00425C92" w:rsidRPr="00425C92" w:rsidTr="0084055F">
        <w:trPr>
          <w:trHeight w:val="254"/>
        </w:trPr>
        <w:tc>
          <w:tcPr>
            <w:tcW w:w="4678" w:type="dxa"/>
            <w:vAlign w:val="center"/>
          </w:tcPr>
          <w:p w:rsidR="00F24FB2" w:rsidRPr="00425C92" w:rsidRDefault="00F24FB2" w:rsidP="00ED60BB">
            <w:pPr>
              <w:jc w:val="center"/>
              <w:rPr>
                <w:rFonts w:ascii="Times New Roman" w:eastAsia="Times New Roman" w:hAnsi="Times New Roman"/>
                <w:b/>
              </w:rPr>
            </w:pPr>
            <w:r w:rsidRPr="00425C92">
              <w:rPr>
                <w:rFonts w:ascii="Times New Roman" w:eastAsia="Times New Roman" w:hAnsi="Times New Roman"/>
                <w:b/>
              </w:rPr>
              <w:t>Metric</w:t>
            </w:r>
          </w:p>
        </w:tc>
        <w:tc>
          <w:tcPr>
            <w:tcW w:w="3402" w:type="dxa"/>
            <w:vAlign w:val="center"/>
          </w:tcPr>
          <w:p w:rsidR="00F24FB2" w:rsidRPr="00425C92" w:rsidRDefault="00F24FB2" w:rsidP="00425C92">
            <w:pPr>
              <w:jc w:val="center"/>
              <w:rPr>
                <w:rFonts w:ascii="Times New Roman" w:eastAsia="Times New Roman" w:hAnsi="Times New Roman"/>
                <w:b/>
              </w:rPr>
            </w:pPr>
            <w:r w:rsidRPr="00425C92">
              <w:rPr>
                <w:rFonts w:ascii="Times New Roman" w:eastAsia="Times New Roman" w:hAnsi="Times New Roman"/>
                <w:b/>
              </w:rPr>
              <w:t>Value</w:t>
            </w:r>
          </w:p>
        </w:tc>
      </w:tr>
      <w:tr w:rsidR="00425C92" w:rsidRPr="00425C92" w:rsidTr="0084055F">
        <w:trPr>
          <w:trHeight w:val="254"/>
        </w:trPr>
        <w:tc>
          <w:tcPr>
            <w:tcW w:w="4678" w:type="dxa"/>
            <w:vAlign w:val="center"/>
          </w:tcPr>
          <w:p w:rsidR="00F24FB2" w:rsidRPr="00425C92" w:rsidRDefault="00F24FB2" w:rsidP="00425C92">
            <w:pPr>
              <w:jc w:val="both"/>
              <w:rPr>
                <w:rFonts w:ascii="Times New Roman" w:eastAsia="Times New Roman" w:hAnsi="Times New Roman"/>
              </w:rPr>
            </w:pPr>
            <w:r w:rsidRPr="00425C92">
              <w:rPr>
                <w:rFonts w:ascii="Times New Roman" w:eastAsia="Times New Roman" w:hAnsi="Times New Roman"/>
              </w:rPr>
              <w:t>Registered Farmers (App)</w:t>
            </w:r>
          </w:p>
        </w:tc>
        <w:tc>
          <w:tcPr>
            <w:tcW w:w="3402" w:type="dxa"/>
            <w:vAlign w:val="center"/>
          </w:tcPr>
          <w:p w:rsidR="00F24FB2" w:rsidRPr="00425C92" w:rsidRDefault="00F24FB2" w:rsidP="00ED60BB">
            <w:pPr>
              <w:ind w:left="1304"/>
              <w:jc w:val="both"/>
              <w:rPr>
                <w:rFonts w:ascii="Times New Roman" w:eastAsia="Times New Roman" w:hAnsi="Times New Roman"/>
              </w:rPr>
            </w:pPr>
            <w:r w:rsidRPr="00425C92">
              <w:rPr>
                <w:rFonts w:ascii="Times New Roman" w:eastAsia="Times New Roman" w:hAnsi="Times New Roman"/>
              </w:rPr>
              <w:t>7,729</w:t>
            </w:r>
          </w:p>
        </w:tc>
      </w:tr>
      <w:tr w:rsidR="00425C92" w:rsidRPr="00425C92" w:rsidTr="0084055F">
        <w:trPr>
          <w:trHeight w:val="269"/>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rPr>
            </w:pPr>
            <w:r w:rsidRPr="00425C92">
              <w:rPr>
                <w:rFonts w:ascii="Times New Roman" w:eastAsia="Times New Roman" w:hAnsi="Times New Roman"/>
              </w:rPr>
              <w:t>Registered Vendors/Buyers (App)</w:t>
            </w:r>
          </w:p>
        </w:tc>
        <w:tc>
          <w:tcPr>
            <w:tcW w:w="3402" w:type="dxa"/>
            <w:vAlign w:val="center"/>
          </w:tcPr>
          <w:p w:rsidR="00F24FB2" w:rsidRPr="00425C92" w:rsidRDefault="00F24FB2" w:rsidP="00ED60BB">
            <w:pPr>
              <w:spacing w:before="100" w:beforeAutospacing="1" w:after="100" w:afterAutospacing="1"/>
              <w:ind w:left="1304"/>
              <w:jc w:val="both"/>
              <w:rPr>
                <w:rFonts w:ascii="Times New Roman" w:eastAsia="Times New Roman" w:hAnsi="Times New Roman"/>
              </w:rPr>
            </w:pPr>
            <w:r w:rsidRPr="00425C92">
              <w:rPr>
                <w:rFonts w:ascii="Times New Roman" w:eastAsia="Times New Roman" w:hAnsi="Times New Roman"/>
              </w:rPr>
              <w:t>309</w:t>
            </w:r>
          </w:p>
        </w:tc>
      </w:tr>
      <w:tr w:rsidR="00425C92" w:rsidRPr="00425C92" w:rsidTr="0084055F">
        <w:trPr>
          <w:trHeight w:val="254"/>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rPr>
            </w:pPr>
            <w:r w:rsidRPr="00425C92">
              <w:rPr>
                <w:rFonts w:ascii="Times New Roman" w:eastAsia="Times New Roman" w:hAnsi="Times New Roman"/>
              </w:rPr>
              <w:t>Functional Agribusiness Growth Centers (ABGCs)</w:t>
            </w:r>
          </w:p>
        </w:tc>
        <w:tc>
          <w:tcPr>
            <w:tcW w:w="3402" w:type="dxa"/>
            <w:vAlign w:val="center"/>
          </w:tcPr>
          <w:p w:rsidR="00F24FB2" w:rsidRPr="00425C92" w:rsidRDefault="00F24FB2" w:rsidP="00ED60BB">
            <w:pPr>
              <w:spacing w:before="100" w:beforeAutospacing="1" w:after="100" w:afterAutospacing="1"/>
              <w:ind w:left="1304"/>
              <w:jc w:val="both"/>
              <w:rPr>
                <w:rFonts w:ascii="Times New Roman" w:eastAsia="Times New Roman" w:hAnsi="Times New Roman"/>
              </w:rPr>
            </w:pPr>
            <w:r w:rsidRPr="00425C92">
              <w:rPr>
                <w:rFonts w:ascii="Times New Roman" w:eastAsia="Times New Roman" w:hAnsi="Times New Roman"/>
              </w:rPr>
              <w:t>10</w:t>
            </w:r>
          </w:p>
        </w:tc>
      </w:tr>
      <w:tr w:rsidR="00425C92" w:rsidRPr="00425C92" w:rsidTr="0084055F">
        <w:trPr>
          <w:trHeight w:val="254"/>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rPr>
            </w:pPr>
            <w:r w:rsidRPr="00425C92">
              <w:rPr>
                <w:rFonts w:ascii="Times New Roman" w:eastAsia="Times New Roman" w:hAnsi="Times New Roman"/>
              </w:rPr>
              <w:t>Functional Farmer Federations</w:t>
            </w:r>
          </w:p>
        </w:tc>
        <w:tc>
          <w:tcPr>
            <w:tcW w:w="3402" w:type="dxa"/>
            <w:vAlign w:val="center"/>
          </w:tcPr>
          <w:p w:rsidR="00F24FB2" w:rsidRPr="00425C92" w:rsidRDefault="00F24FB2" w:rsidP="00ED60BB">
            <w:pPr>
              <w:spacing w:before="100" w:beforeAutospacing="1" w:after="100" w:afterAutospacing="1"/>
              <w:ind w:left="1304"/>
              <w:jc w:val="both"/>
              <w:rPr>
                <w:rFonts w:ascii="Times New Roman" w:eastAsia="Times New Roman" w:hAnsi="Times New Roman"/>
              </w:rPr>
            </w:pPr>
            <w:r w:rsidRPr="00425C92">
              <w:rPr>
                <w:rFonts w:ascii="Times New Roman" w:eastAsia="Times New Roman" w:hAnsi="Times New Roman"/>
              </w:rPr>
              <w:t>21</w:t>
            </w:r>
          </w:p>
        </w:tc>
      </w:tr>
      <w:tr w:rsidR="00425C92" w:rsidRPr="00425C92" w:rsidTr="0084055F">
        <w:trPr>
          <w:trHeight w:val="269"/>
        </w:trPr>
        <w:tc>
          <w:tcPr>
            <w:tcW w:w="4678" w:type="dxa"/>
            <w:vAlign w:val="center"/>
          </w:tcPr>
          <w:p w:rsidR="00F24FB2" w:rsidRPr="00425C92" w:rsidRDefault="00F24FB2" w:rsidP="00E61B22">
            <w:pPr>
              <w:spacing w:before="100" w:beforeAutospacing="1" w:after="100" w:afterAutospacing="1"/>
              <w:jc w:val="both"/>
              <w:rPr>
                <w:rFonts w:ascii="Times New Roman" w:eastAsia="Times New Roman" w:hAnsi="Times New Roman"/>
                <w:b/>
                <w:bCs/>
              </w:rPr>
            </w:pPr>
            <w:r w:rsidRPr="00425C92">
              <w:rPr>
                <w:rFonts w:ascii="Times New Roman" w:eastAsia="Times New Roman" w:hAnsi="Times New Roman"/>
                <w:b/>
                <w:bCs/>
              </w:rPr>
              <w:t>Potential Marketable Value (Full-scale)</w:t>
            </w:r>
          </w:p>
        </w:tc>
        <w:tc>
          <w:tcPr>
            <w:tcW w:w="3402" w:type="dxa"/>
            <w:vAlign w:val="center"/>
          </w:tcPr>
          <w:p w:rsidR="00F24FB2" w:rsidRPr="00425C92" w:rsidRDefault="00F24FB2" w:rsidP="00E61B22">
            <w:pPr>
              <w:spacing w:before="100" w:beforeAutospacing="1" w:after="100" w:afterAutospacing="1"/>
              <w:ind w:left="1334"/>
              <w:jc w:val="both"/>
              <w:rPr>
                <w:rFonts w:ascii="Times New Roman" w:eastAsia="Times New Roman" w:hAnsi="Times New Roman"/>
                <w:b/>
                <w:bCs/>
              </w:rPr>
            </w:pPr>
            <w:r w:rsidRPr="00425C92">
              <w:rPr>
                <w:rFonts w:ascii="Times New Roman" w:eastAsia="Times New Roman" w:hAnsi="Times New Roman"/>
                <w:b/>
                <w:bCs/>
              </w:rPr>
              <w:t>₹8,128 million</w:t>
            </w:r>
          </w:p>
        </w:tc>
      </w:tr>
    </w:tbl>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 xml:space="preserve">The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app's operational design was particularly suited to low-bandwidth environments, ensuring its usability in remote terrain. It facilitated real-time product listing, vendor matching, and inventory tracking, which proved critical in synchronizing production with demand especially for perishable and value-added goods.</w:t>
      </w:r>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lastRenderedPageBreak/>
        <w:t xml:space="preserve">The Farmer Federations (FFs) and Agribusiness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(ABGCs) played an essential intermediary role, linking digital tools with physical service delivery. The ABGCs offered packaging, grading, and primary processing facilities, while also serving as collection and distribution hubs for FIGs (Farmer Interest Groups). These centers ensured product quality and brand consistency under the single-brand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which gained visibility both in local and urban markets, as well as tourist routes.</w:t>
      </w:r>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The integration of the Project Management Information System (PMIS) enabled granular tracking of income, stock movement, seasonal forecasting, and federation</w:t>
      </w:r>
      <w:r w:rsidR="00ED60BB">
        <w:rPr>
          <w:rFonts w:ascii="Times New Roman" w:hAnsi="Times New Roman"/>
          <w:sz w:val="22"/>
          <w:szCs w:val="22"/>
        </w:rPr>
        <w:t xml:space="preserve"> </w:t>
      </w:r>
      <w:r w:rsidRPr="00425C92">
        <w:rPr>
          <w:rFonts w:ascii="Times New Roman" w:hAnsi="Times New Roman"/>
          <w:sz w:val="22"/>
          <w:szCs w:val="22"/>
        </w:rPr>
        <w:t>level analytics (fig 4). Simultaneously, use of social media (e.g., Facebook, Instagram) expanded brand reach, while the centralized portal (gramyashree.in) enabled direct-to-consumer sales</w:t>
      </w:r>
      <w:proofErr w:type="gramStart"/>
      <w:r w:rsidR="00ED60BB">
        <w:rPr>
          <w:rFonts w:ascii="Times New Roman" w:hAnsi="Times New Roman"/>
          <w:sz w:val="22"/>
          <w:szCs w:val="22"/>
        </w:rPr>
        <w:t>.</w:t>
      </w:r>
      <w:r w:rsidRPr="00425C92">
        <w:rPr>
          <w:rFonts w:ascii="Times New Roman" w:hAnsi="Times New Roman"/>
          <w:sz w:val="22"/>
          <w:szCs w:val="22"/>
        </w:rPr>
        <w:t>.</w:t>
      </w:r>
      <w:proofErr w:type="gramEnd"/>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Compared to traditional mandi systems, which are prone to logistical inefficiencies and price volatility, the digital platform introduced transparency in price discovery and reduced farmers' dependency on intermediaries. Farmers could negotiate prices directly and retain a greater share of consumer-end value.</w:t>
      </w:r>
    </w:p>
    <w:p w:rsidR="00F24FB2" w:rsidRPr="00425C92" w:rsidRDefault="00F24FB2" w:rsidP="00E61B22">
      <w:pPr>
        <w:spacing w:before="100" w:beforeAutospacing="1" w:after="100" w:afterAutospacing="1"/>
        <w:jc w:val="both"/>
        <w:rPr>
          <w:rFonts w:ascii="Times New Roman" w:hAnsi="Times New Roman"/>
          <w:sz w:val="22"/>
          <w:szCs w:val="22"/>
        </w:rPr>
      </w:pPr>
      <w:r w:rsidRPr="00425C92">
        <w:rPr>
          <w:rFonts w:ascii="Times New Roman" w:hAnsi="Times New Roman"/>
          <w:sz w:val="22"/>
          <w:szCs w:val="22"/>
        </w:rPr>
        <w:t>Importantly, GRAMYA-II illustrates that digital tools are not standalone solutions; their effectiveness is maximized when embedded within supportive institutional ecosystems such as federations, ABGCs, local governance bodies, and market-oriented clusters.</w:t>
      </w:r>
    </w:p>
    <w:p w:rsidR="00F24FB2" w:rsidRPr="00425C92" w:rsidRDefault="00F24FB2" w:rsidP="00425C92">
      <w:pPr>
        <w:jc w:val="both"/>
        <w:rPr>
          <w:rFonts w:ascii="Times New Roman" w:hAnsi="Times New Roman"/>
          <w:sz w:val="22"/>
          <w:szCs w:val="22"/>
          <w:lang w:eastAsia="en-IN"/>
        </w:rPr>
      </w:pPr>
      <w:r w:rsidRPr="00425C92">
        <w:rPr>
          <w:rFonts w:ascii="Times New Roman" w:hAnsi="Times New Roman"/>
          <w:noProof/>
          <w:sz w:val="22"/>
          <w:szCs w:val="22"/>
          <w:lang w:val="en-IN" w:eastAsia="en-IN"/>
        </w:rPr>
        <w:drawing>
          <wp:inline distT="0" distB="0" distL="0" distR="0" wp14:anchorId="2CF54548" wp14:editId="586FB4FE">
            <wp:extent cx="5212080" cy="2602575"/>
            <wp:effectExtent l="133350" t="114300" r="121920" b="140970"/>
            <wp:docPr id="6"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2B9483-A3BE-4E59-9AF9-C3D10B32D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2B9483-A3BE-4E59-9AF9-C3D10B32DD38}"/>
                        </a:ext>
                      </a:extLst>
                    </pic:cNvPr>
                    <pic:cNvPicPr>
                      <a:picLocks noChangeAspect="1"/>
                    </pic:cNvPicPr>
                  </pic:nvPicPr>
                  <pic:blipFill rotWithShape="1">
                    <a:blip r:embed="rId13"/>
                    <a:srcRect l="1143" t="8381" b="5143"/>
                    <a:stretch/>
                  </pic:blipFill>
                  <pic:spPr>
                    <a:xfrm>
                      <a:off x="0" y="0"/>
                      <a:ext cx="5212080" cy="260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4FB2" w:rsidRPr="00425C92" w:rsidRDefault="00F24FB2" w:rsidP="00425C92">
      <w:pPr>
        <w:autoSpaceDE w:val="0"/>
        <w:autoSpaceDN w:val="0"/>
        <w:adjustRightInd w:val="0"/>
        <w:jc w:val="center"/>
        <w:rPr>
          <w:rFonts w:ascii="Times New Roman" w:hAnsi="Times New Roman"/>
          <w:b/>
          <w:bCs/>
          <w:sz w:val="22"/>
          <w:szCs w:val="22"/>
        </w:rPr>
      </w:pPr>
      <w:r w:rsidRPr="00425C92">
        <w:rPr>
          <w:rFonts w:ascii="Times New Roman" w:hAnsi="Times New Roman"/>
          <w:b/>
          <w:bCs/>
          <w:sz w:val="22"/>
          <w:szCs w:val="22"/>
        </w:rPr>
        <w:t>Fig. 4.: Aggregation of Agribusiness data in PMIS GRAMYA-II</w:t>
      </w:r>
    </w:p>
    <w:p w:rsidR="00B01FCD" w:rsidRPr="00425C92" w:rsidRDefault="00B01FCD" w:rsidP="00E761C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Conclusion</w:t>
      </w:r>
    </w:p>
    <w:p w:rsidR="00F24FB2" w:rsidRPr="00425C92" w:rsidRDefault="00F24FB2"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agribusiness strategy implemented under the GRAMYA-II project reflects a successful convergence of digital innovation, community-based aggregation, and decentralized value chain development in the context of Himalayan agriculture. By integrating the </w:t>
      </w:r>
      <w:proofErr w:type="spellStart"/>
      <w:r w:rsidRPr="00425C92">
        <w:rPr>
          <w:rFonts w:ascii="Times New Roman" w:hAnsi="Times New Roman"/>
          <w:sz w:val="22"/>
          <w:szCs w:val="22"/>
        </w:rPr>
        <w:t>Gramyashree</w:t>
      </w:r>
      <w:proofErr w:type="spellEnd"/>
      <w:r w:rsidRPr="00425C92">
        <w:rPr>
          <w:rFonts w:ascii="Times New Roman" w:hAnsi="Times New Roman"/>
          <w:sz w:val="22"/>
          <w:szCs w:val="22"/>
        </w:rPr>
        <w:t xml:space="preserve"> platform with a robust institutional framework comprising Farmer Interest Groups (FIGs), Federations, and Agribusiness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farmers transitioned from isolated, </w:t>
      </w:r>
      <w:r w:rsidRPr="00425C92">
        <w:rPr>
          <w:rFonts w:ascii="Times New Roman" w:hAnsi="Times New Roman"/>
          <w:sz w:val="22"/>
          <w:szCs w:val="22"/>
        </w:rPr>
        <w:lastRenderedPageBreak/>
        <w:t>subsistence-oriented production to a more organized and digitally enabled agribusiness ecosystem.</w:t>
      </w:r>
    </w:p>
    <w:p w:rsidR="00F24FB2" w:rsidRPr="00425C92" w:rsidRDefault="00F24FB2"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 xml:space="preserve">The platform significantly improved market access by connecting farmers directly to vendor networks and institutional buyers. Transparent digital transactions enhanced price realization, while value addition through processing and packaging at growth </w:t>
      </w:r>
      <w:proofErr w:type="spellStart"/>
      <w:r w:rsidRPr="00425C92">
        <w:rPr>
          <w:rFonts w:ascii="Times New Roman" w:hAnsi="Times New Roman"/>
          <w:sz w:val="22"/>
          <w:szCs w:val="22"/>
        </w:rPr>
        <w:t>centres</w:t>
      </w:r>
      <w:proofErr w:type="spellEnd"/>
      <w:r w:rsidRPr="00425C92">
        <w:rPr>
          <w:rFonts w:ascii="Times New Roman" w:hAnsi="Times New Roman"/>
          <w:sz w:val="22"/>
          <w:szCs w:val="22"/>
        </w:rPr>
        <w:t xml:space="preserve"> contributed to brand visibility and higher consumer trust. These advancements were further reinforced by the scalability of the model, made possible through federated structures and mobile-based connectivity, even in low-infrastructure environments.</w:t>
      </w:r>
    </w:p>
    <w:p w:rsidR="00D4417F" w:rsidRPr="002656F1" w:rsidRDefault="00D4417F" w:rsidP="00E61B22">
      <w:pPr>
        <w:pStyle w:val="Body"/>
        <w:spacing w:before="100" w:beforeAutospacing="1" w:after="100" w:afterAutospacing="1"/>
        <w:rPr>
          <w:rFonts w:ascii="Times New Roman" w:hAnsi="Times New Roman"/>
          <w:color w:val="FF0000"/>
          <w:sz w:val="22"/>
          <w:szCs w:val="22"/>
        </w:rPr>
      </w:pPr>
      <w:r w:rsidRPr="00524BB0">
        <w:rPr>
          <w:rFonts w:ascii="Times New Roman" w:hAnsi="Times New Roman"/>
          <w:sz w:val="22"/>
          <w:szCs w:val="22"/>
        </w:rPr>
        <w:t xml:space="preserve">The digital transformation promoted wider developmental outcomes in addition to transactional efficiency. </w:t>
      </w:r>
      <w:r w:rsidR="00ED60BB" w:rsidRPr="00425C92">
        <w:rPr>
          <w:rFonts w:ascii="Times New Roman" w:hAnsi="Times New Roman"/>
          <w:sz w:val="22"/>
          <w:szCs w:val="22"/>
        </w:rPr>
        <w:t>These included a measurable rise in farmer incomes, a reduction in post-harvest losses, and an increase in formalized trade through federated systems.</w:t>
      </w:r>
      <w:r w:rsidRPr="002656F1">
        <w:rPr>
          <w:rFonts w:ascii="Times New Roman" w:hAnsi="Times New Roman"/>
          <w:color w:val="FF0000"/>
          <w:sz w:val="22"/>
          <w:szCs w:val="22"/>
        </w:rPr>
        <w:t xml:space="preserve"> </w:t>
      </w:r>
      <w:r w:rsidR="00524BB0" w:rsidRPr="00425C92">
        <w:rPr>
          <w:rFonts w:ascii="Times New Roman" w:hAnsi="Times New Roman"/>
          <w:sz w:val="22"/>
          <w:szCs w:val="22"/>
        </w:rPr>
        <w:t>However, sustaining and scaling these gains requires strategic attention to several areas</w:t>
      </w:r>
      <w:r w:rsidRPr="002656F1">
        <w:rPr>
          <w:rFonts w:ascii="Times New Roman" w:hAnsi="Times New Roman"/>
          <w:color w:val="FF0000"/>
          <w:sz w:val="22"/>
          <w:szCs w:val="22"/>
        </w:rPr>
        <w:t xml:space="preserve">. </w:t>
      </w:r>
      <w:r w:rsidR="00524BB0" w:rsidRPr="00425C92">
        <w:rPr>
          <w:rFonts w:ascii="Times New Roman" w:hAnsi="Times New Roman"/>
          <w:sz w:val="22"/>
          <w:szCs w:val="22"/>
        </w:rPr>
        <w:t>Strengthening quality assurance systems will be essential for maintaining consistency across decentralized production clusters. Equally important is the implementation of unified branding strategies to ensure coherence and recognition across diverse product</w:t>
      </w:r>
      <w:r w:rsidR="00524BB0">
        <w:rPr>
          <w:rFonts w:ascii="Times New Roman" w:hAnsi="Times New Roman"/>
          <w:sz w:val="22"/>
          <w:szCs w:val="22"/>
        </w:rPr>
        <w:t xml:space="preserve"> </w:t>
      </w:r>
      <w:r w:rsidR="00524BB0" w:rsidRPr="00425C92">
        <w:rPr>
          <w:rFonts w:ascii="Times New Roman" w:hAnsi="Times New Roman"/>
          <w:sz w:val="22"/>
          <w:szCs w:val="22"/>
        </w:rPr>
        <w:t>lines Building digital literacy among farmers and enhancing last-mile infrastructure will further improve adoption</w:t>
      </w:r>
      <w:r w:rsidR="00524BB0">
        <w:rPr>
          <w:rFonts w:ascii="Times New Roman" w:hAnsi="Times New Roman"/>
          <w:sz w:val="22"/>
          <w:szCs w:val="22"/>
        </w:rPr>
        <w:t xml:space="preserve">. </w:t>
      </w:r>
    </w:p>
    <w:p w:rsidR="00790ADA" w:rsidRDefault="00F24FB2" w:rsidP="00E61B22">
      <w:pPr>
        <w:pStyle w:val="Body"/>
        <w:spacing w:before="100" w:beforeAutospacing="1" w:after="100" w:afterAutospacing="1"/>
        <w:rPr>
          <w:rFonts w:ascii="Times New Roman" w:hAnsi="Times New Roman"/>
          <w:sz w:val="22"/>
          <w:szCs w:val="22"/>
        </w:rPr>
      </w:pPr>
      <w:r w:rsidRPr="00425C92">
        <w:rPr>
          <w:rFonts w:ascii="Times New Roman" w:hAnsi="Times New Roman"/>
          <w:sz w:val="22"/>
          <w:szCs w:val="22"/>
        </w:rPr>
        <w:t>Despite these achievements, several challenges remain. The pace of digital adoption varies significantly across locations, often influenced by connectivity, literacy, and institutional capacity. Inconsistencies in product quality and the lack of standardized branding also pose limitations to market expansion. Addressing these gaps will be crucial for adapting and replicating it in other hill and rainfed contexts, where climate-resilient, digitally integrated agribusiness models are increasingly needed.</w:t>
      </w:r>
    </w:p>
    <w:p w:rsidR="00B01FCD" w:rsidRPr="00425C92" w:rsidRDefault="00B01FCD" w:rsidP="00D4417F">
      <w:pPr>
        <w:pStyle w:val="Heading2"/>
        <w:spacing w:before="0"/>
        <w:rPr>
          <w:rStyle w:val="Strong"/>
          <w:sz w:val="28"/>
          <w:szCs w:val="28"/>
        </w:rPr>
      </w:pPr>
      <w:r w:rsidRPr="00425C92">
        <w:rPr>
          <w:rStyle w:val="Strong"/>
          <w:rFonts w:ascii="Times New Roman" w:hAnsi="Times New Roman" w:cs="Times New Roman"/>
          <w:color w:val="auto"/>
          <w:sz w:val="28"/>
          <w:szCs w:val="28"/>
        </w:rPr>
        <w:t>Acknowledgments</w:t>
      </w:r>
    </w:p>
    <w:p w:rsidR="00F24FB2" w:rsidRDefault="00F24FB2" w:rsidP="00D4417F">
      <w:pPr>
        <w:jc w:val="both"/>
        <w:rPr>
          <w:rFonts w:ascii="Times New Roman" w:hAnsi="Times New Roman"/>
          <w:sz w:val="22"/>
          <w:szCs w:val="22"/>
        </w:rPr>
      </w:pPr>
      <w:r w:rsidRPr="00425C92">
        <w:rPr>
          <w:rFonts w:ascii="Times New Roman" w:hAnsi="Times New Roman"/>
          <w:sz w:val="22"/>
          <w:szCs w:val="22"/>
        </w:rPr>
        <w:t xml:space="preserve">The authors would like to express their sincere gratitude to the Project Director of the Watershed Management Directorate, Uttarakhand, for his invaluable support and guidance throughout this research. The authors also acknowledge Watershed Management Directorate, Dehradun for providing the necessary facilities and resources to conduct this study. </w:t>
      </w:r>
    </w:p>
    <w:p w:rsidR="00023C86" w:rsidRPr="00425C92" w:rsidRDefault="00F24FB2" w:rsidP="00D4417F">
      <w:pPr>
        <w:pStyle w:val="Heading2"/>
        <w:spacing w:before="0"/>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Funding</w:t>
      </w:r>
    </w:p>
    <w:p w:rsidR="00315186" w:rsidRDefault="00023C86" w:rsidP="00D4417F">
      <w:pPr>
        <w:jc w:val="both"/>
        <w:rPr>
          <w:rFonts w:ascii="Times New Roman" w:hAnsi="Times New Roman"/>
          <w:sz w:val="22"/>
          <w:szCs w:val="22"/>
        </w:rPr>
      </w:pPr>
      <w:r w:rsidRPr="00425C92">
        <w:rPr>
          <w:rFonts w:ascii="Times New Roman" w:hAnsi="Times New Roman"/>
          <w:sz w:val="22"/>
          <w:szCs w:val="22"/>
        </w:rPr>
        <w:t>This work was supported by the Watershed Management Directorate, Dehradun, Uttarakhand.</w:t>
      </w:r>
    </w:p>
    <w:p w:rsidR="00860000" w:rsidRPr="00425C92" w:rsidRDefault="00860000" w:rsidP="00D4417F">
      <w:pPr>
        <w:pStyle w:val="Heading2"/>
        <w:spacing w:before="0"/>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Competing interests</w:t>
      </w:r>
    </w:p>
    <w:p w:rsidR="00860000" w:rsidRDefault="00D4417F" w:rsidP="00D4417F">
      <w:pPr>
        <w:pStyle w:val="ReferHead"/>
        <w:spacing w:after="0"/>
        <w:jc w:val="both"/>
        <w:rPr>
          <w:rFonts w:ascii="Times New Roman" w:hAnsi="Times New Roman"/>
          <w:b w:val="0"/>
          <w:caps w:val="0"/>
          <w:szCs w:val="22"/>
        </w:rPr>
      </w:pPr>
      <w:r>
        <w:rPr>
          <w:rFonts w:ascii="Times New Roman" w:hAnsi="Times New Roman"/>
          <w:b w:val="0"/>
          <w:caps w:val="0"/>
          <w:szCs w:val="22"/>
        </w:rPr>
        <w:t xml:space="preserve">The </w:t>
      </w:r>
      <w:r w:rsidR="00E66E10" w:rsidRPr="00425C92">
        <w:rPr>
          <w:rFonts w:ascii="Times New Roman" w:hAnsi="Times New Roman"/>
          <w:b w:val="0"/>
          <w:caps w:val="0"/>
          <w:szCs w:val="22"/>
        </w:rPr>
        <w:t>Authors have declared that no competing interests exist</w:t>
      </w:r>
      <w:r w:rsidR="00177D52" w:rsidRPr="00425C92">
        <w:rPr>
          <w:rFonts w:ascii="Times New Roman" w:hAnsi="Times New Roman"/>
          <w:b w:val="0"/>
          <w:caps w:val="0"/>
          <w:szCs w:val="22"/>
        </w:rPr>
        <w:t>.</w:t>
      </w:r>
    </w:p>
    <w:p w:rsidR="00371FB6" w:rsidRPr="00425C92" w:rsidRDefault="00371FB6" w:rsidP="00D4417F">
      <w:pPr>
        <w:pStyle w:val="Heading2"/>
        <w:spacing w:before="0"/>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Authors Contributions</w:t>
      </w:r>
    </w:p>
    <w:p w:rsidR="002B685A" w:rsidRPr="00425C92" w:rsidRDefault="00177D52" w:rsidP="00D4417F">
      <w:pPr>
        <w:pStyle w:val="ReferHead"/>
        <w:spacing w:after="0"/>
        <w:jc w:val="both"/>
        <w:rPr>
          <w:rFonts w:ascii="Times New Roman" w:hAnsi="Times New Roman"/>
          <w:b w:val="0"/>
          <w:caps w:val="0"/>
          <w:szCs w:val="22"/>
        </w:rPr>
      </w:pPr>
      <w:r w:rsidRPr="00425C92">
        <w:rPr>
          <w:rFonts w:ascii="Times New Roman" w:hAnsi="Times New Roman"/>
          <w:b w:val="0"/>
          <w:caps w:val="0"/>
          <w:szCs w:val="22"/>
        </w:rPr>
        <w:t xml:space="preserve">Vikas Vatsa conceptualized the study, designed the research framework, and prepared the initial draft of the manuscript. </w:t>
      </w:r>
      <w:proofErr w:type="spellStart"/>
      <w:r w:rsidRPr="00425C92">
        <w:rPr>
          <w:rFonts w:ascii="Times New Roman" w:hAnsi="Times New Roman"/>
          <w:b w:val="0"/>
          <w:caps w:val="0"/>
          <w:szCs w:val="22"/>
        </w:rPr>
        <w:t>Manoj</w:t>
      </w:r>
      <w:proofErr w:type="spellEnd"/>
      <w:r w:rsidRPr="00425C92">
        <w:rPr>
          <w:rFonts w:ascii="Times New Roman" w:hAnsi="Times New Roman"/>
          <w:b w:val="0"/>
          <w:caps w:val="0"/>
          <w:szCs w:val="22"/>
        </w:rPr>
        <w:t xml:space="preserve"> </w:t>
      </w:r>
      <w:proofErr w:type="spellStart"/>
      <w:r w:rsidRPr="00425C92">
        <w:rPr>
          <w:rFonts w:ascii="Times New Roman" w:hAnsi="Times New Roman"/>
          <w:b w:val="0"/>
          <w:caps w:val="0"/>
          <w:szCs w:val="22"/>
        </w:rPr>
        <w:t>Semwal</w:t>
      </w:r>
      <w:proofErr w:type="spellEnd"/>
      <w:r w:rsidRPr="00425C92">
        <w:rPr>
          <w:rFonts w:ascii="Times New Roman" w:hAnsi="Times New Roman"/>
          <w:b w:val="0"/>
          <w:caps w:val="0"/>
          <w:szCs w:val="22"/>
        </w:rPr>
        <w:t xml:space="preserve"> and </w:t>
      </w:r>
      <w:proofErr w:type="spellStart"/>
      <w:r w:rsidRPr="00425C92">
        <w:rPr>
          <w:rFonts w:ascii="Times New Roman" w:hAnsi="Times New Roman"/>
          <w:b w:val="0"/>
          <w:caps w:val="0"/>
          <w:szCs w:val="22"/>
        </w:rPr>
        <w:t>Vijaypal</w:t>
      </w:r>
      <w:proofErr w:type="spellEnd"/>
      <w:r w:rsidRPr="00425C92">
        <w:rPr>
          <w:rFonts w:ascii="Times New Roman" w:hAnsi="Times New Roman"/>
          <w:b w:val="0"/>
          <w:caps w:val="0"/>
          <w:szCs w:val="22"/>
        </w:rPr>
        <w:t xml:space="preserve"> Singh Rana developed the digital platforms, managed data collection and analysis, and contributed to the interpretation of results. All authors reviewed, refined, and approved the final version of the manuscript.</w:t>
      </w:r>
    </w:p>
    <w:p w:rsidR="00B01FCD" w:rsidRPr="00425C92" w:rsidRDefault="00B01FCD" w:rsidP="00425C92">
      <w:pPr>
        <w:pStyle w:val="Heading2"/>
        <w:spacing w:before="100" w:beforeAutospacing="1" w:after="100" w:afterAutospacing="1"/>
        <w:rPr>
          <w:rStyle w:val="Strong"/>
          <w:rFonts w:ascii="Times New Roman" w:hAnsi="Times New Roman" w:cs="Times New Roman"/>
          <w:color w:val="auto"/>
          <w:sz w:val="28"/>
          <w:szCs w:val="28"/>
        </w:rPr>
      </w:pPr>
      <w:r w:rsidRPr="00425C92">
        <w:rPr>
          <w:rStyle w:val="Strong"/>
          <w:rFonts w:ascii="Times New Roman" w:hAnsi="Times New Roman" w:cs="Times New Roman"/>
          <w:color w:val="auto"/>
          <w:sz w:val="28"/>
          <w:szCs w:val="28"/>
        </w:rPr>
        <w:t>References</w:t>
      </w:r>
    </w:p>
    <w:p w:rsidR="00230F89" w:rsidRPr="00425C92" w:rsidRDefault="00230F89" w:rsidP="00E61B22">
      <w:pPr>
        <w:pStyle w:val="NormalWeb"/>
        <w:jc w:val="both"/>
        <w:rPr>
          <w:sz w:val="22"/>
          <w:szCs w:val="22"/>
        </w:rPr>
      </w:pPr>
      <w:r w:rsidRPr="00425C92">
        <w:rPr>
          <w:sz w:val="22"/>
          <w:szCs w:val="22"/>
        </w:rPr>
        <w:t xml:space="preserve">Ashoka, P., N. K. Singh, N. H. Sunitha, D. R. K. Saikanth, O. Singh, G. Sreekumar, and B. V. Singh. </w:t>
      </w:r>
      <w:r w:rsidR="001620D9">
        <w:rPr>
          <w:sz w:val="22"/>
          <w:szCs w:val="22"/>
        </w:rPr>
        <w:t>(2023).</w:t>
      </w:r>
      <w:r w:rsidRPr="00425C92">
        <w:rPr>
          <w:sz w:val="22"/>
          <w:szCs w:val="22"/>
        </w:rPr>
        <w:t xml:space="preserve"> Enhancing agricultural production with digital technologies: A review. </w:t>
      </w:r>
      <w:r w:rsidRPr="00425C92">
        <w:rPr>
          <w:sz w:val="22"/>
          <w:szCs w:val="22"/>
        </w:rPr>
        <w:lastRenderedPageBreak/>
        <w:t>International Journal of Environment and Climate Change 13 (9): 409–422. https://doi.org/10.9734/ijecc/2023/v13i92250</w:t>
      </w:r>
    </w:p>
    <w:p w:rsidR="00230F89" w:rsidRPr="00425C92" w:rsidRDefault="00230F89" w:rsidP="00E61B22">
      <w:pPr>
        <w:pStyle w:val="NormalWeb"/>
        <w:jc w:val="both"/>
        <w:rPr>
          <w:sz w:val="22"/>
          <w:szCs w:val="22"/>
        </w:rPr>
      </w:pPr>
      <w:r w:rsidRPr="00425C92">
        <w:rPr>
          <w:sz w:val="22"/>
          <w:szCs w:val="22"/>
        </w:rPr>
        <w:t xml:space="preserve">Barton, B. </w:t>
      </w:r>
      <w:r w:rsidR="001620D9">
        <w:rPr>
          <w:sz w:val="22"/>
          <w:szCs w:val="22"/>
        </w:rPr>
        <w:t>(2003).</w:t>
      </w:r>
      <w:r w:rsidRPr="00425C92">
        <w:rPr>
          <w:sz w:val="22"/>
          <w:szCs w:val="22"/>
        </w:rPr>
        <w:t xml:space="preserve"> The internet’s impact on agricultural input distribution channels. Review of Agricultural Economics 25 (1): 14–21. https://doi.org/10.1111/1467-9353.00042</w:t>
      </w:r>
    </w:p>
    <w:p w:rsidR="00230F89" w:rsidRPr="00425C92" w:rsidRDefault="00230F89" w:rsidP="00E61B22">
      <w:pPr>
        <w:pStyle w:val="NormalWeb"/>
        <w:jc w:val="both"/>
        <w:rPr>
          <w:sz w:val="22"/>
          <w:szCs w:val="22"/>
        </w:rPr>
      </w:pPr>
      <w:proofErr w:type="spellStart"/>
      <w:r w:rsidRPr="00425C92">
        <w:rPr>
          <w:sz w:val="22"/>
          <w:szCs w:val="22"/>
        </w:rPr>
        <w:t>Chiwaridzo</w:t>
      </w:r>
      <w:proofErr w:type="spellEnd"/>
      <w:r w:rsidRPr="00425C92">
        <w:rPr>
          <w:sz w:val="22"/>
          <w:szCs w:val="22"/>
        </w:rPr>
        <w:t xml:space="preserve">, O., R. </w:t>
      </w:r>
      <w:proofErr w:type="spellStart"/>
      <w:r w:rsidRPr="00425C92">
        <w:rPr>
          <w:sz w:val="22"/>
          <w:szCs w:val="22"/>
        </w:rPr>
        <w:t>Musiiwa</w:t>
      </w:r>
      <w:proofErr w:type="spellEnd"/>
      <w:r w:rsidRPr="00425C92">
        <w:rPr>
          <w:sz w:val="22"/>
          <w:szCs w:val="22"/>
        </w:rPr>
        <w:t xml:space="preserve">, and T. </w:t>
      </w:r>
      <w:proofErr w:type="spellStart"/>
      <w:r w:rsidRPr="00425C92">
        <w:rPr>
          <w:sz w:val="22"/>
          <w:szCs w:val="22"/>
        </w:rPr>
        <w:t>Hlasi</w:t>
      </w:r>
      <w:proofErr w:type="spellEnd"/>
      <w:r w:rsidRPr="00425C92">
        <w:rPr>
          <w:sz w:val="22"/>
          <w:szCs w:val="22"/>
        </w:rPr>
        <w:t xml:space="preserve">. </w:t>
      </w:r>
      <w:r w:rsidR="001620D9">
        <w:rPr>
          <w:sz w:val="22"/>
          <w:szCs w:val="22"/>
        </w:rPr>
        <w:t>(</w:t>
      </w:r>
      <w:r w:rsidRPr="00425C92">
        <w:rPr>
          <w:sz w:val="22"/>
          <w:szCs w:val="22"/>
        </w:rPr>
        <w:t>2024</w:t>
      </w:r>
      <w:r w:rsidR="001620D9">
        <w:rPr>
          <w:sz w:val="22"/>
          <w:szCs w:val="22"/>
        </w:rPr>
        <w:t>)</w:t>
      </w:r>
      <w:r w:rsidRPr="00425C92">
        <w:rPr>
          <w:sz w:val="22"/>
          <w:szCs w:val="22"/>
        </w:rPr>
        <w:t>. Digitizing marketing in agriculture: Leveraging information communication technologies for success in Zimbabwe. https://doi.org/10.4018/979-8-3693-2011-2.ch007</w:t>
      </w:r>
    </w:p>
    <w:p w:rsidR="00230F89" w:rsidRPr="00425C92" w:rsidRDefault="00230F89" w:rsidP="00E61B22">
      <w:pPr>
        <w:pStyle w:val="NormalWeb"/>
        <w:jc w:val="both"/>
        <w:rPr>
          <w:sz w:val="22"/>
          <w:szCs w:val="22"/>
        </w:rPr>
      </w:pPr>
      <w:proofErr w:type="spellStart"/>
      <w:r w:rsidRPr="00425C92">
        <w:rPr>
          <w:sz w:val="22"/>
          <w:szCs w:val="22"/>
        </w:rPr>
        <w:t>Clasen</w:t>
      </w:r>
      <w:proofErr w:type="spellEnd"/>
      <w:r w:rsidRPr="00425C92">
        <w:rPr>
          <w:sz w:val="22"/>
          <w:szCs w:val="22"/>
        </w:rPr>
        <w:t xml:space="preserve">, M., and R. A. E. Mueller </w:t>
      </w:r>
      <w:r w:rsidR="001620D9">
        <w:rPr>
          <w:sz w:val="22"/>
          <w:szCs w:val="22"/>
        </w:rPr>
        <w:t>(</w:t>
      </w:r>
      <w:r w:rsidRPr="00425C92">
        <w:rPr>
          <w:sz w:val="22"/>
          <w:szCs w:val="22"/>
        </w:rPr>
        <w:t>2006</w:t>
      </w:r>
      <w:r w:rsidR="001620D9">
        <w:rPr>
          <w:sz w:val="22"/>
          <w:szCs w:val="22"/>
        </w:rPr>
        <w:t>)</w:t>
      </w:r>
      <w:r w:rsidRPr="00425C92">
        <w:rPr>
          <w:sz w:val="22"/>
          <w:szCs w:val="22"/>
        </w:rPr>
        <w:t xml:space="preserve">. Success factors of agribusiness digital marketplaces. Electronic Markets 16 (4): 349–360. </w:t>
      </w:r>
      <w:hyperlink r:id="rId14" w:history="1">
        <w:r w:rsidR="001424FF" w:rsidRPr="00425C92">
          <w:rPr>
            <w:sz w:val="22"/>
            <w:szCs w:val="22"/>
          </w:rPr>
          <w:t>https://doi.org/10.1080/10196780600999809</w:t>
        </w:r>
      </w:hyperlink>
      <w:r w:rsidR="001424FF" w:rsidRPr="00425C92">
        <w:rPr>
          <w:sz w:val="22"/>
          <w:szCs w:val="22"/>
        </w:rPr>
        <w:t>.</w:t>
      </w:r>
    </w:p>
    <w:p w:rsidR="00230F89" w:rsidRPr="00425C92" w:rsidRDefault="00230F89" w:rsidP="00E61B22">
      <w:pPr>
        <w:pStyle w:val="NormalWeb"/>
        <w:jc w:val="both"/>
        <w:rPr>
          <w:sz w:val="22"/>
          <w:szCs w:val="22"/>
        </w:rPr>
      </w:pPr>
      <w:r w:rsidRPr="00425C92">
        <w:rPr>
          <w:sz w:val="22"/>
          <w:szCs w:val="22"/>
        </w:rPr>
        <w:t xml:space="preserve">Department of Agriculture and Farmers Welfare, Ministry of Agriculture and Farmers Welfare, Government of India. 2025. Annual report </w:t>
      </w:r>
      <w:r w:rsidR="001620D9">
        <w:rPr>
          <w:sz w:val="22"/>
          <w:szCs w:val="22"/>
        </w:rPr>
        <w:t>(</w:t>
      </w:r>
      <w:r w:rsidRPr="00425C92">
        <w:rPr>
          <w:sz w:val="22"/>
          <w:szCs w:val="22"/>
        </w:rPr>
        <w:t>2024–25</w:t>
      </w:r>
      <w:r w:rsidR="001620D9">
        <w:rPr>
          <w:sz w:val="22"/>
          <w:szCs w:val="22"/>
        </w:rPr>
        <w:t>)</w:t>
      </w:r>
      <w:r w:rsidRPr="00425C92">
        <w:rPr>
          <w:sz w:val="22"/>
          <w:szCs w:val="22"/>
        </w:rPr>
        <w:t xml:space="preserve">. New Delhi, India. </w:t>
      </w:r>
      <w:r w:rsidR="00BC2127" w:rsidRPr="00425C92">
        <w:rPr>
          <w:sz w:val="22"/>
          <w:szCs w:val="22"/>
        </w:rPr>
        <w:t>https://agriwelfare.gov.in/Documents/AR_Eng_2024_25.pdf</w:t>
      </w:r>
    </w:p>
    <w:p w:rsidR="00230F89" w:rsidRPr="00425C92" w:rsidRDefault="00230F89" w:rsidP="00E61B22">
      <w:pPr>
        <w:pStyle w:val="NormalWeb"/>
        <w:jc w:val="both"/>
        <w:rPr>
          <w:sz w:val="22"/>
          <w:szCs w:val="22"/>
        </w:rPr>
      </w:pPr>
      <w:r w:rsidRPr="00425C92">
        <w:rPr>
          <w:sz w:val="22"/>
          <w:szCs w:val="22"/>
        </w:rPr>
        <w:t xml:space="preserve">Deshmukh, S., and S. Patil. </w:t>
      </w:r>
      <w:r w:rsidR="001620D9">
        <w:rPr>
          <w:sz w:val="22"/>
          <w:szCs w:val="22"/>
        </w:rPr>
        <w:t>(</w:t>
      </w:r>
      <w:r w:rsidRPr="00425C92">
        <w:rPr>
          <w:sz w:val="22"/>
          <w:szCs w:val="22"/>
        </w:rPr>
        <w:t>2022</w:t>
      </w:r>
      <w:r w:rsidR="001620D9">
        <w:rPr>
          <w:sz w:val="22"/>
          <w:szCs w:val="22"/>
        </w:rPr>
        <w:t>)</w:t>
      </w:r>
      <w:r w:rsidRPr="00425C92">
        <w:rPr>
          <w:sz w:val="22"/>
          <w:szCs w:val="22"/>
        </w:rPr>
        <w:t>. Applications and challenges of blockchain technology in agriculture sector: A review. Journal of Agricultural Extension Management 23 (1). https://epubs.icar.org.in/index.php/JAEM/article/view/159135</w:t>
      </w:r>
    </w:p>
    <w:p w:rsidR="00230F89" w:rsidRPr="00425C92" w:rsidRDefault="00230F89" w:rsidP="00E61B22">
      <w:pPr>
        <w:pStyle w:val="NormalWeb"/>
        <w:jc w:val="both"/>
        <w:rPr>
          <w:sz w:val="22"/>
          <w:szCs w:val="22"/>
        </w:rPr>
      </w:pPr>
      <w:r w:rsidRPr="00425C92">
        <w:rPr>
          <w:sz w:val="22"/>
          <w:szCs w:val="22"/>
        </w:rPr>
        <w:t xml:space="preserve">Glendenning, C. J., and P. P. </w:t>
      </w:r>
      <w:proofErr w:type="spellStart"/>
      <w:r w:rsidRPr="00425C92">
        <w:rPr>
          <w:sz w:val="22"/>
          <w:szCs w:val="22"/>
        </w:rPr>
        <w:t>Ficarelli</w:t>
      </w:r>
      <w:proofErr w:type="spellEnd"/>
      <w:r w:rsidRPr="00425C92">
        <w:rPr>
          <w:sz w:val="22"/>
          <w:szCs w:val="22"/>
        </w:rPr>
        <w:t xml:space="preserve">. </w:t>
      </w:r>
      <w:r w:rsidR="001620D9">
        <w:rPr>
          <w:sz w:val="22"/>
          <w:szCs w:val="22"/>
        </w:rPr>
        <w:t>(</w:t>
      </w:r>
      <w:r w:rsidRPr="00425C92">
        <w:rPr>
          <w:sz w:val="22"/>
          <w:szCs w:val="22"/>
        </w:rPr>
        <w:t>2012</w:t>
      </w:r>
      <w:r w:rsidR="001620D9">
        <w:rPr>
          <w:sz w:val="22"/>
          <w:szCs w:val="22"/>
        </w:rPr>
        <w:t>)</w:t>
      </w:r>
      <w:r w:rsidRPr="00425C92">
        <w:rPr>
          <w:sz w:val="22"/>
          <w:szCs w:val="22"/>
        </w:rPr>
        <w:t xml:space="preserve">. The relevance of content in ICT initiatives in Indian agriculture. IFPRI Discussion Paper No. 01180. </w:t>
      </w:r>
    </w:p>
    <w:p w:rsidR="00230F89" w:rsidRPr="00425C92" w:rsidRDefault="00230F89" w:rsidP="00E61B22">
      <w:pPr>
        <w:pStyle w:val="NormalWeb"/>
        <w:jc w:val="both"/>
        <w:rPr>
          <w:sz w:val="22"/>
          <w:szCs w:val="22"/>
        </w:rPr>
      </w:pPr>
      <w:proofErr w:type="spellStart"/>
      <w:r w:rsidRPr="00425C92">
        <w:rPr>
          <w:sz w:val="22"/>
          <w:szCs w:val="22"/>
        </w:rPr>
        <w:t>Hackfort</w:t>
      </w:r>
      <w:proofErr w:type="spellEnd"/>
      <w:r w:rsidRPr="00425C92">
        <w:rPr>
          <w:sz w:val="22"/>
          <w:szCs w:val="22"/>
        </w:rPr>
        <w:t xml:space="preserve">, S. </w:t>
      </w:r>
      <w:r w:rsidR="001620D9">
        <w:rPr>
          <w:sz w:val="22"/>
          <w:szCs w:val="22"/>
        </w:rPr>
        <w:t>(</w:t>
      </w:r>
      <w:r w:rsidRPr="00425C92">
        <w:rPr>
          <w:sz w:val="22"/>
          <w:szCs w:val="22"/>
        </w:rPr>
        <w:t>2021</w:t>
      </w:r>
      <w:r w:rsidR="001620D9">
        <w:rPr>
          <w:sz w:val="22"/>
          <w:szCs w:val="22"/>
        </w:rPr>
        <w:t>)</w:t>
      </w:r>
      <w:r w:rsidRPr="00425C92">
        <w:rPr>
          <w:sz w:val="22"/>
          <w:szCs w:val="22"/>
        </w:rPr>
        <w:t>. Patterns of inequalities in digital agriculture: A systematic literature review. Sustainability 13 (22): 12345. https://doi.org/10.3390/su132212345</w:t>
      </w:r>
    </w:p>
    <w:p w:rsidR="00230F89" w:rsidRPr="00425C92" w:rsidRDefault="00230F89" w:rsidP="00E61B22">
      <w:pPr>
        <w:pStyle w:val="NormalWeb"/>
        <w:jc w:val="both"/>
        <w:rPr>
          <w:sz w:val="22"/>
          <w:szCs w:val="22"/>
        </w:rPr>
      </w:pPr>
      <w:r w:rsidRPr="00425C92">
        <w:rPr>
          <w:sz w:val="22"/>
          <w:szCs w:val="22"/>
        </w:rPr>
        <w:t xml:space="preserve">Ju, D., and Y. Lou </w:t>
      </w:r>
      <w:r w:rsidR="001620D9">
        <w:rPr>
          <w:sz w:val="22"/>
          <w:szCs w:val="22"/>
        </w:rPr>
        <w:t>(</w:t>
      </w:r>
      <w:r w:rsidRPr="00425C92">
        <w:rPr>
          <w:sz w:val="22"/>
          <w:szCs w:val="22"/>
        </w:rPr>
        <w:t>2024</w:t>
      </w:r>
      <w:r w:rsidR="001620D9">
        <w:rPr>
          <w:sz w:val="22"/>
          <w:szCs w:val="22"/>
        </w:rPr>
        <w:t>)</w:t>
      </w:r>
      <w:r w:rsidRPr="00425C92">
        <w:rPr>
          <w:sz w:val="22"/>
          <w:szCs w:val="22"/>
        </w:rPr>
        <w:t xml:space="preserve">. The impact of e-commerce on the sales of agricultural and </w:t>
      </w:r>
      <w:proofErr w:type="spellStart"/>
      <w:r w:rsidRPr="00425C92">
        <w:rPr>
          <w:sz w:val="22"/>
          <w:szCs w:val="22"/>
        </w:rPr>
        <w:t>sideline</w:t>
      </w:r>
      <w:proofErr w:type="spellEnd"/>
      <w:r w:rsidRPr="00425C92">
        <w:rPr>
          <w:sz w:val="22"/>
          <w:szCs w:val="22"/>
        </w:rPr>
        <w:t xml:space="preserve"> products. Frontiers in Business, Economics and Management 5 (10): 54097.</w:t>
      </w:r>
    </w:p>
    <w:p w:rsidR="00BC2127" w:rsidRPr="00425C92" w:rsidRDefault="00230F89" w:rsidP="00E61B22">
      <w:pPr>
        <w:pStyle w:val="NormalWeb"/>
        <w:jc w:val="both"/>
        <w:rPr>
          <w:sz w:val="22"/>
          <w:szCs w:val="22"/>
        </w:rPr>
      </w:pPr>
      <w:r w:rsidRPr="00425C92">
        <w:rPr>
          <w:sz w:val="22"/>
          <w:szCs w:val="22"/>
        </w:rPr>
        <w:t xml:space="preserve">Landreth, G. L. </w:t>
      </w:r>
      <w:r w:rsidR="00DD7808">
        <w:rPr>
          <w:sz w:val="22"/>
          <w:szCs w:val="22"/>
        </w:rPr>
        <w:t>(</w:t>
      </w:r>
      <w:r w:rsidRPr="00425C92">
        <w:rPr>
          <w:sz w:val="22"/>
          <w:szCs w:val="22"/>
        </w:rPr>
        <w:t>2022</w:t>
      </w:r>
      <w:r w:rsidR="00DD7808">
        <w:rPr>
          <w:sz w:val="22"/>
          <w:szCs w:val="22"/>
        </w:rPr>
        <w:t>)</w:t>
      </w:r>
      <w:r w:rsidRPr="00425C92">
        <w:rPr>
          <w:sz w:val="22"/>
          <w:szCs w:val="22"/>
        </w:rPr>
        <w:t xml:space="preserve">. Enhancing Africa’s </w:t>
      </w:r>
      <w:proofErr w:type="spellStart"/>
      <w:r w:rsidRPr="00425C92">
        <w:rPr>
          <w:sz w:val="22"/>
          <w:szCs w:val="22"/>
        </w:rPr>
        <w:t>agri</w:t>
      </w:r>
      <w:proofErr w:type="spellEnd"/>
      <w:r w:rsidRPr="00425C92">
        <w:rPr>
          <w:sz w:val="22"/>
          <w:szCs w:val="22"/>
        </w:rPr>
        <w:t xml:space="preserve">-value chains through digital platforms. In Research anthology on digital transformation and the modernization of the agri-food sector, 1249–1271. IGI Global. </w:t>
      </w:r>
    </w:p>
    <w:p w:rsidR="00230F89" w:rsidRPr="00425C92" w:rsidRDefault="00230F89" w:rsidP="00E61B22">
      <w:pPr>
        <w:pStyle w:val="NormalWeb"/>
        <w:jc w:val="both"/>
        <w:rPr>
          <w:sz w:val="22"/>
          <w:szCs w:val="22"/>
        </w:rPr>
      </w:pPr>
      <w:proofErr w:type="spellStart"/>
      <w:r w:rsidRPr="00425C92">
        <w:rPr>
          <w:sz w:val="22"/>
          <w:szCs w:val="22"/>
        </w:rPr>
        <w:t>Mukhebi</w:t>
      </w:r>
      <w:proofErr w:type="spellEnd"/>
      <w:r w:rsidRPr="00425C92">
        <w:rPr>
          <w:sz w:val="22"/>
          <w:szCs w:val="22"/>
        </w:rPr>
        <w:t xml:space="preserve">, A. W., J. Kundu, A. </w:t>
      </w:r>
      <w:proofErr w:type="spellStart"/>
      <w:r w:rsidRPr="00425C92">
        <w:rPr>
          <w:sz w:val="22"/>
          <w:szCs w:val="22"/>
        </w:rPr>
        <w:t>Okolla</w:t>
      </w:r>
      <w:proofErr w:type="spellEnd"/>
      <w:r w:rsidRPr="00425C92">
        <w:rPr>
          <w:sz w:val="22"/>
          <w:szCs w:val="22"/>
        </w:rPr>
        <w:t xml:space="preserve">, M. </w:t>
      </w:r>
      <w:proofErr w:type="spellStart"/>
      <w:r w:rsidRPr="00425C92">
        <w:rPr>
          <w:sz w:val="22"/>
          <w:szCs w:val="22"/>
        </w:rPr>
        <w:t>Wambua</w:t>
      </w:r>
      <w:proofErr w:type="spellEnd"/>
      <w:r w:rsidRPr="00425C92">
        <w:rPr>
          <w:sz w:val="22"/>
          <w:szCs w:val="22"/>
        </w:rPr>
        <w:t xml:space="preserve">, W. Ochieng, and G. </w:t>
      </w:r>
      <w:proofErr w:type="spellStart"/>
      <w:r w:rsidRPr="00425C92">
        <w:rPr>
          <w:sz w:val="22"/>
          <w:szCs w:val="22"/>
        </w:rPr>
        <w:t>Fwamba</w:t>
      </w:r>
      <w:proofErr w:type="spellEnd"/>
      <w:r w:rsidRPr="00425C92">
        <w:rPr>
          <w:sz w:val="22"/>
          <w:szCs w:val="22"/>
        </w:rPr>
        <w:t xml:space="preserve">. </w:t>
      </w:r>
      <w:r w:rsidR="00DD7808">
        <w:rPr>
          <w:sz w:val="22"/>
          <w:szCs w:val="22"/>
        </w:rPr>
        <w:t>(</w:t>
      </w:r>
      <w:r w:rsidRPr="00425C92">
        <w:rPr>
          <w:sz w:val="22"/>
          <w:szCs w:val="22"/>
        </w:rPr>
        <w:t>2008</w:t>
      </w:r>
      <w:r w:rsidR="00DD7808">
        <w:rPr>
          <w:sz w:val="22"/>
          <w:szCs w:val="22"/>
        </w:rPr>
        <w:t>)</w:t>
      </w:r>
      <w:r w:rsidRPr="00425C92">
        <w:rPr>
          <w:sz w:val="22"/>
          <w:szCs w:val="22"/>
        </w:rPr>
        <w:t>. Linking farmers to markets through modern information and communication technologies in Kenya. African Association of Agricultural Economists 2 (2): 20–22.</w:t>
      </w:r>
    </w:p>
    <w:p w:rsidR="00230F89" w:rsidRPr="00425C92" w:rsidRDefault="00230F89" w:rsidP="00E61B22">
      <w:pPr>
        <w:pStyle w:val="NormalWeb"/>
        <w:jc w:val="both"/>
        <w:rPr>
          <w:sz w:val="22"/>
          <w:szCs w:val="22"/>
        </w:rPr>
      </w:pPr>
      <w:proofErr w:type="spellStart"/>
      <w:r w:rsidRPr="00425C92">
        <w:rPr>
          <w:sz w:val="22"/>
          <w:szCs w:val="22"/>
        </w:rPr>
        <w:t>Ningsih</w:t>
      </w:r>
      <w:proofErr w:type="spellEnd"/>
      <w:r w:rsidRPr="00425C92">
        <w:rPr>
          <w:sz w:val="22"/>
          <w:szCs w:val="22"/>
        </w:rPr>
        <w:t xml:space="preserve">, G., H. </w:t>
      </w:r>
      <w:proofErr w:type="spellStart"/>
      <w:r w:rsidRPr="00425C92">
        <w:rPr>
          <w:sz w:val="22"/>
          <w:szCs w:val="22"/>
        </w:rPr>
        <w:t>Rasyid</w:t>
      </w:r>
      <w:proofErr w:type="spellEnd"/>
      <w:r w:rsidRPr="00425C92">
        <w:rPr>
          <w:sz w:val="22"/>
          <w:szCs w:val="22"/>
        </w:rPr>
        <w:t xml:space="preserve">, N. </w:t>
      </w:r>
      <w:proofErr w:type="spellStart"/>
      <w:r w:rsidRPr="00425C92">
        <w:rPr>
          <w:sz w:val="22"/>
          <w:szCs w:val="22"/>
        </w:rPr>
        <w:t>Ningsih</w:t>
      </w:r>
      <w:proofErr w:type="spellEnd"/>
      <w:r w:rsidRPr="00425C92">
        <w:rPr>
          <w:sz w:val="22"/>
          <w:szCs w:val="22"/>
        </w:rPr>
        <w:t xml:space="preserve">, D. </w:t>
      </w:r>
      <w:proofErr w:type="spellStart"/>
      <w:r w:rsidRPr="00425C92">
        <w:rPr>
          <w:sz w:val="22"/>
          <w:szCs w:val="22"/>
        </w:rPr>
        <w:t>Pujotomo</w:t>
      </w:r>
      <w:proofErr w:type="spellEnd"/>
      <w:r w:rsidRPr="00425C92">
        <w:rPr>
          <w:sz w:val="22"/>
          <w:szCs w:val="22"/>
        </w:rPr>
        <w:t xml:space="preserve">, and G. </w:t>
      </w:r>
      <w:proofErr w:type="spellStart"/>
      <w:r w:rsidRPr="00425C92">
        <w:rPr>
          <w:sz w:val="22"/>
          <w:szCs w:val="22"/>
        </w:rPr>
        <w:t>Suseno</w:t>
      </w:r>
      <w:proofErr w:type="spellEnd"/>
      <w:r w:rsidRPr="00425C92">
        <w:rPr>
          <w:sz w:val="22"/>
          <w:szCs w:val="22"/>
        </w:rPr>
        <w:t xml:space="preserve"> </w:t>
      </w:r>
      <w:r w:rsidR="00DD7808">
        <w:rPr>
          <w:sz w:val="22"/>
          <w:szCs w:val="22"/>
        </w:rPr>
        <w:t>(</w:t>
      </w:r>
      <w:r w:rsidRPr="00425C92">
        <w:rPr>
          <w:sz w:val="22"/>
          <w:szCs w:val="22"/>
        </w:rPr>
        <w:t>2024</w:t>
      </w:r>
      <w:r w:rsidR="00DD7808">
        <w:rPr>
          <w:sz w:val="22"/>
          <w:szCs w:val="22"/>
        </w:rPr>
        <w:t>)</w:t>
      </w:r>
      <w:r w:rsidRPr="00425C92">
        <w:rPr>
          <w:sz w:val="22"/>
          <w:szCs w:val="22"/>
        </w:rPr>
        <w:t>. Agricultural marketing strategies in the digital era: Improving the competitiveness of local products. Journal of Social Science (</w:t>
      </w:r>
      <w:proofErr w:type="spellStart"/>
      <w:r w:rsidRPr="00425C92">
        <w:rPr>
          <w:sz w:val="22"/>
          <w:szCs w:val="22"/>
        </w:rPr>
        <w:t>JoSS</w:t>
      </w:r>
      <w:proofErr w:type="spellEnd"/>
      <w:r w:rsidRPr="00425C92">
        <w:rPr>
          <w:sz w:val="22"/>
          <w:szCs w:val="22"/>
        </w:rPr>
        <w:t>) 3: 1756–1764.</w:t>
      </w:r>
      <w:r w:rsidR="00BC2127" w:rsidRPr="00425C92">
        <w:rPr>
          <w:sz w:val="22"/>
          <w:szCs w:val="22"/>
        </w:rPr>
        <w:t xml:space="preserve"> </w:t>
      </w:r>
      <w:r w:rsidRPr="00425C92">
        <w:rPr>
          <w:sz w:val="22"/>
          <w:szCs w:val="22"/>
        </w:rPr>
        <w:t>https://doi.org/10.57185/joss.v3i9.366</w:t>
      </w:r>
    </w:p>
    <w:p w:rsidR="00230F89" w:rsidRPr="00425C92" w:rsidRDefault="00230F89" w:rsidP="00E61B22">
      <w:pPr>
        <w:pStyle w:val="NormalWeb"/>
        <w:jc w:val="both"/>
        <w:rPr>
          <w:sz w:val="22"/>
          <w:szCs w:val="22"/>
        </w:rPr>
      </w:pPr>
      <w:r w:rsidRPr="00425C92">
        <w:rPr>
          <w:sz w:val="22"/>
          <w:szCs w:val="22"/>
        </w:rPr>
        <w:t>ODK Inc. n.d. ODK. https://getodk.org</w:t>
      </w:r>
    </w:p>
    <w:p w:rsidR="00230F89" w:rsidRPr="00425C92" w:rsidRDefault="00230F89" w:rsidP="00E61B22">
      <w:pPr>
        <w:pStyle w:val="NormalWeb"/>
        <w:jc w:val="both"/>
        <w:rPr>
          <w:sz w:val="22"/>
          <w:szCs w:val="22"/>
        </w:rPr>
      </w:pPr>
      <w:proofErr w:type="spellStart"/>
      <w:r w:rsidRPr="00425C92">
        <w:rPr>
          <w:sz w:val="22"/>
          <w:szCs w:val="22"/>
        </w:rPr>
        <w:t>Pavesi</w:t>
      </w:r>
      <w:proofErr w:type="spellEnd"/>
      <w:r w:rsidRPr="00425C92">
        <w:rPr>
          <w:sz w:val="22"/>
          <w:szCs w:val="22"/>
        </w:rPr>
        <w:t xml:space="preserve">, R., L. </w:t>
      </w:r>
      <w:proofErr w:type="spellStart"/>
      <w:r w:rsidRPr="00425C92">
        <w:rPr>
          <w:sz w:val="22"/>
          <w:szCs w:val="22"/>
        </w:rPr>
        <w:t>Orsi</w:t>
      </w:r>
      <w:proofErr w:type="spellEnd"/>
      <w:r w:rsidRPr="00425C92">
        <w:rPr>
          <w:sz w:val="22"/>
          <w:szCs w:val="22"/>
        </w:rPr>
        <w:t xml:space="preserve">, and L. </w:t>
      </w:r>
      <w:proofErr w:type="spellStart"/>
      <w:r w:rsidRPr="00425C92">
        <w:rPr>
          <w:sz w:val="22"/>
          <w:szCs w:val="22"/>
        </w:rPr>
        <w:t>Zanderighi</w:t>
      </w:r>
      <w:proofErr w:type="spellEnd"/>
      <w:r w:rsidRPr="00425C92">
        <w:rPr>
          <w:sz w:val="22"/>
          <w:szCs w:val="22"/>
        </w:rPr>
        <w:t xml:space="preserve">. </w:t>
      </w:r>
      <w:r w:rsidR="00DD7808">
        <w:rPr>
          <w:sz w:val="22"/>
          <w:szCs w:val="22"/>
        </w:rPr>
        <w:t>(</w:t>
      </w:r>
      <w:r w:rsidRPr="00425C92">
        <w:rPr>
          <w:sz w:val="22"/>
          <w:szCs w:val="22"/>
        </w:rPr>
        <w:t>2024</w:t>
      </w:r>
      <w:r w:rsidR="00DD7808">
        <w:rPr>
          <w:sz w:val="22"/>
          <w:szCs w:val="22"/>
        </w:rPr>
        <w:t>)</w:t>
      </w:r>
      <w:r w:rsidRPr="00425C92">
        <w:rPr>
          <w:sz w:val="22"/>
          <w:szCs w:val="22"/>
        </w:rPr>
        <w:t>. Seeds of change: A bibliometric study on sustainable technologies and business strategies in agriculture. Journal of Infrastructure, Policy and Development 8 (12): 9051. https://doi.org/10.24294/jipd.v8i12.9051</w:t>
      </w:r>
    </w:p>
    <w:p w:rsidR="00230F89" w:rsidRPr="00425C92" w:rsidRDefault="00230F89" w:rsidP="00E61B22">
      <w:pPr>
        <w:pStyle w:val="NormalWeb"/>
        <w:jc w:val="both"/>
        <w:rPr>
          <w:sz w:val="22"/>
          <w:szCs w:val="22"/>
        </w:rPr>
      </w:pPr>
      <w:proofErr w:type="spellStart"/>
      <w:r w:rsidRPr="00425C92">
        <w:rPr>
          <w:sz w:val="22"/>
          <w:szCs w:val="22"/>
        </w:rPr>
        <w:lastRenderedPageBreak/>
        <w:t>Saha</w:t>
      </w:r>
      <w:proofErr w:type="spellEnd"/>
      <w:r w:rsidRPr="00425C92">
        <w:rPr>
          <w:sz w:val="22"/>
          <w:szCs w:val="22"/>
        </w:rPr>
        <w:t xml:space="preserve">, P., A. K. </w:t>
      </w:r>
      <w:proofErr w:type="spellStart"/>
      <w:r w:rsidRPr="00425C92">
        <w:rPr>
          <w:sz w:val="22"/>
          <w:szCs w:val="22"/>
        </w:rPr>
        <w:t>Prusty</w:t>
      </w:r>
      <w:proofErr w:type="spellEnd"/>
      <w:r w:rsidRPr="00425C92">
        <w:rPr>
          <w:sz w:val="22"/>
          <w:szCs w:val="22"/>
        </w:rPr>
        <w:t xml:space="preserve">, and C. Nanda. </w:t>
      </w:r>
      <w:r w:rsidR="00DD7808">
        <w:rPr>
          <w:sz w:val="22"/>
          <w:szCs w:val="22"/>
        </w:rPr>
        <w:t>(</w:t>
      </w:r>
      <w:r w:rsidRPr="00425C92">
        <w:rPr>
          <w:sz w:val="22"/>
          <w:szCs w:val="22"/>
        </w:rPr>
        <w:t>2024</w:t>
      </w:r>
      <w:r w:rsidR="00DD7808">
        <w:rPr>
          <w:sz w:val="22"/>
          <w:szCs w:val="22"/>
        </w:rPr>
        <w:t>)</w:t>
      </w:r>
      <w:r w:rsidRPr="00425C92">
        <w:rPr>
          <w:sz w:val="22"/>
          <w:szCs w:val="22"/>
        </w:rPr>
        <w:t>. Extension strategies for bridging the gender digital divide. Journal of Applied Biology &amp; Biotechnology 12 (4): 76–80. https://doi.org/10.7324/JABB.2024.159452</w:t>
      </w:r>
    </w:p>
    <w:p w:rsidR="00230F89" w:rsidRPr="00425C92" w:rsidRDefault="00230F89" w:rsidP="00E61B22">
      <w:pPr>
        <w:pStyle w:val="NormalWeb"/>
        <w:jc w:val="both"/>
        <w:rPr>
          <w:sz w:val="22"/>
          <w:szCs w:val="22"/>
        </w:rPr>
      </w:pPr>
      <w:r w:rsidRPr="00425C92">
        <w:rPr>
          <w:sz w:val="22"/>
          <w:szCs w:val="22"/>
        </w:rPr>
        <w:t xml:space="preserve">Sam, A., and S. Grobbelaar </w:t>
      </w:r>
      <w:r w:rsidR="00DD7808">
        <w:rPr>
          <w:sz w:val="22"/>
          <w:szCs w:val="22"/>
        </w:rPr>
        <w:t>(</w:t>
      </w:r>
      <w:r w:rsidRPr="00425C92">
        <w:rPr>
          <w:sz w:val="22"/>
          <w:szCs w:val="22"/>
        </w:rPr>
        <w:t>2021</w:t>
      </w:r>
      <w:r w:rsidR="00DD7808">
        <w:rPr>
          <w:sz w:val="22"/>
          <w:szCs w:val="22"/>
        </w:rPr>
        <w:t>)</w:t>
      </w:r>
      <w:r w:rsidRPr="00425C92">
        <w:rPr>
          <w:sz w:val="22"/>
          <w:szCs w:val="22"/>
        </w:rPr>
        <w:t>. Research trends, theories, and concepts on the utilization of digital platforms in agriculture: A scoping review. In Digital agriculture, 435–450. Springer. https://doi.org/10.1007/978-3-030-85447-8_30</w:t>
      </w:r>
    </w:p>
    <w:p w:rsidR="00230F89" w:rsidRPr="00425C92" w:rsidRDefault="00230F89" w:rsidP="00E61B22">
      <w:pPr>
        <w:pStyle w:val="NormalWeb"/>
        <w:jc w:val="both"/>
        <w:rPr>
          <w:sz w:val="22"/>
          <w:szCs w:val="22"/>
        </w:rPr>
      </w:pPr>
      <w:proofErr w:type="spellStart"/>
      <w:r w:rsidRPr="00425C92">
        <w:rPr>
          <w:sz w:val="22"/>
          <w:szCs w:val="22"/>
        </w:rPr>
        <w:t>Semwal</w:t>
      </w:r>
      <w:proofErr w:type="spellEnd"/>
      <w:r w:rsidRPr="00425C92">
        <w:rPr>
          <w:sz w:val="22"/>
          <w:szCs w:val="22"/>
        </w:rPr>
        <w:t xml:space="preserve">, M., V. Vatsa, and V. S. Rana. </w:t>
      </w:r>
      <w:r w:rsidR="00DD7808">
        <w:rPr>
          <w:sz w:val="22"/>
          <w:szCs w:val="22"/>
        </w:rPr>
        <w:t>(</w:t>
      </w:r>
      <w:r w:rsidRPr="00425C92">
        <w:rPr>
          <w:sz w:val="22"/>
          <w:szCs w:val="22"/>
        </w:rPr>
        <w:t>2025</w:t>
      </w:r>
      <w:r w:rsidR="00DD7808">
        <w:rPr>
          <w:sz w:val="22"/>
          <w:szCs w:val="22"/>
        </w:rPr>
        <w:t>)</w:t>
      </w:r>
      <w:r w:rsidRPr="00425C92">
        <w:rPr>
          <w:sz w:val="22"/>
          <w:szCs w:val="22"/>
        </w:rPr>
        <w:t xml:space="preserve">. Role of PMIS for monitoring and evaluation of externally aided development projects in developing countries. International Journal of Creative Research Thoughts 13 (8): 321–327. </w:t>
      </w:r>
      <w:r w:rsidR="00BC2127" w:rsidRPr="00425C92">
        <w:rPr>
          <w:sz w:val="22"/>
          <w:szCs w:val="22"/>
        </w:rPr>
        <w:t>https://www.ijcrt.org/papers/IJCRT2508730.pdf</w:t>
      </w:r>
    </w:p>
    <w:p w:rsidR="00230F89" w:rsidRPr="00425C92" w:rsidRDefault="00230F89" w:rsidP="00E61B22">
      <w:pPr>
        <w:pStyle w:val="NormalWeb"/>
        <w:jc w:val="both"/>
        <w:rPr>
          <w:sz w:val="22"/>
          <w:szCs w:val="22"/>
        </w:rPr>
      </w:pPr>
      <w:proofErr w:type="spellStart"/>
      <w:r w:rsidRPr="00425C92">
        <w:rPr>
          <w:sz w:val="22"/>
          <w:szCs w:val="22"/>
        </w:rPr>
        <w:t>Sermuksnyte-Alesiuniene</w:t>
      </w:r>
      <w:proofErr w:type="spellEnd"/>
      <w:r w:rsidRPr="00425C92">
        <w:rPr>
          <w:sz w:val="22"/>
          <w:szCs w:val="22"/>
        </w:rPr>
        <w:t xml:space="preserve">, K., and R. </w:t>
      </w:r>
      <w:proofErr w:type="spellStart"/>
      <w:r w:rsidRPr="00425C92">
        <w:rPr>
          <w:sz w:val="22"/>
          <w:szCs w:val="22"/>
        </w:rPr>
        <w:t>Melnikiene</w:t>
      </w:r>
      <w:proofErr w:type="spellEnd"/>
      <w:r w:rsidRPr="00425C92">
        <w:rPr>
          <w:sz w:val="22"/>
          <w:szCs w:val="22"/>
        </w:rPr>
        <w:t xml:space="preserve">. </w:t>
      </w:r>
      <w:r w:rsidR="00DD7808">
        <w:rPr>
          <w:sz w:val="22"/>
          <w:szCs w:val="22"/>
        </w:rPr>
        <w:t>(</w:t>
      </w:r>
      <w:r w:rsidRPr="00425C92">
        <w:rPr>
          <w:sz w:val="22"/>
          <w:szCs w:val="22"/>
        </w:rPr>
        <w:t>2024</w:t>
      </w:r>
      <w:r w:rsidR="00DD7808">
        <w:rPr>
          <w:sz w:val="22"/>
          <w:szCs w:val="22"/>
        </w:rPr>
        <w:t>)</w:t>
      </w:r>
      <w:r w:rsidRPr="00425C92">
        <w:rPr>
          <w:sz w:val="22"/>
          <w:szCs w:val="22"/>
        </w:rPr>
        <w:t>. The effects of digitalization on the sustainability of small farms. Sustainability 16: 4076. https://doi.org/10.3390/su16104076</w:t>
      </w:r>
    </w:p>
    <w:p w:rsidR="00230F89" w:rsidRPr="00425C92" w:rsidRDefault="00230F89" w:rsidP="00E61B22">
      <w:pPr>
        <w:pStyle w:val="NormalWeb"/>
        <w:jc w:val="both"/>
        <w:rPr>
          <w:sz w:val="22"/>
          <w:szCs w:val="22"/>
        </w:rPr>
      </w:pPr>
      <w:proofErr w:type="spellStart"/>
      <w:r w:rsidRPr="00425C92">
        <w:rPr>
          <w:sz w:val="22"/>
          <w:szCs w:val="22"/>
        </w:rPr>
        <w:t>Shalendra</w:t>
      </w:r>
      <w:proofErr w:type="spellEnd"/>
      <w:r w:rsidRPr="00425C92">
        <w:rPr>
          <w:sz w:val="22"/>
          <w:szCs w:val="22"/>
        </w:rPr>
        <w:t xml:space="preserve">, P., P. Sharma, and K. C. </w:t>
      </w:r>
      <w:proofErr w:type="spellStart"/>
      <w:r w:rsidRPr="00425C92">
        <w:rPr>
          <w:sz w:val="22"/>
          <w:szCs w:val="22"/>
        </w:rPr>
        <w:t>Gummagolmath</w:t>
      </w:r>
      <w:proofErr w:type="spellEnd"/>
      <w:r w:rsidRPr="00425C92">
        <w:rPr>
          <w:sz w:val="22"/>
          <w:szCs w:val="22"/>
        </w:rPr>
        <w:t xml:space="preserve">. </w:t>
      </w:r>
      <w:r w:rsidR="00DD7808">
        <w:rPr>
          <w:sz w:val="22"/>
          <w:szCs w:val="22"/>
        </w:rPr>
        <w:t>(</w:t>
      </w:r>
      <w:r w:rsidRPr="00425C92">
        <w:rPr>
          <w:sz w:val="22"/>
          <w:szCs w:val="22"/>
        </w:rPr>
        <w:t>2019</w:t>
      </w:r>
      <w:r w:rsidR="00DD7808">
        <w:rPr>
          <w:sz w:val="22"/>
          <w:szCs w:val="22"/>
        </w:rPr>
        <w:t>)</w:t>
      </w:r>
      <w:r w:rsidRPr="00425C92">
        <w:rPr>
          <w:sz w:val="22"/>
          <w:szCs w:val="22"/>
        </w:rPr>
        <w:t>. Application of ICT for efficient and transparent price discovery: An analysis of e-tendering of agricultural commodities in Karnataka. Journal of Agricultural Extension Management 14 (2): 33–42.</w:t>
      </w:r>
    </w:p>
    <w:p w:rsidR="00230F89" w:rsidRPr="00425C92" w:rsidRDefault="00230F89" w:rsidP="00E61B22">
      <w:pPr>
        <w:pStyle w:val="NormalWeb"/>
        <w:jc w:val="both"/>
        <w:rPr>
          <w:sz w:val="22"/>
          <w:szCs w:val="22"/>
        </w:rPr>
        <w:sectPr w:rsidR="00230F89" w:rsidRPr="00425C92" w:rsidSect="00524BB0">
          <w:footerReference w:type="default" r:id="rId15"/>
          <w:type w:val="continuous"/>
          <w:pgSz w:w="12240" w:h="15840"/>
          <w:pgMar w:top="1440" w:right="2016" w:bottom="1843" w:left="2016" w:header="720" w:footer="1123" w:gutter="0"/>
          <w:cols w:space="720"/>
          <w:docGrid w:linePitch="272"/>
        </w:sectPr>
      </w:pPr>
      <w:r w:rsidRPr="00425C92">
        <w:rPr>
          <w:sz w:val="22"/>
          <w:szCs w:val="22"/>
        </w:rPr>
        <w:t>Watershed Management Directorate</w:t>
      </w:r>
      <w:r w:rsidR="00DD7808">
        <w:rPr>
          <w:sz w:val="22"/>
          <w:szCs w:val="22"/>
        </w:rPr>
        <w:t xml:space="preserve"> (</w:t>
      </w:r>
      <w:r w:rsidRPr="00425C92">
        <w:rPr>
          <w:sz w:val="22"/>
          <w:szCs w:val="22"/>
        </w:rPr>
        <w:t>2023</w:t>
      </w:r>
      <w:r w:rsidR="00DD7808">
        <w:rPr>
          <w:sz w:val="22"/>
          <w:szCs w:val="22"/>
        </w:rPr>
        <w:t>)</w:t>
      </w:r>
      <w:r w:rsidRPr="00425C92">
        <w:rPr>
          <w:sz w:val="22"/>
          <w:szCs w:val="22"/>
        </w:rPr>
        <w:t>. Final impact assessment: Uttarakhand Decentralised Watershed Development Project (GRAMYA-II). Dehradun, India: Watershed Management Directorate. https://wmd.uk.gov.in/</w:t>
      </w:r>
    </w:p>
    <w:p w:rsidR="00B01FCD" w:rsidRPr="00425C92" w:rsidRDefault="00B01FCD" w:rsidP="00E61B22">
      <w:pPr>
        <w:pStyle w:val="Appendix"/>
        <w:spacing w:before="100" w:beforeAutospacing="1" w:after="100" w:afterAutospacing="1"/>
        <w:jc w:val="both"/>
        <w:rPr>
          <w:rFonts w:ascii="Times New Roman" w:hAnsi="Times New Roman"/>
          <w:b w:val="0"/>
          <w:szCs w:val="22"/>
        </w:rPr>
      </w:pPr>
    </w:p>
    <w:sectPr w:rsidR="00B01FCD" w:rsidRPr="00425C92" w:rsidSect="00490BF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1CF" w:rsidRDefault="001F11CF" w:rsidP="00C37E61">
      <w:r>
        <w:separator/>
      </w:r>
    </w:p>
  </w:endnote>
  <w:endnote w:type="continuationSeparator" w:id="0">
    <w:p w:rsidR="001F11CF" w:rsidRDefault="001F11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1CF" w:rsidRDefault="001F11CF" w:rsidP="00C37E61">
      <w:r>
        <w:separator/>
      </w:r>
    </w:p>
  </w:footnote>
  <w:footnote w:type="continuationSeparator" w:id="0">
    <w:p w:rsidR="001F11CF" w:rsidRDefault="001F11CF" w:rsidP="00C37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7C3382A"/>
    <w:multiLevelType w:val="multilevel"/>
    <w:tmpl w:val="BE70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20780C"/>
    <w:multiLevelType w:val="hybridMultilevel"/>
    <w:tmpl w:val="5B8430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BF816CE"/>
    <w:multiLevelType w:val="hybridMultilevel"/>
    <w:tmpl w:val="2BAE0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4CD24E4"/>
    <w:multiLevelType w:val="multilevel"/>
    <w:tmpl w:val="F56A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9B5A63"/>
    <w:multiLevelType w:val="hybridMultilevel"/>
    <w:tmpl w:val="EC1CA9E8"/>
    <w:lvl w:ilvl="0" w:tplc="4330FD88">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7"/>
  </w:num>
  <w:num w:numId="19">
    <w:abstractNumId w:val="33"/>
  </w:num>
  <w:num w:numId="20">
    <w:abstractNumId w:val="13"/>
  </w:num>
  <w:num w:numId="21">
    <w:abstractNumId w:val="11"/>
  </w:num>
  <w:num w:numId="22">
    <w:abstractNumId w:val="16"/>
  </w:num>
  <w:num w:numId="23">
    <w:abstractNumId w:val="22"/>
  </w:num>
  <w:num w:numId="24">
    <w:abstractNumId w:val="30"/>
  </w:num>
  <w:num w:numId="25">
    <w:abstractNumId w:val="4"/>
  </w:num>
  <w:num w:numId="26">
    <w:abstractNumId w:val="19"/>
  </w:num>
  <w:num w:numId="27">
    <w:abstractNumId w:val="23"/>
  </w:num>
  <w:num w:numId="28">
    <w:abstractNumId w:val="31"/>
  </w:num>
  <w:num w:numId="29">
    <w:abstractNumId w:val="28"/>
  </w:num>
  <w:num w:numId="30">
    <w:abstractNumId w:val="12"/>
  </w:num>
  <w:num w:numId="31">
    <w:abstractNumId w:val="7"/>
  </w:num>
  <w:num w:numId="32">
    <w:abstractNumId w:val="27"/>
  </w:num>
  <w:num w:numId="33">
    <w:abstractNumId w:val="10"/>
  </w:num>
  <w:num w:numId="34">
    <w:abstractNumId w:val="14"/>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225BF"/>
    <w:rsid w:val="00023C86"/>
    <w:rsid w:val="00030174"/>
    <w:rsid w:val="0004579C"/>
    <w:rsid w:val="000A47FA"/>
    <w:rsid w:val="000A65D3"/>
    <w:rsid w:val="000B1E33"/>
    <w:rsid w:val="000B21B7"/>
    <w:rsid w:val="000D689F"/>
    <w:rsid w:val="000E7B7B"/>
    <w:rsid w:val="000E7D62"/>
    <w:rsid w:val="00103357"/>
    <w:rsid w:val="00123C9F"/>
    <w:rsid w:val="00126190"/>
    <w:rsid w:val="00130F17"/>
    <w:rsid w:val="001320BF"/>
    <w:rsid w:val="001424FF"/>
    <w:rsid w:val="001620D9"/>
    <w:rsid w:val="00163BC4"/>
    <w:rsid w:val="00177D52"/>
    <w:rsid w:val="00187416"/>
    <w:rsid w:val="00191062"/>
    <w:rsid w:val="00192B72"/>
    <w:rsid w:val="001A29D8"/>
    <w:rsid w:val="001A5CAA"/>
    <w:rsid w:val="001B0427"/>
    <w:rsid w:val="001D3A51"/>
    <w:rsid w:val="001E00D6"/>
    <w:rsid w:val="001E10D2"/>
    <w:rsid w:val="001E25B4"/>
    <w:rsid w:val="001E44FE"/>
    <w:rsid w:val="001F11CF"/>
    <w:rsid w:val="00200595"/>
    <w:rsid w:val="0020296C"/>
    <w:rsid w:val="00204835"/>
    <w:rsid w:val="00230F89"/>
    <w:rsid w:val="00231920"/>
    <w:rsid w:val="0023195C"/>
    <w:rsid w:val="0024282C"/>
    <w:rsid w:val="002460DC"/>
    <w:rsid w:val="00250985"/>
    <w:rsid w:val="002556F6"/>
    <w:rsid w:val="002656F1"/>
    <w:rsid w:val="002709FA"/>
    <w:rsid w:val="00283105"/>
    <w:rsid w:val="00284C4C"/>
    <w:rsid w:val="00287E68"/>
    <w:rsid w:val="00296529"/>
    <w:rsid w:val="002B27FB"/>
    <w:rsid w:val="002B685A"/>
    <w:rsid w:val="002C4FD6"/>
    <w:rsid w:val="002C57D2"/>
    <w:rsid w:val="002E0D56"/>
    <w:rsid w:val="00300EAF"/>
    <w:rsid w:val="00315186"/>
    <w:rsid w:val="0033343E"/>
    <w:rsid w:val="003512C2"/>
    <w:rsid w:val="00371FB6"/>
    <w:rsid w:val="003763C1"/>
    <w:rsid w:val="00376BBE"/>
    <w:rsid w:val="0039224F"/>
    <w:rsid w:val="003A43A4"/>
    <w:rsid w:val="003A7E18"/>
    <w:rsid w:val="003B009B"/>
    <w:rsid w:val="003B1E89"/>
    <w:rsid w:val="003C4C86"/>
    <w:rsid w:val="003C6258"/>
    <w:rsid w:val="003E2904"/>
    <w:rsid w:val="003F5D46"/>
    <w:rsid w:val="00401927"/>
    <w:rsid w:val="0041027F"/>
    <w:rsid w:val="00412475"/>
    <w:rsid w:val="00423789"/>
    <w:rsid w:val="00425C92"/>
    <w:rsid w:val="00440F43"/>
    <w:rsid w:val="00441B6F"/>
    <w:rsid w:val="00446221"/>
    <w:rsid w:val="00450E62"/>
    <w:rsid w:val="004539DB"/>
    <w:rsid w:val="00471A80"/>
    <w:rsid w:val="00490BFC"/>
    <w:rsid w:val="004B7CD1"/>
    <w:rsid w:val="004D305E"/>
    <w:rsid w:val="004D4277"/>
    <w:rsid w:val="00502516"/>
    <w:rsid w:val="00505F06"/>
    <w:rsid w:val="00506828"/>
    <w:rsid w:val="00524BB0"/>
    <w:rsid w:val="0053056E"/>
    <w:rsid w:val="00554FDA"/>
    <w:rsid w:val="00562653"/>
    <w:rsid w:val="005C0722"/>
    <w:rsid w:val="005C15A4"/>
    <w:rsid w:val="005C429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4639"/>
    <w:rsid w:val="006955F5"/>
    <w:rsid w:val="006967F7"/>
    <w:rsid w:val="006A250C"/>
    <w:rsid w:val="006A6582"/>
    <w:rsid w:val="006B21D3"/>
    <w:rsid w:val="006B57D0"/>
    <w:rsid w:val="006D30FF"/>
    <w:rsid w:val="006D6940"/>
    <w:rsid w:val="006F11EC"/>
    <w:rsid w:val="0070082C"/>
    <w:rsid w:val="0071393C"/>
    <w:rsid w:val="007369E6"/>
    <w:rsid w:val="00746E59"/>
    <w:rsid w:val="00754C9A"/>
    <w:rsid w:val="0075599A"/>
    <w:rsid w:val="00761D52"/>
    <w:rsid w:val="0077749E"/>
    <w:rsid w:val="00790ADA"/>
    <w:rsid w:val="007A4988"/>
    <w:rsid w:val="007D2288"/>
    <w:rsid w:val="007E088F"/>
    <w:rsid w:val="007F7B32"/>
    <w:rsid w:val="0080162A"/>
    <w:rsid w:val="00804BC2"/>
    <w:rsid w:val="0081431A"/>
    <w:rsid w:val="0083216F"/>
    <w:rsid w:val="00837826"/>
    <w:rsid w:val="0084055F"/>
    <w:rsid w:val="008540B1"/>
    <w:rsid w:val="00856F62"/>
    <w:rsid w:val="00860000"/>
    <w:rsid w:val="00863BD3"/>
    <w:rsid w:val="008641ED"/>
    <w:rsid w:val="00866D66"/>
    <w:rsid w:val="008671C6"/>
    <w:rsid w:val="00875803"/>
    <w:rsid w:val="008B459E"/>
    <w:rsid w:val="008E13AE"/>
    <w:rsid w:val="008E1506"/>
    <w:rsid w:val="008E710C"/>
    <w:rsid w:val="008F69D6"/>
    <w:rsid w:val="00902823"/>
    <w:rsid w:val="00915CA6"/>
    <w:rsid w:val="0092688E"/>
    <w:rsid w:val="00927834"/>
    <w:rsid w:val="009477DA"/>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06671"/>
    <w:rsid w:val="00A1134E"/>
    <w:rsid w:val="00A24E7E"/>
    <w:rsid w:val="00A258C3"/>
    <w:rsid w:val="00A323A3"/>
    <w:rsid w:val="00A347C0"/>
    <w:rsid w:val="00A51431"/>
    <w:rsid w:val="00A539AD"/>
    <w:rsid w:val="00A547BE"/>
    <w:rsid w:val="00A94063"/>
    <w:rsid w:val="00AA6219"/>
    <w:rsid w:val="00AA74E0"/>
    <w:rsid w:val="00AB3582"/>
    <w:rsid w:val="00AB703F"/>
    <w:rsid w:val="00AC6BB8"/>
    <w:rsid w:val="00AE008F"/>
    <w:rsid w:val="00B01FCD"/>
    <w:rsid w:val="00B1776C"/>
    <w:rsid w:val="00B52583"/>
    <w:rsid w:val="00B52896"/>
    <w:rsid w:val="00B95236"/>
    <w:rsid w:val="00B96BD9"/>
    <w:rsid w:val="00BA1B01"/>
    <w:rsid w:val="00BA2641"/>
    <w:rsid w:val="00BA745C"/>
    <w:rsid w:val="00BB1401"/>
    <w:rsid w:val="00BB37AA"/>
    <w:rsid w:val="00BC2127"/>
    <w:rsid w:val="00BC53A0"/>
    <w:rsid w:val="00BC5E97"/>
    <w:rsid w:val="00BE62AD"/>
    <w:rsid w:val="00BF121F"/>
    <w:rsid w:val="00BF1F80"/>
    <w:rsid w:val="00C166EF"/>
    <w:rsid w:val="00C17EB0"/>
    <w:rsid w:val="00C27F5F"/>
    <w:rsid w:val="00C30A0F"/>
    <w:rsid w:val="00C37E61"/>
    <w:rsid w:val="00C70F1B"/>
    <w:rsid w:val="00C71A47"/>
    <w:rsid w:val="00C7464C"/>
    <w:rsid w:val="00C85588"/>
    <w:rsid w:val="00CC184C"/>
    <w:rsid w:val="00CD6755"/>
    <w:rsid w:val="00CD6856"/>
    <w:rsid w:val="00CE0089"/>
    <w:rsid w:val="00CE793C"/>
    <w:rsid w:val="00CF193C"/>
    <w:rsid w:val="00CF5DA7"/>
    <w:rsid w:val="00D173F1"/>
    <w:rsid w:val="00D229DA"/>
    <w:rsid w:val="00D4417F"/>
    <w:rsid w:val="00D54D21"/>
    <w:rsid w:val="00D74CB0"/>
    <w:rsid w:val="00D8295D"/>
    <w:rsid w:val="00DB2C0A"/>
    <w:rsid w:val="00DC2A65"/>
    <w:rsid w:val="00DD7808"/>
    <w:rsid w:val="00DE15F0"/>
    <w:rsid w:val="00DE5663"/>
    <w:rsid w:val="00DE78AA"/>
    <w:rsid w:val="00E051FD"/>
    <w:rsid w:val="00E053D0"/>
    <w:rsid w:val="00E15994"/>
    <w:rsid w:val="00E3114E"/>
    <w:rsid w:val="00E31A70"/>
    <w:rsid w:val="00E35B02"/>
    <w:rsid w:val="00E61B22"/>
    <w:rsid w:val="00E66496"/>
    <w:rsid w:val="00E66B35"/>
    <w:rsid w:val="00E66E10"/>
    <w:rsid w:val="00E761C2"/>
    <w:rsid w:val="00E769F6"/>
    <w:rsid w:val="00E8407C"/>
    <w:rsid w:val="00E84F3C"/>
    <w:rsid w:val="00EA012C"/>
    <w:rsid w:val="00EC6A55"/>
    <w:rsid w:val="00ED0288"/>
    <w:rsid w:val="00ED60BB"/>
    <w:rsid w:val="00EE52CB"/>
    <w:rsid w:val="00EE5DC0"/>
    <w:rsid w:val="00EF581D"/>
    <w:rsid w:val="00EF7FD8"/>
    <w:rsid w:val="00F06F59"/>
    <w:rsid w:val="00F17988"/>
    <w:rsid w:val="00F24FB2"/>
    <w:rsid w:val="00F44FBC"/>
    <w:rsid w:val="00F469F0"/>
    <w:rsid w:val="00F53273"/>
    <w:rsid w:val="00F73366"/>
    <w:rsid w:val="00F755E4"/>
    <w:rsid w:val="00F77D02"/>
    <w:rsid w:val="00F92A6C"/>
    <w:rsid w:val="00FB3A86"/>
    <w:rsid w:val="00FD36C8"/>
    <w:rsid w:val="00FD6B0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477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24FB2"/>
    <w:pPr>
      <w:keepNext/>
      <w:keepLines/>
      <w:spacing w:before="40" w:line="259" w:lineRule="auto"/>
      <w:outlineLvl w:val="2"/>
    </w:pPr>
    <w:rPr>
      <w:rFonts w:asciiTheme="majorHAnsi" w:eastAsiaTheme="majorEastAsia" w:hAnsiTheme="majorHAnsi" w:cstheme="majorBidi"/>
      <w:color w:val="243F60" w:themeColor="accent1" w:themeShade="7F"/>
      <w:sz w:val="24"/>
      <w:szCs w:val="21"/>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323A3"/>
    <w:pPr>
      <w:spacing w:before="100" w:beforeAutospacing="1" w:after="100" w:afterAutospacing="1"/>
    </w:pPr>
    <w:rPr>
      <w:rFonts w:ascii="Times New Roman" w:hAnsi="Times New Roman"/>
      <w:sz w:val="24"/>
      <w:szCs w:val="24"/>
      <w:lang w:val="en-IN" w:eastAsia="en-IN" w:bidi="hi-IN"/>
    </w:rPr>
  </w:style>
  <w:style w:type="character" w:styleId="Strong">
    <w:name w:val="Strong"/>
    <w:basedOn w:val="DefaultParagraphFont"/>
    <w:uiPriority w:val="22"/>
    <w:qFormat/>
    <w:rsid w:val="0020296C"/>
    <w:rPr>
      <w:b/>
      <w:bCs/>
    </w:rPr>
  </w:style>
  <w:style w:type="character" w:customStyle="1" w:styleId="Heading3Char">
    <w:name w:val="Heading 3 Char"/>
    <w:basedOn w:val="DefaultParagraphFont"/>
    <w:link w:val="Heading3"/>
    <w:uiPriority w:val="9"/>
    <w:rsid w:val="00F24FB2"/>
    <w:rPr>
      <w:rFonts w:asciiTheme="majorHAnsi" w:eastAsiaTheme="majorEastAsia" w:hAnsiTheme="majorHAnsi" w:cstheme="majorBidi"/>
      <w:color w:val="243F60" w:themeColor="accent1" w:themeShade="7F"/>
      <w:sz w:val="24"/>
      <w:szCs w:val="21"/>
      <w:lang w:val="en-IN" w:bidi="hi-IN"/>
    </w:rPr>
  </w:style>
  <w:style w:type="character" w:customStyle="1" w:styleId="Heading2Char">
    <w:name w:val="Heading 2 Char"/>
    <w:basedOn w:val="DefaultParagraphFont"/>
    <w:link w:val="Heading2"/>
    <w:rsid w:val="009477DA"/>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477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24FB2"/>
    <w:pPr>
      <w:keepNext/>
      <w:keepLines/>
      <w:spacing w:before="40" w:line="259" w:lineRule="auto"/>
      <w:outlineLvl w:val="2"/>
    </w:pPr>
    <w:rPr>
      <w:rFonts w:asciiTheme="majorHAnsi" w:eastAsiaTheme="majorEastAsia" w:hAnsiTheme="majorHAnsi" w:cstheme="majorBidi"/>
      <w:color w:val="243F60" w:themeColor="accent1" w:themeShade="7F"/>
      <w:sz w:val="24"/>
      <w:szCs w:val="21"/>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323A3"/>
    <w:pPr>
      <w:spacing w:before="100" w:beforeAutospacing="1" w:after="100" w:afterAutospacing="1"/>
    </w:pPr>
    <w:rPr>
      <w:rFonts w:ascii="Times New Roman" w:hAnsi="Times New Roman"/>
      <w:sz w:val="24"/>
      <w:szCs w:val="24"/>
      <w:lang w:val="en-IN" w:eastAsia="en-IN" w:bidi="hi-IN"/>
    </w:rPr>
  </w:style>
  <w:style w:type="character" w:styleId="Strong">
    <w:name w:val="Strong"/>
    <w:basedOn w:val="DefaultParagraphFont"/>
    <w:uiPriority w:val="22"/>
    <w:qFormat/>
    <w:rsid w:val="0020296C"/>
    <w:rPr>
      <w:b/>
      <w:bCs/>
    </w:rPr>
  </w:style>
  <w:style w:type="character" w:customStyle="1" w:styleId="Heading3Char">
    <w:name w:val="Heading 3 Char"/>
    <w:basedOn w:val="DefaultParagraphFont"/>
    <w:link w:val="Heading3"/>
    <w:uiPriority w:val="9"/>
    <w:rsid w:val="00F24FB2"/>
    <w:rPr>
      <w:rFonts w:asciiTheme="majorHAnsi" w:eastAsiaTheme="majorEastAsia" w:hAnsiTheme="majorHAnsi" w:cstheme="majorBidi"/>
      <w:color w:val="243F60" w:themeColor="accent1" w:themeShade="7F"/>
      <w:sz w:val="24"/>
      <w:szCs w:val="21"/>
      <w:lang w:val="en-IN" w:bidi="hi-IN"/>
    </w:rPr>
  </w:style>
  <w:style w:type="character" w:customStyle="1" w:styleId="Heading2Char">
    <w:name w:val="Heading 2 Char"/>
    <w:basedOn w:val="DefaultParagraphFont"/>
    <w:link w:val="Heading2"/>
    <w:rsid w:val="009477D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19789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6864852">
      <w:bodyDiv w:val="1"/>
      <w:marLeft w:val="0"/>
      <w:marRight w:val="0"/>
      <w:marTop w:val="0"/>
      <w:marBottom w:val="0"/>
      <w:divBdr>
        <w:top w:val="none" w:sz="0" w:space="0" w:color="auto"/>
        <w:left w:val="none" w:sz="0" w:space="0" w:color="auto"/>
        <w:bottom w:val="none" w:sz="0" w:space="0" w:color="auto"/>
        <w:right w:val="none" w:sz="0" w:space="0" w:color="auto"/>
      </w:divBdr>
    </w:div>
    <w:div w:id="89944094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gramyashree.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i.org/10.1080/101967806009998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6E42B-5AD5-4DCB-9855-53D2201F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10</Pages>
  <Words>3306</Words>
  <Characters>18846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vt:lpstr>
    </vt:vector>
  </TitlesOfParts>
  <Company>vvv</Company>
  <LinksUpToDate>false</LinksUpToDate>
  <CharactersWithSpaces>22108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creator>VV</dc:creator>
  <cp:lastModifiedBy>qwert</cp:lastModifiedBy>
  <cp:revision>3</cp:revision>
  <cp:lastPrinted>1999-07-06T11:00:00Z</cp:lastPrinted>
  <dcterms:created xsi:type="dcterms:W3CDTF">2026-02-28T11:10:00Z</dcterms:created>
  <dcterms:modified xsi:type="dcterms:W3CDTF">2026-03-11T11:11:00Z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521f7442-3cf8-432a-a5b8-5fc885fe4935</vt:lpwstr>
  </property>
</Properties>
</file>