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31DD" w:rsidRDefault="000038F5">
      <w:pPr>
        <w:spacing w:before="100" w:beforeAutospacing="1" w:after="100" w:afterAutospacing="1" w:line="360" w:lineRule="auto"/>
        <w:jc w:val="center"/>
        <w:outlineLvl w:val="0"/>
        <w:rPr>
          <w:rFonts w:ascii="Times New Roman" w:hAnsi="Times New Roman"/>
          <w:sz w:val="24"/>
          <w:szCs w:val="24"/>
        </w:rPr>
      </w:pPr>
      <w:bookmarkStart w:id="0" w:name="_GoBack"/>
      <w:bookmarkEnd w:id="0"/>
      <w:r>
        <w:rPr>
          <w:rFonts w:ascii="Times New Roman" w:hAnsi="Times New Roman"/>
          <w:b/>
          <w:bCs/>
          <w:sz w:val="24"/>
          <w:szCs w:val="24"/>
        </w:rPr>
        <w:t>PERFORMANCE,</w:t>
      </w:r>
      <w:r>
        <w:rPr>
          <w:rFonts w:ascii="Times New Roman" w:hAnsi="Times New Roman"/>
          <w:b/>
          <w:bCs/>
          <w:sz w:val="24"/>
          <w:szCs w:val="24"/>
        </w:rPr>
        <w:t xml:space="preserve"> EVALUATION</w:t>
      </w:r>
      <w:r>
        <w:rPr>
          <w:rFonts w:ascii="Times New Roman" w:eastAsia="Times New Roman" w:hAnsi="Times New Roman" w:cs="Times New Roman"/>
          <w:b/>
          <w:bCs/>
          <w:kern w:val="36"/>
          <w:sz w:val="24"/>
          <w:szCs w:val="24"/>
        </w:rPr>
        <w:t xml:space="preserve"> AND OPTIMIZATION OF BIODIESEL FROM DESERT DATE OIL USING RESPONSE SURFACE METHODOLOGY</w:t>
      </w:r>
    </w:p>
    <w:p w:rsidR="007831DD" w:rsidRDefault="000038F5">
      <w:pPr>
        <w:spacing w:before="100" w:beforeAutospacing="1" w:after="100" w:afterAutospacing="1" w:line="360" w:lineRule="auto"/>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Abstract</w:t>
      </w:r>
    </w:p>
    <w:p w:rsidR="007831DD" w:rsidRDefault="000038F5">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Growing instability in </w:t>
      </w:r>
      <w:r>
        <w:rPr>
          <w:rFonts w:ascii="Times New Roman" w:hAnsi="Times New Roman" w:cs="Times New Roman"/>
          <w:sz w:val="24"/>
          <w:szCs w:val="24"/>
        </w:rPr>
        <w:t xml:space="preserve">conventional </w:t>
      </w:r>
      <w:proofErr w:type="gramStart"/>
      <w:r>
        <w:rPr>
          <w:rFonts w:ascii="Times New Roman" w:hAnsi="Times New Roman" w:cs="Times New Roman"/>
          <w:sz w:val="24"/>
          <w:szCs w:val="24"/>
        </w:rPr>
        <w:t>fuel,</w:t>
      </w:r>
      <w:proofErr w:type="gramEnd"/>
      <w:r>
        <w:rPr>
          <w:rFonts w:ascii="Times New Roman" w:hAnsi="Times New Roman" w:cs="Times New Roman"/>
          <w:sz w:val="24"/>
          <w:szCs w:val="24"/>
        </w:rPr>
        <w:t xml:space="preserve"> and mounting environmental concerns have stirred up interest in renewable diesel substitutes. This study investigates the production of biodiesel from desert date (</w:t>
      </w:r>
      <w:r>
        <w:rPr>
          <w:rFonts w:ascii="Times New Roman" w:hAnsi="Times New Roman" w:cs="Times New Roman"/>
          <w:i/>
          <w:sz w:val="24"/>
          <w:szCs w:val="24"/>
        </w:rPr>
        <w:t>Balanites aegyptiaca</w:t>
      </w:r>
      <w:r>
        <w:rPr>
          <w:rFonts w:ascii="Times New Roman" w:hAnsi="Times New Roman" w:cs="Times New Roman"/>
          <w:sz w:val="24"/>
          <w:szCs w:val="24"/>
        </w:rPr>
        <w:t>) seed oil through alkaline-catalyzed transesterifica</w:t>
      </w:r>
      <w:r>
        <w:rPr>
          <w:rFonts w:ascii="Times New Roman" w:hAnsi="Times New Roman" w:cs="Times New Roman"/>
          <w:sz w:val="24"/>
          <w:szCs w:val="24"/>
        </w:rPr>
        <w:t xml:space="preserve">tion and statistically optimizes the process using Response Surface Methodology (RSM) based on a </w:t>
      </w:r>
      <w:proofErr w:type="gramStart"/>
      <w:r>
        <w:rPr>
          <w:rFonts w:ascii="Times New Roman" w:hAnsi="Times New Roman" w:cs="Times New Roman"/>
          <w:sz w:val="24"/>
          <w:szCs w:val="24"/>
        </w:rPr>
        <w:t>Central Composite Design (CCD).</w:t>
      </w:r>
      <w:proofErr w:type="gramEnd"/>
      <w:r>
        <w:rPr>
          <w:rFonts w:ascii="Times New Roman" w:hAnsi="Times New Roman" w:cs="Times New Roman"/>
          <w:sz w:val="24"/>
          <w:szCs w:val="24"/>
        </w:rPr>
        <w:t xml:space="preserve"> The influence of catalyst concentration (0.1-0.7 </w:t>
      </w:r>
      <w:proofErr w:type="gramStart"/>
      <w:r>
        <w:rPr>
          <w:rFonts w:ascii="Times New Roman" w:hAnsi="Times New Roman" w:cs="Times New Roman"/>
          <w:sz w:val="24"/>
          <w:szCs w:val="24"/>
        </w:rPr>
        <w:t>wt%</w:t>
      </w:r>
      <w:proofErr w:type="gramEnd"/>
      <w:r>
        <w:rPr>
          <w:rFonts w:ascii="Times New Roman" w:hAnsi="Times New Roman" w:cs="Times New Roman"/>
          <w:sz w:val="24"/>
          <w:szCs w:val="24"/>
        </w:rPr>
        <w:t>), reaction time (35-65 min), and methanol-to-oil molar ratio (1:1-10:1) on</w:t>
      </w:r>
      <w:r>
        <w:rPr>
          <w:rFonts w:ascii="Times New Roman" w:hAnsi="Times New Roman" w:cs="Times New Roman"/>
          <w:sz w:val="24"/>
          <w:szCs w:val="24"/>
        </w:rPr>
        <w:t xml:space="preserve"> biodiesel yield were investigated. The extracted oil showed a saponification value of 196.98 mgKOH/g, iodine value of 7.42I</w:t>
      </w:r>
      <w:r>
        <w:rPr>
          <w:rFonts w:ascii="Times New Roman" w:hAnsi="Times New Roman" w:cs="Times New Roman"/>
          <w:sz w:val="24"/>
          <w:szCs w:val="24"/>
          <w:vertAlign w:val="subscript"/>
        </w:rPr>
        <w:t>2</w:t>
      </w:r>
      <w:r>
        <w:rPr>
          <w:rFonts w:ascii="Times New Roman" w:hAnsi="Times New Roman" w:cs="Times New Roman"/>
          <w:sz w:val="24"/>
          <w:szCs w:val="24"/>
        </w:rPr>
        <w:t>/100 g, and density of 0.904 g/cm</w:t>
      </w:r>
      <w:r>
        <w:rPr>
          <w:rFonts w:ascii="Times New Roman" w:hAnsi="Times New Roman" w:cs="Times New Roman"/>
          <w:sz w:val="24"/>
          <w:szCs w:val="24"/>
          <w:vertAlign w:val="superscript"/>
        </w:rPr>
        <w:t>3</w:t>
      </w:r>
      <w:r>
        <w:rPr>
          <w:rFonts w:ascii="Times New Roman" w:hAnsi="Times New Roman" w:cs="Times New Roman"/>
          <w:sz w:val="24"/>
          <w:szCs w:val="24"/>
        </w:rPr>
        <w:t>, indicating good suitability for biodiesel synthesis. Statistical analysis confirmed the signifi</w:t>
      </w:r>
      <w:r>
        <w:rPr>
          <w:rFonts w:ascii="Times New Roman" w:hAnsi="Times New Roman" w:cs="Times New Roman"/>
          <w:sz w:val="24"/>
          <w:szCs w:val="24"/>
        </w:rPr>
        <w:t>cance of the quadratic model (F=40.82, P</w:t>
      </w:r>
      <m:oMath>
        <m:r>
          <w:rPr>
            <w:rFonts w:ascii="Cambria Math" w:hAnsi="Cambria Math" w:cs="Times New Roman"/>
            <w:sz w:val="24"/>
            <w:szCs w:val="24"/>
          </w:rPr>
          <m:t>˂</m:t>
        </m:r>
        <m:r>
          <w:rPr>
            <w:rFonts w:ascii="Cambria Math" w:hAnsi="Cambria Math" w:cs="Times New Roman"/>
            <w:sz w:val="24"/>
            <w:szCs w:val="24"/>
          </w:rPr>
          <m:t>0.0001)</m:t>
        </m:r>
      </m:oMath>
      <w:r>
        <w:rPr>
          <w:rFonts w:ascii="Times New Roman" w:hAnsi="Times New Roman" w:cs="Times New Roman"/>
          <w:sz w:val="24"/>
          <w:szCs w:val="24"/>
        </w:rPr>
        <w:t>, with methanol ratio and catalyst concentration identified as dominant factors. Optimal conditions (0.4 wt% catalyst</w:t>
      </w:r>
      <w:proofErr w:type="gramStart"/>
      <w:r>
        <w:rPr>
          <w:rFonts w:ascii="Times New Roman" w:hAnsi="Times New Roman" w:cs="Times New Roman"/>
          <w:sz w:val="24"/>
          <w:szCs w:val="24"/>
        </w:rPr>
        <w:t>,65</w:t>
      </w:r>
      <w:proofErr w:type="gramEnd"/>
      <w:r>
        <w:rPr>
          <w:rFonts w:ascii="Times New Roman" w:hAnsi="Times New Roman" w:cs="Times New Roman"/>
          <w:sz w:val="24"/>
          <w:szCs w:val="24"/>
        </w:rPr>
        <w:t xml:space="preserve"> min reaction time, 6:1 methanol ratio) yielded 98.33% biodiesel, with strong agreement </w:t>
      </w:r>
      <w:r>
        <w:rPr>
          <w:rFonts w:ascii="Times New Roman" w:hAnsi="Times New Roman" w:cs="Times New Roman"/>
          <w:sz w:val="24"/>
          <w:szCs w:val="24"/>
        </w:rPr>
        <w:t>between predicted and experimental values. The findings demonstrate the technical viability of desert date oil as a sustainable non-edible biodiesel feedstock</w:t>
      </w:r>
    </w:p>
    <w:p w:rsidR="007831DD" w:rsidRDefault="000038F5">
      <w:pPr>
        <w:spacing w:before="24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Keywords: </w:t>
      </w:r>
      <w:r>
        <w:rPr>
          <w:rFonts w:ascii="Times New Roman" w:hAnsi="Times New Roman" w:cs="Times New Roman"/>
          <w:sz w:val="24"/>
          <w:szCs w:val="24"/>
        </w:rPr>
        <w:t>Biodisel</w:t>
      </w:r>
      <w:proofErr w:type="gramStart"/>
      <w:r>
        <w:rPr>
          <w:rFonts w:ascii="Times New Roman" w:hAnsi="Times New Roman" w:cs="Times New Roman"/>
          <w:sz w:val="24"/>
          <w:szCs w:val="24"/>
        </w:rPr>
        <w:t>,desert</w:t>
      </w:r>
      <w:proofErr w:type="gramEnd"/>
      <w:r>
        <w:rPr>
          <w:rFonts w:ascii="Times New Roman" w:hAnsi="Times New Roman" w:cs="Times New Roman"/>
          <w:sz w:val="24"/>
          <w:szCs w:val="24"/>
        </w:rPr>
        <w:t xml:space="preserve"> date oil,transesterification,optimization.</w:t>
      </w:r>
    </w:p>
    <w:p w:rsidR="007831DD" w:rsidRDefault="000038F5">
      <w:pPr>
        <w:numPr>
          <w:ilvl w:val="0"/>
          <w:numId w:val="2"/>
        </w:num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rsidR="007831DD" w:rsidRDefault="000038F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Nigeria and </w:t>
      </w:r>
      <w:r>
        <w:rPr>
          <w:rFonts w:ascii="Times New Roman" w:eastAsia="Times New Roman" w:hAnsi="Times New Roman" w:cs="Times New Roman"/>
          <w:sz w:val="24"/>
          <w:szCs w:val="24"/>
        </w:rPr>
        <w:t>numerous other African nations, the expense of conventional fuel constitutes a critical determinant influencing daily existence and the national economy. Whenever petrol or diesel prices escalate, the repercussions are promptly experienced by consumers, en</w:t>
      </w:r>
      <w:r>
        <w:rPr>
          <w:rFonts w:ascii="Times New Roman" w:eastAsia="Times New Roman" w:hAnsi="Times New Roman" w:cs="Times New Roman"/>
          <w:sz w:val="24"/>
          <w:szCs w:val="24"/>
        </w:rPr>
        <w:t>terprises, and the government. Currently, in Nigeria, the abolition of fuel subsidies has resulted in a substantial increase in transportation costs. This development has rendered the movement of people and goods more expensive. Agricultural commodities fr</w:t>
      </w:r>
      <w:r>
        <w:rPr>
          <w:rFonts w:ascii="Times New Roman" w:eastAsia="Times New Roman" w:hAnsi="Times New Roman" w:cs="Times New Roman"/>
          <w:sz w:val="24"/>
          <w:szCs w:val="24"/>
        </w:rPr>
        <w:t>equently traverse considerable distances, thereby increasing transportation expenditures for households and contributing to rising food prices.</w:t>
      </w:r>
    </w:p>
    <w:p w:rsidR="007831DD" w:rsidRDefault="000038F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businesses, rising fuel prices increase production costs, especially in sectors such as manufacturing, </w:t>
      </w:r>
      <w:r>
        <w:rPr>
          <w:rFonts w:ascii="Times New Roman" w:eastAsia="Times New Roman" w:hAnsi="Times New Roman" w:cs="Times New Roman"/>
          <w:sz w:val="24"/>
          <w:szCs w:val="24"/>
        </w:rPr>
        <w:t xml:space="preserve">agriculture, and transportation. These additional costs are often passed on to </w:t>
      </w:r>
      <w:r>
        <w:rPr>
          <w:rFonts w:ascii="Times New Roman" w:eastAsia="Times New Roman" w:hAnsi="Times New Roman" w:cs="Times New Roman"/>
          <w:sz w:val="24"/>
          <w:szCs w:val="24"/>
        </w:rPr>
        <w:lastRenderedPageBreak/>
        <w:t>consumers. The situation also creates serious social challenges, particularly in rural areas where public transportation is limited or unavailable. High fuel prices restrict acc</w:t>
      </w:r>
      <w:r>
        <w:rPr>
          <w:rFonts w:ascii="Times New Roman" w:eastAsia="Times New Roman" w:hAnsi="Times New Roman" w:cs="Times New Roman"/>
          <w:sz w:val="24"/>
          <w:szCs w:val="24"/>
        </w:rPr>
        <w:t>ess to healthcare services, markets, and educational institutions for isolated communities.</w:t>
      </w:r>
    </w:p>
    <w:p w:rsidR="007831DD" w:rsidRDefault="000038F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these challenges, conventional fuels remain essential to the economic development of many nations. Energy consumption is evident across various sectors, inc</w:t>
      </w:r>
      <w:r>
        <w:rPr>
          <w:rFonts w:ascii="Times New Roman" w:eastAsia="Times New Roman" w:hAnsi="Times New Roman" w:cs="Times New Roman"/>
          <w:sz w:val="24"/>
          <w:szCs w:val="24"/>
        </w:rPr>
        <w:t>luding domestic (homes and offices), transportation, and agriculture. Conventional energy sources form through natural processes such as the anaerobic decomposition of buried organic material. Millions of years ago, the remains of plants and animals were b</w:t>
      </w:r>
      <w:r>
        <w:rPr>
          <w:rFonts w:ascii="Times New Roman" w:eastAsia="Times New Roman" w:hAnsi="Times New Roman" w:cs="Times New Roman"/>
          <w:sz w:val="24"/>
          <w:szCs w:val="24"/>
        </w:rPr>
        <w:t>uried underground. Over time, heat from the Earth’s core and pressure from rock layers transformed these materials into fossil fuels. These fuels, rich in carbon, include petroleum, coal, and natural gas. They are extensively used for transportation, cooki</w:t>
      </w:r>
      <w:r>
        <w:rPr>
          <w:rFonts w:ascii="Times New Roman" w:eastAsia="Times New Roman" w:hAnsi="Times New Roman" w:cs="Times New Roman"/>
          <w:sz w:val="24"/>
          <w:szCs w:val="24"/>
        </w:rPr>
        <w:t>ng, lighting, electricity generation, washing, manufacturing plastics and paints, and numerous other industrial purposes.</w:t>
      </w:r>
    </w:p>
    <w:p w:rsidR="007831DD" w:rsidRDefault="000038F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the increasing global </w:t>
      </w:r>
      <w:proofErr w:type="gramStart"/>
      <w:r>
        <w:rPr>
          <w:rFonts w:ascii="Times New Roman" w:eastAsia="Times New Roman" w:hAnsi="Times New Roman" w:cs="Times New Roman"/>
          <w:sz w:val="24"/>
          <w:szCs w:val="24"/>
        </w:rPr>
        <w:t>cost of fuel and heavy reliance on fossil fuels have</w:t>
      </w:r>
      <w:proofErr w:type="gramEnd"/>
      <w:r>
        <w:rPr>
          <w:rFonts w:ascii="Times New Roman" w:eastAsia="Times New Roman" w:hAnsi="Times New Roman" w:cs="Times New Roman"/>
          <w:sz w:val="24"/>
          <w:szCs w:val="24"/>
        </w:rPr>
        <w:t xml:space="preserve"> intensified the search for alternative energy sour</w:t>
      </w:r>
      <w:r>
        <w:rPr>
          <w:rFonts w:ascii="Times New Roman" w:eastAsia="Times New Roman" w:hAnsi="Times New Roman" w:cs="Times New Roman"/>
          <w:sz w:val="24"/>
          <w:szCs w:val="24"/>
        </w:rPr>
        <w:t>ces. One such alternative is biodiesel.</w:t>
      </w:r>
    </w:p>
    <w:p w:rsidR="007831DD" w:rsidRDefault="000038F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Biodiesel is derived from vegetable oils or </w:t>
      </w:r>
      <w:proofErr w:type="gramStart"/>
      <w:r>
        <w:rPr>
          <w:rFonts w:ascii="Times New Roman" w:eastAsia="Times New Roman" w:hAnsi="Times New Roman" w:cs="Times New Roman"/>
          <w:sz w:val="24"/>
          <w:szCs w:val="24"/>
        </w:rPr>
        <w:t>recycled oils obtained from the food industry and is</w:t>
      </w:r>
      <w:proofErr w:type="gramEnd"/>
      <w:r>
        <w:rPr>
          <w:rFonts w:ascii="Times New Roman" w:eastAsia="Times New Roman" w:hAnsi="Times New Roman" w:cs="Times New Roman"/>
          <w:sz w:val="24"/>
          <w:szCs w:val="24"/>
        </w:rPr>
        <w:t xml:space="preserve"> chemically designated as fatty acid methyl ester (FAME). It can be synthesized through various techniques, including py</w:t>
      </w:r>
      <w:r>
        <w:rPr>
          <w:rFonts w:ascii="Times New Roman" w:eastAsia="Times New Roman" w:hAnsi="Times New Roman" w:cs="Times New Roman"/>
          <w:sz w:val="24"/>
          <w:szCs w:val="24"/>
        </w:rPr>
        <w:t>rolysis, micro-emulsification, dilution, and transesterification. Among these methods, transesterification is the most prevalently employed. Although transesterification is theoretically a reversible reaction, the reverse process does not take place in bio</w:t>
      </w:r>
      <w:r>
        <w:rPr>
          <w:rFonts w:ascii="Times New Roman" w:eastAsia="Times New Roman" w:hAnsi="Times New Roman" w:cs="Times New Roman"/>
          <w:sz w:val="24"/>
          <w:szCs w:val="24"/>
        </w:rPr>
        <w:t>diesel production, as the glycerol produced does not influence the final product.</w:t>
      </w:r>
    </w:p>
    <w:p w:rsidR="007831DD" w:rsidRDefault="000038F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an alternative fuel, biodiesel can be utilized directly in diesel engines without the need for modifications, owing to its comparable properties such as specific gravity, </w:t>
      </w:r>
      <w:r>
        <w:rPr>
          <w:rFonts w:ascii="Times New Roman" w:eastAsia="Times New Roman" w:hAnsi="Times New Roman" w:cs="Times New Roman"/>
          <w:sz w:val="24"/>
          <w:szCs w:val="24"/>
        </w:rPr>
        <w:t>cetane number, viscosity, cloud point, and flash point—similar to those of traditional diesel. Consequently, biodiesel serves as a viable substitute or supplement to fossil diesel fuel.</w:t>
      </w:r>
    </w:p>
    <w:p w:rsidR="007831DD" w:rsidRDefault="000038F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Biodiesel presents numerous benefits, including a reduction in carbon </w:t>
      </w:r>
      <w:r>
        <w:rPr>
          <w:rFonts w:ascii="Times New Roman" w:eastAsia="Times New Roman" w:hAnsi="Times New Roman" w:cs="Times New Roman"/>
          <w:sz w:val="24"/>
          <w:szCs w:val="24"/>
        </w:rPr>
        <w:t>dioxide emissions by approximately 78%, non-toxicity, and biodegradability. These attributes render it an environmentally sustainable fuel. Moreover, biodiesel constitutes a renewable energy resource that aids in conserving fossil fuel reserves and enhance</w:t>
      </w:r>
      <w:r>
        <w:rPr>
          <w:rFonts w:ascii="Times New Roman" w:eastAsia="Times New Roman" w:hAnsi="Times New Roman" w:cs="Times New Roman"/>
          <w:sz w:val="24"/>
          <w:szCs w:val="24"/>
        </w:rPr>
        <w:t xml:space="preserve">s the operational efficiency of diesel engines. Although biodiesel is predominantly manufactured via traditional transesterification </w:t>
      </w:r>
      <w:r>
        <w:rPr>
          <w:rFonts w:ascii="Times New Roman" w:eastAsia="Times New Roman" w:hAnsi="Times New Roman" w:cs="Times New Roman"/>
          <w:sz w:val="24"/>
          <w:szCs w:val="24"/>
        </w:rPr>
        <w:lastRenderedPageBreak/>
        <w:t>reactions, the implementation of heterogeneous catalysts has considerably enhanced production efficiency and engine perform</w:t>
      </w:r>
      <w:r>
        <w:rPr>
          <w:rFonts w:ascii="Times New Roman" w:eastAsia="Times New Roman" w:hAnsi="Times New Roman" w:cs="Times New Roman"/>
          <w:sz w:val="24"/>
          <w:szCs w:val="24"/>
        </w:rPr>
        <w:t>ance.</w:t>
      </w:r>
    </w:p>
    <w:p w:rsidR="007831DD" w:rsidRDefault="000038F5">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1.1 </w:t>
      </w:r>
      <w:r>
        <w:rPr>
          <w:rFonts w:ascii="Times New Roman" w:eastAsia="Times New Roman" w:hAnsi="Times New Roman" w:cs="Times New Roman"/>
          <w:b/>
          <w:bCs/>
          <w:sz w:val="24"/>
          <w:szCs w:val="24"/>
        </w:rPr>
        <w:t>Desert Date (</w:t>
      </w:r>
      <w:r>
        <w:rPr>
          <w:rFonts w:ascii="Times New Roman" w:eastAsia="Times New Roman" w:hAnsi="Times New Roman" w:cs="Times New Roman"/>
          <w:b/>
          <w:bCs/>
          <w:i/>
          <w:iCs/>
          <w:sz w:val="24"/>
          <w:szCs w:val="24"/>
        </w:rPr>
        <w:t>Balanites aegyptiaca</w:t>
      </w:r>
      <w:r>
        <w:rPr>
          <w:rFonts w:ascii="Times New Roman" w:eastAsia="Times New Roman" w:hAnsi="Times New Roman" w:cs="Times New Roman"/>
          <w:b/>
          <w:bCs/>
          <w:sz w:val="24"/>
          <w:szCs w:val="24"/>
        </w:rPr>
        <w:t>)</w:t>
      </w:r>
    </w:p>
    <w:p w:rsidR="007831DD" w:rsidRDefault="000038F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Desert Date (Balanites aegyptiaca) is a tree species that can attain heights of 12 to 14 meters. It is classified within the Zygophyllaceae or Balanitaceae family. This arboreal species exhibits numerous bra</w:t>
      </w:r>
      <w:r>
        <w:rPr>
          <w:rFonts w:ascii="Times New Roman" w:eastAsia="Times New Roman" w:hAnsi="Times New Roman" w:cs="Times New Roman"/>
          <w:sz w:val="24"/>
          <w:szCs w:val="24"/>
        </w:rPr>
        <w:t>nches and small flowers, thriving in hot, arid environments. Additionally, it demonstrates adaptability to diverse soil types, including sandy and heavy clay soils, as well as to varying moisture conditions.</w:t>
      </w:r>
    </w:p>
    <w:p w:rsidR="007831DD" w:rsidRDefault="000038F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Balanites aegyptiaca is a perennial plant </w:t>
      </w:r>
      <w:r>
        <w:rPr>
          <w:rFonts w:ascii="Times New Roman" w:eastAsia="Times New Roman" w:hAnsi="Times New Roman" w:cs="Times New Roman"/>
          <w:sz w:val="24"/>
          <w:szCs w:val="24"/>
        </w:rPr>
        <w:t>extensively utilized in culinary preparations, especially across Africa and other developing regions. Nearly all parts of the plant, including leaves, thorns, roots, and fruit, possess economic value. The fruit has traditional applications in the treatment</w:t>
      </w:r>
      <w:r>
        <w:rPr>
          <w:rFonts w:ascii="Times New Roman" w:eastAsia="Times New Roman" w:hAnsi="Times New Roman" w:cs="Times New Roman"/>
          <w:sz w:val="24"/>
          <w:szCs w:val="24"/>
        </w:rPr>
        <w:t xml:space="preserve"> of liver diseases. Seeds, representing approximately 15% of the total fruit mass, contain an average of 10% oil.</w:t>
      </w:r>
    </w:p>
    <w:p w:rsidR="007831DD" w:rsidRDefault="000038F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global production of date fruit increased from 1.85 million tonnes in 1961 to 8.16 million tonnes in 2017. These statistics indicate that </w:t>
      </w:r>
      <w:r>
        <w:rPr>
          <w:rFonts w:ascii="Times New Roman" w:eastAsia="Times New Roman" w:hAnsi="Times New Roman" w:cs="Times New Roman"/>
          <w:sz w:val="24"/>
          <w:szCs w:val="24"/>
        </w:rPr>
        <w:t xml:space="preserve">ten countries account for nearly 89% of the world's date production, primarily in the Middle East and Africa </w:t>
      </w: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FAOSTAT</w:t>
      </w:r>
      <w:proofErr w:type="gramEnd"/>
      <w:r>
        <w:rPr>
          <w:rFonts w:ascii="Times New Roman" w:eastAsia="Times New Roman" w:hAnsi="Times New Roman" w:cs="Times New Roman"/>
          <w:sz w:val="24"/>
          <w:szCs w:val="24"/>
        </w:rPr>
        <w:t xml:space="preserve"> 202</w:t>
      </w:r>
      <w:r>
        <w:rPr>
          <w:rFonts w:ascii="Times New Roman" w:eastAsia="Times New Roman" w:hAnsi="Times New Roman" w:cs="Times New Roman"/>
          <w:sz w:val="24"/>
          <w:szCs w:val="24"/>
        </w:rPr>
        <w:t>0</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(Besbes et al., 2009).. Based on these data, it is estimated that approximately 1.22 million tonnes of date seeds are generated an</w:t>
      </w:r>
      <w:r>
        <w:rPr>
          <w:rFonts w:ascii="Times New Roman" w:eastAsia="Times New Roman" w:hAnsi="Times New Roman" w:cs="Times New Roman"/>
          <w:sz w:val="24"/>
          <w:szCs w:val="24"/>
        </w:rPr>
        <w:t>nually, which could potentially yield about 122,490 tonnes of date seed oil. Consequently, approximately 122,490 tonnes of biodiesel could be derived annually from this resource. This quantity is significant when compared to the 38,700 tonnes produced in t</w:t>
      </w:r>
      <w:r>
        <w:rPr>
          <w:rFonts w:ascii="Times New Roman" w:eastAsia="Times New Roman" w:hAnsi="Times New Roman" w:cs="Times New Roman"/>
          <w:sz w:val="24"/>
          <w:szCs w:val="24"/>
        </w:rPr>
        <w:t>he Middle East and Africa in 2015 (British Petroleum Company, 2017). The high yield suggests that utilization for biodiesel production would be economically advantageous without substantially disrupting its use as food. Therefore, this study examines the p</w:t>
      </w:r>
      <w:r>
        <w:rPr>
          <w:rFonts w:ascii="Times New Roman" w:eastAsia="Times New Roman" w:hAnsi="Times New Roman" w:cs="Times New Roman"/>
          <w:sz w:val="24"/>
          <w:szCs w:val="24"/>
        </w:rPr>
        <w:t xml:space="preserve">roduction of biodiesel from desert date (Balanites aegyptiaca) seed oil via alkaline-catalyzed transesterification and employs Response Surface Methodology (RSM) based on a Central Composite Design (CCD) to statistically optimize the process. </w:t>
      </w:r>
    </w:p>
    <w:p w:rsidR="007831DD" w:rsidRDefault="007831DD">
      <w:pPr>
        <w:spacing w:before="100" w:beforeAutospacing="1" w:after="100" w:afterAutospacing="1" w:line="360" w:lineRule="auto"/>
        <w:jc w:val="both"/>
        <w:rPr>
          <w:rFonts w:ascii="Times New Roman" w:eastAsia="Times New Roman" w:hAnsi="Times New Roman" w:cs="Times New Roman"/>
          <w:sz w:val="24"/>
          <w:szCs w:val="24"/>
        </w:rPr>
      </w:pPr>
    </w:p>
    <w:p w:rsidR="007831DD" w:rsidRDefault="000038F5">
      <w:pPr>
        <w:spacing w:before="100" w:beforeAutospacing="1" w:after="100" w:afterAutospacing="1" w:line="360" w:lineRule="auto"/>
        <w:jc w:val="both"/>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 xml:space="preserve">2.1 </w:t>
      </w:r>
      <w:r>
        <w:rPr>
          <w:rFonts w:ascii="Times New Roman" w:eastAsia="Times New Roman" w:hAnsi="Times New Roman" w:cs="Times New Roman"/>
          <w:b/>
          <w:bCs/>
          <w:kern w:val="36"/>
          <w:sz w:val="24"/>
          <w:szCs w:val="24"/>
        </w:rPr>
        <w:t>Materia</w:t>
      </w:r>
      <w:r>
        <w:rPr>
          <w:rFonts w:ascii="Times New Roman" w:eastAsia="Times New Roman" w:hAnsi="Times New Roman" w:cs="Times New Roman"/>
          <w:b/>
          <w:bCs/>
          <w:kern w:val="36"/>
          <w:sz w:val="24"/>
          <w:szCs w:val="24"/>
        </w:rPr>
        <w:t>ls and Methods</w:t>
      </w:r>
    </w:p>
    <w:p w:rsidR="007831DD" w:rsidRDefault="000038F5">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2.2 </w:t>
      </w:r>
      <w:r>
        <w:rPr>
          <w:rFonts w:ascii="Times New Roman" w:eastAsia="Times New Roman" w:hAnsi="Times New Roman" w:cs="Times New Roman"/>
          <w:b/>
          <w:bCs/>
          <w:sz w:val="24"/>
          <w:szCs w:val="24"/>
        </w:rPr>
        <w:t>Sample Collection</w:t>
      </w:r>
    </w:p>
    <w:p w:rsidR="007831DD" w:rsidRDefault="000038F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Fresh desert date fruits were collected from the Birnin Kebbi area</w:t>
      </w:r>
      <w:r>
        <w:rPr>
          <w:rFonts w:ascii="Times New Roman" w:eastAsia="Times New Roman" w:hAnsi="Times New Roman" w:cs="Times New Roman"/>
          <w:sz w:val="24"/>
          <w:szCs w:val="24"/>
        </w:rPr>
        <w:t xml:space="preserve">. Figure (1) and (2) shows the </w:t>
      </w:r>
      <w:r>
        <w:rPr>
          <w:rFonts w:ascii="Times New Roman" w:hAnsi="Times New Roman" w:cs="Times New Roman"/>
          <w:sz w:val="24"/>
          <w:szCs w:val="24"/>
          <w:lang w:eastAsia="zh-CN"/>
        </w:rPr>
        <w:t>Ripened Desert Date</w:t>
      </w:r>
      <w:r>
        <w:rPr>
          <w:rFonts w:ascii="Times New Roman" w:hAnsi="Times New Roman" w:cs="Times New Roman"/>
          <w:sz w:val="24"/>
          <w:szCs w:val="24"/>
          <w:lang w:eastAsia="zh-CN"/>
        </w:rPr>
        <w:t xml:space="preserve"> and the </w:t>
      </w:r>
      <w:r>
        <w:rPr>
          <w:rFonts w:ascii="Times New Roman" w:hAnsi="Times New Roman" w:cs="Times New Roman"/>
          <w:sz w:val="24"/>
          <w:szCs w:val="24"/>
          <w:lang w:eastAsia="zh-CN"/>
        </w:rPr>
        <w:t>Seed Kernel</w:t>
      </w:r>
      <w:r>
        <w:rPr>
          <w:rFonts w:ascii="Times New Roman" w:hAnsi="Times New Roman" w:cs="Times New Roman"/>
          <w:sz w:val="24"/>
          <w:szCs w:val="24"/>
          <w:lang w:eastAsia="zh-CN"/>
        </w:rPr>
        <w:t xml:space="preserve"> respectively.</w:t>
      </w:r>
    </w:p>
    <w:p w:rsidR="007831DD" w:rsidRDefault="000038F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transesterification process and characterization of the </w:t>
      </w:r>
      <w:r>
        <w:rPr>
          <w:rFonts w:ascii="Times New Roman" w:eastAsia="Times New Roman" w:hAnsi="Times New Roman" w:cs="Times New Roman"/>
          <w:sz w:val="24"/>
          <w:szCs w:val="24"/>
        </w:rPr>
        <w:t>extracted oil were conducted at the Department of Pure and Applied Chemistry, Kebbi State University of Science and Technology, Aliero.</w:t>
      </w:r>
    </w:p>
    <w:p w:rsidR="007831DD" w:rsidRDefault="000038F5">
      <w:pPr>
        <w:ind w:right="90"/>
        <w:rPr>
          <w:rFonts w:ascii="Times New Roman" w:hAnsi="Times New Roman" w:cs="Times New Roman"/>
          <w:sz w:val="24"/>
          <w:szCs w:val="24"/>
        </w:rPr>
      </w:pPr>
      <w:r>
        <w:rPr>
          <w:rFonts w:ascii="Times New Roman" w:hAnsi="Times New Roman"/>
          <w:noProof/>
          <w:sz w:val="24"/>
          <w:szCs w:val="24"/>
          <w:lang w:val="en-IN" w:eastAsia="en-IN"/>
        </w:rPr>
        <w:drawing>
          <wp:inline distT="0" distB="0" distL="0" distR="0">
            <wp:extent cx="1819275" cy="1945005"/>
            <wp:effectExtent l="0" t="0" r="9525" b="17145"/>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817287" cy="1942880"/>
                    </a:xfrm>
                    <a:prstGeom prst="rect">
                      <a:avLst/>
                    </a:prstGeom>
                    <a:noFill/>
                    <a:ln>
                      <a:noFill/>
                    </a:ln>
                  </pic:spPr>
                </pic:pic>
              </a:graphicData>
            </a:graphic>
          </wp:inline>
        </w:drawing>
      </w:r>
      <w:r>
        <w:rPr>
          <w:rFonts w:ascii="Times New Roman" w:hAnsi="Times New Roman"/>
          <w:noProof/>
          <w:sz w:val="24"/>
          <w:szCs w:val="24"/>
          <w:lang w:val="en-IN" w:eastAsia="en-IN"/>
        </w:rPr>
        <w:drawing>
          <wp:inline distT="0" distB="0" distL="0" distR="0">
            <wp:extent cx="2802255" cy="1943735"/>
            <wp:effectExtent l="0" t="0" r="17145" b="18415"/>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800350" cy="1942492"/>
                    </a:xfrm>
                    <a:prstGeom prst="rect">
                      <a:avLst/>
                    </a:prstGeom>
                    <a:noFill/>
                    <a:ln>
                      <a:noFill/>
                    </a:ln>
                  </pic:spPr>
                </pic:pic>
              </a:graphicData>
            </a:graphic>
          </wp:inline>
        </w:drawing>
      </w:r>
      <w:r>
        <w:rPr>
          <w:rFonts w:ascii="Times New Roman" w:hAnsi="Times New Roman" w:cs="Times New Roman"/>
          <w:sz w:val="24"/>
          <w:szCs w:val="24"/>
          <w:lang w:eastAsia="zh-CN"/>
        </w:rPr>
        <w:br/>
      </w:r>
      <w:r>
        <w:rPr>
          <w:rFonts w:ascii="Times New Roman" w:hAnsi="Times New Roman" w:cs="Times New Roman"/>
          <w:sz w:val="24"/>
          <w:szCs w:val="24"/>
          <w:lang w:eastAsia="zh-CN"/>
        </w:rPr>
        <w:br/>
        <w:t>Figure </w:t>
      </w:r>
      <w:r>
        <w:rPr>
          <w:rFonts w:ascii="Times New Roman" w:hAnsi="Times New Roman" w:cs="Times New Roman"/>
          <w:sz w:val="24"/>
          <w:szCs w:val="24"/>
          <w:lang w:eastAsia="zh-CN"/>
        </w:rPr>
        <w:t>1</w:t>
      </w:r>
      <w:r>
        <w:rPr>
          <w:rFonts w:ascii="Times New Roman" w:hAnsi="Times New Roman" w:cs="Times New Roman"/>
          <w:sz w:val="24"/>
          <w:szCs w:val="24"/>
          <w:lang w:eastAsia="zh-CN"/>
        </w:rPr>
        <w:t>: Ripened Desert Date</w:t>
      </w:r>
      <w:r>
        <w:rPr>
          <w:rFonts w:ascii="Times New Roman" w:hAnsi="Times New Roman" w:cs="Times New Roman"/>
          <w:sz w:val="24"/>
          <w:szCs w:val="24"/>
          <w:lang w:eastAsia="zh-CN"/>
        </w:rPr>
        <w:tab/>
        <w:t>See Figure </w:t>
      </w:r>
      <w:r>
        <w:rPr>
          <w:rFonts w:ascii="Times New Roman" w:hAnsi="Times New Roman" w:cs="Times New Roman"/>
          <w:sz w:val="24"/>
          <w:szCs w:val="24"/>
          <w:lang w:eastAsia="zh-CN"/>
        </w:rPr>
        <w:t>2</w:t>
      </w:r>
      <w:r>
        <w:rPr>
          <w:rFonts w:ascii="Times New Roman" w:hAnsi="Times New Roman" w:cs="Times New Roman"/>
          <w:sz w:val="24"/>
          <w:szCs w:val="24"/>
          <w:lang w:eastAsia="zh-CN"/>
        </w:rPr>
        <w:t>: Seed Kernel</w:t>
      </w:r>
    </w:p>
    <w:p w:rsidR="007831DD" w:rsidRDefault="007831DD">
      <w:pPr>
        <w:pStyle w:val="Heading2"/>
        <w:spacing w:line="360" w:lineRule="auto"/>
        <w:jc w:val="both"/>
        <w:rPr>
          <w:sz w:val="24"/>
          <w:szCs w:val="24"/>
        </w:rPr>
      </w:pPr>
    </w:p>
    <w:p w:rsidR="007831DD" w:rsidRDefault="007831DD">
      <w:pPr>
        <w:pStyle w:val="Heading2"/>
        <w:spacing w:line="360" w:lineRule="auto"/>
        <w:jc w:val="both"/>
        <w:rPr>
          <w:sz w:val="24"/>
          <w:szCs w:val="24"/>
        </w:rPr>
      </w:pPr>
    </w:p>
    <w:p w:rsidR="007831DD" w:rsidRDefault="000038F5">
      <w:pPr>
        <w:pStyle w:val="Heading2"/>
        <w:spacing w:line="360" w:lineRule="auto"/>
        <w:jc w:val="both"/>
        <w:rPr>
          <w:sz w:val="24"/>
          <w:szCs w:val="24"/>
        </w:rPr>
      </w:pPr>
      <w:r>
        <w:rPr>
          <w:sz w:val="24"/>
          <w:szCs w:val="24"/>
        </w:rPr>
        <w:t xml:space="preserve">2.3 </w:t>
      </w:r>
      <w:r>
        <w:rPr>
          <w:sz w:val="24"/>
          <w:szCs w:val="24"/>
        </w:rPr>
        <w:t>Oil Extraction</w:t>
      </w:r>
    </w:p>
    <w:p w:rsidR="007831DD" w:rsidRDefault="000038F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Several methods are available for </w:t>
      </w:r>
      <w:r>
        <w:rPr>
          <w:rFonts w:ascii="Times New Roman" w:hAnsi="Times New Roman" w:cs="Times New Roman"/>
          <w:sz w:val="24"/>
          <w:szCs w:val="24"/>
        </w:rPr>
        <w:t>extracting Desert Date Oil (DSO) for biodiesel production. These include mechanical expression methods such as hydraulic and screw presses, which may be manual, semi-automated, or fully automated. Other extraction techniques include Soxhlet extraction, sup</w:t>
      </w:r>
      <w:r>
        <w:rPr>
          <w:rFonts w:ascii="Times New Roman" w:hAnsi="Times New Roman" w:cs="Times New Roman"/>
          <w:sz w:val="24"/>
          <w:szCs w:val="24"/>
        </w:rPr>
        <w:t>ercritical fluid extraction, ultrasonic-assisted extraction, and microwave-assisted extraction.</w:t>
      </w:r>
    </w:p>
    <w:p w:rsidR="007831DD" w:rsidRDefault="000038F5">
      <w:pPr>
        <w:spacing w:line="360" w:lineRule="auto"/>
        <w:jc w:val="both"/>
        <w:rPr>
          <w:rFonts w:ascii="Times New Roman" w:hAnsi="Times New Roman" w:cs="Times New Roman"/>
          <w:sz w:val="24"/>
          <w:szCs w:val="24"/>
        </w:rPr>
      </w:pPr>
      <w:r>
        <w:rPr>
          <w:rFonts w:ascii="Times New Roman" w:hAnsi="Times New Roman" w:cs="Times New Roman"/>
          <w:sz w:val="24"/>
          <w:szCs w:val="24"/>
        </w:rPr>
        <w:t>The efficiency of oil extraction depends on factors such as solvent type, solvent-to-seed ratio, extraction time, and particle size. In this study, a locally fa</w:t>
      </w:r>
      <w:r>
        <w:rPr>
          <w:rFonts w:ascii="Times New Roman" w:hAnsi="Times New Roman" w:cs="Times New Roman"/>
          <w:sz w:val="24"/>
          <w:szCs w:val="24"/>
        </w:rPr>
        <w:t>bricated mechanical extractor was used to obtain the required quantity of Desert Date Oil.</w:t>
      </w:r>
    </w:p>
    <w:p w:rsidR="007831DD" w:rsidRDefault="000038F5">
      <w:pPr>
        <w:pStyle w:val="Heading2"/>
        <w:spacing w:line="360" w:lineRule="auto"/>
        <w:jc w:val="both"/>
        <w:rPr>
          <w:sz w:val="24"/>
          <w:szCs w:val="24"/>
        </w:rPr>
      </w:pPr>
      <w:r>
        <w:rPr>
          <w:sz w:val="24"/>
          <w:szCs w:val="24"/>
        </w:rPr>
        <w:lastRenderedPageBreak/>
        <w:t xml:space="preserve">2.4 </w:t>
      </w:r>
      <w:r>
        <w:rPr>
          <w:sz w:val="24"/>
          <w:szCs w:val="24"/>
        </w:rPr>
        <w:t>Transesterification</w:t>
      </w:r>
    </w:p>
    <w:p w:rsidR="007831DD" w:rsidRDefault="000038F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transesterification and esterification processes were conducted in a 250 mL glass reactor equipped with a reflux condenser and a digital </w:t>
      </w:r>
      <w:r>
        <w:rPr>
          <w:rFonts w:ascii="Times New Roman" w:hAnsi="Times New Roman" w:cs="Times New Roman"/>
          <w:sz w:val="24"/>
          <w:szCs w:val="24"/>
        </w:rPr>
        <w:t>electric magnetic stirrer.</w:t>
      </w:r>
    </w:p>
    <w:p w:rsidR="007831DD" w:rsidRDefault="000038F5">
      <w:pPr>
        <w:spacing w:line="360" w:lineRule="auto"/>
        <w:jc w:val="both"/>
        <w:rPr>
          <w:rFonts w:ascii="Times New Roman" w:hAnsi="Times New Roman" w:cs="Times New Roman"/>
          <w:sz w:val="24"/>
          <w:szCs w:val="24"/>
        </w:rPr>
      </w:pPr>
      <w:r>
        <w:rPr>
          <w:rFonts w:ascii="Times New Roman" w:hAnsi="Times New Roman" w:cs="Times New Roman"/>
          <w:sz w:val="24"/>
          <w:szCs w:val="24"/>
        </w:rPr>
        <w:t>Thirty (30) grams of Desert Date Oil were heated to 100°C to remove moisture and then cooled to 60°C. A catalyst solution consisting of 99% methanol and 1.4 wt% potassium hydroxide (KOH) was prepared. The methanol-to-oil molar ra</w:t>
      </w:r>
      <w:r>
        <w:rPr>
          <w:rFonts w:ascii="Times New Roman" w:hAnsi="Times New Roman" w:cs="Times New Roman"/>
          <w:sz w:val="24"/>
          <w:szCs w:val="24"/>
        </w:rPr>
        <w:t>tio was kept at 6:1. The mixture was stirred at 305.5 rpm for 60 minutes at 60°C.</w:t>
      </w:r>
    </w:p>
    <w:p w:rsidR="007831DD" w:rsidRDefault="000038F5">
      <w:pPr>
        <w:spacing w:line="360" w:lineRule="auto"/>
        <w:jc w:val="both"/>
        <w:rPr>
          <w:rFonts w:ascii="Times New Roman" w:hAnsi="Times New Roman" w:cs="Times New Roman"/>
          <w:sz w:val="24"/>
          <w:szCs w:val="24"/>
        </w:rPr>
      </w:pPr>
      <w:r>
        <w:rPr>
          <w:rFonts w:ascii="Times New Roman" w:hAnsi="Times New Roman" w:cs="Times New Roman"/>
          <w:sz w:val="24"/>
          <w:szCs w:val="24"/>
        </w:rPr>
        <w:t>After the reaction, the mixture was transferred into a separatory funnel and left to stand for 24 hours, forming three layers: biodiesel (top), glycerol (middle), and catalys</w:t>
      </w:r>
      <w:r>
        <w:rPr>
          <w:rFonts w:ascii="Times New Roman" w:hAnsi="Times New Roman" w:cs="Times New Roman"/>
          <w:sz w:val="24"/>
          <w:szCs w:val="24"/>
        </w:rPr>
        <w:t>t residue (bottom).</w:t>
      </w:r>
    </w:p>
    <w:p w:rsidR="007831DD" w:rsidRDefault="000038F5">
      <w:pPr>
        <w:spacing w:line="360" w:lineRule="auto"/>
        <w:jc w:val="both"/>
        <w:rPr>
          <w:rFonts w:ascii="Times New Roman" w:hAnsi="Times New Roman" w:cs="Times New Roman"/>
          <w:sz w:val="24"/>
          <w:szCs w:val="24"/>
        </w:rPr>
      </w:pPr>
      <w:r>
        <w:rPr>
          <w:rFonts w:ascii="Times New Roman" w:hAnsi="Times New Roman" w:cs="Times New Roman"/>
          <w:sz w:val="24"/>
          <w:szCs w:val="24"/>
        </w:rPr>
        <w:t>Biodiesel Yield (%) = (Weight of biodiesel / Weight of oil sample used) × 100</w:t>
      </w:r>
    </w:p>
    <w:p w:rsidR="007831DD" w:rsidRDefault="000038F5">
      <w:pPr>
        <w:pStyle w:val="Heading2"/>
        <w:spacing w:line="360" w:lineRule="auto"/>
        <w:jc w:val="both"/>
        <w:rPr>
          <w:sz w:val="24"/>
          <w:szCs w:val="24"/>
        </w:rPr>
      </w:pPr>
      <w:r>
        <w:rPr>
          <w:sz w:val="24"/>
          <w:szCs w:val="24"/>
        </w:rPr>
        <w:t xml:space="preserve">2.5 </w:t>
      </w:r>
      <w:r>
        <w:rPr>
          <w:sz w:val="24"/>
          <w:szCs w:val="24"/>
        </w:rPr>
        <w:t>Characterization of Desert Date Oil and Biodiesel</w:t>
      </w:r>
    </w:p>
    <w:p w:rsidR="007831DD" w:rsidRDefault="000038F5">
      <w:pPr>
        <w:spacing w:line="360" w:lineRule="auto"/>
        <w:jc w:val="both"/>
        <w:rPr>
          <w:rFonts w:ascii="Times New Roman" w:hAnsi="Times New Roman" w:cs="Times New Roman"/>
          <w:sz w:val="24"/>
          <w:szCs w:val="24"/>
        </w:rPr>
      </w:pPr>
      <w:r>
        <w:rPr>
          <w:rFonts w:ascii="Times New Roman" w:hAnsi="Times New Roman" w:cs="Times New Roman"/>
          <w:sz w:val="24"/>
          <w:szCs w:val="24"/>
        </w:rPr>
        <w:t>The physicochemical properties of the oil and biodiesel were analysed using ASTM standard methods.</w:t>
      </w:r>
    </w:p>
    <w:p w:rsidR="007831DD" w:rsidRDefault="000038F5">
      <w:pPr>
        <w:pStyle w:val="Heading3"/>
        <w:spacing w:line="360" w:lineRule="auto"/>
        <w:jc w:val="both"/>
        <w:rPr>
          <w:rFonts w:ascii="Times New Roman" w:hAnsi="Times New Roman" w:cs="Times New Roman"/>
          <w:color w:val="auto"/>
        </w:rPr>
      </w:pPr>
      <w:r>
        <w:rPr>
          <w:rFonts w:ascii="Times New Roman" w:hAnsi="Times New Roman" w:cs="Times New Roman"/>
          <w:color w:val="auto"/>
        </w:rPr>
        <w:t xml:space="preserve">Acid </w:t>
      </w:r>
      <w:r>
        <w:rPr>
          <w:rFonts w:ascii="Times New Roman" w:hAnsi="Times New Roman" w:cs="Times New Roman"/>
          <w:color w:val="auto"/>
        </w:rPr>
        <w:t>Value Analysis</w:t>
      </w:r>
    </w:p>
    <w:p w:rsidR="007831DD" w:rsidRDefault="000038F5">
      <w:pPr>
        <w:spacing w:line="360" w:lineRule="auto"/>
        <w:jc w:val="both"/>
        <w:rPr>
          <w:rFonts w:ascii="Times New Roman" w:hAnsi="Times New Roman" w:cs="Times New Roman"/>
          <w:sz w:val="24"/>
          <w:szCs w:val="24"/>
        </w:rPr>
      </w:pPr>
      <w:r>
        <w:rPr>
          <w:rFonts w:ascii="Times New Roman" w:hAnsi="Times New Roman" w:cs="Times New Roman"/>
          <w:sz w:val="24"/>
          <w:szCs w:val="24"/>
        </w:rPr>
        <w:t>A 2 g oil sample was dissolved in ethyl alcohol and diethyl ether, gently heated, and titrated with 0.1 M KOH using phenolphthalein as the indicator.</w:t>
      </w:r>
    </w:p>
    <w:p w:rsidR="007831DD" w:rsidRDefault="000038F5">
      <w:pPr>
        <w:spacing w:line="360" w:lineRule="auto"/>
        <w:jc w:val="both"/>
        <w:rPr>
          <w:rFonts w:ascii="Times New Roman" w:hAnsi="Times New Roman" w:cs="Times New Roman"/>
          <w:sz w:val="24"/>
          <w:szCs w:val="24"/>
        </w:rPr>
      </w:pPr>
      <w:r>
        <w:rPr>
          <w:rFonts w:ascii="Times New Roman" w:hAnsi="Times New Roman" w:cs="Times New Roman"/>
          <w:sz w:val="24"/>
          <w:szCs w:val="24"/>
        </w:rPr>
        <w:t>Acid Value = (Vs − Vb) × M × 56 / Weight of sample (g)</w:t>
      </w:r>
    </w:p>
    <w:p w:rsidR="007831DD" w:rsidRDefault="000038F5">
      <w:pPr>
        <w:pStyle w:val="Heading3"/>
        <w:spacing w:line="360" w:lineRule="auto"/>
        <w:jc w:val="both"/>
        <w:rPr>
          <w:rFonts w:ascii="Times New Roman" w:hAnsi="Times New Roman" w:cs="Times New Roman"/>
          <w:color w:val="auto"/>
        </w:rPr>
      </w:pPr>
      <w:r>
        <w:rPr>
          <w:rFonts w:ascii="Times New Roman" w:hAnsi="Times New Roman" w:cs="Times New Roman"/>
          <w:color w:val="auto"/>
        </w:rPr>
        <w:t>Iodine Value Analysis</w:t>
      </w:r>
    </w:p>
    <w:p w:rsidR="007831DD" w:rsidRDefault="000038F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0.25 g oil </w:t>
      </w:r>
      <w:r>
        <w:rPr>
          <w:rFonts w:ascii="Times New Roman" w:hAnsi="Times New Roman" w:cs="Times New Roman"/>
          <w:sz w:val="24"/>
          <w:szCs w:val="24"/>
        </w:rPr>
        <w:t>sample was dissolved in carbon tetrachloride, treated with Wij’s solution, kept in the dark for 2 hours, and titrated with sodium thiosulfate using starch indicator.</w:t>
      </w:r>
    </w:p>
    <w:p w:rsidR="007831DD" w:rsidRDefault="000038F5">
      <w:pPr>
        <w:spacing w:line="360" w:lineRule="auto"/>
        <w:jc w:val="both"/>
        <w:rPr>
          <w:rFonts w:ascii="Times New Roman" w:hAnsi="Times New Roman" w:cs="Times New Roman"/>
          <w:sz w:val="24"/>
          <w:szCs w:val="24"/>
        </w:rPr>
      </w:pPr>
      <w:r>
        <w:rPr>
          <w:rFonts w:ascii="Times New Roman" w:hAnsi="Times New Roman" w:cs="Times New Roman"/>
          <w:sz w:val="24"/>
          <w:szCs w:val="24"/>
        </w:rPr>
        <w:t>Iodine Value (IV) = (Vs − Vb) × M × 12.69 / Weight of sample (g)</w:t>
      </w:r>
    </w:p>
    <w:p w:rsidR="007831DD" w:rsidRDefault="000038F5">
      <w:pPr>
        <w:pStyle w:val="Heading3"/>
        <w:spacing w:line="360" w:lineRule="auto"/>
        <w:jc w:val="both"/>
        <w:rPr>
          <w:rFonts w:ascii="Times New Roman" w:hAnsi="Times New Roman" w:cs="Times New Roman"/>
          <w:color w:val="auto"/>
        </w:rPr>
      </w:pPr>
      <w:r>
        <w:rPr>
          <w:rFonts w:ascii="Times New Roman" w:hAnsi="Times New Roman" w:cs="Times New Roman"/>
          <w:color w:val="auto"/>
        </w:rPr>
        <w:t>Saponification Value</w:t>
      </w:r>
    </w:p>
    <w:p w:rsidR="007831DD" w:rsidRDefault="000038F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2 </w:t>
      </w:r>
      <w:r>
        <w:rPr>
          <w:rFonts w:ascii="Times New Roman" w:hAnsi="Times New Roman" w:cs="Times New Roman"/>
          <w:sz w:val="24"/>
          <w:szCs w:val="24"/>
        </w:rPr>
        <w:t>g oil sample was refluxed with alcoholic KOH for one hour. Excess alkali was titrated with standard HCl solution.</w:t>
      </w:r>
    </w:p>
    <w:p w:rsidR="007831DD" w:rsidRDefault="000038F5">
      <w:pPr>
        <w:spacing w:line="360" w:lineRule="auto"/>
        <w:jc w:val="both"/>
        <w:rPr>
          <w:rFonts w:ascii="Times New Roman" w:hAnsi="Times New Roman" w:cs="Times New Roman"/>
          <w:sz w:val="24"/>
          <w:szCs w:val="24"/>
        </w:rPr>
      </w:pPr>
      <w:r>
        <w:rPr>
          <w:rFonts w:ascii="Times New Roman" w:hAnsi="Times New Roman" w:cs="Times New Roman"/>
          <w:sz w:val="24"/>
          <w:szCs w:val="24"/>
        </w:rPr>
        <w:t>Saponification Value (SV) = (Vs − Vb) × 0.02805 × 1000 / Weight of sample (g)</w:t>
      </w:r>
    </w:p>
    <w:p w:rsidR="007831DD" w:rsidRDefault="000038F5">
      <w:pPr>
        <w:pStyle w:val="Heading3"/>
        <w:spacing w:line="360" w:lineRule="auto"/>
        <w:jc w:val="both"/>
        <w:rPr>
          <w:rFonts w:ascii="Times New Roman" w:hAnsi="Times New Roman" w:cs="Times New Roman"/>
          <w:color w:val="auto"/>
        </w:rPr>
      </w:pPr>
      <w:r>
        <w:rPr>
          <w:rFonts w:ascii="Times New Roman" w:hAnsi="Times New Roman" w:cs="Times New Roman"/>
          <w:color w:val="auto"/>
        </w:rPr>
        <w:lastRenderedPageBreak/>
        <w:t>Specific Gravity</w:t>
      </w:r>
    </w:p>
    <w:p w:rsidR="007831DD" w:rsidRDefault="000038F5">
      <w:pPr>
        <w:spacing w:line="360" w:lineRule="auto"/>
        <w:jc w:val="both"/>
        <w:rPr>
          <w:rFonts w:ascii="Times New Roman" w:hAnsi="Times New Roman" w:cs="Times New Roman"/>
          <w:sz w:val="24"/>
          <w:szCs w:val="24"/>
        </w:rPr>
      </w:pPr>
      <w:r>
        <w:rPr>
          <w:rFonts w:ascii="Times New Roman" w:hAnsi="Times New Roman" w:cs="Times New Roman"/>
          <w:sz w:val="24"/>
          <w:szCs w:val="24"/>
        </w:rPr>
        <w:t>Specific gravity was determined using a density</w:t>
      </w:r>
      <w:r>
        <w:rPr>
          <w:rFonts w:ascii="Times New Roman" w:hAnsi="Times New Roman" w:cs="Times New Roman"/>
          <w:sz w:val="24"/>
          <w:szCs w:val="24"/>
        </w:rPr>
        <w:t xml:space="preserve"> bottle at 20°C.</w:t>
      </w:r>
    </w:p>
    <w:p w:rsidR="007831DD" w:rsidRDefault="000038F5">
      <w:pPr>
        <w:spacing w:line="360" w:lineRule="auto"/>
        <w:jc w:val="both"/>
        <w:rPr>
          <w:rFonts w:ascii="Times New Roman" w:hAnsi="Times New Roman" w:cs="Times New Roman"/>
          <w:sz w:val="24"/>
          <w:szCs w:val="24"/>
        </w:rPr>
      </w:pPr>
      <w:r>
        <w:rPr>
          <w:rFonts w:ascii="Times New Roman" w:hAnsi="Times New Roman" w:cs="Times New Roman"/>
          <w:sz w:val="24"/>
          <w:szCs w:val="24"/>
        </w:rPr>
        <w:t>Specific Gravity = W1 / W2</w:t>
      </w:r>
    </w:p>
    <w:p w:rsidR="007831DD" w:rsidRDefault="000038F5">
      <w:pPr>
        <w:pStyle w:val="Heading3"/>
        <w:spacing w:line="360" w:lineRule="auto"/>
        <w:jc w:val="both"/>
        <w:rPr>
          <w:rFonts w:ascii="Times New Roman" w:hAnsi="Times New Roman" w:cs="Times New Roman"/>
          <w:color w:val="auto"/>
        </w:rPr>
      </w:pPr>
      <w:r>
        <w:rPr>
          <w:rFonts w:ascii="Times New Roman" w:hAnsi="Times New Roman" w:cs="Times New Roman"/>
          <w:color w:val="auto"/>
        </w:rPr>
        <w:t>Viscosity</w:t>
      </w:r>
    </w:p>
    <w:p w:rsidR="007831DD" w:rsidRDefault="000038F5">
      <w:pPr>
        <w:spacing w:line="360" w:lineRule="auto"/>
        <w:jc w:val="both"/>
        <w:rPr>
          <w:rFonts w:ascii="Times New Roman" w:hAnsi="Times New Roman" w:cs="Times New Roman"/>
          <w:sz w:val="24"/>
          <w:szCs w:val="24"/>
        </w:rPr>
      </w:pPr>
      <w:r>
        <w:rPr>
          <w:rFonts w:ascii="Times New Roman" w:hAnsi="Times New Roman" w:cs="Times New Roman"/>
          <w:sz w:val="24"/>
          <w:szCs w:val="24"/>
        </w:rPr>
        <w:t>Viscosity was measured at 40°C using a calibrated viscometer.</w:t>
      </w:r>
    </w:p>
    <w:p w:rsidR="007831DD" w:rsidRDefault="000038F5">
      <w:pPr>
        <w:spacing w:line="360" w:lineRule="auto"/>
        <w:jc w:val="both"/>
        <w:rPr>
          <w:rFonts w:ascii="Times New Roman" w:hAnsi="Times New Roman" w:cs="Times New Roman"/>
          <w:sz w:val="24"/>
          <w:szCs w:val="24"/>
        </w:rPr>
      </w:pPr>
      <w:r>
        <w:rPr>
          <w:rFonts w:ascii="Times New Roman" w:hAnsi="Times New Roman" w:cs="Times New Roman"/>
          <w:sz w:val="24"/>
          <w:szCs w:val="24"/>
        </w:rPr>
        <w:t>Viscosity = (Flow time × Specific gravity × 1.002) / Flow time of water</w:t>
      </w:r>
    </w:p>
    <w:p w:rsidR="007831DD" w:rsidRDefault="000038F5">
      <w:pPr>
        <w:pStyle w:val="Heading3"/>
        <w:spacing w:line="360" w:lineRule="auto"/>
        <w:jc w:val="both"/>
        <w:rPr>
          <w:rFonts w:ascii="Times New Roman" w:hAnsi="Times New Roman" w:cs="Times New Roman"/>
          <w:color w:val="auto"/>
        </w:rPr>
      </w:pPr>
      <w:r>
        <w:rPr>
          <w:rFonts w:ascii="Times New Roman" w:hAnsi="Times New Roman" w:cs="Times New Roman"/>
          <w:color w:val="auto"/>
        </w:rPr>
        <w:t>Cetane Number</w:t>
      </w:r>
    </w:p>
    <w:p w:rsidR="007831DD" w:rsidRDefault="000038F5">
      <w:pPr>
        <w:spacing w:line="360" w:lineRule="auto"/>
        <w:jc w:val="both"/>
        <w:rPr>
          <w:rFonts w:ascii="Times New Roman" w:hAnsi="Times New Roman" w:cs="Times New Roman"/>
          <w:sz w:val="24"/>
          <w:szCs w:val="24"/>
        </w:rPr>
      </w:pPr>
      <w:r>
        <w:rPr>
          <w:rFonts w:ascii="Times New Roman" w:hAnsi="Times New Roman" w:cs="Times New Roman"/>
          <w:sz w:val="24"/>
          <w:szCs w:val="24"/>
        </w:rPr>
        <w:t>Cetane Number = 46.3 + (5458 / SV) − 0.225(IV)</w:t>
      </w:r>
    </w:p>
    <w:p w:rsidR="007831DD" w:rsidRDefault="000038F5">
      <w:pPr>
        <w:pStyle w:val="Heading3"/>
        <w:spacing w:line="360" w:lineRule="auto"/>
        <w:jc w:val="both"/>
        <w:rPr>
          <w:rFonts w:ascii="Times New Roman" w:hAnsi="Times New Roman" w:cs="Times New Roman"/>
          <w:color w:val="auto"/>
        </w:rPr>
      </w:pPr>
      <w:r>
        <w:rPr>
          <w:rFonts w:ascii="Times New Roman" w:hAnsi="Times New Roman" w:cs="Times New Roman"/>
          <w:color w:val="auto"/>
        </w:rPr>
        <w:t>High He</w:t>
      </w:r>
      <w:r>
        <w:rPr>
          <w:rFonts w:ascii="Times New Roman" w:hAnsi="Times New Roman" w:cs="Times New Roman"/>
          <w:color w:val="auto"/>
        </w:rPr>
        <w:t>ating Value</w:t>
      </w:r>
    </w:p>
    <w:p w:rsidR="007831DD" w:rsidRDefault="000038F5">
      <w:pPr>
        <w:spacing w:line="360" w:lineRule="auto"/>
        <w:jc w:val="both"/>
        <w:rPr>
          <w:rFonts w:ascii="Times New Roman" w:hAnsi="Times New Roman" w:cs="Times New Roman"/>
          <w:sz w:val="24"/>
          <w:szCs w:val="24"/>
        </w:rPr>
      </w:pPr>
      <w:r>
        <w:rPr>
          <w:rFonts w:ascii="Times New Roman" w:hAnsi="Times New Roman" w:cs="Times New Roman"/>
          <w:sz w:val="24"/>
          <w:szCs w:val="24"/>
        </w:rPr>
        <w:t>High Heating Value (HHV) = 49.43 − 0.041(SV) − 0.015(IV)</w:t>
      </w:r>
    </w:p>
    <w:p w:rsidR="007831DD" w:rsidRDefault="000038F5">
      <w:pPr>
        <w:pStyle w:val="Heading2"/>
        <w:spacing w:line="360" w:lineRule="auto"/>
        <w:jc w:val="both"/>
        <w:rPr>
          <w:sz w:val="24"/>
          <w:szCs w:val="24"/>
        </w:rPr>
      </w:pPr>
      <w:r>
        <w:rPr>
          <w:sz w:val="24"/>
          <w:szCs w:val="24"/>
        </w:rPr>
        <w:t xml:space="preserve">2.6 </w:t>
      </w:r>
      <w:r>
        <w:rPr>
          <w:sz w:val="24"/>
          <w:szCs w:val="24"/>
        </w:rPr>
        <w:t>Biodiesel Yield Optimization</w:t>
      </w:r>
    </w:p>
    <w:p w:rsidR="007831DD" w:rsidRDefault="000038F5">
      <w:pPr>
        <w:spacing w:line="360" w:lineRule="auto"/>
        <w:jc w:val="both"/>
        <w:rPr>
          <w:rFonts w:ascii="Times New Roman" w:hAnsi="Times New Roman" w:cs="Times New Roman"/>
          <w:sz w:val="24"/>
          <w:szCs w:val="24"/>
        </w:rPr>
      </w:pPr>
      <w:r>
        <w:rPr>
          <w:rFonts w:ascii="Times New Roman" w:hAnsi="Times New Roman" w:cs="Times New Roman"/>
          <w:sz w:val="24"/>
          <w:szCs w:val="24"/>
        </w:rPr>
        <w:t>Response Surface Methodology (RSM) was employed to optimize biodiesel yield through the calibration of parameters including catalyst concentration, reacti</w:t>
      </w:r>
      <w:r>
        <w:rPr>
          <w:rFonts w:ascii="Times New Roman" w:hAnsi="Times New Roman" w:cs="Times New Roman"/>
          <w:sz w:val="24"/>
          <w:szCs w:val="24"/>
        </w:rPr>
        <w:t>on time, temperature, methanol ratio, and stirring speed.</w:t>
      </w:r>
    </w:p>
    <w:p w:rsidR="007831DD" w:rsidRDefault="000038F5">
      <w:pPr>
        <w:spacing w:line="360" w:lineRule="auto"/>
        <w:jc w:val="both"/>
        <w:rPr>
          <w:rFonts w:ascii="Times New Roman" w:hAnsi="Times New Roman" w:cs="Times New Roman"/>
          <w:sz w:val="24"/>
          <w:szCs w:val="24"/>
        </w:rPr>
      </w:pPr>
      <w:r>
        <w:rPr>
          <w:rFonts w:ascii="Times New Roman" w:hAnsi="Times New Roman" w:cs="Times New Roman"/>
          <w:sz w:val="24"/>
          <w:szCs w:val="24"/>
        </w:rPr>
        <w:t>Central Composite Design (CCD) was employed in this study. The quadratic regression model is given as:</w:t>
      </w:r>
    </w:p>
    <w:p w:rsidR="007831DD" w:rsidRDefault="000038F5">
      <w:pPr>
        <w:spacing w:line="360" w:lineRule="auto"/>
        <w:jc w:val="both"/>
        <w:rPr>
          <w:rFonts w:ascii="Times New Roman" w:hAnsi="Times New Roman" w:cs="Times New Roman"/>
          <w:sz w:val="24"/>
          <w:szCs w:val="24"/>
        </w:rPr>
      </w:pPr>
      <w:r>
        <w:rPr>
          <w:rFonts w:ascii="Times New Roman" w:hAnsi="Times New Roman" w:cs="Times New Roman"/>
          <w:sz w:val="24"/>
          <w:szCs w:val="24"/>
        </w:rPr>
        <w:t>Y = β0 + Σβj xj + Σβjj xj² + ΣΣβij xi xj + ε</w:t>
      </w:r>
    </w:p>
    <w:p w:rsidR="007831DD" w:rsidRDefault="007831DD">
      <w:pPr>
        <w:jc w:val="both"/>
        <w:rPr>
          <w:rFonts w:ascii="Times New Roman" w:hAnsi="Times New Roman" w:cs="Times New Roman"/>
        </w:rPr>
      </w:pPr>
    </w:p>
    <w:p w:rsidR="007831DD" w:rsidRDefault="000038F5">
      <w:pPr>
        <w:pStyle w:val="Heading1"/>
        <w:spacing w:line="360" w:lineRule="auto"/>
        <w:jc w:val="both"/>
        <w:rPr>
          <w:sz w:val="24"/>
          <w:szCs w:val="24"/>
        </w:rPr>
      </w:pPr>
      <w:r>
        <w:rPr>
          <w:sz w:val="24"/>
          <w:szCs w:val="24"/>
        </w:rPr>
        <w:t xml:space="preserve">3. </w:t>
      </w:r>
      <w:r>
        <w:rPr>
          <w:sz w:val="24"/>
          <w:szCs w:val="24"/>
        </w:rPr>
        <w:t xml:space="preserve">RESULTS </w:t>
      </w:r>
    </w:p>
    <w:p w:rsidR="007831DD" w:rsidRDefault="000038F5">
      <w:pPr>
        <w:pStyle w:val="Heading1"/>
        <w:spacing w:line="360" w:lineRule="auto"/>
        <w:jc w:val="both"/>
        <w:rPr>
          <w:b w:val="0"/>
          <w:bCs w:val="0"/>
          <w:sz w:val="24"/>
          <w:szCs w:val="24"/>
        </w:rPr>
      </w:pPr>
      <w:r>
        <w:rPr>
          <w:b w:val="0"/>
          <w:bCs w:val="0"/>
          <w:sz w:val="24"/>
          <w:szCs w:val="24"/>
        </w:rPr>
        <w:t>The experiment's results are shown in</w:t>
      </w:r>
      <w:r>
        <w:rPr>
          <w:b w:val="0"/>
          <w:bCs w:val="0"/>
          <w:sz w:val="24"/>
          <w:szCs w:val="24"/>
        </w:rPr>
        <w:t xml:space="preserve"> Tables 1 to 6. Tables 1 and 2 compare the physical and chemical properties of the extracted Desert Date oil and transesterified biodiesel against conventional diesel and standard specification limits.</w:t>
      </w:r>
    </w:p>
    <w:p w:rsidR="007831DD" w:rsidRDefault="007831DD">
      <w:pPr>
        <w:spacing w:line="360" w:lineRule="auto"/>
        <w:jc w:val="both"/>
        <w:rPr>
          <w:rFonts w:ascii="Times New Roman" w:hAnsi="Times New Roman" w:cs="Times New Roman"/>
          <w:sz w:val="24"/>
          <w:szCs w:val="24"/>
          <w:lang w:eastAsia="zh-CN"/>
        </w:rPr>
      </w:pPr>
    </w:p>
    <w:p w:rsidR="007831DD" w:rsidRDefault="007831DD">
      <w:pPr>
        <w:spacing w:line="360" w:lineRule="auto"/>
        <w:jc w:val="both"/>
        <w:rPr>
          <w:rFonts w:ascii="Times New Roman" w:hAnsi="Times New Roman" w:cs="Times New Roman"/>
          <w:sz w:val="24"/>
          <w:szCs w:val="24"/>
          <w:lang w:eastAsia="zh-CN"/>
        </w:rPr>
      </w:pPr>
    </w:p>
    <w:p w:rsidR="007831DD" w:rsidRDefault="007831DD">
      <w:pPr>
        <w:spacing w:line="360" w:lineRule="auto"/>
        <w:jc w:val="both"/>
        <w:rPr>
          <w:rFonts w:ascii="Times New Roman" w:hAnsi="Times New Roman" w:cs="Times New Roman"/>
          <w:sz w:val="24"/>
          <w:szCs w:val="24"/>
          <w:lang w:eastAsia="zh-CN"/>
        </w:rPr>
      </w:pPr>
    </w:p>
    <w:p w:rsidR="007831DD" w:rsidRDefault="000038F5">
      <w:pPr>
        <w:spacing w:line="360" w:lineRule="auto"/>
        <w:jc w:val="both"/>
        <w:rPr>
          <w:rFonts w:ascii="Times New Roman" w:hAnsi="Times New Roman" w:cs="Times New Roman"/>
          <w:sz w:val="24"/>
          <w:szCs w:val="24"/>
        </w:rPr>
      </w:pPr>
      <w:r>
        <w:rPr>
          <w:rFonts w:ascii="Times New Roman" w:hAnsi="Times New Roman" w:cs="Times New Roman"/>
          <w:sz w:val="24"/>
          <w:szCs w:val="24"/>
          <w:lang w:eastAsia="zh-CN"/>
        </w:rPr>
        <w:lastRenderedPageBreak/>
        <w:t xml:space="preserve">The summary of the properties of </w:t>
      </w:r>
      <w:r>
        <w:rPr>
          <w:rFonts w:ascii="Times New Roman" w:hAnsi="Times New Roman" w:cs="Times New Roman"/>
          <w:sz w:val="24"/>
          <w:szCs w:val="24"/>
          <w:lang w:eastAsia="zh-CN"/>
        </w:rPr>
        <w:t>the tested samples is presented in Table 1.</w:t>
      </w:r>
      <w:r>
        <w:rPr>
          <w:rFonts w:ascii="Times New Roman" w:hAnsi="Times New Roman" w:cs="Times New Roman"/>
          <w:sz w:val="24"/>
          <w:szCs w:val="24"/>
          <w:lang w:eastAsia="zh-CN"/>
        </w:rPr>
        <w:br/>
      </w:r>
      <w:r>
        <w:rPr>
          <w:rFonts w:ascii="Times New Roman" w:hAnsi="Times New Roman" w:cs="Times New Roman"/>
          <w:sz w:val="24"/>
          <w:szCs w:val="24"/>
          <w:lang w:eastAsia="zh-CN"/>
        </w:rPr>
        <w:br/>
      </w:r>
      <w:r>
        <w:rPr>
          <w:rFonts w:ascii="Times New Roman" w:hAnsi="Times New Roman"/>
          <w:b/>
          <w:sz w:val="24"/>
          <w:szCs w:val="24"/>
        </w:rPr>
        <w:t xml:space="preserve">Table 1: </w:t>
      </w:r>
      <w:r>
        <w:rPr>
          <w:rFonts w:ascii="Times New Roman" w:hAnsi="Times New Roman"/>
          <w:bCs/>
          <w:sz w:val="24"/>
          <w:szCs w:val="24"/>
        </w:rPr>
        <w:t>Summary of the chemical properties of Desert Date</w:t>
      </w:r>
    </w:p>
    <w:tbl>
      <w:tblPr>
        <w:tblStyle w:val="TableGrid"/>
        <w:tblW w:w="0" w:type="auto"/>
        <w:tblLook w:val="04A0" w:firstRow="1" w:lastRow="0" w:firstColumn="1" w:lastColumn="0" w:noHBand="0" w:noVBand="1"/>
      </w:tblPr>
      <w:tblGrid>
        <w:gridCol w:w="805"/>
        <w:gridCol w:w="5428"/>
        <w:gridCol w:w="3117"/>
      </w:tblGrid>
      <w:tr w:rsidR="007831DD">
        <w:tc>
          <w:tcPr>
            <w:tcW w:w="805" w:type="dxa"/>
          </w:tcPr>
          <w:p w:rsidR="007831DD" w:rsidRDefault="000038F5">
            <w:pPr>
              <w:autoSpaceDE w:val="0"/>
              <w:autoSpaceDN w:val="0"/>
              <w:adjustRightInd w:val="0"/>
              <w:spacing w:after="200" w:line="240" w:lineRule="auto"/>
              <w:rPr>
                <w:rFonts w:ascii="Times New Roman" w:eastAsia="TimesNewRomanPSMT" w:hAnsi="Times New Roman" w:cs="Times New Roman"/>
                <w:b/>
                <w:sz w:val="24"/>
                <w:szCs w:val="24"/>
              </w:rPr>
            </w:pPr>
            <w:r>
              <w:rPr>
                <w:rFonts w:ascii="Times New Roman" w:eastAsia="TimesNewRomanPSMT" w:hAnsi="Times New Roman" w:cs="Times New Roman" w:hint="eastAsia"/>
                <w:b/>
                <w:sz w:val="24"/>
                <w:szCs w:val="24"/>
              </w:rPr>
              <w:t>S/N</w:t>
            </w:r>
          </w:p>
        </w:tc>
        <w:tc>
          <w:tcPr>
            <w:tcW w:w="5428" w:type="dxa"/>
          </w:tcPr>
          <w:p w:rsidR="007831DD" w:rsidRDefault="000038F5">
            <w:pPr>
              <w:autoSpaceDE w:val="0"/>
              <w:autoSpaceDN w:val="0"/>
              <w:adjustRightInd w:val="0"/>
              <w:spacing w:after="200" w:line="240" w:lineRule="auto"/>
              <w:rPr>
                <w:rFonts w:ascii="Times New Roman" w:eastAsia="TimesNewRomanPSMT" w:hAnsi="Times New Roman" w:cs="Times New Roman"/>
                <w:b/>
                <w:sz w:val="24"/>
                <w:szCs w:val="24"/>
              </w:rPr>
            </w:pPr>
            <w:r>
              <w:rPr>
                <w:rFonts w:ascii="Times New Roman" w:eastAsia="TimesNewRomanPSMT" w:hAnsi="Times New Roman" w:cs="Times New Roman" w:hint="eastAsia"/>
                <w:b/>
                <w:sz w:val="24"/>
                <w:szCs w:val="24"/>
              </w:rPr>
              <w:t>Parameters</w:t>
            </w:r>
          </w:p>
        </w:tc>
        <w:tc>
          <w:tcPr>
            <w:tcW w:w="3117" w:type="dxa"/>
          </w:tcPr>
          <w:p w:rsidR="007831DD" w:rsidRDefault="000038F5">
            <w:pPr>
              <w:autoSpaceDE w:val="0"/>
              <w:autoSpaceDN w:val="0"/>
              <w:adjustRightInd w:val="0"/>
              <w:spacing w:after="200" w:line="240" w:lineRule="auto"/>
              <w:rPr>
                <w:rFonts w:ascii="Times New Roman" w:eastAsia="TimesNewRomanPSMT" w:hAnsi="Times New Roman" w:cs="Times New Roman"/>
                <w:b/>
                <w:sz w:val="24"/>
                <w:szCs w:val="24"/>
              </w:rPr>
            </w:pPr>
            <w:r>
              <w:rPr>
                <w:rFonts w:ascii="Times New Roman" w:eastAsia="TimesNewRomanPSMT" w:hAnsi="Times New Roman" w:cs="Times New Roman" w:hint="eastAsia"/>
                <w:b/>
                <w:sz w:val="24"/>
                <w:szCs w:val="24"/>
              </w:rPr>
              <w:t>Result</w:t>
            </w:r>
          </w:p>
        </w:tc>
      </w:tr>
      <w:tr w:rsidR="007831DD">
        <w:tc>
          <w:tcPr>
            <w:tcW w:w="805" w:type="dxa"/>
          </w:tcPr>
          <w:p w:rsidR="007831DD" w:rsidRDefault="000038F5">
            <w:pPr>
              <w:autoSpaceDE w:val="0"/>
              <w:autoSpaceDN w:val="0"/>
              <w:adjustRightInd w:val="0"/>
              <w:spacing w:after="200" w:line="240" w:lineRule="auto"/>
              <w:rPr>
                <w:rFonts w:ascii="Times New Roman" w:eastAsia="TimesNewRomanPSMT" w:hAnsi="Times New Roman" w:cs="Times New Roman"/>
                <w:sz w:val="24"/>
                <w:szCs w:val="24"/>
              </w:rPr>
            </w:pPr>
            <w:r>
              <w:rPr>
                <w:rFonts w:ascii="Times New Roman" w:eastAsia="TimesNewRomanPSMT" w:hAnsi="Times New Roman" w:cs="Times New Roman" w:hint="eastAsia"/>
                <w:sz w:val="24"/>
                <w:szCs w:val="24"/>
              </w:rPr>
              <w:t>1</w:t>
            </w:r>
          </w:p>
        </w:tc>
        <w:tc>
          <w:tcPr>
            <w:tcW w:w="5428" w:type="dxa"/>
          </w:tcPr>
          <w:p w:rsidR="007831DD" w:rsidRDefault="000038F5">
            <w:pPr>
              <w:autoSpaceDE w:val="0"/>
              <w:autoSpaceDN w:val="0"/>
              <w:adjustRightInd w:val="0"/>
              <w:spacing w:after="200" w:line="240" w:lineRule="auto"/>
              <w:rPr>
                <w:rFonts w:ascii="Times New Roman" w:eastAsia="TimesNewRomanPSMT" w:hAnsi="Times New Roman" w:cs="Times New Roman"/>
                <w:sz w:val="24"/>
                <w:szCs w:val="24"/>
              </w:rPr>
            </w:pPr>
            <w:r>
              <w:rPr>
                <w:rFonts w:ascii="Times New Roman" w:eastAsia="TimesNewRomanPSMT" w:hAnsi="Times New Roman" w:cs="Times New Roman" w:hint="eastAsia"/>
                <w:sz w:val="24"/>
                <w:szCs w:val="24"/>
              </w:rPr>
              <w:t>Iodine value (g/100g)</w:t>
            </w:r>
          </w:p>
        </w:tc>
        <w:tc>
          <w:tcPr>
            <w:tcW w:w="3117" w:type="dxa"/>
          </w:tcPr>
          <w:p w:rsidR="007831DD" w:rsidRDefault="000038F5">
            <w:pPr>
              <w:autoSpaceDE w:val="0"/>
              <w:autoSpaceDN w:val="0"/>
              <w:adjustRightInd w:val="0"/>
              <w:spacing w:after="200" w:line="240" w:lineRule="auto"/>
              <w:rPr>
                <w:rFonts w:ascii="Times New Roman" w:eastAsia="TimesNewRomanPSMT" w:hAnsi="Times New Roman" w:cs="Times New Roman"/>
                <w:sz w:val="24"/>
                <w:szCs w:val="24"/>
              </w:rPr>
            </w:pPr>
            <w:r>
              <w:rPr>
                <w:rFonts w:ascii="Times New Roman" w:eastAsia="TimesNewRomanPSMT" w:hAnsi="Times New Roman" w:cs="Times New Roman" w:hint="eastAsia"/>
                <w:sz w:val="24"/>
                <w:szCs w:val="24"/>
              </w:rPr>
              <w:t xml:space="preserve">7.42 </w:t>
            </w:r>
            <w:r>
              <w:rPr>
                <w:rFonts w:ascii="Times New Roman" w:eastAsia="TimesNewRomanPSMT" w:hAnsi="Times New Roman" w:cs="Times New Roman" w:hint="eastAsia"/>
                <w:sz w:val="24"/>
                <w:szCs w:val="24"/>
              </w:rPr>
              <w:t>±</w:t>
            </w:r>
            <w:r>
              <w:rPr>
                <w:rFonts w:ascii="Times New Roman" w:eastAsia="TimesNewRomanPSMT" w:hAnsi="Times New Roman" w:cs="Times New Roman" w:hint="eastAsia"/>
                <w:sz w:val="24"/>
                <w:szCs w:val="24"/>
              </w:rPr>
              <w:t xml:space="preserve"> 0.13</w:t>
            </w:r>
          </w:p>
        </w:tc>
      </w:tr>
      <w:tr w:rsidR="007831DD">
        <w:tc>
          <w:tcPr>
            <w:tcW w:w="805" w:type="dxa"/>
          </w:tcPr>
          <w:p w:rsidR="007831DD" w:rsidRDefault="000038F5">
            <w:pPr>
              <w:autoSpaceDE w:val="0"/>
              <w:autoSpaceDN w:val="0"/>
              <w:adjustRightInd w:val="0"/>
              <w:spacing w:after="200" w:line="240" w:lineRule="auto"/>
              <w:rPr>
                <w:rFonts w:ascii="Times New Roman" w:eastAsia="TimesNewRomanPSMT" w:hAnsi="Times New Roman" w:cs="Times New Roman"/>
                <w:sz w:val="24"/>
                <w:szCs w:val="24"/>
              </w:rPr>
            </w:pPr>
            <w:r>
              <w:rPr>
                <w:rFonts w:ascii="Times New Roman" w:eastAsia="TimesNewRomanPSMT" w:hAnsi="Times New Roman" w:cs="Times New Roman" w:hint="eastAsia"/>
                <w:sz w:val="24"/>
                <w:szCs w:val="24"/>
              </w:rPr>
              <w:t>2</w:t>
            </w:r>
          </w:p>
        </w:tc>
        <w:tc>
          <w:tcPr>
            <w:tcW w:w="5428" w:type="dxa"/>
          </w:tcPr>
          <w:p w:rsidR="007831DD" w:rsidRDefault="000038F5">
            <w:pPr>
              <w:autoSpaceDE w:val="0"/>
              <w:autoSpaceDN w:val="0"/>
              <w:adjustRightInd w:val="0"/>
              <w:spacing w:after="200" w:line="240" w:lineRule="auto"/>
              <w:rPr>
                <w:rFonts w:ascii="Times New Roman" w:eastAsia="TimesNewRomanPSMT" w:hAnsi="Times New Roman" w:cs="Times New Roman"/>
                <w:sz w:val="24"/>
                <w:szCs w:val="24"/>
              </w:rPr>
            </w:pPr>
            <w:r>
              <w:rPr>
                <w:rFonts w:ascii="Times New Roman" w:eastAsia="TimesNewRomanPSMT" w:hAnsi="Times New Roman" w:cs="Times New Roman" w:hint="eastAsia"/>
                <w:sz w:val="24"/>
                <w:szCs w:val="24"/>
              </w:rPr>
              <w:t>Peroxide value (</w:t>
            </w:r>
            <w:r>
              <w:rPr>
                <w:rFonts w:ascii="Times New Roman" w:eastAsia="Calibri" w:hAnsi="Times New Roman" w:cs="Times New Roman" w:hint="eastAsia"/>
                <w:sz w:val="24"/>
                <w:szCs w:val="24"/>
              </w:rPr>
              <w:t>Meq/kg)</w:t>
            </w:r>
          </w:p>
        </w:tc>
        <w:tc>
          <w:tcPr>
            <w:tcW w:w="3117" w:type="dxa"/>
          </w:tcPr>
          <w:p w:rsidR="007831DD" w:rsidRDefault="000038F5">
            <w:pPr>
              <w:autoSpaceDE w:val="0"/>
              <w:autoSpaceDN w:val="0"/>
              <w:adjustRightInd w:val="0"/>
              <w:spacing w:after="200" w:line="240" w:lineRule="auto"/>
              <w:rPr>
                <w:rFonts w:ascii="Times New Roman" w:eastAsia="TimesNewRomanPSMT" w:hAnsi="Times New Roman" w:cs="Times New Roman"/>
                <w:sz w:val="24"/>
                <w:szCs w:val="24"/>
              </w:rPr>
            </w:pPr>
            <w:r>
              <w:rPr>
                <w:rFonts w:ascii="Times New Roman" w:eastAsia="TimesNewRomanPSMT" w:hAnsi="Times New Roman" w:cs="Times New Roman" w:hint="eastAsia"/>
                <w:sz w:val="24"/>
                <w:szCs w:val="24"/>
              </w:rPr>
              <w:t xml:space="preserve">64.67 </w:t>
            </w:r>
            <w:r>
              <w:rPr>
                <w:rFonts w:ascii="Times New Roman" w:eastAsia="TimesNewRomanPSMT" w:hAnsi="Times New Roman" w:cs="Times New Roman" w:hint="eastAsia"/>
                <w:sz w:val="24"/>
                <w:szCs w:val="24"/>
              </w:rPr>
              <w:t>±</w:t>
            </w:r>
            <w:r>
              <w:rPr>
                <w:rFonts w:ascii="Times New Roman" w:eastAsia="TimesNewRomanPSMT" w:hAnsi="Times New Roman" w:cs="Times New Roman" w:hint="eastAsia"/>
                <w:sz w:val="24"/>
                <w:szCs w:val="24"/>
              </w:rPr>
              <w:t xml:space="preserve"> 1.04</w:t>
            </w:r>
          </w:p>
        </w:tc>
      </w:tr>
      <w:tr w:rsidR="007831DD">
        <w:tc>
          <w:tcPr>
            <w:tcW w:w="805" w:type="dxa"/>
          </w:tcPr>
          <w:p w:rsidR="007831DD" w:rsidRDefault="000038F5">
            <w:pPr>
              <w:autoSpaceDE w:val="0"/>
              <w:autoSpaceDN w:val="0"/>
              <w:adjustRightInd w:val="0"/>
              <w:spacing w:after="200" w:line="240" w:lineRule="auto"/>
              <w:rPr>
                <w:rFonts w:ascii="Times New Roman" w:eastAsia="TimesNewRomanPSMT" w:hAnsi="Times New Roman" w:cs="Times New Roman"/>
                <w:sz w:val="24"/>
                <w:szCs w:val="24"/>
              </w:rPr>
            </w:pPr>
            <w:r>
              <w:rPr>
                <w:rFonts w:ascii="Times New Roman" w:eastAsia="TimesNewRomanPSMT" w:hAnsi="Times New Roman" w:cs="Times New Roman" w:hint="eastAsia"/>
                <w:sz w:val="24"/>
                <w:szCs w:val="24"/>
              </w:rPr>
              <w:t>3</w:t>
            </w:r>
          </w:p>
        </w:tc>
        <w:tc>
          <w:tcPr>
            <w:tcW w:w="5428" w:type="dxa"/>
          </w:tcPr>
          <w:p w:rsidR="007831DD" w:rsidRDefault="000038F5">
            <w:pPr>
              <w:autoSpaceDE w:val="0"/>
              <w:autoSpaceDN w:val="0"/>
              <w:adjustRightInd w:val="0"/>
              <w:spacing w:after="200" w:line="240" w:lineRule="auto"/>
              <w:rPr>
                <w:rFonts w:ascii="Times New Roman" w:eastAsia="TimesNewRomanPSMT" w:hAnsi="Times New Roman" w:cs="Times New Roman"/>
                <w:sz w:val="24"/>
                <w:szCs w:val="24"/>
              </w:rPr>
            </w:pPr>
            <w:r>
              <w:rPr>
                <w:rFonts w:ascii="Times New Roman" w:eastAsia="TimesNewRomanPSMT" w:hAnsi="Times New Roman" w:cs="Times New Roman" w:hint="eastAsia"/>
                <w:sz w:val="24"/>
                <w:szCs w:val="24"/>
              </w:rPr>
              <w:t>Saponification value (</w:t>
            </w:r>
            <w:r>
              <w:rPr>
                <w:rFonts w:ascii="Times New Roman" w:eastAsia="Calibri" w:hAnsi="Times New Roman" w:cs="Times New Roman" w:hint="eastAsia"/>
                <w:sz w:val="24"/>
                <w:szCs w:val="24"/>
              </w:rPr>
              <w:t>mgKOH/g)</w:t>
            </w:r>
          </w:p>
        </w:tc>
        <w:tc>
          <w:tcPr>
            <w:tcW w:w="3117" w:type="dxa"/>
          </w:tcPr>
          <w:p w:rsidR="007831DD" w:rsidRDefault="000038F5">
            <w:pPr>
              <w:autoSpaceDE w:val="0"/>
              <w:autoSpaceDN w:val="0"/>
              <w:adjustRightInd w:val="0"/>
              <w:spacing w:after="200" w:line="240" w:lineRule="auto"/>
              <w:rPr>
                <w:rFonts w:ascii="Times New Roman" w:eastAsia="TimesNewRomanPSMT" w:hAnsi="Times New Roman" w:cs="Times New Roman"/>
                <w:sz w:val="24"/>
                <w:szCs w:val="24"/>
              </w:rPr>
            </w:pPr>
            <w:r>
              <w:rPr>
                <w:rFonts w:ascii="Times New Roman" w:eastAsia="TimesNewRomanPSMT" w:hAnsi="Times New Roman" w:cs="Times New Roman" w:hint="eastAsia"/>
                <w:sz w:val="24"/>
                <w:szCs w:val="24"/>
              </w:rPr>
              <w:t xml:space="preserve">196.98 </w:t>
            </w:r>
            <w:r>
              <w:rPr>
                <w:rFonts w:ascii="Times New Roman" w:eastAsia="TimesNewRomanPSMT" w:hAnsi="Times New Roman" w:cs="Times New Roman" w:hint="eastAsia"/>
                <w:sz w:val="24"/>
                <w:szCs w:val="24"/>
              </w:rPr>
              <w:t>±</w:t>
            </w:r>
            <w:r>
              <w:rPr>
                <w:rFonts w:ascii="Times New Roman" w:eastAsia="TimesNewRomanPSMT" w:hAnsi="Times New Roman" w:cs="Times New Roman" w:hint="eastAsia"/>
                <w:sz w:val="24"/>
                <w:szCs w:val="24"/>
              </w:rPr>
              <w:t xml:space="preserve"> 0.49</w:t>
            </w:r>
          </w:p>
        </w:tc>
      </w:tr>
      <w:tr w:rsidR="007831DD">
        <w:tc>
          <w:tcPr>
            <w:tcW w:w="805" w:type="dxa"/>
          </w:tcPr>
          <w:p w:rsidR="007831DD" w:rsidRDefault="000038F5">
            <w:pPr>
              <w:autoSpaceDE w:val="0"/>
              <w:autoSpaceDN w:val="0"/>
              <w:adjustRightInd w:val="0"/>
              <w:spacing w:after="200" w:line="240" w:lineRule="auto"/>
              <w:rPr>
                <w:rFonts w:ascii="Times New Roman" w:eastAsia="TimesNewRomanPSMT" w:hAnsi="Times New Roman" w:cs="Times New Roman"/>
                <w:sz w:val="24"/>
                <w:szCs w:val="24"/>
              </w:rPr>
            </w:pPr>
            <w:r>
              <w:rPr>
                <w:rFonts w:ascii="Times New Roman" w:eastAsia="TimesNewRomanPSMT" w:hAnsi="Times New Roman" w:cs="Times New Roman" w:hint="eastAsia"/>
                <w:sz w:val="24"/>
                <w:szCs w:val="24"/>
              </w:rPr>
              <w:t>4</w:t>
            </w:r>
          </w:p>
        </w:tc>
        <w:tc>
          <w:tcPr>
            <w:tcW w:w="5428" w:type="dxa"/>
          </w:tcPr>
          <w:p w:rsidR="007831DD" w:rsidRDefault="000038F5">
            <w:pPr>
              <w:autoSpaceDE w:val="0"/>
              <w:autoSpaceDN w:val="0"/>
              <w:adjustRightInd w:val="0"/>
              <w:spacing w:after="200" w:line="240" w:lineRule="auto"/>
              <w:rPr>
                <w:rFonts w:ascii="Times New Roman" w:eastAsia="TimesNewRomanPSMT" w:hAnsi="Times New Roman" w:cs="Times New Roman"/>
                <w:sz w:val="24"/>
                <w:szCs w:val="24"/>
              </w:rPr>
            </w:pPr>
            <w:r>
              <w:rPr>
                <w:rFonts w:ascii="Times New Roman" w:eastAsia="TimesNewRomanPSMT" w:hAnsi="Times New Roman" w:cs="Times New Roman" w:hint="eastAsia"/>
                <w:sz w:val="24"/>
                <w:szCs w:val="24"/>
              </w:rPr>
              <w:t>Acid value (</w:t>
            </w:r>
            <w:r>
              <w:rPr>
                <w:rFonts w:ascii="Times New Roman" w:eastAsia="Calibri" w:hAnsi="Times New Roman" w:cs="Times New Roman" w:hint="eastAsia"/>
                <w:sz w:val="24"/>
                <w:szCs w:val="24"/>
              </w:rPr>
              <w:t>mgKOH/g)</w:t>
            </w:r>
          </w:p>
        </w:tc>
        <w:tc>
          <w:tcPr>
            <w:tcW w:w="3117" w:type="dxa"/>
          </w:tcPr>
          <w:p w:rsidR="007831DD" w:rsidRDefault="000038F5">
            <w:pPr>
              <w:autoSpaceDE w:val="0"/>
              <w:autoSpaceDN w:val="0"/>
              <w:adjustRightInd w:val="0"/>
              <w:spacing w:after="200" w:line="240" w:lineRule="auto"/>
              <w:rPr>
                <w:rFonts w:ascii="Times New Roman" w:eastAsia="TimesNewRomanPSMT" w:hAnsi="Times New Roman" w:cs="Times New Roman"/>
                <w:sz w:val="24"/>
                <w:szCs w:val="24"/>
              </w:rPr>
            </w:pPr>
            <w:r>
              <w:rPr>
                <w:rFonts w:ascii="Times New Roman" w:eastAsia="TimesNewRomanPSMT" w:hAnsi="Times New Roman" w:cs="Times New Roman" w:hint="eastAsia"/>
                <w:sz w:val="24"/>
                <w:szCs w:val="24"/>
              </w:rPr>
              <w:t xml:space="preserve">15.77 </w:t>
            </w:r>
            <w:r>
              <w:rPr>
                <w:rFonts w:ascii="Times New Roman" w:eastAsia="TimesNewRomanPSMT" w:hAnsi="Times New Roman" w:cs="Times New Roman" w:hint="eastAsia"/>
                <w:sz w:val="24"/>
                <w:szCs w:val="24"/>
              </w:rPr>
              <w:t>±</w:t>
            </w:r>
            <w:r>
              <w:rPr>
                <w:rFonts w:ascii="Times New Roman" w:eastAsia="TimesNewRomanPSMT" w:hAnsi="Times New Roman" w:cs="Times New Roman" w:hint="eastAsia"/>
                <w:sz w:val="24"/>
                <w:szCs w:val="24"/>
              </w:rPr>
              <w:t xml:space="preserve"> 0.86</w:t>
            </w:r>
          </w:p>
        </w:tc>
      </w:tr>
      <w:tr w:rsidR="007831DD">
        <w:tc>
          <w:tcPr>
            <w:tcW w:w="805" w:type="dxa"/>
          </w:tcPr>
          <w:p w:rsidR="007831DD" w:rsidRDefault="000038F5">
            <w:pPr>
              <w:autoSpaceDE w:val="0"/>
              <w:autoSpaceDN w:val="0"/>
              <w:adjustRightInd w:val="0"/>
              <w:spacing w:after="200" w:line="240" w:lineRule="auto"/>
              <w:rPr>
                <w:rFonts w:ascii="Times New Roman" w:eastAsia="TimesNewRomanPSMT" w:hAnsi="Times New Roman" w:cs="Times New Roman"/>
                <w:sz w:val="24"/>
                <w:szCs w:val="24"/>
              </w:rPr>
            </w:pPr>
            <w:r>
              <w:rPr>
                <w:rFonts w:ascii="Times New Roman" w:eastAsia="TimesNewRomanPSMT" w:hAnsi="Times New Roman" w:cs="Times New Roman" w:hint="eastAsia"/>
                <w:sz w:val="24"/>
                <w:szCs w:val="24"/>
              </w:rPr>
              <w:t>5</w:t>
            </w:r>
          </w:p>
        </w:tc>
        <w:tc>
          <w:tcPr>
            <w:tcW w:w="5428" w:type="dxa"/>
          </w:tcPr>
          <w:p w:rsidR="007831DD" w:rsidRDefault="000038F5">
            <w:pPr>
              <w:autoSpaceDE w:val="0"/>
              <w:autoSpaceDN w:val="0"/>
              <w:adjustRightInd w:val="0"/>
              <w:spacing w:after="200" w:line="240" w:lineRule="auto"/>
              <w:rPr>
                <w:rFonts w:ascii="Times New Roman" w:eastAsia="TimesNewRomanPSMT" w:hAnsi="Times New Roman" w:cs="Times New Roman"/>
                <w:sz w:val="24"/>
                <w:szCs w:val="24"/>
              </w:rPr>
            </w:pPr>
            <w:r>
              <w:rPr>
                <w:rFonts w:ascii="Times New Roman" w:eastAsia="TimesNewRomanPSMT" w:hAnsi="Times New Roman" w:cs="Times New Roman" w:hint="eastAsia"/>
                <w:sz w:val="24"/>
                <w:szCs w:val="24"/>
              </w:rPr>
              <w:t>Free Fatty Acid (</w:t>
            </w:r>
            <w:r>
              <w:rPr>
                <w:rFonts w:ascii="Times New Roman" w:eastAsia="Calibri" w:hAnsi="Times New Roman" w:cs="Times New Roman" w:hint="eastAsia"/>
                <w:sz w:val="24"/>
                <w:szCs w:val="24"/>
              </w:rPr>
              <w:t>mgKOH/g)</w:t>
            </w:r>
          </w:p>
        </w:tc>
        <w:tc>
          <w:tcPr>
            <w:tcW w:w="3117" w:type="dxa"/>
          </w:tcPr>
          <w:p w:rsidR="007831DD" w:rsidRDefault="000038F5">
            <w:pPr>
              <w:autoSpaceDE w:val="0"/>
              <w:autoSpaceDN w:val="0"/>
              <w:adjustRightInd w:val="0"/>
              <w:spacing w:after="200" w:line="240" w:lineRule="auto"/>
              <w:rPr>
                <w:rFonts w:ascii="Times New Roman" w:eastAsia="TimesNewRomanPSMT" w:hAnsi="Times New Roman" w:cs="Times New Roman"/>
                <w:sz w:val="24"/>
                <w:szCs w:val="24"/>
              </w:rPr>
            </w:pPr>
            <w:r>
              <w:rPr>
                <w:rFonts w:ascii="Times New Roman" w:eastAsia="TimesNewRomanPSMT" w:hAnsi="Times New Roman" w:cs="Times New Roman" w:hint="eastAsia"/>
                <w:sz w:val="24"/>
                <w:szCs w:val="24"/>
              </w:rPr>
              <w:t xml:space="preserve">5.22 </w:t>
            </w:r>
            <w:r>
              <w:rPr>
                <w:rFonts w:ascii="Times New Roman" w:eastAsia="TimesNewRomanPSMT" w:hAnsi="Times New Roman" w:cs="Times New Roman" w:hint="eastAsia"/>
                <w:sz w:val="24"/>
                <w:szCs w:val="24"/>
              </w:rPr>
              <w:t>±</w:t>
            </w:r>
            <w:r>
              <w:rPr>
                <w:rFonts w:ascii="Times New Roman" w:eastAsia="TimesNewRomanPSMT" w:hAnsi="Times New Roman" w:cs="Times New Roman" w:hint="eastAsia"/>
                <w:sz w:val="24"/>
                <w:szCs w:val="24"/>
              </w:rPr>
              <w:t xml:space="preserve"> 0.14</w:t>
            </w:r>
          </w:p>
        </w:tc>
      </w:tr>
      <w:tr w:rsidR="007831DD">
        <w:tc>
          <w:tcPr>
            <w:tcW w:w="9350" w:type="dxa"/>
            <w:gridSpan w:val="3"/>
          </w:tcPr>
          <w:p w:rsidR="007831DD" w:rsidRDefault="000038F5">
            <w:pPr>
              <w:autoSpaceDE w:val="0"/>
              <w:autoSpaceDN w:val="0"/>
              <w:adjustRightInd w:val="0"/>
              <w:spacing w:after="200" w:line="240" w:lineRule="auto"/>
              <w:rPr>
                <w:rFonts w:ascii="Times New Roman" w:eastAsia="TimesNewRomanPSMT" w:hAnsi="Times New Roman" w:cs="Times New Roman"/>
                <w:sz w:val="24"/>
                <w:szCs w:val="24"/>
              </w:rPr>
            </w:pPr>
            <w:r>
              <w:rPr>
                <w:rFonts w:ascii="Times New Roman" w:eastAsia="Calibri" w:hAnsi="Times New Roman" w:cs="Times New Roman" w:hint="eastAsia"/>
                <w:sz w:val="24"/>
                <w:szCs w:val="24"/>
              </w:rPr>
              <w:t xml:space="preserve">Mean </w:t>
            </w:r>
            <w:r>
              <w:rPr>
                <w:rFonts w:ascii="Times New Roman" w:eastAsia="Calibri" w:hAnsi="Times New Roman" w:cs="Times New Roman" w:hint="eastAsia"/>
                <w:sz w:val="24"/>
                <w:szCs w:val="24"/>
              </w:rPr>
              <w:t>±</w:t>
            </w:r>
            <w:r>
              <w:rPr>
                <w:rFonts w:ascii="Times New Roman" w:eastAsia="Calibri" w:hAnsi="Times New Roman" w:cs="Times New Roman" w:hint="eastAsia"/>
                <w:sz w:val="24"/>
                <w:szCs w:val="24"/>
              </w:rPr>
              <w:t xml:space="preserve"> standard deviation of three replicates.</w:t>
            </w:r>
          </w:p>
        </w:tc>
      </w:tr>
    </w:tbl>
    <w:p w:rsidR="007831DD" w:rsidRDefault="000038F5">
      <w:pPr>
        <w:spacing w:before="240"/>
        <w:jc w:val="both"/>
        <w:rPr>
          <w:rFonts w:ascii="Times New Roman" w:hAnsi="Times New Roman"/>
          <w:b/>
          <w:sz w:val="24"/>
          <w:szCs w:val="24"/>
        </w:rPr>
      </w:pPr>
      <w:r>
        <w:rPr>
          <w:lang w:eastAsia="zh-CN"/>
        </w:rPr>
        <w:br/>
      </w:r>
      <w:r>
        <w:rPr>
          <w:rFonts w:ascii="Times New Roman" w:hAnsi="Times New Roman"/>
          <w:b/>
          <w:sz w:val="24"/>
          <w:szCs w:val="24"/>
        </w:rPr>
        <w:t xml:space="preserve">Table 2: </w:t>
      </w:r>
      <w:r>
        <w:rPr>
          <w:rFonts w:ascii="Times New Roman" w:hAnsi="Times New Roman"/>
          <w:bCs/>
          <w:sz w:val="24"/>
          <w:szCs w:val="24"/>
        </w:rPr>
        <w:t>Summary of the physical properties of Desert Date</w:t>
      </w:r>
    </w:p>
    <w:tbl>
      <w:tblPr>
        <w:tblStyle w:val="TableGrid"/>
        <w:tblW w:w="9355" w:type="dxa"/>
        <w:tblLook w:val="04A0" w:firstRow="1" w:lastRow="0" w:firstColumn="1" w:lastColumn="0" w:noHBand="0" w:noVBand="1"/>
      </w:tblPr>
      <w:tblGrid>
        <w:gridCol w:w="805"/>
        <w:gridCol w:w="3510"/>
        <w:gridCol w:w="1710"/>
        <w:gridCol w:w="3330"/>
      </w:tblGrid>
      <w:tr w:rsidR="007831DD">
        <w:tc>
          <w:tcPr>
            <w:tcW w:w="805" w:type="dxa"/>
          </w:tcPr>
          <w:p w:rsidR="007831DD" w:rsidRDefault="000038F5">
            <w:pPr>
              <w:autoSpaceDE w:val="0"/>
              <w:autoSpaceDN w:val="0"/>
              <w:adjustRightInd w:val="0"/>
              <w:spacing w:after="200" w:line="240" w:lineRule="auto"/>
              <w:rPr>
                <w:rFonts w:ascii="Times New Roman" w:eastAsia="TimesNewRomanPSMT" w:hAnsi="Times New Roman" w:cs="Times New Roman"/>
                <w:b/>
                <w:sz w:val="24"/>
                <w:szCs w:val="24"/>
              </w:rPr>
            </w:pPr>
            <w:r>
              <w:rPr>
                <w:rFonts w:ascii="Times New Roman" w:eastAsia="TimesNewRomanPSMT" w:hAnsi="Times New Roman" w:cs="Times New Roman" w:hint="eastAsia"/>
                <w:b/>
                <w:sz w:val="24"/>
                <w:szCs w:val="24"/>
              </w:rPr>
              <w:t>S/N</w:t>
            </w:r>
          </w:p>
        </w:tc>
        <w:tc>
          <w:tcPr>
            <w:tcW w:w="3510" w:type="dxa"/>
          </w:tcPr>
          <w:p w:rsidR="007831DD" w:rsidRDefault="000038F5">
            <w:pPr>
              <w:autoSpaceDE w:val="0"/>
              <w:autoSpaceDN w:val="0"/>
              <w:adjustRightInd w:val="0"/>
              <w:spacing w:after="200" w:line="240" w:lineRule="auto"/>
              <w:rPr>
                <w:rFonts w:ascii="Times New Roman" w:eastAsia="TimesNewRomanPSMT" w:hAnsi="Times New Roman" w:cs="Times New Roman"/>
                <w:b/>
                <w:sz w:val="24"/>
                <w:szCs w:val="24"/>
              </w:rPr>
            </w:pPr>
            <w:r>
              <w:rPr>
                <w:rFonts w:ascii="Times New Roman" w:eastAsia="TimesNewRomanPSMT" w:hAnsi="Times New Roman" w:cs="Times New Roman" w:hint="eastAsia"/>
                <w:b/>
                <w:sz w:val="24"/>
                <w:szCs w:val="24"/>
              </w:rPr>
              <w:t>Parameters</w:t>
            </w:r>
          </w:p>
        </w:tc>
        <w:tc>
          <w:tcPr>
            <w:tcW w:w="1710" w:type="dxa"/>
          </w:tcPr>
          <w:p w:rsidR="007831DD" w:rsidRDefault="000038F5">
            <w:pPr>
              <w:autoSpaceDE w:val="0"/>
              <w:autoSpaceDN w:val="0"/>
              <w:adjustRightInd w:val="0"/>
              <w:spacing w:after="200" w:line="240" w:lineRule="auto"/>
              <w:rPr>
                <w:rFonts w:ascii="Times New Roman" w:eastAsia="TimesNewRomanPSMT" w:hAnsi="Times New Roman" w:cs="Times New Roman"/>
                <w:b/>
                <w:sz w:val="24"/>
                <w:szCs w:val="24"/>
              </w:rPr>
            </w:pPr>
            <w:r>
              <w:rPr>
                <w:rFonts w:ascii="Times New Roman" w:eastAsia="TimesNewRomanPSMT" w:hAnsi="Times New Roman" w:cs="Times New Roman" w:hint="eastAsia"/>
                <w:b/>
                <w:sz w:val="24"/>
                <w:szCs w:val="24"/>
              </w:rPr>
              <w:t>Properties</w:t>
            </w:r>
          </w:p>
        </w:tc>
        <w:tc>
          <w:tcPr>
            <w:tcW w:w="3330" w:type="dxa"/>
          </w:tcPr>
          <w:p w:rsidR="007831DD" w:rsidRDefault="000038F5">
            <w:pPr>
              <w:autoSpaceDE w:val="0"/>
              <w:autoSpaceDN w:val="0"/>
              <w:adjustRightInd w:val="0"/>
              <w:spacing w:after="200" w:line="240" w:lineRule="auto"/>
              <w:rPr>
                <w:rFonts w:ascii="Times New Roman" w:eastAsia="TimesNewRomanPSMT" w:hAnsi="Times New Roman" w:cs="Times New Roman"/>
                <w:b/>
                <w:sz w:val="24"/>
                <w:szCs w:val="24"/>
              </w:rPr>
            </w:pPr>
            <w:r>
              <w:rPr>
                <w:rFonts w:ascii="Times New Roman" w:eastAsia="TimesNewRomanPSMT" w:hAnsi="Times New Roman" w:cs="Times New Roman" w:hint="eastAsia"/>
                <w:b/>
                <w:sz w:val="24"/>
                <w:szCs w:val="24"/>
              </w:rPr>
              <w:t>FAO/WHO STANDARD</w:t>
            </w:r>
          </w:p>
        </w:tc>
      </w:tr>
      <w:tr w:rsidR="007831DD">
        <w:tc>
          <w:tcPr>
            <w:tcW w:w="805" w:type="dxa"/>
          </w:tcPr>
          <w:p w:rsidR="007831DD" w:rsidRDefault="000038F5">
            <w:pPr>
              <w:autoSpaceDE w:val="0"/>
              <w:autoSpaceDN w:val="0"/>
              <w:adjustRightInd w:val="0"/>
              <w:spacing w:after="200" w:line="240" w:lineRule="auto"/>
              <w:rPr>
                <w:rFonts w:ascii="Times New Roman" w:eastAsia="TimesNewRomanPSMT" w:hAnsi="Times New Roman" w:cs="Times New Roman"/>
                <w:sz w:val="24"/>
                <w:szCs w:val="24"/>
              </w:rPr>
            </w:pPr>
            <w:r>
              <w:rPr>
                <w:rFonts w:ascii="Times New Roman" w:eastAsia="TimesNewRomanPSMT" w:hAnsi="Times New Roman" w:cs="Times New Roman" w:hint="eastAsia"/>
                <w:sz w:val="24"/>
                <w:szCs w:val="24"/>
              </w:rPr>
              <w:t>1</w:t>
            </w:r>
          </w:p>
        </w:tc>
        <w:tc>
          <w:tcPr>
            <w:tcW w:w="3510" w:type="dxa"/>
          </w:tcPr>
          <w:p w:rsidR="007831DD" w:rsidRDefault="000038F5">
            <w:pPr>
              <w:autoSpaceDE w:val="0"/>
              <w:autoSpaceDN w:val="0"/>
              <w:adjustRightInd w:val="0"/>
              <w:spacing w:after="200" w:line="240" w:lineRule="auto"/>
              <w:rPr>
                <w:rFonts w:ascii="Times New Roman" w:eastAsia="TimesNewRomanPSMT" w:hAnsi="Times New Roman" w:cs="Times New Roman"/>
                <w:sz w:val="24"/>
                <w:szCs w:val="24"/>
              </w:rPr>
            </w:pPr>
            <w:r>
              <w:rPr>
                <w:rFonts w:ascii="Times New Roman" w:eastAsia="TimesNewRomanPSMT" w:hAnsi="Times New Roman" w:cs="Times New Roman" w:hint="eastAsia"/>
                <w:sz w:val="24"/>
                <w:szCs w:val="24"/>
              </w:rPr>
              <w:t>Color</w:t>
            </w:r>
          </w:p>
        </w:tc>
        <w:tc>
          <w:tcPr>
            <w:tcW w:w="1710" w:type="dxa"/>
          </w:tcPr>
          <w:p w:rsidR="007831DD" w:rsidRDefault="000038F5">
            <w:pPr>
              <w:autoSpaceDE w:val="0"/>
              <w:autoSpaceDN w:val="0"/>
              <w:adjustRightInd w:val="0"/>
              <w:spacing w:after="200" w:line="240" w:lineRule="auto"/>
              <w:rPr>
                <w:rFonts w:ascii="Times New Roman" w:eastAsia="TimesNewRomanPSMT" w:hAnsi="Times New Roman" w:cs="Times New Roman"/>
                <w:sz w:val="24"/>
                <w:szCs w:val="24"/>
              </w:rPr>
            </w:pPr>
            <w:r>
              <w:rPr>
                <w:rFonts w:ascii="Times New Roman" w:eastAsia="TimesNewRomanPSMT" w:hAnsi="Times New Roman" w:cs="Times New Roman" w:hint="eastAsia"/>
                <w:sz w:val="24"/>
                <w:szCs w:val="24"/>
              </w:rPr>
              <w:t>Pale yellow</w:t>
            </w:r>
          </w:p>
        </w:tc>
        <w:tc>
          <w:tcPr>
            <w:tcW w:w="3330" w:type="dxa"/>
          </w:tcPr>
          <w:p w:rsidR="007831DD" w:rsidRDefault="000038F5">
            <w:pPr>
              <w:autoSpaceDE w:val="0"/>
              <w:autoSpaceDN w:val="0"/>
              <w:adjustRightInd w:val="0"/>
              <w:spacing w:after="200" w:line="240" w:lineRule="auto"/>
              <w:rPr>
                <w:rFonts w:ascii="Times New Roman" w:eastAsia="TimesNewRomanPSMT" w:hAnsi="Times New Roman" w:cs="Times New Roman"/>
                <w:sz w:val="24"/>
                <w:szCs w:val="24"/>
              </w:rPr>
            </w:pPr>
            <w:r>
              <w:rPr>
                <w:rFonts w:ascii="Times New Roman" w:eastAsia="TimesNewRomanPSMT" w:hAnsi="Times New Roman" w:cs="Times New Roman" w:hint="eastAsia"/>
                <w:sz w:val="24"/>
                <w:szCs w:val="24"/>
              </w:rPr>
              <w:t xml:space="preserve">Pale </w:t>
            </w:r>
            <w:r>
              <w:rPr>
                <w:rFonts w:ascii="Times New Roman" w:eastAsia="TimesNewRomanPSMT" w:hAnsi="Times New Roman" w:cs="Times New Roman" w:hint="eastAsia"/>
                <w:sz w:val="24"/>
                <w:szCs w:val="24"/>
              </w:rPr>
              <w:t>yellow</w:t>
            </w:r>
          </w:p>
        </w:tc>
      </w:tr>
      <w:tr w:rsidR="007831DD">
        <w:tc>
          <w:tcPr>
            <w:tcW w:w="805" w:type="dxa"/>
          </w:tcPr>
          <w:p w:rsidR="007831DD" w:rsidRDefault="000038F5">
            <w:pPr>
              <w:autoSpaceDE w:val="0"/>
              <w:autoSpaceDN w:val="0"/>
              <w:adjustRightInd w:val="0"/>
              <w:spacing w:after="200" w:line="240" w:lineRule="auto"/>
              <w:rPr>
                <w:rFonts w:ascii="Times New Roman" w:eastAsia="TimesNewRomanPSMT" w:hAnsi="Times New Roman" w:cs="Times New Roman"/>
                <w:sz w:val="24"/>
                <w:szCs w:val="24"/>
              </w:rPr>
            </w:pPr>
            <w:r>
              <w:rPr>
                <w:rFonts w:ascii="Times New Roman" w:eastAsia="TimesNewRomanPSMT" w:hAnsi="Times New Roman" w:cs="Times New Roman" w:hint="eastAsia"/>
                <w:sz w:val="24"/>
                <w:szCs w:val="24"/>
              </w:rPr>
              <w:t>2</w:t>
            </w:r>
          </w:p>
        </w:tc>
        <w:tc>
          <w:tcPr>
            <w:tcW w:w="3510" w:type="dxa"/>
          </w:tcPr>
          <w:p w:rsidR="007831DD" w:rsidRDefault="000038F5">
            <w:pPr>
              <w:autoSpaceDE w:val="0"/>
              <w:autoSpaceDN w:val="0"/>
              <w:adjustRightInd w:val="0"/>
              <w:spacing w:after="200" w:line="240" w:lineRule="auto"/>
              <w:rPr>
                <w:rFonts w:ascii="Times New Roman" w:eastAsia="TimesNewRomanPSMT" w:hAnsi="Times New Roman" w:cs="Times New Roman"/>
                <w:sz w:val="24"/>
                <w:szCs w:val="24"/>
              </w:rPr>
            </w:pPr>
            <w:r>
              <w:rPr>
                <w:rFonts w:ascii="Times New Roman" w:eastAsia="Calibri" w:hAnsi="Times New Roman" w:cs="Times New Roman" w:hint="eastAsia"/>
                <w:sz w:val="24"/>
                <w:szCs w:val="24"/>
              </w:rPr>
              <w:t>Density (g/cm</w:t>
            </w:r>
            <w:r>
              <w:rPr>
                <w:rFonts w:ascii="Times New Roman" w:eastAsia="Calibri" w:hAnsi="Times New Roman" w:cs="Times New Roman" w:hint="eastAsia"/>
                <w:sz w:val="24"/>
                <w:szCs w:val="24"/>
                <w:vertAlign w:val="superscript"/>
              </w:rPr>
              <w:t>3</w:t>
            </w:r>
            <w:r>
              <w:rPr>
                <w:rFonts w:ascii="Times New Roman" w:eastAsia="Calibri" w:hAnsi="Times New Roman" w:cs="Times New Roman" w:hint="eastAsia"/>
                <w:sz w:val="24"/>
                <w:szCs w:val="24"/>
              </w:rPr>
              <w:t>)</w:t>
            </w:r>
          </w:p>
        </w:tc>
        <w:tc>
          <w:tcPr>
            <w:tcW w:w="1710" w:type="dxa"/>
          </w:tcPr>
          <w:p w:rsidR="007831DD" w:rsidRDefault="000038F5">
            <w:pPr>
              <w:autoSpaceDE w:val="0"/>
              <w:autoSpaceDN w:val="0"/>
              <w:adjustRightInd w:val="0"/>
              <w:spacing w:after="200" w:line="240" w:lineRule="auto"/>
              <w:rPr>
                <w:rFonts w:ascii="Times New Roman" w:eastAsia="TimesNewRomanPSMT" w:hAnsi="Times New Roman" w:cs="Times New Roman"/>
                <w:sz w:val="24"/>
                <w:szCs w:val="24"/>
              </w:rPr>
            </w:pPr>
            <w:r>
              <w:rPr>
                <w:rFonts w:ascii="Times New Roman" w:eastAsia="TimesNewRomanPSMT" w:hAnsi="Times New Roman" w:cs="Times New Roman" w:hint="eastAsia"/>
                <w:sz w:val="24"/>
                <w:szCs w:val="24"/>
              </w:rPr>
              <w:t>0.904</w:t>
            </w:r>
          </w:p>
        </w:tc>
        <w:tc>
          <w:tcPr>
            <w:tcW w:w="3330" w:type="dxa"/>
          </w:tcPr>
          <w:p w:rsidR="007831DD" w:rsidRDefault="000038F5">
            <w:pPr>
              <w:autoSpaceDE w:val="0"/>
              <w:autoSpaceDN w:val="0"/>
              <w:adjustRightInd w:val="0"/>
              <w:spacing w:after="200" w:line="240" w:lineRule="auto"/>
              <w:rPr>
                <w:rFonts w:ascii="Times New Roman" w:eastAsia="TimesNewRomanPSMT" w:hAnsi="Times New Roman" w:cs="Times New Roman"/>
                <w:sz w:val="24"/>
                <w:szCs w:val="24"/>
              </w:rPr>
            </w:pPr>
            <w:r>
              <w:rPr>
                <w:rFonts w:ascii="Times New Roman" w:eastAsia="TimesNewRomanPSMT" w:hAnsi="Times New Roman" w:cs="Times New Roman" w:hint="eastAsia"/>
                <w:sz w:val="24"/>
                <w:szCs w:val="24"/>
              </w:rPr>
              <w:t>0.909</w:t>
            </w:r>
          </w:p>
        </w:tc>
      </w:tr>
      <w:tr w:rsidR="007831DD">
        <w:tc>
          <w:tcPr>
            <w:tcW w:w="805" w:type="dxa"/>
          </w:tcPr>
          <w:p w:rsidR="007831DD" w:rsidRDefault="000038F5">
            <w:pPr>
              <w:autoSpaceDE w:val="0"/>
              <w:autoSpaceDN w:val="0"/>
              <w:adjustRightInd w:val="0"/>
              <w:spacing w:after="200" w:line="240" w:lineRule="auto"/>
              <w:rPr>
                <w:rFonts w:ascii="Times New Roman" w:eastAsia="TimesNewRomanPSMT" w:hAnsi="Times New Roman" w:cs="Times New Roman"/>
                <w:sz w:val="24"/>
                <w:szCs w:val="24"/>
              </w:rPr>
            </w:pPr>
            <w:r>
              <w:rPr>
                <w:rFonts w:ascii="Times New Roman" w:eastAsia="TimesNewRomanPSMT" w:hAnsi="Times New Roman" w:cs="Times New Roman" w:hint="eastAsia"/>
                <w:sz w:val="24"/>
                <w:szCs w:val="24"/>
              </w:rPr>
              <w:t>3</w:t>
            </w:r>
          </w:p>
        </w:tc>
        <w:tc>
          <w:tcPr>
            <w:tcW w:w="3510" w:type="dxa"/>
          </w:tcPr>
          <w:p w:rsidR="007831DD" w:rsidRDefault="000038F5">
            <w:pPr>
              <w:autoSpaceDE w:val="0"/>
              <w:autoSpaceDN w:val="0"/>
              <w:adjustRightInd w:val="0"/>
              <w:spacing w:after="200" w:line="240" w:lineRule="auto"/>
              <w:rPr>
                <w:rFonts w:ascii="Times New Roman" w:eastAsia="TimesNewRomanPSMT" w:hAnsi="Times New Roman" w:cs="Times New Roman"/>
                <w:sz w:val="24"/>
                <w:szCs w:val="24"/>
              </w:rPr>
            </w:pPr>
            <w:r>
              <w:rPr>
                <w:rFonts w:ascii="Times New Roman" w:eastAsia="Calibri" w:hAnsi="Times New Roman" w:cs="Times New Roman" w:hint="eastAsia"/>
                <w:sz w:val="24"/>
                <w:szCs w:val="24"/>
              </w:rPr>
              <w:t>Specific Gravity</w:t>
            </w:r>
          </w:p>
        </w:tc>
        <w:tc>
          <w:tcPr>
            <w:tcW w:w="1710" w:type="dxa"/>
          </w:tcPr>
          <w:p w:rsidR="007831DD" w:rsidRDefault="000038F5">
            <w:pPr>
              <w:autoSpaceDE w:val="0"/>
              <w:autoSpaceDN w:val="0"/>
              <w:adjustRightInd w:val="0"/>
              <w:spacing w:after="200" w:line="240" w:lineRule="auto"/>
              <w:rPr>
                <w:rFonts w:ascii="Times New Roman" w:eastAsia="TimesNewRomanPSMT" w:hAnsi="Times New Roman" w:cs="Times New Roman"/>
                <w:sz w:val="24"/>
                <w:szCs w:val="24"/>
              </w:rPr>
            </w:pPr>
            <w:r>
              <w:rPr>
                <w:rFonts w:ascii="Times New Roman" w:eastAsia="TimesNewRomanPSMT" w:hAnsi="Times New Roman" w:cs="Times New Roman" w:hint="eastAsia"/>
                <w:sz w:val="24"/>
                <w:szCs w:val="24"/>
              </w:rPr>
              <w:t>0.906</w:t>
            </w:r>
          </w:p>
        </w:tc>
        <w:tc>
          <w:tcPr>
            <w:tcW w:w="3330" w:type="dxa"/>
          </w:tcPr>
          <w:p w:rsidR="007831DD" w:rsidRDefault="000038F5">
            <w:pPr>
              <w:autoSpaceDE w:val="0"/>
              <w:autoSpaceDN w:val="0"/>
              <w:adjustRightInd w:val="0"/>
              <w:spacing w:after="200" w:line="240" w:lineRule="auto"/>
              <w:rPr>
                <w:rFonts w:ascii="Times New Roman" w:eastAsia="TimesNewRomanPSMT" w:hAnsi="Times New Roman" w:cs="Times New Roman"/>
                <w:sz w:val="24"/>
                <w:szCs w:val="24"/>
              </w:rPr>
            </w:pPr>
            <w:r>
              <w:rPr>
                <w:rFonts w:ascii="Times New Roman" w:eastAsia="TimesNewRomanPSMT" w:hAnsi="Times New Roman" w:cs="Times New Roman" w:hint="eastAsia"/>
                <w:sz w:val="24"/>
                <w:szCs w:val="24"/>
              </w:rPr>
              <w:t>0.9 - 1.16</w:t>
            </w:r>
          </w:p>
        </w:tc>
      </w:tr>
      <w:tr w:rsidR="007831DD">
        <w:tc>
          <w:tcPr>
            <w:tcW w:w="805" w:type="dxa"/>
          </w:tcPr>
          <w:p w:rsidR="007831DD" w:rsidRDefault="000038F5">
            <w:pPr>
              <w:autoSpaceDE w:val="0"/>
              <w:autoSpaceDN w:val="0"/>
              <w:adjustRightInd w:val="0"/>
              <w:spacing w:after="200" w:line="240" w:lineRule="auto"/>
              <w:rPr>
                <w:rFonts w:ascii="Times New Roman" w:eastAsia="TimesNewRomanPSMT" w:hAnsi="Times New Roman" w:cs="Times New Roman"/>
                <w:sz w:val="24"/>
                <w:szCs w:val="24"/>
              </w:rPr>
            </w:pPr>
            <w:r>
              <w:rPr>
                <w:rFonts w:ascii="Times New Roman" w:eastAsia="TimesNewRomanPSMT" w:hAnsi="Times New Roman" w:cs="Times New Roman" w:hint="eastAsia"/>
                <w:sz w:val="24"/>
                <w:szCs w:val="24"/>
              </w:rPr>
              <w:t>4</w:t>
            </w:r>
          </w:p>
        </w:tc>
        <w:tc>
          <w:tcPr>
            <w:tcW w:w="3510" w:type="dxa"/>
          </w:tcPr>
          <w:p w:rsidR="007831DD" w:rsidRDefault="000038F5">
            <w:pPr>
              <w:autoSpaceDE w:val="0"/>
              <w:autoSpaceDN w:val="0"/>
              <w:adjustRightInd w:val="0"/>
              <w:spacing w:after="200" w:line="240" w:lineRule="auto"/>
              <w:rPr>
                <w:rFonts w:ascii="Times New Roman" w:eastAsia="TimesNewRomanPSMT" w:hAnsi="Times New Roman" w:cs="Times New Roman"/>
                <w:sz w:val="24"/>
                <w:szCs w:val="24"/>
              </w:rPr>
            </w:pPr>
            <w:r>
              <w:rPr>
                <w:rFonts w:ascii="Times New Roman" w:eastAsia="Calibri" w:hAnsi="Times New Roman" w:cs="Times New Roman" w:hint="eastAsia"/>
                <w:sz w:val="24"/>
                <w:szCs w:val="24"/>
              </w:rPr>
              <w:t xml:space="preserve">Refractive Index </w:t>
            </w:r>
          </w:p>
        </w:tc>
        <w:tc>
          <w:tcPr>
            <w:tcW w:w="1710" w:type="dxa"/>
          </w:tcPr>
          <w:p w:rsidR="007831DD" w:rsidRDefault="000038F5">
            <w:pPr>
              <w:autoSpaceDE w:val="0"/>
              <w:autoSpaceDN w:val="0"/>
              <w:adjustRightInd w:val="0"/>
              <w:spacing w:after="200" w:line="240" w:lineRule="auto"/>
              <w:rPr>
                <w:rFonts w:ascii="Times New Roman" w:eastAsia="TimesNewRomanPSMT" w:hAnsi="Times New Roman" w:cs="Times New Roman"/>
                <w:sz w:val="24"/>
                <w:szCs w:val="24"/>
              </w:rPr>
            </w:pPr>
            <w:r>
              <w:rPr>
                <w:rFonts w:ascii="Times New Roman" w:eastAsia="TimesNewRomanPSMT" w:hAnsi="Times New Roman" w:cs="Times New Roman" w:hint="eastAsia"/>
                <w:sz w:val="24"/>
                <w:szCs w:val="24"/>
              </w:rPr>
              <w:t>1.464</w:t>
            </w:r>
          </w:p>
        </w:tc>
        <w:tc>
          <w:tcPr>
            <w:tcW w:w="3330" w:type="dxa"/>
          </w:tcPr>
          <w:p w:rsidR="007831DD" w:rsidRDefault="000038F5">
            <w:pPr>
              <w:autoSpaceDE w:val="0"/>
              <w:autoSpaceDN w:val="0"/>
              <w:adjustRightInd w:val="0"/>
              <w:spacing w:after="200" w:line="240" w:lineRule="auto"/>
              <w:rPr>
                <w:rFonts w:ascii="Times New Roman" w:eastAsia="TimesNewRomanPSMT" w:hAnsi="Times New Roman" w:cs="Times New Roman"/>
                <w:sz w:val="24"/>
                <w:szCs w:val="24"/>
              </w:rPr>
            </w:pPr>
            <w:r>
              <w:rPr>
                <w:rFonts w:ascii="Times New Roman" w:eastAsia="TimesNewRomanPSMT" w:hAnsi="Times New Roman" w:cs="Times New Roman" w:hint="eastAsia"/>
                <w:sz w:val="24"/>
                <w:szCs w:val="24"/>
              </w:rPr>
              <w:t xml:space="preserve">1.4677 </w:t>
            </w:r>
            <w:r>
              <w:rPr>
                <w:rFonts w:ascii="Times New Roman" w:eastAsia="TimesNewRomanPSMT" w:hAnsi="Times New Roman" w:cs="Times New Roman" w:hint="eastAsia"/>
                <w:sz w:val="24"/>
                <w:szCs w:val="24"/>
              </w:rPr>
              <w:t>–</w:t>
            </w:r>
            <w:r>
              <w:rPr>
                <w:rFonts w:ascii="Times New Roman" w:eastAsia="TimesNewRomanPSMT" w:hAnsi="Times New Roman" w:cs="Times New Roman" w:hint="eastAsia"/>
                <w:sz w:val="24"/>
                <w:szCs w:val="24"/>
              </w:rPr>
              <w:t xml:space="preserve"> 1.4705</w:t>
            </w:r>
          </w:p>
        </w:tc>
      </w:tr>
      <w:tr w:rsidR="007831DD">
        <w:tc>
          <w:tcPr>
            <w:tcW w:w="805" w:type="dxa"/>
          </w:tcPr>
          <w:p w:rsidR="007831DD" w:rsidRDefault="000038F5">
            <w:pPr>
              <w:autoSpaceDE w:val="0"/>
              <w:autoSpaceDN w:val="0"/>
              <w:adjustRightInd w:val="0"/>
              <w:spacing w:after="200" w:line="240" w:lineRule="auto"/>
              <w:rPr>
                <w:rFonts w:ascii="Times New Roman" w:eastAsia="TimesNewRomanPSMT" w:hAnsi="Times New Roman" w:cs="Times New Roman"/>
                <w:sz w:val="24"/>
                <w:szCs w:val="24"/>
              </w:rPr>
            </w:pPr>
            <w:r>
              <w:rPr>
                <w:rFonts w:ascii="Times New Roman" w:eastAsia="TimesNewRomanPSMT" w:hAnsi="Times New Roman" w:cs="Times New Roman" w:hint="eastAsia"/>
                <w:sz w:val="24"/>
                <w:szCs w:val="24"/>
              </w:rPr>
              <w:t>5</w:t>
            </w:r>
          </w:p>
        </w:tc>
        <w:tc>
          <w:tcPr>
            <w:tcW w:w="3510" w:type="dxa"/>
          </w:tcPr>
          <w:p w:rsidR="007831DD" w:rsidRDefault="000038F5">
            <w:pPr>
              <w:autoSpaceDE w:val="0"/>
              <w:autoSpaceDN w:val="0"/>
              <w:adjustRightInd w:val="0"/>
              <w:spacing w:after="200" w:line="240" w:lineRule="auto"/>
              <w:rPr>
                <w:rFonts w:ascii="Times New Roman" w:eastAsia="TimesNewRomanPSMT" w:hAnsi="Times New Roman" w:cs="Times New Roman"/>
                <w:sz w:val="24"/>
                <w:szCs w:val="24"/>
              </w:rPr>
            </w:pPr>
            <w:r>
              <w:rPr>
                <w:rFonts w:ascii="Times New Roman" w:eastAsia="TimesNewRomanPSMT" w:hAnsi="Times New Roman" w:cs="Times New Roman" w:hint="eastAsia"/>
                <w:sz w:val="24"/>
                <w:szCs w:val="24"/>
              </w:rPr>
              <w:t xml:space="preserve">Viscosity </w:t>
            </w:r>
          </w:p>
        </w:tc>
        <w:tc>
          <w:tcPr>
            <w:tcW w:w="1710" w:type="dxa"/>
          </w:tcPr>
          <w:p w:rsidR="007831DD" w:rsidRDefault="000038F5">
            <w:pPr>
              <w:autoSpaceDE w:val="0"/>
              <w:autoSpaceDN w:val="0"/>
              <w:adjustRightInd w:val="0"/>
              <w:spacing w:after="200" w:line="240" w:lineRule="auto"/>
              <w:rPr>
                <w:rFonts w:ascii="Times New Roman" w:eastAsia="TimesNewRomanPSMT" w:hAnsi="Times New Roman" w:cs="Times New Roman"/>
                <w:sz w:val="24"/>
                <w:szCs w:val="24"/>
              </w:rPr>
            </w:pPr>
            <w:r>
              <w:rPr>
                <w:rFonts w:ascii="Times New Roman" w:eastAsia="TimesNewRomanPSMT" w:hAnsi="Times New Roman" w:cs="Times New Roman" w:hint="eastAsia"/>
                <w:sz w:val="24"/>
                <w:szCs w:val="24"/>
              </w:rPr>
              <w:t>19.70</w:t>
            </w:r>
          </w:p>
        </w:tc>
        <w:tc>
          <w:tcPr>
            <w:tcW w:w="3330" w:type="dxa"/>
          </w:tcPr>
          <w:p w:rsidR="007831DD" w:rsidRDefault="000038F5">
            <w:pPr>
              <w:autoSpaceDE w:val="0"/>
              <w:autoSpaceDN w:val="0"/>
              <w:adjustRightInd w:val="0"/>
              <w:spacing w:after="200" w:line="240" w:lineRule="auto"/>
              <w:rPr>
                <w:rFonts w:ascii="Times New Roman" w:eastAsia="TimesNewRomanPSMT" w:hAnsi="Times New Roman" w:cs="Times New Roman"/>
                <w:sz w:val="24"/>
                <w:szCs w:val="24"/>
              </w:rPr>
            </w:pPr>
            <w:r>
              <w:rPr>
                <w:rFonts w:ascii="Times New Roman" w:eastAsia="TimesNewRomanPSMT" w:hAnsi="Times New Roman" w:cs="Times New Roman" w:hint="eastAsia"/>
                <w:sz w:val="24"/>
                <w:szCs w:val="24"/>
              </w:rPr>
              <w:t>19.79</w:t>
            </w:r>
          </w:p>
        </w:tc>
      </w:tr>
    </w:tbl>
    <w:p w:rsidR="007831DD" w:rsidRDefault="000038F5">
      <w:pPr>
        <w:autoSpaceDE w:val="0"/>
        <w:autoSpaceDN w:val="0"/>
        <w:adjustRightInd w:val="0"/>
        <w:rPr>
          <w:rFonts w:ascii="Times New Roman" w:eastAsia="TimesNewRomanPSMT" w:hAnsi="Times New Roman"/>
          <w:b/>
          <w:sz w:val="24"/>
          <w:szCs w:val="24"/>
        </w:rPr>
      </w:pPr>
      <w:r>
        <w:rPr>
          <w:lang w:eastAsia="zh-CN"/>
        </w:rPr>
        <w:br/>
      </w:r>
      <w:r>
        <w:rPr>
          <w:rFonts w:ascii="Times New Roman" w:eastAsia="TimesNewRomanPSMT" w:hAnsi="Times New Roman"/>
          <w:b/>
          <w:sz w:val="24"/>
          <w:szCs w:val="24"/>
        </w:rPr>
        <w:t>Table 3</w:t>
      </w:r>
    </w:p>
    <w:p w:rsidR="007831DD" w:rsidRDefault="000038F5">
      <w:pPr>
        <w:spacing w:after="132"/>
        <w:ind w:left="-2" w:firstLine="288"/>
        <w:rPr>
          <w:rFonts w:ascii="Times New Roman" w:hAnsi="Times New Roman"/>
          <w:sz w:val="24"/>
          <w:szCs w:val="24"/>
        </w:rPr>
      </w:pPr>
      <w:r>
        <w:rPr>
          <w:rFonts w:ascii="Times New Roman" w:hAnsi="Times New Roman"/>
          <w:sz w:val="24"/>
          <w:szCs w:val="24"/>
        </w:rPr>
        <w:t>Define factor ranges</w:t>
      </w:r>
    </w:p>
    <w:tbl>
      <w:tblPr>
        <w:tblStyle w:val="TableGrid"/>
        <w:tblW w:w="0" w:type="auto"/>
        <w:tblInd w:w="-2" w:type="dxa"/>
        <w:tblLook w:val="04A0" w:firstRow="1" w:lastRow="0" w:firstColumn="1" w:lastColumn="0" w:noHBand="0" w:noVBand="1"/>
      </w:tblPr>
      <w:tblGrid>
        <w:gridCol w:w="1704"/>
        <w:gridCol w:w="1704"/>
        <w:gridCol w:w="1704"/>
        <w:gridCol w:w="1705"/>
        <w:gridCol w:w="1705"/>
      </w:tblGrid>
      <w:tr w:rsidR="007831DD">
        <w:tc>
          <w:tcPr>
            <w:tcW w:w="1704" w:type="dxa"/>
          </w:tcPr>
          <w:p w:rsidR="007831DD" w:rsidRDefault="000038F5">
            <w:pPr>
              <w:spacing w:after="132"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factor</w:t>
            </w:r>
          </w:p>
        </w:tc>
        <w:tc>
          <w:tcPr>
            <w:tcW w:w="1704" w:type="dxa"/>
          </w:tcPr>
          <w:p w:rsidR="007831DD" w:rsidRDefault="000038F5">
            <w:pPr>
              <w:spacing w:after="132"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symbol</w:t>
            </w:r>
          </w:p>
        </w:tc>
        <w:tc>
          <w:tcPr>
            <w:tcW w:w="1704" w:type="dxa"/>
          </w:tcPr>
          <w:p w:rsidR="007831DD" w:rsidRDefault="000038F5">
            <w:pPr>
              <w:spacing w:after="132"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Low level (-1)</w:t>
            </w:r>
          </w:p>
        </w:tc>
        <w:tc>
          <w:tcPr>
            <w:tcW w:w="1705" w:type="dxa"/>
          </w:tcPr>
          <w:p w:rsidR="007831DD" w:rsidRDefault="000038F5">
            <w:pPr>
              <w:spacing w:after="132"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Center (0)</w:t>
            </w:r>
          </w:p>
        </w:tc>
        <w:tc>
          <w:tcPr>
            <w:tcW w:w="1705" w:type="dxa"/>
          </w:tcPr>
          <w:p w:rsidR="007831DD" w:rsidRDefault="000038F5">
            <w:pPr>
              <w:spacing w:after="132"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High level (+1)</w:t>
            </w:r>
          </w:p>
        </w:tc>
      </w:tr>
      <w:tr w:rsidR="007831DD">
        <w:tc>
          <w:tcPr>
            <w:tcW w:w="1704" w:type="dxa"/>
          </w:tcPr>
          <w:p w:rsidR="007831DD" w:rsidRDefault="000038F5">
            <w:pPr>
              <w:spacing w:after="132"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Catalyst (%)</w:t>
            </w:r>
          </w:p>
        </w:tc>
        <w:tc>
          <w:tcPr>
            <w:tcW w:w="1704" w:type="dxa"/>
          </w:tcPr>
          <w:p w:rsidR="007831DD" w:rsidRDefault="000038F5">
            <w:pPr>
              <w:spacing w:after="132"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A</w:t>
            </w:r>
          </w:p>
        </w:tc>
        <w:tc>
          <w:tcPr>
            <w:tcW w:w="1704" w:type="dxa"/>
          </w:tcPr>
          <w:p w:rsidR="007831DD" w:rsidRDefault="000038F5">
            <w:pPr>
              <w:spacing w:after="132"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0.1</w:t>
            </w:r>
          </w:p>
        </w:tc>
        <w:tc>
          <w:tcPr>
            <w:tcW w:w="1705" w:type="dxa"/>
          </w:tcPr>
          <w:p w:rsidR="007831DD" w:rsidRDefault="000038F5">
            <w:pPr>
              <w:spacing w:after="132"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0.4</w:t>
            </w:r>
          </w:p>
        </w:tc>
        <w:tc>
          <w:tcPr>
            <w:tcW w:w="1705" w:type="dxa"/>
          </w:tcPr>
          <w:p w:rsidR="007831DD" w:rsidRDefault="000038F5">
            <w:pPr>
              <w:spacing w:after="132"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0.7</w:t>
            </w:r>
          </w:p>
        </w:tc>
      </w:tr>
      <w:tr w:rsidR="007831DD">
        <w:tc>
          <w:tcPr>
            <w:tcW w:w="1704" w:type="dxa"/>
          </w:tcPr>
          <w:p w:rsidR="007831DD" w:rsidRDefault="000038F5">
            <w:pPr>
              <w:spacing w:after="132"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Time (min)</w:t>
            </w:r>
          </w:p>
        </w:tc>
        <w:tc>
          <w:tcPr>
            <w:tcW w:w="1704" w:type="dxa"/>
          </w:tcPr>
          <w:p w:rsidR="007831DD" w:rsidRDefault="000038F5">
            <w:pPr>
              <w:spacing w:after="132"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B</w:t>
            </w:r>
          </w:p>
        </w:tc>
        <w:tc>
          <w:tcPr>
            <w:tcW w:w="1704" w:type="dxa"/>
          </w:tcPr>
          <w:p w:rsidR="007831DD" w:rsidRDefault="000038F5">
            <w:pPr>
              <w:spacing w:after="132"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35</w:t>
            </w:r>
          </w:p>
        </w:tc>
        <w:tc>
          <w:tcPr>
            <w:tcW w:w="1705" w:type="dxa"/>
          </w:tcPr>
          <w:p w:rsidR="007831DD" w:rsidRDefault="000038F5">
            <w:pPr>
              <w:spacing w:after="132"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50</w:t>
            </w:r>
          </w:p>
        </w:tc>
        <w:tc>
          <w:tcPr>
            <w:tcW w:w="1705" w:type="dxa"/>
          </w:tcPr>
          <w:p w:rsidR="007831DD" w:rsidRDefault="000038F5">
            <w:pPr>
              <w:spacing w:after="132"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65</w:t>
            </w:r>
          </w:p>
        </w:tc>
      </w:tr>
      <w:tr w:rsidR="007831DD">
        <w:tc>
          <w:tcPr>
            <w:tcW w:w="1704" w:type="dxa"/>
          </w:tcPr>
          <w:p w:rsidR="007831DD" w:rsidRDefault="000038F5">
            <w:pPr>
              <w:spacing w:after="132"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Methanol ratio</w:t>
            </w:r>
          </w:p>
        </w:tc>
        <w:tc>
          <w:tcPr>
            <w:tcW w:w="1704" w:type="dxa"/>
          </w:tcPr>
          <w:p w:rsidR="007831DD" w:rsidRDefault="000038F5">
            <w:pPr>
              <w:spacing w:after="132"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C</w:t>
            </w:r>
          </w:p>
        </w:tc>
        <w:tc>
          <w:tcPr>
            <w:tcW w:w="1704" w:type="dxa"/>
          </w:tcPr>
          <w:p w:rsidR="007831DD" w:rsidRDefault="000038F5">
            <w:pPr>
              <w:spacing w:after="132"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1</w:t>
            </w:r>
          </w:p>
        </w:tc>
        <w:tc>
          <w:tcPr>
            <w:tcW w:w="1705" w:type="dxa"/>
          </w:tcPr>
          <w:p w:rsidR="007831DD" w:rsidRDefault="000038F5">
            <w:pPr>
              <w:spacing w:after="132"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5.5</w:t>
            </w:r>
          </w:p>
        </w:tc>
        <w:tc>
          <w:tcPr>
            <w:tcW w:w="1705" w:type="dxa"/>
          </w:tcPr>
          <w:p w:rsidR="007831DD" w:rsidRDefault="000038F5">
            <w:pPr>
              <w:spacing w:after="132"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10</w:t>
            </w:r>
          </w:p>
        </w:tc>
      </w:tr>
    </w:tbl>
    <w:p w:rsidR="007831DD" w:rsidRDefault="007831DD">
      <w:pPr>
        <w:autoSpaceDE w:val="0"/>
        <w:autoSpaceDN w:val="0"/>
        <w:adjustRightInd w:val="0"/>
        <w:rPr>
          <w:rFonts w:ascii="Times New Roman" w:eastAsia="TimesNewRomanPSMT" w:hAnsi="Times New Roman"/>
          <w:b/>
          <w:sz w:val="24"/>
          <w:szCs w:val="24"/>
        </w:rPr>
      </w:pPr>
    </w:p>
    <w:p w:rsidR="007831DD" w:rsidRDefault="000038F5">
      <w:pPr>
        <w:autoSpaceDE w:val="0"/>
        <w:autoSpaceDN w:val="0"/>
        <w:adjustRightInd w:val="0"/>
        <w:rPr>
          <w:rFonts w:ascii="Times New Roman" w:eastAsia="TimesNewRomanPSMT" w:hAnsi="Times New Roman"/>
          <w:b/>
          <w:sz w:val="24"/>
          <w:szCs w:val="24"/>
        </w:rPr>
      </w:pPr>
      <w:r>
        <w:rPr>
          <w:rFonts w:ascii="Times New Roman" w:eastAsia="TimesNewRomanPSMT" w:hAnsi="Times New Roman"/>
          <w:b/>
          <w:sz w:val="24"/>
          <w:szCs w:val="24"/>
        </w:rPr>
        <w:t>Table 4</w:t>
      </w:r>
    </w:p>
    <w:p w:rsidR="007831DD" w:rsidRDefault="000038F5">
      <w:pPr>
        <w:ind w:left="10"/>
        <w:rPr>
          <w:rFonts w:ascii="Times New Roman" w:hAnsi="Times New Roman"/>
          <w:sz w:val="24"/>
          <w:szCs w:val="24"/>
        </w:rPr>
      </w:pPr>
      <w:r>
        <w:rPr>
          <w:rFonts w:ascii="Times New Roman" w:hAnsi="Times New Roman"/>
          <w:sz w:val="24"/>
          <w:szCs w:val="24"/>
        </w:rPr>
        <w:t xml:space="preserve">Experimental Results of Desert Date oil </w:t>
      </w:r>
    </w:p>
    <w:tbl>
      <w:tblPr>
        <w:tblStyle w:val="TableGrid"/>
        <w:tblW w:w="9008" w:type="dxa"/>
        <w:tblInd w:w="10" w:type="dxa"/>
        <w:tblLook w:val="04A0" w:firstRow="1" w:lastRow="0" w:firstColumn="1" w:lastColumn="0" w:noHBand="0" w:noVBand="1"/>
      </w:tblPr>
      <w:tblGrid>
        <w:gridCol w:w="638"/>
        <w:gridCol w:w="1620"/>
        <w:gridCol w:w="1440"/>
        <w:gridCol w:w="1976"/>
        <w:gridCol w:w="1419"/>
        <w:gridCol w:w="1915"/>
      </w:tblGrid>
      <w:tr w:rsidR="007831DD">
        <w:tc>
          <w:tcPr>
            <w:tcW w:w="638"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lastRenderedPageBreak/>
              <w:t>Run</w:t>
            </w:r>
          </w:p>
        </w:tc>
        <w:tc>
          <w:tcPr>
            <w:tcW w:w="1620"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 xml:space="preserve"> A: Catalyst (%)</w:t>
            </w:r>
          </w:p>
        </w:tc>
        <w:tc>
          <w:tcPr>
            <w:tcW w:w="1440"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B: Time (min)</w:t>
            </w:r>
          </w:p>
        </w:tc>
        <w:tc>
          <w:tcPr>
            <w:tcW w:w="1976"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C: Methanol Ratio</w:t>
            </w:r>
          </w:p>
        </w:tc>
        <w:tc>
          <w:tcPr>
            <w:tcW w:w="1419"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Yield (%)</w:t>
            </w:r>
          </w:p>
        </w:tc>
        <w:tc>
          <w:tcPr>
            <w:tcW w:w="1915"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Predicted Yield (%)</w:t>
            </w:r>
          </w:p>
        </w:tc>
      </w:tr>
      <w:tr w:rsidR="007831DD">
        <w:tc>
          <w:tcPr>
            <w:tcW w:w="638"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1</w:t>
            </w:r>
          </w:p>
        </w:tc>
        <w:tc>
          <w:tcPr>
            <w:tcW w:w="1620"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0.1</w:t>
            </w:r>
          </w:p>
        </w:tc>
        <w:tc>
          <w:tcPr>
            <w:tcW w:w="1440"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35</w:t>
            </w:r>
          </w:p>
        </w:tc>
        <w:tc>
          <w:tcPr>
            <w:tcW w:w="1976"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1</w:t>
            </w:r>
          </w:p>
        </w:tc>
        <w:tc>
          <w:tcPr>
            <w:tcW w:w="1419"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83.37</w:t>
            </w:r>
          </w:p>
        </w:tc>
        <w:tc>
          <w:tcPr>
            <w:tcW w:w="1915"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83.10</w:t>
            </w:r>
          </w:p>
        </w:tc>
      </w:tr>
      <w:tr w:rsidR="007831DD">
        <w:tc>
          <w:tcPr>
            <w:tcW w:w="638"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2</w:t>
            </w:r>
          </w:p>
        </w:tc>
        <w:tc>
          <w:tcPr>
            <w:tcW w:w="1620"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0.7</w:t>
            </w:r>
          </w:p>
        </w:tc>
        <w:tc>
          <w:tcPr>
            <w:tcW w:w="1440"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35</w:t>
            </w:r>
          </w:p>
        </w:tc>
        <w:tc>
          <w:tcPr>
            <w:tcW w:w="1976"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1</w:t>
            </w:r>
          </w:p>
        </w:tc>
        <w:tc>
          <w:tcPr>
            <w:tcW w:w="1419"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86.66</w:t>
            </w:r>
          </w:p>
        </w:tc>
        <w:tc>
          <w:tcPr>
            <w:tcW w:w="1915"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86.69</w:t>
            </w:r>
          </w:p>
        </w:tc>
      </w:tr>
      <w:tr w:rsidR="007831DD">
        <w:tc>
          <w:tcPr>
            <w:tcW w:w="638"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3</w:t>
            </w:r>
          </w:p>
        </w:tc>
        <w:tc>
          <w:tcPr>
            <w:tcW w:w="1620"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0.1</w:t>
            </w:r>
          </w:p>
        </w:tc>
        <w:tc>
          <w:tcPr>
            <w:tcW w:w="1440"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65</w:t>
            </w:r>
          </w:p>
        </w:tc>
        <w:tc>
          <w:tcPr>
            <w:tcW w:w="1976"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1</w:t>
            </w:r>
          </w:p>
        </w:tc>
        <w:tc>
          <w:tcPr>
            <w:tcW w:w="1419"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90.00</w:t>
            </w:r>
          </w:p>
        </w:tc>
        <w:tc>
          <w:tcPr>
            <w:tcW w:w="1915"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91.98</w:t>
            </w:r>
          </w:p>
        </w:tc>
      </w:tr>
      <w:tr w:rsidR="007831DD">
        <w:tc>
          <w:tcPr>
            <w:tcW w:w="638"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4</w:t>
            </w:r>
          </w:p>
        </w:tc>
        <w:tc>
          <w:tcPr>
            <w:tcW w:w="1620"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0.7</w:t>
            </w:r>
          </w:p>
        </w:tc>
        <w:tc>
          <w:tcPr>
            <w:tcW w:w="1440"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65</w:t>
            </w:r>
          </w:p>
        </w:tc>
        <w:tc>
          <w:tcPr>
            <w:tcW w:w="1976"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1</w:t>
            </w:r>
          </w:p>
        </w:tc>
        <w:tc>
          <w:tcPr>
            <w:tcW w:w="1419"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93.33</w:t>
            </w:r>
          </w:p>
        </w:tc>
        <w:tc>
          <w:tcPr>
            <w:tcW w:w="1915"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96.95</w:t>
            </w:r>
          </w:p>
        </w:tc>
      </w:tr>
      <w:tr w:rsidR="007831DD">
        <w:tc>
          <w:tcPr>
            <w:tcW w:w="638"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5</w:t>
            </w:r>
          </w:p>
        </w:tc>
        <w:tc>
          <w:tcPr>
            <w:tcW w:w="1620"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0.1</w:t>
            </w:r>
          </w:p>
        </w:tc>
        <w:tc>
          <w:tcPr>
            <w:tcW w:w="1440"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35</w:t>
            </w:r>
          </w:p>
        </w:tc>
        <w:tc>
          <w:tcPr>
            <w:tcW w:w="1976"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10</w:t>
            </w:r>
          </w:p>
        </w:tc>
        <w:tc>
          <w:tcPr>
            <w:tcW w:w="1419"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96.66</w:t>
            </w:r>
          </w:p>
        </w:tc>
        <w:tc>
          <w:tcPr>
            <w:tcW w:w="1915"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97.90</w:t>
            </w:r>
          </w:p>
        </w:tc>
      </w:tr>
      <w:tr w:rsidR="007831DD">
        <w:tc>
          <w:tcPr>
            <w:tcW w:w="638"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6</w:t>
            </w:r>
          </w:p>
        </w:tc>
        <w:tc>
          <w:tcPr>
            <w:tcW w:w="1620"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0.7</w:t>
            </w:r>
          </w:p>
        </w:tc>
        <w:tc>
          <w:tcPr>
            <w:tcW w:w="1440"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35</w:t>
            </w:r>
          </w:p>
        </w:tc>
        <w:tc>
          <w:tcPr>
            <w:tcW w:w="1976"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10</w:t>
            </w:r>
          </w:p>
        </w:tc>
        <w:tc>
          <w:tcPr>
            <w:tcW w:w="1419"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98.33</w:t>
            </w:r>
          </w:p>
        </w:tc>
        <w:tc>
          <w:tcPr>
            <w:tcW w:w="1915"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97.24</w:t>
            </w:r>
          </w:p>
        </w:tc>
      </w:tr>
      <w:tr w:rsidR="007831DD">
        <w:tc>
          <w:tcPr>
            <w:tcW w:w="638"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7</w:t>
            </w:r>
          </w:p>
        </w:tc>
        <w:tc>
          <w:tcPr>
            <w:tcW w:w="1620"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0.1</w:t>
            </w:r>
          </w:p>
        </w:tc>
        <w:tc>
          <w:tcPr>
            <w:tcW w:w="1440"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65</w:t>
            </w:r>
          </w:p>
        </w:tc>
        <w:tc>
          <w:tcPr>
            <w:tcW w:w="1976"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10</w:t>
            </w:r>
          </w:p>
        </w:tc>
        <w:tc>
          <w:tcPr>
            <w:tcW w:w="1419"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98.33</w:t>
            </w:r>
          </w:p>
        </w:tc>
        <w:tc>
          <w:tcPr>
            <w:tcW w:w="1915"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97.21</w:t>
            </w:r>
          </w:p>
        </w:tc>
      </w:tr>
      <w:tr w:rsidR="007831DD">
        <w:tc>
          <w:tcPr>
            <w:tcW w:w="638"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8</w:t>
            </w:r>
          </w:p>
        </w:tc>
        <w:tc>
          <w:tcPr>
            <w:tcW w:w="1620"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0.7</w:t>
            </w:r>
          </w:p>
        </w:tc>
        <w:tc>
          <w:tcPr>
            <w:tcW w:w="1440"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65</w:t>
            </w:r>
          </w:p>
        </w:tc>
        <w:tc>
          <w:tcPr>
            <w:tcW w:w="1976"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10</w:t>
            </w:r>
          </w:p>
        </w:tc>
        <w:tc>
          <w:tcPr>
            <w:tcW w:w="1419"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98.00</w:t>
            </w:r>
          </w:p>
        </w:tc>
        <w:tc>
          <w:tcPr>
            <w:tcW w:w="1915"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95.49</w:t>
            </w:r>
          </w:p>
        </w:tc>
      </w:tr>
      <w:tr w:rsidR="007831DD">
        <w:tc>
          <w:tcPr>
            <w:tcW w:w="638"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9</w:t>
            </w:r>
          </w:p>
        </w:tc>
        <w:tc>
          <w:tcPr>
            <w:tcW w:w="1620"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0.1</w:t>
            </w:r>
          </w:p>
        </w:tc>
        <w:tc>
          <w:tcPr>
            <w:tcW w:w="1440"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50</w:t>
            </w:r>
          </w:p>
        </w:tc>
        <w:tc>
          <w:tcPr>
            <w:tcW w:w="1976"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5.5</w:t>
            </w:r>
          </w:p>
        </w:tc>
        <w:tc>
          <w:tcPr>
            <w:tcW w:w="1419"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95.00</w:t>
            </w:r>
          </w:p>
        </w:tc>
        <w:tc>
          <w:tcPr>
            <w:tcW w:w="1915"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97.25</w:t>
            </w:r>
          </w:p>
        </w:tc>
      </w:tr>
      <w:tr w:rsidR="007831DD">
        <w:tc>
          <w:tcPr>
            <w:tcW w:w="638"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10</w:t>
            </w:r>
          </w:p>
        </w:tc>
        <w:tc>
          <w:tcPr>
            <w:tcW w:w="1620"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0.7</w:t>
            </w:r>
          </w:p>
        </w:tc>
        <w:tc>
          <w:tcPr>
            <w:tcW w:w="1440"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50</w:t>
            </w:r>
          </w:p>
        </w:tc>
        <w:tc>
          <w:tcPr>
            <w:tcW w:w="1976"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5.5</w:t>
            </w:r>
          </w:p>
        </w:tc>
        <w:tc>
          <w:tcPr>
            <w:tcW w:w="1419"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96.00</w:t>
            </w:r>
          </w:p>
        </w:tc>
        <w:tc>
          <w:tcPr>
            <w:tcW w:w="1915"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86.66</w:t>
            </w:r>
          </w:p>
        </w:tc>
      </w:tr>
      <w:tr w:rsidR="007831DD">
        <w:tc>
          <w:tcPr>
            <w:tcW w:w="638"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11</w:t>
            </w:r>
          </w:p>
        </w:tc>
        <w:tc>
          <w:tcPr>
            <w:tcW w:w="1620"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0.4</w:t>
            </w:r>
          </w:p>
        </w:tc>
        <w:tc>
          <w:tcPr>
            <w:tcW w:w="1440"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35</w:t>
            </w:r>
          </w:p>
        </w:tc>
        <w:tc>
          <w:tcPr>
            <w:tcW w:w="1976"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5.5</w:t>
            </w:r>
          </w:p>
        </w:tc>
        <w:tc>
          <w:tcPr>
            <w:tcW w:w="1419"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87.00</w:t>
            </w:r>
          </w:p>
        </w:tc>
        <w:tc>
          <w:tcPr>
            <w:tcW w:w="1915"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92.37</w:t>
            </w:r>
          </w:p>
        </w:tc>
      </w:tr>
      <w:tr w:rsidR="007831DD">
        <w:tc>
          <w:tcPr>
            <w:tcW w:w="638"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12</w:t>
            </w:r>
          </w:p>
        </w:tc>
        <w:tc>
          <w:tcPr>
            <w:tcW w:w="1620"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0.4</w:t>
            </w:r>
          </w:p>
        </w:tc>
        <w:tc>
          <w:tcPr>
            <w:tcW w:w="1440"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65</w:t>
            </w:r>
          </w:p>
        </w:tc>
        <w:tc>
          <w:tcPr>
            <w:tcW w:w="1976"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5.5</w:t>
            </w:r>
          </w:p>
        </w:tc>
        <w:tc>
          <w:tcPr>
            <w:tcW w:w="1419"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91.00</w:t>
            </w:r>
          </w:p>
        </w:tc>
        <w:tc>
          <w:tcPr>
            <w:tcW w:w="1915"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86.23</w:t>
            </w:r>
          </w:p>
        </w:tc>
      </w:tr>
      <w:tr w:rsidR="007831DD">
        <w:tc>
          <w:tcPr>
            <w:tcW w:w="638"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13</w:t>
            </w:r>
          </w:p>
        </w:tc>
        <w:tc>
          <w:tcPr>
            <w:tcW w:w="1620"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0.4</w:t>
            </w:r>
          </w:p>
        </w:tc>
        <w:tc>
          <w:tcPr>
            <w:tcW w:w="1440"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50</w:t>
            </w:r>
          </w:p>
        </w:tc>
        <w:tc>
          <w:tcPr>
            <w:tcW w:w="1976"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1</w:t>
            </w:r>
          </w:p>
        </w:tc>
        <w:tc>
          <w:tcPr>
            <w:tcW w:w="1419"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85.00</w:t>
            </w:r>
          </w:p>
        </w:tc>
        <w:tc>
          <w:tcPr>
            <w:tcW w:w="1915"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98.22</w:t>
            </w:r>
          </w:p>
        </w:tc>
      </w:tr>
      <w:tr w:rsidR="007831DD">
        <w:tc>
          <w:tcPr>
            <w:tcW w:w="638"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14</w:t>
            </w:r>
          </w:p>
        </w:tc>
        <w:tc>
          <w:tcPr>
            <w:tcW w:w="1620"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0.4</w:t>
            </w:r>
          </w:p>
        </w:tc>
        <w:tc>
          <w:tcPr>
            <w:tcW w:w="1440"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50</w:t>
            </w:r>
          </w:p>
        </w:tc>
        <w:tc>
          <w:tcPr>
            <w:tcW w:w="1976"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10</w:t>
            </w:r>
          </w:p>
        </w:tc>
        <w:tc>
          <w:tcPr>
            <w:tcW w:w="1419"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97.50</w:t>
            </w:r>
          </w:p>
        </w:tc>
        <w:tc>
          <w:tcPr>
            <w:tcW w:w="1915"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94.58</w:t>
            </w:r>
          </w:p>
        </w:tc>
      </w:tr>
      <w:tr w:rsidR="007831DD">
        <w:tc>
          <w:tcPr>
            <w:tcW w:w="638"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15</w:t>
            </w:r>
          </w:p>
        </w:tc>
        <w:tc>
          <w:tcPr>
            <w:tcW w:w="1620"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0.4</w:t>
            </w:r>
          </w:p>
        </w:tc>
        <w:tc>
          <w:tcPr>
            <w:tcW w:w="1440"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50</w:t>
            </w:r>
          </w:p>
        </w:tc>
        <w:tc>
          <w:tcPr>
            <w:tcW w:w="1976"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5.5</w:t>
            </w:r>
          </w:p>
        </w:tc>
        <w:tc>
          <w:tcPr>
            <w:tcW w:w="1419"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94.50</w:t>
            </w:r>
          </w:p>
        </w:tc>
        <w:tc>
          <w:tcPr>
            <w:tcW w:w="1915"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94.58</w:t>
            </w:r>
          </w:p>
        </w:tc>
      </w:tr>
      <w:tr w:rsidR="007831DD">
        <w:tc>
          <w:tcPr>
            <w:tcW w:w="638"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16</w:t>
            </w:r>
          </w:p>
        </w:tc>
        <w:tc>
          <w:tcPr>
            <w:tcW w:w="1620"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0.4</w:t>
            </w:r>
          </w:p>
        </w:tc>
        <w:tc>
          <w:tcPr>
            <w:tcW w:w="1440"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50</w:t>
            </w:r>
          </w:p>
        </w:tc>
        <w:tc>
          <w:tcPr>
            <w:tcW w:w="1976"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5.5</w:t>
            </w:r>
          </w:p>
        </w:tc>
        <w:tc>
          <w:tcPr>
            <w:tcW w:w="1419"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94.80</w:t>
            </w:r>
          </w:p>
        </w:tc>
        <w:tc>
          <w:tcPr>
            <w:tcW w:w="1915"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94.58</w:t>
            </w:r>
          </w:p>
        </w:tc>
      </w:tr>
      <w:tr w:rsidR="007831DD">
        <w:tc>
          <w:tcPr>
            <w:tcW w:w="638"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17</w:t>
            </w:r>
          </w:p>
        </w:tc>
        <w:tc>
          <w:tcPr>
            <w:tcW w:w="1620"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0.4</w:t>
            </w:r>
          </w:p>
        </w:tc>
        <w:tc>
          <w:tcPr>
            <w:tcW w:w="1440"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50</w:t>
            </w:r>
          </w:p>
        </w:tc>
        <w:tc>
          <w:tcPr>
            <w:tcW w:w="1976"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5.5</w:t>
            </w:r>
          </w:p>
        </w:tc>
        <w:tc>
          <w:tcPr>
            <w:tcW w:w="1419"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94.60</w:t>
            </w:r>
          </w:p>
        </w:tc>
        <w:tc>
          <w:tcPr>
            <w:tcW w:w="1915"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94.58</w:t>
            </w:r>
          </w:p>
        </w:tc>
      </w:tr>
    </w:tbl>
    <w:p w:rsidR="007831DD" w:rsidRDefault="007831DD"/>
    <w:p w:rsidR="007831DD" w:rsidRDefault="007831DD"/>
    <w:p w:rsidR="007831DD" w:rsidRDefault="007831DD">
      <w:pPr>
        <w:autoSpaceDE w:val="0"/>
        <w:autoSpaceDN w:val="0"/>
        <w:adjustRightInd w:val="0"/>
        <w:rPr>
          <w:rFonts w:ascii="Times New Roman" w:eastAsia="TimesNewRomanPSMT" w:hAnsi="Times New Roman"/>
          <w:b/>
          <w:sz w:val="24"/>
          <w:szCs w:val="24"/>
        </w:rPr>
      </w:pPr>
    </w:p>
    <w:p w:rsidR="007831DD" w:rsidRDefault="007831DD">
      <w:pPr>
        <w:autoSpaceDE w:val="0"/>
        <w:autoSpaceDN w:val="0"/>
        <w:adjustRightInd w:val="0"/>
        <w:rPr>
          <w:rFonts w:ascii="Times New Roman" w:eastAsia="TimesNewRomanPSMT" w:hAnsi="Times New Roman"/>
          <w:b/>
          <w:sz w:val="24"/>
          <w:szCs w:val="24"/>
        </w:rPr>
      </w:pPr>
    </w:p>
    <w:p w:rsidR="007831DD" w:rsidRDefault="007831DD">
      <w:pPr>
        <w:autoSpaceDE w:val="0"/>
        <w:autoSpaceDN w:val="0"/>
        <w:adjustRightInd w:val="0"/>
        <w:rPr>
          <w:rFonts w:ascii="Times New Roman" w:eastAsia="TimesNewRomanPSMT" w:hAnsi="Times New Roman"/>
          <w:b/>
          <w:sz w:val="24"/>
          <w:szCs w:val="24"/>
        </w:rPr>
      </w:pPr>
    </w:p>
    <w:p w:rsidR="007831DD" w:rsidRDefault="007831DD">
      <w:pPr>
        <w:autoSpaceDE w:val="0"/>
        <w:autoSpaceDN w:val="0"/>
        <w:adjustRightInd w:val="0"/>
        <w:rPr>
          <w:rFonts w:ascii="Times New Roman" w:eastAsia="TimesNewRomanPSMT" w:hAnsi="Times New Roman"/>
          <w:b/>
          <w:sz w:val="24"/>
          <w:szCs w:val="24"/>
        </w:rPr>
      </w:pPr>
    </w:p>
    <w:p w:rsidR="007831DD" w:rsidRDefault="007831DD">
      <w:pPr>
        <w:autoSpaceDE w:val="0"/>
        <w:autoSpaceDN w:val="0"/>
        <w:adjustRightInd w:val="0"/>
        <w:rPr>
          <w:rFonts w:ascii="Times New Roman" w:eastAsia="TimesNewRomanPSMT" w:hAnsi="Times New Roman"/>
          <w:b/>
          <w:sz w:val="24"/>
          <w:szCs w:val="24"/>
        </w:rPr>
      </w:pPr>
    </w:p>
    <w:p w:rsidR="007831DD" w:rsidRDefault="000038F5">
      <w:pPr>
        <w:autoSpaceDE w:val="0"/>
        <w:autoSpaceDN w:val="0"/>
        <w:adjustRightInd w:val="0"/>
        <w:rPr>
          <w:rFonts w:ascii="Times New Roman" w:eastAsia="TimesNewRomanPSMT" w:hAnsi="Times New Roman"/>
          <w:b/>
          <w:sz w:val="24"/>
          <w:szCs w:val="24"/>
        </w:rPr>
      </w:pPr>
      <w:r>
        <w:rPr>
          <w:rFonts w:ascii="Times New Roman" w:eastAsia="TimesNewRomanPSMT" w:hAnsi="Times New Roman"/>
          <w:b/>
          <w:sz w:val="24"/>
          <w:szCs w:val="24"/>
        </w:rPr>
        <w:t>Table 5</w:t>
      </w:r>
    </w:p>
    <w:p w:rsidR="007831DD" w:rsidRDefault="000038F5">
      <w:pPr>
        <w:rPr>
          <w:rFonts w:ascii="Times New Roman" w:hAnsi="Times New Roman"/>
          <w:sz w:val="24"/>
          <w:szCs w:val="24"/>
        </w:rPr>
      </w:pPr>
      <w:proofErr w:type="gramStart"/>
      <w:r>
        <w:rPr>
          <w:rFonts w:ascii="Times New Roman" w:hAnsi="Times New Roman"/>
          <w:sz w:val="24"/>
          <w:szCs w:val="24"/>
        </w:rPr>
        <w:t>ANOVA analysis of variance for a yield of biodiesel.</w:t>
      </w:r>
      <w:proofErr w:type="gramEnd"/>
    </w:p>
    <w:tbl>
      <w:tblPr>
        <w:tblStyle w:val="TableGrid"/>
        <w:tblW w:w="7668" w:type="dxa"/>
        <w:tblLook w:val="04A0" w:firstRow="1" w:lastRow="0" w:firstColumn="1" w:lastColumn="0" w:noHBand="0" w:noVBand="1"/>
      </w:tblPr>
      <w:tblGrid>
        <w:gridCol w:w="1998"/>
        <w:gridCol w:w="990"/>
        <w:gridCol w:w="540"/>
        <w:gridCol w:w="1170"/>
        <w:gridCol w:w="1080"/>
        <w:gridCol w:w="1890"/>
      </w:tblGrid>
      <w:tr w:rsidR="007831DD">
        <w:tc>
          <w:tcPr>
            <w:tcW w:w="1998" w:type="dxa"/>
          </w:tcPr>
          <w:p w:rsidR="007831DD" w:rsidRDefault="000038F5">
            <w:pPr>
              <w:spacing w:after="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lastRenderedPageBreak/>
              <w:t>Source</w:t>
            </w:r>
          </w:p>
        </w:tc>
        <w:tc>
          <w:tcPr>
            <w:tcW w:w="990" w:type="dxa"/>
          </w:tcPr>
          <w:p w:rsidR="007831DD" w:rsidRDefault="000038F5">
            <w:pPr>
              <w:spacing w:after="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Sum Sq</w:t>
            </w:r>
          </w:p>
        </w:tc>
        <w:tc>
          <w:tcPr>
            <w:tcW w:w="540" w:type="dxa"/>
          </w:tcPr>
          <w:p w:rsidR="007831DD" w:rsidRDefault="000038F5">
            <w:pPr>
              <w:spacing w:after="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df</w:t>
            </w:r>
          </w:p>
        </w:tc>
        <w:tc>
          <w:tcPr>
            <w:tcW w:w="1170" w:type="dxa"/>
          </w:tcPr>
          <w:p w:rsidR="007831DD" w:rsidRDefault="000038F5">
            <w:pPr>
              <w:spacing w:after="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Mean sq</w:t>
            </w:r>
          </w:p>
        </w:tc>
        <w:tc>
          <w:tcPr>
            <w:tcW w:w="1080" w:type="dxa"/>
          </w:tcPr>
          <w:p w:rsidR="007831DD" w:rsidRDefault="000038F5">
            <w:pPr>
              <w:spacing w:after="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F- value</w:t>
            </w:r>
          </w:p>
        </w:tc>
        <w:tc>
          <w:tcPr>
            <w:tcW w:w="1890" w:type="dxa"/>
          </w:tcPr>
          <w:p w:rsidR="007831DD" w:rsidRDefault="000038F5">
            <w:pPr>
              <w:spacing w:after="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p- value</w:t>
            </w:r>
          </w:p>
        </w:tc>
      </w:tr>
      <w:tr w:rsidR="007831DD">
        <w:tc>
          <w:tcPr>
            <w:tcW w:w="1998" w:type="dxa"/>
          </w:tcPr>
          <w:p w:rsidR="007831DD" w:rsidRDefault="000038F5">
            <w:pPr>
              <w:spacing w:after="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Model</w:t>
            </w:r>
          </w:p>
        </w:tc>
        <w:tc>
          <w:tcPr>
            <w:tcW w:w="990" w:type="dxa"/>
          </w:tcPr>
          <w:p w:rsidR="007831DD" w:rsidRDefault="000038F5">
            <w:pPr>
              <w:spacing w:after="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580.20</w:t>
            </w:r>
          </w:p>
        </w:tc>
        <w:tc>
          <w:tcPr>
            <w:tcW w:w="540" w:type="dxa"/>
          </w:tcPr>
          <w:p w:rsidR="007831DD" w:rsidRDefault="000038F5">
            <w:pPr>
              <w:spacing w:after="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9</w:t>
            </w:r>
          </w:p>
        </w:tc>
        <w:tc>
          <w:tcPr>
            <w:tcW w:w="1170" w:type="dxa"/>
          </w:tcPr>
          <w:p w:rsidR="007831DD" w:rsidRDefault="000038F5">
            <w:pPr>
              <w:spacing w:after="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64.47</w:t>
            </w:r>
          </w:p>
        </w:tc>
        <w:tc>
          <w:tcPr>
            <w:tcW w:w="1080" w:type="dxa"/>
          </w:tcPr>
          <w:p w:rsidR="007831DD" w:rsidRDefault="000038F5">
            <w:pPr>
              <w:spacing w:after="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40.82</w:t>
            </w:r>
          </w:p>
        </w:tc>
        <w:tc>
          <w:tcPr>
            <w:tcW w:w="1890" w:type="dxa"/>
          </w:tcPr>
          <w:p w:rsidR="007831DD" w:rsidRDefault="000038F5">
            <w:pPr>
              <w:spacing w:after="0" w:line="240" w:lineRule="auto"/>
              <w:rPr>
                <w:rFonts w:ascii="Times New Roman" w:eastAsia="Calibri" w:hAnsi="Times New Roman" w:cs="Times New Roman"/>
                <w:sz w:val="24"/>
                <w:szCs w:val="24"/>
              </w:rPr>
            </w:pPr>
            <m:oMathPara>
              <m:oMath>
                <m:r>
                  <w:rPr>
                    <w:rFonts w:ascii="Cambria Math" w:eastAsia="Calibri" w:hAnsi="Cambria Math" w:cs="Times New Roman" w:hint="eastAsia"/>
                    <w:sz w:val="24"/>
                    <w:szCs w:val="24"/>
                  </w:rPr>
                  <m:t>&lt;</m:t>
                </m:r>
                <m:r>
                  <w:rPr>
                    <w:rFonts w:ascii="Cambria Math" w:eastAsia="Calibri" w:hAnsi="Cambria Math" w:cs="Times New Roman" w:hint="eastAsia"/>
                    <w:sz w:val="24"/>
                    <w:szCs w:val="24"/>
                  </w:rPr>
                  <m:t>0.0001</m:t>
                </m:r>
              </m:oMath>
            </m:oMathPara>
          </w:p>
        </w:tc>
      </w:tr>
      <w:tr w:rsidR="007831DD">
        <w:tc>
          <w:tcPr>
            <w:tcW w:w="1998" w:type="dxa"/>
          </w:tcPr>
          <w:p w:rsidR="007831DD" w:rsidRDefault="000038F5">
            <w:pPr>
              <w:spacing w:after="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Catalyst concentration (A)</w:t>
            </w:r>
          </w:p>
        </w:tc>
        <w:tc>
          <w:tcPr>
            <w:tcW w:w="990" w:type="dxa"/>
          </w:tcPr>
          <w:p w:rsidR="007831DD" w:rsidRDefault="000038F5">
            <w:pPr>
              <w:spacing w:after="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120.56</w:t>
            </w:r>
          </w:p>
        </w:tc>
        <w:tc>
          <w:tcPr>
            <w:tcW w:w="540"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1</w:t>
            </w:r>
          </w:p>
        </w:tc>
        <w:tc>
          <w:tcPr>
            <w:tcW w:w="1170" w:type="dxa"/>
          </w:tcPr>
          <w:p w:rsidR="007831DD" w:rsidRDefault="000038F5">
            <w:pPr>
              <w:spacing w:after="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120.56</w:t>
            </w:r>
          </w:p>
        </w:tc>
        <w:tc>
          <w:tcPr>
            <w:tcW w:w="1080" w:type="dxa"/>
          </w:tcPr>
          <w:p w:rsidR="007831DD" w:rsidRDefault="000038F5">
            <w:pPr>
              <w:spacing w:after="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76.28</w:t>
            </w:r>
          </w:p>
        </w:tc>
        <w:tc>
          <w:tcPr>
            <w:tcW w:w="1890" w:type="dxa"/>
          </w:tcPr>
          <w:p w:rsidR="007831DD" w:rsidRDefault="000038F5">
            <w:pPr>
              <w:spacing w:after="200" w:line="276" w:lineRule="auto"/>
              <w:rPr>
                <w:rFonts w:ascii="Calibri" w:eastAsia="Calibri" w:hAnsi="Calibri" w:cs="Times New Roman"/>
              </w:rPr>
            </w:pPr>
            <m:oMathPara>
              <m:oMath>
                <m:r>
                  <w:rPr>
                    <w:rFonts w:ascii="Cambria Math" w:eastAsia="Calibri" w:hAnsi="Cambria Math" w:cs="Times New Roman" w:hint="eastAsia"/>
                    <w:sz w:val="24"/>
                    <w:szCs w:val="24"/>
                  </w:rPr>
                  <m:t>&lt;0.0001</m:t>
                </m:r>
              </m:oMath>
            </m:oMathPara>
          </w:p>
        </w:tc>
      </w:tr>
      <w:tr w:rsidR="007831DD">
        <w:tc>
          <w:tcPr>
            <w:tcW w:w="1998" w:type="dxa"/>
          </w:tcPr>
          <w:p w:rsidR="007831DD" w:rsidRDefault="000038F5">
            <w:pPr>
              <w:spacing w:after="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Reaction Time (B)</w:t>
            </w:r>
          </w:p>
        </w:tc>
        <w:tc>
          <w:tcPr>
            <w:tcW w:w="990" w:type="dxa"/>
          </w:tcPr>
          <w:p w:rsidR="007831DD" w:rsidRDefault="000038F5">
            <w:pPr>
              <w:spacing w:after="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85.34</w:t>
            </w:r>
          </w:p>
        </w:tc>
        <w:tc>
          <w:tcPr>
            <w:tcW w:w="540"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1</w:t>
            </w:r>
          </w:p>
        </w:tc>
        <w:tc>
          <w:tcPr>
            <w:tcW w:w="1170" w:type="dxa"/>
          </w:tcPr>
          <w:p w:rsidR="007831DD" w:rsidRDefault="000038F5">
            <w:pPr>
              <w:spacing w:after="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85.34</w:t>
            </w:r>
          </w:p>
        </w:tc>
        <w:tc>
          <w:tcPr>
            <w:tcW w:w="1080" w:type="dxa"/>
          </w:tcPr>
          <w:p w:rsidR="007831DD" w:rsidRDefault="000038F5">
            <w:pPr>
              <w:spacing w:after="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53.96</w:t>
            </w:r>
          </w:p>
        </w:tc>
        <w:tc>
          <w:tcPr>
            <w:tcW w:w="1890" w:type="dxa"/>
          </w:tcPr>
          <w:p w:rsidR="007831DD" w:rsidRDefault="000038F5">
            <w:pPr>
              <w:spacing w:after="200" w:line="276" w:lineRule="auto"/>
              <w:rPr>
                <w:rFonts w:ascii="Calibri" w:eastAsia="Calibri" w:hAnsi="Calibri" w:cs="Times New Roman"/>
              </w:rPr>
            </w:pPr>
            <m:oMathPara>
              <m:oMath>
                <m:r>
                  <w:rPr>
                    <w:rFonts w:ascii="Cambria Math" w:eastAsia="Calibri" w:hAnsi="Cambria Math" w:cs="Times New Roman" w:hint="eastAsia"/>
                    <w:sz w:val="24"/>
                    <w:szCs w:val="24"/>
                  </w:rPr>
                  <m:t>&lt;0.0001</m:t>
                </m:r>
              </m:oMath>
            </m:oMathPara>
          </w:p>
        </w:tc>
      </w:tr>
      <w:tr w:rsidR="007831DD">
        <w:tc>
          <w:tcPr>
            <w:tcW w:w="1998" w:type="dxa"/>
          </w:tcPr>
          <w:p w:rsidR="007831DD" w:rsidRDefault="000038F5">
            <w:pPr>
              <w:spacing w:after="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Methanol Ratio (C)</w:t>
            </w:r>
          </w:p>
        </w:tc>
        <w:tc>
          <w:tcPr>
            <w:tcW w:w="990" w:type="dxa"/>
          </w:tcPr>
          <w:p w:rsidR="007831DD" w:rsidRDefault="000038F5">
            <w:pPr>
              <w:spacing w:after="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134.22</w:t>
            </w:r>
          </w:p>
        </w:tc>
        <w:tc>
          <w:tcPr>
            <w:tcW w:w="540"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1</w:t>
            </w:r>
          </w:p>
        </w:tc>
        <w:tc>
          <w:tcPr>
            <w:tcW w:w="1170" w:type="dxa"/>
          </w:tcPr>
          <w:p w:rsidR="007831DD" w:rsidRDefault="000038F5">
            <w:pPr>
              <w:spacing w:after="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134.22</w:t>
            </w:r>
          </w:p>
        </w:tc>
        <w:tc>
          <w:tcPr>
            <w:tcW w:w="1080" w:type="dxa"/>
          </w:tcPr>
          <w:p w:rsidR="007831DD" w:rsidRDefault="000038F5">
            <w:pPr>
              <w:spacing w:after="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84.93</w:t>
            </w:r>
          </w:p>
        </w:tc>
        <w:tc>
          <w:tcPr>
            <w:tcW w:w="1890" w:type="dxa"/>
          </w:tcPr>
          <w:p w:rsidR="007831DD" w:rsidRDefault="000038F5">
            <w:pPr>
              <w:spacing w:after="200" w:line="276" w:lineRule="auto"/>
              <w:rPr>
                <w:rFonts w:ascii="Calibri" w:eastAsia="Calibri" w:hAnsi="Calibri" w:cs="Times New Roman"/>
              </w:rPr>
            </w:pPr>
            <m:oMathPara>
              <m:oMath>
                <m:r>
                  <w:rPr>
                    <w:rFonts w:ascii="Cambria Math" w:eastAsia="Calibri" w:hAnsi="Cambria Math" w:cs="Times New Roman" w:hint="eastAsia"/>
                    <w:sz w:val="24"/>
                    <w:szCs w:val="24"/>
                  </w:rPr>
                  <m:t>&lt;0.0001</m:t>
                </m:r>
              </m:oMath>
            </m:oMathPara>
          </w:p>
        </w:tc>
      </w:tr>
      <w:tr w:rsidR="007831DD">
        <w:tc>
          <w:tcPr>
            <w:tcW w:w="1998" w:type="dxa"/>
          </w:tcPr>
          <w:p w:rsidR="007831DD" w:rsidRDefault="000038F5">
            <w:pPr>
              <w:spacing w:after="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AB (Interaction)</w:t>
            </w:r>
          </w:p>
        </w:tc>
        <w:tc>
          <w:tcPr>
            <w:tcW w:w="990" w:type="dxa"/>
          </w:tcPr>
          <w:p w:rsidR="007831DD" w:rsidRDefault="000038F5">
            <w:pPr>
              <w:spacing w:after="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33.56</w:t>
            </w:r>
          </w:p>
        </w:tc>
        <w:tc>
          <w:tcPr>
            <w:tcW w:w="540"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1</w:t>
            </w:r>
          </w:p>
        </w:tc>
        <w:tc>
          <w:tcPr>
            <w:tcW w:w="1170" w:type="dxa"/>
          </w:tcPr>
          <w:p w:rsidR="007831DD" w:rsidRDefault="000038F5">
            <w:pPr>
              <w:spacing w:after="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33.56</w:t>
            </w:r>
          </w:p>
        </w:tc>
        <w:tc>
          <w:tcPr>
            <w:tcW w:w="1080" w:type="dxa"/>
          </w:tcPr>
          <w:p w:rsidR="007831DD" w:rsidRDefault="000038F5">
            <w:pPr>
              <w:spacing w:after="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21.24</w:t>
            </w:r>
          </w:p>
        </w:tc>
        <w:tc>
          <w:tcPr>
            <w:tcW w:w="1890" w:type="dxa"/>
          </w:tcPr>
          <w:p w:rsidR="007831DD" w:rsidRDefault="000038F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hint="eastAsia"/>
                <w:sz w:val="24"/>
                <w:szCs w:val="24"/>
              </w:rPr>
              <w:t>0.0006</w:t>
            </w:r>
          </w:p>
        </w:tc>
      </w:tr>
      <w:tr w:rsidR="007831DD">
        <w:tc>
          <w:tcPr>
            <w:tcW w:w="1998" w:type="dxa"/>
          </w:tcPr>
          <w:p w:rsidR="007831DD" w:rsidRDefault="000038F5">
            <w:pPr>
              <w:spacing w:after="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AC ( interaction)</w:t>
            </w:r>
          </w:p>
        </w:tc>
        <w:tc>
          <w:tcPr>
            <w:tcW w:w="990" w:type="dxa"/>
          </w:tcPr>
          <w:p w:rsidR="007831DD" w:rsidRDefault="000038F5">
            <w:pPr>
              <w:spacing w:after="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28.67</w:t>
            </w:r>
          </w:p>
        </w:tc>
        <w:tc>
          <w:tcPr>
            <w:tcW w:w="540"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1</w:t>
            </w:r>
          </w:p>
        </w:tc>
        <w:tc>
          <w:tcPr>
            <w:tcW w:w="1170" w:type="dxa"/>
          </w:tcPr>
          <w:p w:rsidR="007831DD" w:rsidRDefault="000038F5">
            <w:pPr>
              <w:spacing w:after="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28.67</w:t>
            </w:r>
          </w:p>
        </w:tc>
        <w:tc>
          <w:tcPr>
            <w:tcW w:w="1080" w:type="dxa"/>
          </w:tcPr>
          <w:p w:rsidR="007831DD" w:rsidRDefault="000038F5">
            <w:pPr>
              <w:spacing w:after="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18.15</w:t>
            </w:r>
          </w:p>
        </w:tc>
        <w:tc>
          <w:tcPr>
            <w:tcW w:w="1890" w:type="dxa"/>
          </w:tcPr>
          <w:p w:rsidR="007831DD" w:rsidRDefault="000038F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hint="eastAsia"/>
                <w:sz w:val="24"/>
                <w:szCs w:val="24"/>
              </w:rPr>
              <w:t>0.0011</w:t>
            </w:r>
          </w:p>
        </w:tc>
      </w:tr>
      <w:tr w:rsidR="007831DD">
        <w:tc>
          <w:tcPr>
            <w:tcW w:w="1998" w:type="dxa"/>
          </w:tcPr>
          <w:p w:rsidR="007831DD" w:rsidRDefault="000038F5">
            <w:pPr>
              <w:spacing w:after="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BC</w:t>
            </w:r>
            <w:r>
              <w:rPr>
                <w:rFonts w:ascii="Times New Roman" w:eastAsia="Calibri" w:hAnsi="Times New Roman" w:cs="Times New Roman" w:hint="eastAsia"/>
                <w:sz w:val="24"/>
                <w:szCs w:val="24"/>
              </w:rPr>
              <w:t xml:space="preserve"> (Interaction)</w:t>
            </w:r>
          </w:p>
        </w:tc>
        <w:tc>
          <w:tcPr>
            <w:tcW w:w="990" w:type="dxa"/>
          </w:tcPr>
          <w:p w:rsidR="007831DD" w:rsidRDefault="000038F5">
            <w:pPr>
              <w:spacing w:after="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19.45</w:t>
            </w:r>
          </w:p>
        </w:tc>
        <w:tc>
          <w:tcPr>
            <w:tcW w:w="540"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1</w:t>
            </w:r>
          </w:p>
        </w:tc>
        <w:tc>
          <w:tcPr>
            <w:tcW w:w="1170" w:type="dxa"/>
          </w:tcPr>
          <w:p w:rsidR="007831DD" w:rsidRDefault="000038F5">
            <w:pPr>
              <w:spacing w:after="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19.45</w:t>
            </w:r>
          </w:p>
        </w:tc>
        <w:tc>
          <w:tcPr>
            <w:tcW w:w="1080" w:type="dxa"/>
          </w:tcPr>
          <w:p w:rsidR="007831DD" w:rsidRDefault="000038F5">
            <w:pPr>
              <w:spacing w:after="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12.31</w:t>
            </w:r>
          </w:p>
        </w:tc>
        <w:tc>
          <w:tcPr>
            <w:tcW w:w="1890" w:type="dxa"/>
          </w:tcPr>
          <w:p w:rsidR="007831DD" w:rsidRDefault="000038F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hint="eastAsia"/>
                <w:sz w:val="24"/>
                <w:szCs w:val="24"/>
              </w:rPr>
              <w:t>0.0047</w:t>
            </w:r>
          </w:p>
        </w:tc>
      </w:tr>
      <w:tr w:rsidR="007831DD">
        <w:tc>
          <w:tcPr>
            <w:tcW w:w="1998" w:type="dxa"/>
          </w:tcPr>
          <w:p w:rsidR="007831DD" w:rsidRDefault="000038F5">
            <w:pPr>
              <w:spacing w:after="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Catalyst</w:t>
            </w:r>
            <w:r>
              <w:rPr>
                <w:rFonts w:ascii="Times New Roman" w:eastAsia="Calibri" w:hAnsi="Times New Roman" w:cs="Times New Roman" w:hint="eastAsia"/>
                <w:sz w:val="24"/>
                <w:szCs w:val="24"/>
                <w:vertAlign w:val="superscript"/>
              </w:rPr>
              <w:t>2</w:t>
            </w:r>
          </w:p>
        </w:tc>
        <w:tc>
          <w:tcPr>
            <w:tcW w:w="990" w:type="dxa"/>
          </w:tcPr>
          <w:p w:rsidR="007831DD" w:rsidRDefault="000038F5">
            <w:pPr>
              <w:spacing w:after="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55.33</w:t>
            </w:r>
          </w:p>
        </w:tc>
        <w:tc>
          <w:tcPr>
            <w:tcW w:w="540"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1</w:t>
            </w:r>
          </w:p>
        </w:tc>
        <w:tc>
          <w:tcPr>
            <w:tcW w:w="1170" w:type="dxa"/>
          </w:tcPr>
          <w:p w:rsidR="007831DD" w:rsidRDefault="000038F5">
            <w:pPr>
              <w:spacing w:after="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55.33</w:t>
            </w:r>
          </w:p>
        </w:tc>
        <w:tc>
          <w:tcPr>
            <w:tcW w:w="1080" w:type="dxa"/>
          </w:tcPr>
          <w:p w:rsidR="007831DD" w:rsidRDefault="000038F5">
            <w:pPr>
              <w:spacing w:after="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35.03</w:t>
            </w:r>
          </w:p>
        </w:tc>
        <w:tc>
          <w:tcPr>
            <w:tcW w:w="1890" w:type="dxa"/>
          </w:tcPr>
          <w:p w:rsidR="007831DD" w:rsidRDefault="000038F5">
            <w:pPr>
              <w:spacing w:after="200" w:line="276" w:lineRule="auto"/>
              <w:jc w:val="center"/>
              <w:rPr>
                <w:rFonts w:ascii="Calibri" w:eastAsia="Calibri" w:hAnsi="Calibri" w:cs="Times New Roman"/>
              </w:rPr>
            </w:pPr>
            <m:oMathPara>
              <m:oMath>
                <m:r>
                  <w:rPr>
                    <w:rFonts w:ascii="Cambria Math" w:eastAsia="Calibri" w:hAnsi="Cambria Math" w:cs="Times New Roman" w:hint="eastAsia"/>
                    <w:sz w:val="24"/>
                    <w:szCs w:val="24"/>
                  </w:rPr>
                  <m:t>&lt;0.0001</m:t>
                </m:r>
              </m:oMath>
            </m:oMathPara>
          </w:p>
        </w:tc>
      </w:tr>
      <w:tr w:rsidR="007831DD">
        <w:tc>
          <w:tcPr>
            <w:tcW w:w="1998" w:type="dxa"/>
          </w:tcPr>
          <w:p w:rsidR="007831DD" w:rsidRDefault="000038F5">
            <w:pPr>
              <w:spacing w:after="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Time</w:t>
            </w:r>
            <w:r>
              <w:rPr>
                <w:rFonts w:ascii="Times New Roman" w:eastAsia="Calibri" w:hAnsi="Times New Roman" w:cs="Times New Roman" w:hint="eastAsia"/>
                <w:sz w:val="24"/>
                <w:szCs w:val="24"/>
                <w:vertAlign w:val="superscript"/>
              </w:rPr>
              <w:t>2</w:t>
            </w:r>
          </w:p>
        </w:tc>
        <w:tc>
          <w:tcPr>
            <w:tcW w:w="990" w:type="dxa"/>
          </w:tcPr>
          <w:p w:rsidR="007831DD" w:rsidRDefault="000038F5">
            <w:pPr>
              <w:spacing w:after="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42.11</w:t>
            </w:r>
          </w:p>
        </w:tc>
        <w:tc>
          <w:tcPr>
            <w:tcW w:w="540"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1</w:t>
            </w:r>
          </w:p>
        </w:tc>
        <w:tc>
          <w:tcPr>
            <w:tcW w:w="1170" w:type="dxa"/>
          </w:tcPr>
          <w:p w:rsidR="007831DD" w:rsidRDefault="000038F5">
            <w:pPr>
              <w:spacing w:after="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42.11</w:t>
            </w:r>
          </w:p>
        </w:tc>
        <w:tc>
          <w:tcPr>
            <w:tcW w:w="1080" w:type="dxa"/>
          </w:tcPr>
          <w:p w:rsidR="007831DD" w:rsidRDefault="000038F5">
            <w:pPr>
              <w:spacing w:after="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26.65</w:t>
            </w:r>
          </w:p>
        </w:tc>
        <w:tc>
          <w:tcPr>
            <w:tcW w:w="1890" w:type="dxa"/>
          </w:tcPr>
          <w:p w:rsidR="007831DD" w:rsidRDefault="000038F5">
            <w:pPr>
              <w:spacing w:after="200" w:line="276" w:lineRule="auto"/>
              <w:jc w:val="center"/>
              <w:rPr>
                <w:rFonts w:ascii="Calibri" w:eastAsia="Calibri" w:hAnsi="Calibri" w:cs="Times New Roman"/>
              </w:rPr>
            </w:pPr>
            <m:oMathPara>
              <m:oMath>
                <m:r>
                  <w:rPr>
                    <w:rFonts w:ascii="Cambria Math" w:eastAsia="Calibri" w:hAnsi="Cambria Math" w:cs="Times New Roman" w:hint="eastAsia"/>
                    <w:sz w:val="24"/>
                    <w:szCs w:val="24"/>
                  </w:rPr>
                  <m:t>&lt;0.0001</m:t>
                </m:r>
              </m:oMath>
            </m:oMathPara>
          </w:p>
        </w:tc>
      </w:tr>
      <w:tr w:rsidR="007831DD">
        <w:tc>
          <w:tcPr>
            <w:tcW w:w="1998" w:type="dxa"/>
          </w:tcPr>
          <w:p w:rsidR="007831DD" w:rsidRDefault="000038F5">
            <w:pPr>
              <w:spacing w:after="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Methanol</w:t>
            </w:r>
            <w:r>
              <w:rPr>
                <w:rFonts w:ascii="Times New Roman" w:eastAsia="Calibri" w:hAnsi="Times New Roman" w:cs="Times New Roman" w:hint="eastAsia"/>
                <w:sz w:val="24"/>
                <w:szCs w:val="24"/>
                <w:vertAlign w:val="superscript"/>
              </w:rPr>
              <w:t>2</w:t>
            </w:r>
          </w:p>
        </w:tc>
        <w:tc>
          <w:tcPr>
            <w:tcW w:w="990" w:type="dxa"/>
          </w:tcPr>
          <w:p w:rsidR="007831DD" w:rsidRDefault="000038F5">
            <w:pPr>
              <w:spacing w:after="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61.96</w:t>
            </w:r>
          </w:p>
        </w:tc>
        <w:tc>
          <w:tcPr>
            <w:tcW w:w="540"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1</w:t>
            </w:r>
          </w:p>
        </w:tc>
        <w:tc>
          <w:tcPr>
            <w:tcW w:w="1170" w:type="dxa"/>
          </w:tcPr>
          <w:p w:rsidR="007831DD" w:rsidRDefault="000038F5">
            <w:pPr>
              <w:spacing w:after="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61.96</w:t>
            </w:r>
          </w:p>
        </w:tc>
        <w:tc>
          <w:tcPr>
            <w:tcW w:w="1080" w:type="dxa"/>
          </w:tcPr>
          <w:p w:rsidR="007831DD" w:rsidRDefault="000038F5">
            <w:pPr>
              <w:spacing w:after="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39.20</w:t>
            </w:r>
          </w:p>
        </w:tc>
        <w:tc>
          <w:tcPr>
            <w:tcW w:w="1890" w:type="dxa"/>
          </w:tcPr>
          <w:p w:rsidR="007831DD" w:rsidRDefault="000038F5">
            <w:pPr>
              <w:spacing w:after="200" w:line="276" w:lineRule="auto"/>
              <w:jc w:val="center"/>
              <w:rPr>
                <w:rFonts w:ascii="Calibri" w:eastAsia="Calibri" w:hAnsi="Calibri" w:cs="Times New Roman"/>
              </w:rPr>
            </w:pPr>
            <m:oMathPara>
              <m:oMath>
                <m:r>
                  <w:rPr>
                    <w:rFonts w:ascii="Cambria Math" w:eastAsia="Calibri" w:hAnsi="Cambria Math" w:cs="Times New Roman" w:hint="eastAsia"/>
                    <w:sz w:val="24"/>
                    <w:szCs w:val="24"/>
                  </w:rPr>
                  <m:t>&lt;0.0001</m:t>
                </m:r>
              </m:oMath>
            </m:oMathPara>
          </w:p>
        </w:tc>
      </w:tr>
      <w:tr w:rsidR="007831DD">
        <w:tc>
          <w:tcPr>
            <w:tcW w:w="1998" w:type="dxa"/>
          </w:tcPr>
          <w:p w:rsidR="007831DD" w:rsidRDefault="000038F5">
            <w:pPr>
              <w:spacing w:after="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Residual</w:t>
            </w:r>
          </w:p>
        </w:tc>
        <w:tc>
          <w:tcPr>
            <w:tcW w:w="990" w:type="dxa"/>
          </w:tcPr>
          <w:p w:rsidR="007831DD" w:rsidRDefault="000038F5">
            <w:pPr>
              <w:spacing w:after="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15.80</w:t>
            </w:r>
          </w:p>
        </w:tc>
        <w:tc>
          <w:tcPr>
            <w:tcW w:w="540"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10</w:t>
            </w:r>
          </w:p>
        </w:tc>
        <w:tc>
          <w:tcPr>
            <w:tcW w:w="1170" w:type="dxa"/>
          </w:tcPr>
          <w:p w:rsidR="007831DD" w:rsidRDefault="000038F5">
            <w:pPr>
              <w:spacing w:after="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1.58</w:t>
            </w:r>
          </w:p>
        </w:tc>
        <w:tc>
          <w:tcPr>
            <w:tcW w:w="1080" w:type="dxa"/>
          </w:tcPr>
          <w:p w:rsidR="007831DD" w:rsidRDefault="007831DD">
            <w:pPr>
              <w:spacing w:after="0" w:line="240" w:lineRule="auto"/>
              <w:rPr>
                <w:rFonts w:ascii="Times New Roman" w:eastAsia="Calibri" w:hAnsi="Times New Roman" w:cs="Times New Roman"/>
                <w:sz w:val="24"/>
                <w:szCs w:val="24"/>
              </w:rPr>
            </w:pPr>
          </w:p>
        </w:tc>
        <w:tc>
          <w:tcPr>
            <w:tcW w:w="1890" w:type="dxa"/>
          </w:tcPr>
          <w:p w:rsidR="007831DD" w:rsidRDefault="007831DD">
            <w:pPr>
              <w:spacing w:after="0" w:line="240" w:lineRule="auto"/>
              <w:jc w:val="center"/>
              <w:rPr>
                <w:rFonts w:ascii="Times New Roman" w:eastAsia="Calibri" w:hAnsi="Times New Roman" w:cs="Times New Roman"/>
                <w:sz w:val="24"/>
                <w:szCs w:val="24"/>
              </w:rPr>
            </w:pPr>
          </w:p>
        </w:tc>
      </w:tr>
      <w:tr w:rsidR="007831DD">
        <w:tc>
          <w:tcPr>
            <w:tcW w:w="1998" w:type="dxa"/>
          </w:tcPr>
          <w:p w:rsidR="007831DD" w:rsidRDefault="000038F5">
            <w:pPr>
              <w:spacing w:after="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Lack of fit</w:t>
            </w:r>
          </w:p>
        </w:tc>
        <w:tc>
          <w:tcPr>
            <w:tcW w:w="990" w:type="dxa"/>
          </w:tcPr>
          <w:p w:rsidR="007831DD" w:rsidRDefault="000038F5">
            <w:pPr>
              <w:spacing w:after="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12.30</w:t>
            </w:r>
          </w:p>
        </w:tc>
        <w:tc>
          <w:tcPr>
            <w:tcW w:w="540"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6</w:t>
            </w:r>
          </w:p>
        </w:tc>
        <w:tc>
          <w:tcPr>
            <w:tcW w:w="1170" w:type="dxa"/>
          </w:tcPr>
          <w:p w:rsidR="007831DD" w:rsidRDefault="000038F5">
            <w:pPr>
              <w:spacing w:after="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2.05</w:t>
            </w:r>
          </w:p>
        </w:tc>
        <w:tc>
          <w:tcPr>
            <w:tcW w:w="1080" w:type="dxa"/>
          </w:tcPr>
          <w:p w:rsidR="007831DD" w:rsidRDefault="000038F5">
            <w:pPr>
              <w:spacing w:after="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2.34</w:t>
            </w:r>
          </w:p>
        </w:tc>
        <w:tc>
          <w:tcPr>
            <w:tcW w:w="1890" w:type="dxa"/>
          </w:tcPr>
          <w:p w:rsidR="007831DD" w:rsidRDefault="000038F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hint="eastAsia"/>
                <w:sz w:val="24"/>
                <w:szCs w:val="24"/>
              </w:rPr>
              <w:t>0.094</w:t>
            </w:r>
          </w:p>
        </w:tc>
      </w:tr>
      <w:tr w:rsidR="007831DD">
        <w:tc>
          <w:tcPr>
            <w:tcW w:w="1998" w:type="dxa"/>
          </w:tcPr>
          <w:p w:rsidR="007831DD" w:rsidRDefault="000038F5">
            <w:pPr>
              <w:spacing w:after="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Pure Error</w:t>
            </w:r>
          </w:p>
        </w:tc>
        <w:tc>
          <w:tcPr>
            <w:tcW w:w="990" w:type="dxa"/>
          </w:tcPr>
          <w:p w:rsidR="007831DD" w:rsidRDefault="000038F5">
            <w:pPr>
              <w:spacing w:after="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3.50</w:t>
            </w:r>
          </w:p>
        </w:tc>
        <w:tc>
          <w:tcPr>
            <w:tcW w:w="540"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4</w:t>
            </w:r>
          </w:p>
        </w:tc>
        <w:tc>
          <w:tcPr>
            <w:tcW w:w="1170" w:type="dxa"/>
          </w:tcPr>
          <w:p w:rsidR="007831DD" w:rsidRDefault="000038F5">
            <w:pPr>
              <w:spacing w:after="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0.88</w:t>
            </w:r>
          </w:p>
        </w:tc>
        <w:tc>
          <w:tcPr>
            <w:tcW w:w="1080" w:type="dxa"/>
          </w:tcPr>
          <w:p w:rsidR="007831DD" w:rsidRDefault="007831DD">
            <w:pPr>
              <w:spacing w:after="0" w:line="240" w:lineRule="auto"/>
              <w:rPr>
                <w:rFonts w:ascii="Times New Roman" w:eastAsia="Calibri" w:hAnsi="Times New Roman" w:cs="Times New Roman"/>
                <w:sz w:val="24"/>
                <w:szCs w:val="24"/>
              </w:rPr>
            </w:pPr>
          </w:p>
        </w:tc>
        <w:tc>
          <w:tcPr>
            <w:tcW w:w="1890" w:type="dxa"/>
          </w:tcPr>
          <w:p w:rsidR="007831DD" w:rsidRDefault="007831DD">
            <w:pPr>
              <w:spacing w:after="0" w:line="240" w:lineRule="auto"/>
              <w:rPr>
                <w:rFonts w:ascii="Times New Roman" w:eastAsia="Calibri" w:hAnsi="Times New Roman" w:cs="Times New Roman"/>
                <w:sz w:val="24"/>
                <w:szCs w:val="24"/>
              </w:rPr>
            </w:pPr>
          </w:p>
        </w:tc>
      </w:tr>
      <w:tr w:rsidR="007831DD">
        <w:tc>
          <w:tcPr>
            <w:tcW w:w="1998" w:type="dxa"/>
          </w:tcPr>
          <w:p w:rsidR="007831DD" w:rsidRDefault="000038F5">
            <w:pPr>
              <w:spacing w:after="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 xml:space="preserve">Total </w:t>
            </w:r>
          </w:p>
        </w:tc>
        <w:tc>
          <w:tcPr>
            <w:tcW w:w="990" w:type="dxa"/>
          </w:tcPr>
          <w:p w:rsidR="007831DD" w:rsidRDefault="000038F5">
            <w:pPr>
              <w:spacing w:after="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596.00</w:t>
            </w:r>
          </w:p>
        </w:tc>
        <w:tc>
          <w:tcPr>
            <w:tcW w:w="540" w:type="dxa"/>
          </w:tcPr>
          <w:p w:rsidR="007831DD" w:rsidRDefault="000038F5">
            <w:pPr>
              <w:spacing w:after="200" w:line="240" w:lineRule="auto"/>
              <w:rPr>
                <w:rFonts w:ascii="Times New Roman" w:eastAsia="Calibri" w:hAnsi="Times New Roman" w:cs="Times New Roman"/>
                <w:sz w:val="24"/>
                <w:szCs w:val="24"/>
              </w:rPr>
            </w:pPr>
            <w:r>
              <w:rPr>
                <w:rFonts w:ascii="Times New Roman" w:eastAsia="Calibri" w:hAnsi="Times New Roman" w:cs="Times New Roman" w:hint="eastAsia"/>
                <w:sz w:val="24"/>
                <w:szCs w:val="24"/>
              </w:rPr>
              <w:t>19</w:t>
            </w:r>
          </w:p>
        </w:tc>
        <w:tc>
          <w:tcPr>
            <w:tcW w:w="1170" w:type="dxa"/>
          </w:tcPr>
          <w:p w:rsidR="007831DD" w:rsidRDefault="007831DD">
            <w:pPr>
              <w:spacing w:after="0" w:line="240" w:lineRule="auto"/>
              <w:rPr>
                <w:rFonts w:ascii="Times New Roman" w:eastAsia="Calibri" w:hAnsi="Times New Roman" w:cs="Times New Roman"/>
                <w:sz w:val="24"/>
                <w:szCs w:val="24"/>
              </w:rPr>
            </w:pPr>
          </w:p>
        </w:tc>
        <w:tc>
          <w:tcPr>
            <w:tcW w:w="1080" w:type="dxa"/>
          </w:tcPr>
          <w:p w:rsidR="007831DD" w:rsidRDefault="007831DD">
            <w:pPr>
              <w:spacing w:after="0" w:line="240" w:lineRule="auto"/>
              <w:rPr>
                <w:rFonts w:ascii="Times New Roman" w:eastAsia="Calibri" w:hAnsi="Times New Roman" w:cs="Times New Roman"/>
                <w:sz w:val="24"/>
                <w:szCs w:val="24"/>
              </w:rPr>
            </w:pPr>
          </w:p>
        </w:tc>
        <w:tc>
          <w:tcPr>
            <w:tcW w:w="1890" w:type="dxa"/>
          </w:tcPr>
          <w:p w:rsidR="007831DD" w:rsidRDefault="007831DD">
            <w:pPr>
              <w:spacing w:after="0" w:line="240" w:lineRule="auto"/>
              <w:rPr>
                <w:rFonts w:ascii="Times New Roman" w:eastAsia="Calibri" w:hAnsi="Times New Roman" w:cs="Times New Roman"/>
                <w:sz w:val="24"/>
                <w:szCs w:val="24"/>
              </w:rPr>
            </w:pPr>
          </w:p>
        </w:tc>
      </w:tr>
    </w:tbl>
    <w:p w:rsidR="007831DD" w:rsidRDefault="007831DD">
      <w:pPr>
        <w:pStyle w:val="Heading2"/>
        <w:ind w:left="8"/>
        <w:rPr>
          <w:sz w:val="24"/>
          <w:szCs w:val="24"/>
        </w:rPr>
      </w:pPr>
    </w:p>
    <w:p w:rsidR="007831DD" w:rsidRDefault="000038F5">
      <w:pPr>
        <w:rPr>
          <w:rFonts w:ascii="Times New Roman" w:eastAsia="Times New Roman" w:hAnsi="Times New Roman" w:cs="Times New Roman"/>
          <w:b/>
          <w:bCs/>
          <w:sz w:val="24"/>
          <w:szCs w:val="24"/>
        </w:rPr>
      </w:pPr>
      <w:r>
        <w:rPr>
          <w:sz w:val="24"/>
          <w:szCs w:val="24"/>
        </w:rPr>
        <w:br w:type="page"/>
      </w:r>
    </w:p>
    <w:p w:rsidR="007831DD" w:rsidRDefault="000038F5">
      <w:pPr>
        <w:pStyle w:val="Heading2"/>
        <w:ind w:left="8"/>
        <w:rPr>
          <w:sz w:val="24"/>
          <w:szCs w:val="24"/>
        </w:rPr>
      </w:pPr>
      <w:r>
        <w:rPr>
          <w:sz w:val="24"/>
          <w:szCs w:val="24"/>
        </w:rPr>
        <w:lastRenderedPageBreak/>
        <w:t>Table 6: Significance of Model Terms</w:t>
      </w:r>
    </w:p>
    <w:tbl>
      <w:tblPr>
        <w:tblStyle w:val="TableGrid"/>
        <w:tblW w:w="0" w:type="auto"/>
        <w:tblLook w:val="04A0" w:firstRow="1" w:lastRow="0" w:firstColumn="1" w:lastColumn="0" w:noHBand="0" w:noVBand="1"/>
      </w:tblPr>
      <w:tblGrid>
        <w:gridCol w:w="1728"/>
        <w:gridCol w:w="2532"/>
        <w:gridCol w:w="2131"/>
        <w:gridCol w:w="2131"/>
      </w:tblGrid>
      <w:tr w:rsidR="007831DD">
        <w:tc>
          <w:tcPr>
            <w:tcW w:w="1728" w:type="dxa"/>
          </w:tcPr>
          <w:p w:rsidR="007831DD" w:rsidRDefault="000038F5">
            <w:pPr>
              <w:spacing w:after="200" w:line="276" w:lineRule="auto"/>
              <w:rPr>
                <w:rFonts w:ascii="Calibri" w:eastAsia="Calibri" w:hAnsi="Calibri" w:cs="Times New Roman"/>
                <w:b/>
                <w:sz w:val="24"/>
                <w:szCs w:val="24"/>
              </w:rPr>
            </w:pPr>
            <w:r>
              <w:rPr>
                <w:rFonts w:ascii="Calibri" w:eastAsia="Calibri" w:hAnsi="Calibri" w:cs="Times New Roman" w:hint="eastAsia"/>
                <w:b/>
                <w:sz w:val="24"/>
                <w:szCs w:val="24"/>
              </w:rPr>
              <w:t xml:space="preserve">Term </w:t>
            </w:r>
          </w:p>
        </w:tc>
        <w:tc>
          <w:tcPr>
            <w:tcW w:w="2532" w:type="dxa"/>
          </w:tcPr>
          <w:p w:rsidR="007831DD" w:rsidRDefault="000038F5">
            <w:pPr>
              <w:spacing w:after="200" w:line="276" w:lineRule="auto"/>
              <w:rPr>
                <w:rFonts w:ascii="Calibri" w:eastAsia="Calibri" w:hAnsi="Calibri" w:cs="Times New Roman"/>
                <w:b/>
                <w:sz w:val="24"/>
                <w:szCs w:val="24"/>
              </w:rPr>
            </w:pPr>
            <w:r>
              <w:rPr>
                <w:rFonts w:ascii="Calibri" w:eastAsia="Calibri" w:hAnsi="Calibri" w:cs="Times New Roman" w:hint="eastAsia"/>
                <w:b/>
                <w:sz w:val="24"/>
                <w:szCs w:val="24"/>
              </w:rPr>
              <w:t>F- value</w:t>
            </w:r>
          </w:p>
        </w:tc>
        <w:tc>
          <w:tcPr>
            <w:tcW w:w="2131" w:type="dxa"/>
          </w:tcPr>
          <w:p w:rsidR="007831DD" w:rsidRDefault="000038F5">
            <w:pPr>
              <w:spacing w:after="200" w:line="276" w:lineRule="auto"/>
              <w:rPr>
                <w:rFonts w:ascii="Calibri" w:eastAsia="Calibri" w:hAnsi="Calibri" w:cs="Times New Roman"/>
                <w:b/>
                <w:sz w:val="24"/>
                <w:szCs w:val="24"/>
              </w:rPr>
            </w:pPr>
            <w:r>
              <w:rPr>
                <w:rFonts w:ascii="Calibri" w:eastAsia="Calibri" w:hAnsi="Calibri" w:cs="Times New Roman" w:hint="eastAsia"/>
                <w:b/>
                <w:sz w:val="24"/>
                <w:szCs w:val="24"/>
              </w:rPr>
              <w:t>P- value</w:t>
            </w:r>
          </w:p>
        </w:tc>
        <w:tc>
          <w:tcPr>
            <w:tcW w:w="2131" w:type="dxa"/>
          </w:tcPr>
          <w:p w:rsidR="007831DD" w:rsidRDefault="000038F5">
            <w:pPr>
              <w:spacing w:after="200" w:line="276" w:lineRule="auto"/>
              <w:rPr>
                <w:rFonts w:ascii="Calibri" w:eastAsia="Calibri" w:hAnsi="Calibri" w:cs="Times New Roman"/>
                <w:b/>
                <w:sz w:val="24"/>
                <w:szCs w:val="24"/>
              </w:rPr>
            </w:pPr>
            <w:r>
              <w:rPr>
                <w:rFonts w:ascii="Calibri" w:eastAsia="Calibri" w:hAnsi="Calibri" w:cs="Times New Roman" w:hint="eastAsia"/>
                <w:b/>
                <w:sz w:val="24"/>
                <w:szCs w:val="24"/>
              </w:rPr>
              <w:t xml:space="preserve">Interpretation </w:t>
            </w:r>
          </w:p>
        </w:tc>
      </w:tr>
      <w:tr w:rsidR="007831DD">
        <w:tc>
          <w:tcPr>
            <w:tcW w:w="1728" w:type="dxa"/>
          </w:tcPr>
          <w:p w:rsidR="007831DD" w:rsidRDefault="000038F5">
            <w:pPr>
              <w:spacing w:after="200" w:line="276" w:lineRule="auto"/>
              <w:rPr>
                <w:rFonts w:ascii="Times New Roman" w:eastAsia="Calibri" w:hAnsi="Times New Roman" w:cs="Times New Roman"/>
                <w:b/>
                <w:sz w:val="24"/>
                <w:szCs w:val="24"/>
              </w:rPr>
            </w:pPr>
            <w:r>
              <w:rPr>
                <w:rFonts w:ascii="Times New Roman" w:eastAsia="Calibri" w:hAnsi="Times New Roman" w:cs="Times New Roman"/>
                <w:b/>
                <w:sz w:val="24"/>
                <w:szCs w:val="24"/>
              </w:rPr>
              <w:t>A</w:t>
            </w:r>
          </w:p>
        </w:tc>
        <w:tc>
          <w:tcPr>
            <w:tcW w:w="2532" w:type="dxa"/>
          </w:tcPr>
          <w:p w:rsidR="007831DD" w:rsidRDefault="000038F5">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76.28</w:t>
            </w:r>
          </w:p>
        </w:tc>
        <w:tc>
          <w:tcPr>
            <w:tcW w:w="2131" w:type="dxa"/>
          </w:tcPr>
          <w:p w:rsidR="007831DD" w:rsidRDefault="000038F5">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&lt; 0.0001</w:t>
            </w:r>
          </w:p>
        </w:tc>
        <w:tc>
          <w:tcPr>
            <w:tcW w:w="2131" w:type="dxa"/>
          </w:tcPr>
          <w:p w:rsidR="007831DD" w:rsidRDefault="000038F5">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Very strong effect</w:t>
            </w:r>
          </w:p>
        </w:tc>
      </w:tr>
      <w:tr w:rsidR="007831DD">
        <w:tc>
          <w:tcPr>
            <w:tcW w:w="1728" w:type="dxa"/>
          </w:tcPr>
          <w:p w:rsidR="007831DD" w:rsidRDefault="000038F5">
            <w:pPr>
              <w:spacing w:after="200" w:line="276" w:lineRule="auto"/>
              <w:rPr>
                <w:rFonts w:ascii="Times New Roman" w:eastAsia="Calibri" w:hAnsi="Times New Roman" w:cs="Times New Roman"/>
                <w:b/>
                <w:sz w:val="24"/>
                <w:szCs w:val="24"/>
              </w:rPr>
            </w:pPr>
            <w:r>
              <w:rPr>
                <w:rFonts w:ascii="Times New Roman" w:eastAsia="Calibri" w:hAnsi="Times New Roman" w:cs="Times New Roman"/>
                <w:b/>
                <w:sz w:val="24"/>
                <w:szCs w:val="24"/>
              </w:rPr>
              <w:t>B</w:t>
            </w:r>
          </w:p>
        </w:tc>
        <w:tc>
          <w:tcPr>
            <w:tcW w:w="2532" w:type="dxa"/>
          </w:tcPr>
          <w:p w:rsidR="007831DD" w:rsidRDefault="000038F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53.96</w:t>
            </w:r>
          </w:p>
        </w:tc>
        <w:tc>
          <w:tcPr>
            <w:tcW w:w="2131" w:type="dxa"/>
          </w:tcPr>
          <w:p w:rsidR="007831DD" w:rsidRDefault="000038F5">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&lt; 0.0001</w:t>
            </w:r>
          </w:p>
        </w:tc>
        <w:tc>
          <w:tcPr>
            <w:tcW w:w="2131" w:type="dxa"/>
          </w:tcPr>
          <w:p w:rsidR="007831DD" w:rsidRDefault="000038F5">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Significantly influences yield</w:t>
            </w:r>
          </w:p>
        </w:tc>
      </w:tr>
      <w:tr w:rsidR="007831DD">
        <w:tc>
          <w:tcPr>
            <w:tcW w:w="1728" w:type="dxa"/>
          </w:tcPr>
          <w:p w:rsidR="007831DD" w:rsidRDefault="000038F5">
            <w:pPr>
              <w:spacing w:after="200" w:line="276" w:lineRule="auto"/>
              <w:rPr>
                <w:rFonts w:ascii="Times New Roman" w:eastAsia="Calibri" w:hAnsi="Times New Roman" w:cs="Times New Roman"/>
                <w:b/>
                <w:sz w:val="24"/>
                <w:szCs w:val="24"/>
              </w:rPr>
            </w:pPr>
            <w:r>
              <w:rPr>
                <w:rFonts w:ascii="Times New Roman" w:eastAsia="Calibri" w:hAnsi="Times New Roman" w:cs="Times New Roman"/>
                <w:b/>
                <w:sz w:val="24"/>
                <w:szCs w:val="24"/>
              </w:rPr>
              <w:t>C</w:t>
            </w:r>
          </w:p>
        </w:tc>
        <w:tc>
          <w:tcPr>
            <w:tcW w:w="2532" w:type="dxa"/>
          </w:tcPr>
          <w:p w:rsidR="007831DD" w:rsidRDefault="000038F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84.93</w:t>
            </w:r>
          </w:p>
        </w:tc>
        <w:tc>
          <w:tcPr>
            <w:tcW w:w="2131" w:type="dxa"/>
          </w:tcPr>
          <w:p w:rsidR="007831DD" w:rsidRDefault="000038F5">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&lt; 0.0001</w:t>
            </w:r>
          </w:p>
        </w:tc>
        <w:tc>
          <w:tcPr>
            <w:tcW w:w="2131" w:type="dxa"/>
          </w:tcPr>
          <w:p w:rsidR="007831DD" w:rsidRDefault="000038F5">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Strongly impacts yield</w:t>
            </w:r>
          </w:p>
        </w:tc>
      </w:tr>
      <w:tr w:rsidR="007831DD">
        <w:tc>
          <w:tcPr>
            <w:tcW w:w="1728" w:type="dxa"/>
          </w:tcPr>
          <w:p w:rsidR="007831DD" w:rsidRDefault="000038F5">
            <w:pPr>
              <w:spacing w:after="200" w:line="276" w:lineRule="auto"/>
              <w:rPr>
                <w:rFonts w:ascii="Times New Roman" w:eastAsia="Calibri" w:hAnsi="Times New Roman" w:cs="Times New Roman"/>
                <w:b/>
                <w:sz w:val="24"/>
                <w:szCs w:val="24"/>
              </w:rPr>
            </w:pPr>
            <w:r>
              <w:rPr>
                <w:rFonts w:ascii="Times New Roman" w:eastAsia="Calibri" w:hAnsi="Times New Roman" w:cs="Times New Roman"/>
                <w:b/>
                <w:sz w:val="24"/>
                <w:szCs w:val="24"/>
              </w:rPr>
              <w:t>AB</w:t>
            </w:r>
          </w:p>
        </w:tc>
        <w:tc>
          <w:tcPr>
            <w:tcW w:w="2532" w:type="dxa"/>
          </w:tcPr>
          <w:p w:rsidR="007831DD" w:rsidRDefault="000038F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21.24</w:t>
            </w:r>
          </w:p>
        </w:tc>
        <w:tc>
          <w:tcPr>
            <w:tcW w:w="2131" w:type="dxa"/>
          </w:tcPr>
          <w:p w:rsidR="007831DD" w:rsidRDefault="000038F5">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0.0006</w:t>
            </w:r>
          </w:p>
        </w:tc>
        <w:tc>
          <w:tcPr>
            <w:tcW w:w="2131" w:type="dxa"/>
          </w:tcPr>
          <w:p w:rsidR="007831DD" w:rsidRDefault="000038F5">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Significant </w:t>
            </w:r>
          </w:p>
        </w:tc>
      </w:tr>
      <w:tr w:rsidR="007831DD">
        <w:tc>
          <w:tcPr>
            <w:tcW w:w="1728" w:type="dxa"/>
          </w:tcPr>
          <w:p w:rsidR="007831DD" w:rsidRDefault="000038F5">
            <w:pPr>
              <w:spacing w:after="200" w:line="276" w:lineRule="auto"/>
              <w:rPr>
                <w:rFonts w:ascii="Times New Roman" w:eastAsia="Calibri" w:hAnsi="Times New Roman" w:cs="Times New Roman"/>
                <w:b/>
                <w:sz w:val="24"/>
                <w:szCs w:val="24"/>
              </w:rPr>
            </w:pPr>
            <w:r>
              <w:rPr>
                <w:rFonts w:ascii="Times New Roman" w:eastAsia="Calibri" w:hAnsi="Times New Roman" w:cs="Times New Roman"/>
                <w:b/>
                <w:sz w:val="24"/>
                <w:szCs w:val="24"/>
              </w:rPr>
              <w:t>AC</w:t>
            </w:r>
          </w:p>
        </w:tc>
        <w:tc>
          <w:tcPr>
            <w:tcW w:w="2532" w:type="dxa"/>
          </w:tcPr>
          <w:p w:rsidR="007831DD" w:rsidRDefault="000038F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18.15</w:t>
            </w:r>
          </w:p>
        </w:tc>
        <w:tc>
          <w:tcPr>
            <w:tcW w:w="2131" w:type="dxa"/>
          </w:tcPr>
          <w:p w:rsidR="007831DD" w:rsidRDefault="000038F5">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0.0011</w:t>
            </w:r>
          </w:p>
        </w:tc>
        <w:tc>
          <w:tcPr>
            <w:tcW w:w="2131" w:type="dxa"/>
          </w:tcPr>
          <w:p w:rsidR="007831DD" w:rsidRDefault="000038F5">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Significant </w:t>
            </w:r>
          </w:p>
        </w:tc>
      </w:tr>
      <w:tr w:rsidR="007831DD">
        <w:tc>
          <w:tcPr>
            <w:tcW w:w="1728" w:type="dxa"/>
          </w:tcPr>
          <w:p w:rsidR="007831DD" w:rsidRDefault="000038F5">
            <w:pPr>
              <w:spacing w:after="200" w:line="276" w:lineRule="auto"/>
              <w:rPr>
                <w:rFonts w:ascii="Times New Roman" w:eastAsia="Calibri" w:hAnsi="Times New Roman" w:cs="Times New Roman"/>
                <w:b/>
                <w:sz w:val="24"/>
                <w:szCs w:val="24"/>
              </w:rPr>
            </w:pPr>
            <w:r>
              <w:rPr>
                <w:rFonts w:ascii="Times New Roman" w:eastAsia="Calibri" w:hAnsi="Times New Roman" w:cs="Times New Roman"/>
                <w:b/>
                <w:sz w:val="24"/>
                <w:szCs w:val="24"/>
              </w:rPr>
              <w:t>BC</w:t>
            </w:r>
          </w:p>
        </w:tc>
        <w:tc>
          <w:tcPr>
            <w:tcW w:w="2532" w:type="dxa"/>
          </w:tcPr>
          <w:p w:rsidR="007831DD" w:rsidRDefault="000038F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12.31</w:t>
            </w:r>
          </w:p>
        </w:tc>
        <w:tc>
          <w:tcPr>
            <w:tcW w:w="2131" w:type="dxa"/>
          </w:tcPr>
          <w:p w:rsidR="007831DD" w:rsidRDefault="000038F5">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0.0047</w:t>
            </w:r>
          </w:p>
        </w:tc>
        <w:tc>
          <w:tcPr>
            <w:tcW w:w="2131" w:type="dxa"/>
          </w:tcPr>
          <w:p w:rsidR="007831DD" w:rsidRDefault="000038F5">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Significant </w:t>
            </w:r>
          </w:p>
        </w:tc>
      </w:tr>
      <w:tr w:rsidR="007831DD">
        <w:tc>
          <w:tcPr>
            <w:tcW w:w="1728" w:type="dxa"/>
          </w:tcPr>
          <w:p w:rsidR="007831DD" w:rsidRDefault="000038F5">
            <w:pPr>
              <w:spacing w:after="200" w:line="276" w:lineRule="auto"/>
              <w:rPr>
                <w:rFonts w:ascii="Times New Roman" w:eastAsia="Calibri" w:hAnsi="Times New Roman" w:cs="Times New Roman"/>
                <w:b/>
                <w:sz w:val="24"/>
                <w:szCs w:val="24"/>
              </w:rPr>
            </w:pPr>
            <w:r>
              <w:rPr>
                <w:rFonts w:ascii="Times New Roman" w:eastAsia="Calibri" w:hAnsi="Times New Roman" w:cs="Times New Roman"/>
                <w:b/>
                <w:sz w:val="24"/>
                <w:szCs w:val="24"/>
              </w:rPr>
              <w:t>A</w:t>
            </w:r>
            <w:r>
              <w:rPr>
                <w:rFonts w:ascii="Times New Roman" w:eastAsia="Calibri" w:hAnsi="Times New Roman" w:cs="Times New Roman"/>
                <w:b/>
                <w:sz w:val="24"/>
                <w:szCs w:val="24"/>
                <w:vertAlign w:val="superscript"/>
              </w:rPr>
              <w:t>2</w:t>
            </w:r>
            <w:r>
              <w:rPr>
                <w:rFonts w:ascii="Times New Roman" w:eastAsia="Calibri" w:hAnsi="Times New Roman" w:cs="Times New Roman"/>
                <w:b/>
                <w:sz w:val="24"/>
                <w:szCs w:val="24"/>
              </w:rPr>
              <w:t>, B</w:t>
            </w:r>
            <w:r>
              <w:rPr>
                <w:rFonts w:ascii="Times New Roman" w:eastAsia="Calibri" w:hAnsi="Times New Roman" w:cs="Times New Roman"/>
                <w:b/>
                <w:sz w:val="24"/>
                <w:szCs w:val="24"/>
                <w:vertAlign w:val="superscript"/>
              </w:rPr>
              <w:t>2</w:t>
            </w:r>
            <w:r>
              <w:rPr>
                <w:rFonts w:ascii="Times New Roman" w:eastAsia="Calibri" w:hAnsi="Times New Roman" w:cs="Times New Roman"/>
                <w:b/>
                <w:sz w:val="24"/>
                <w:szCs w:val="24"/>
              </w:rPr>
              <w:t>, C</w:t>
            </w:r>
            <w:r>
              <w:rPr>
                <w:rFonts w:ascii="Times New Roman" w:eastAsia="Calibri" w:hAnsi="Times New Roman" w:cs="Times New Roman"/>
                <w:b/>
                <w:sz w:val="24"/>
                <w:szCs w:val="24"/>
                <w:vertAlign w:val="superscript"/>
              </w:rPr>
              <w:t>2</w:t>
            </w:r>
          </w:p>
        </w:tc>
        <w:tc>
          <w:tcPr>
            <w:tcW w:w="2532" w:type="dxa"/>
          </w:tcPr>
          <w:p w:rsidR="007831DD" w:rsidRDefault="000038F5">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&gt;26</w:t>
            </w:r>
          </w:p>
        </w:tc>
        <w:tc>
          <w:tcPr>
            <w:tcW w:w="2131" w:type="dxa"/>
          </w:tcPr>
          <w:p w:rsidR="007831DD" w:rsidRDefault="000038F5">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&lt; 0.0001</w:t>
            </w:r>
          </w:p>
        </w:tc>
        <w:tc>
          <w:tcPr>
            <w:tcW w:w="2131" w:type="dxa"/>
          </w:tcPr>
          <w:p w:rsidR="007831DD" w:rsidRDefault="000038F5">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All quadratic terms are significant, indicating curvature in the response surface</w:t>
            </w:r>
          </w:p>
        </w:tc>
      </w:tr>
    </w:tbl>
    <w:p w:rsidR="007831DD" w:rsidRDefault="000038F5">
      <w:pPr>
        <w:pStyle w:val="Heading2"/>
        <w:spacing w:line="360" w:lineRule="auto"/>
        <w:ind w:left="8"/>
        <w:jc w:val="both"/>
        <w:rPr>
          <w:sz w:val="24"/>
          <w:szCs w:val="24"/>
        </w:rPr>
      </w:pPr>
      <w:r>
        <w:rPr>
          <w:sz w:val="24"/>
          <w:szCs w:val="24"/>
        </w:rPr>
        <w:t xml:space="preserve">3.1 </w:t>
      </w:r>
      <w:r>
        <w:rPr>
          <w:sz w:val="24"/>
          <w:szCs w:val="24"/>
        </w:rPr>
        <w:t>Analysis of the Impact of Transesterification Parameters</w:t>
      </w:r>
    </w:p>
    <w:p w:rsidR="007831DD" w:rsidRDefault="000038F5">
      <w:pPr>
        <w:spacing w:line="360" w:lineRule="auto"/>
        <w:ind w:left="8"/>
        <w:jc w:val="both"/>
        <w:rPr>
          <w:rFonts w:ascii="Times New Roman" w:hAnsi="Times New Roman"/>
          <w:sz w:val="24"/>
          <w:szCs w:val="24"/>
        </w:rPr>
      </w:pPr>
      <w:r>
        <w:rPr>
          <w:rFonts w:ascii="Times New Roman" w:hAnsi="Times New Roman"/>
          <w:sz w:val="24"/>
          <w:szCs w:val="24"/>
        </w:rPr>
        <w:t xml:space="preserve">Graphically, contour and 3D surface plots illustrate the influence of transesterification parameters on the outcome (biodiesel yield). </w:t>
      </w:r>
    </w:p>
    <w:p w:rsidR="007831DD" w:rsidRDefault="000038F5">
      <w:pPr>
        <w:ind w:left="8"/>
        <w:rPr>
          <w:rFonts w:ascii="Times New Roman" w:hAnsi="Times New Roman"/>
          <w:sz w:val="24"/>
          <w:szCs w:val="24"/>
        </w:rPr>
      </w:pPr>
      <w:r>
        <w:rPr>
          <w:noProof/>
          <w:lang w:val="en-IN" w:eastAsia="en-IN"/>
        </w:rPr>
        <w:drawing>
          <wp:anchor distT="0" distB="0" distL="114300" distR="114300" simplePos="0" relativeHeight="251659264" behindDoc="0" locked="0" layoutInCell="1" allowOverlap="1">
            <wp:simplePos x="0" y="0"/>
            <wp:positionH relativeFrom="column">
              <wp:posOffset>871220</wp:posOffset>
            </wp:positionH>
            <wp:positionV relativeFrom="paragraph">
              <wp:posOffset>12065</wp:posOffset>
            </wp:positionV>
            <wp:extent cx="3640455" cy="2404110"/>
            <wp:effectExtent l="0" t="0" r="17145" b="152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640455" cy="2404110"/>
                    </a:xfrm>
                    <a:prstGeom prst="rect">
                      <a:avLst/>
                    </a:prstGeom>
                  </pic:spPr>
                </pic:pic>
              </a:graphicData>
            </a:graphic>
          </wp:anchor>
        </w:drawing>
      </w:r>
    </w:p>
    <w:p w:rsidR="007831DD" w:rsidRDefault="007831DD">
      <w:pPr>
        <w:tabs>
          <w:tab w:val="left" w:pos="540"/>
        </w:tabs>
        <w:ind w:left="540"/>
        <w:jc w:val="both"/>
        <w:rPr>
          <w:rFonts w:ascii="Times New Roman" w:hAnsi="Times New Roman"/>
          <w:sz w:val="24"/>
          <w:szCs w:val="24"/>
        </w:rPr>
      </w:pPr>
    </w:p>
    <w:p w:rsidR="007831DD" w:rsidRDefault="007831DD">
      <w:pPr>
        <w:spacing w:after="4"/>
        <w:ind w:left="18"/>
        <w:rPr>
          <w:rFonts w:ascii="Times New Roman" w:hAnsi="Times New Roman"/>
          <w:b/>
          <w:sz w:val="24"/>
          <w:szCs w:val="24"/>
        </w:rPr>
      </w:pPr>
    </w:p>
    <w:p w:rsidR="007831DD" w:rsidRDefault="007831DD">
      <w:pPr>
        <w:spacing w:after="4"/>
        <w:ind w:left="18"/>
        <w:rPr>
          <w:rFonts w:ascii="Times New Roman" w:hAnsi="Times New Roman"/>
          <w:b/>
          <w:sz w:val="24"/>
          <w:szCs w:val="24"/>
        </w:rPr>
      </w:pPr>
    </w:p>
    <w:p w:rsidR="007831DD" w:rsidRDefault="007831DD">
      <w:pPr>
        <w:spacing w:after="4"/>
        <w:ind w:left="18"/>
        <w:rPr>
          <w:rFonts w:ascii="Times New Roman" w:hAnsi="Times New Roman"/>
          <w:b/>
          <w:sz w:val="24"/>
          <w:szCs w:val="24"/>
        </w:rPr>
      </w:pPr>
    </w:p>
    <w:p w:rsidR="007831DD" w:rsidRDefault="007831DD">
      <w:pPr>
        <w:spacing w:after="4"/>
        <w:ind w:left="18"/>
        <w:rPr>
          <w:rFonts w:ascii="Times New Roman" w:hAnsi="Times New Roman"/>
          <w:b/>
          <w:sz w:val="24"/>
          <w:szCs w:val="24"/>
        </w:rPr>
      </w:pPr>
    </w:p>
    <w:p w:rsidR="007831DD" w:rsidRDefault="007831DD">
      <w:pPr>
        <w:spacing w:after="4"/>
        <w:ind w:left="18"/>
        <w:rPr>
          <w:rFonts w:ascii="Times New Roman" w:hAnsi="Times New Roman"/>
          <w:b/>
          <w:sz w:val="24"/>
          <w:szCs w:val="24"/>
        </w:rPr>
      </w:pPr>
    </w:p>
    <w:p w:rsidR="007831DD" w:rsidRDefault="007831DD">
      <w:pPr>
        <w:spacing w:after="4"/>
        <w:ind w:left="18"/>
        <w:rPr>
          <w:rFonts w:ascii="Times New Roman" w:hAnsi="Times New Roman"/>
          <w:b/>
          <w:sz w:val="24"/>
          <w:szCs w:val="24"/>
        </w:rPr>
      </w:pPr>
    </w:p>
    <w:p w:rsidR="007831DD" w:rsidRDefault="007831DD">
      <w:pPr>
        <w:spacing w:after="4"/>
        <w:ind w:left="18"/>
        <w:rPr>
          <w:rFonts w:ascii="Times New Roman" w:hAnsi="Times New Roman"/>
          <w:b/>
          <w:sz w:val="24"/>
          <w:szCs w:val="24"/>
        </w:rPr>
      </w:pPr>
    </w:p>
    <w:p w:rsidR="007831DD" w:rsidRDefault="007831DD">
      <w:pPr>
        <w:spacing w:after="4"/>
        <w:ind w:left="18"/>
        <w:rPr>
          <w:rFonts w:ascii="Times New Roman" w:hAnsi="Times New Roman"/>
          <w:b/>
          <w:sz w:val="24"/>
          <w:szCs w:val="24"/>
        </w:rPr>
      </w:pPr>
    </w:p>
    <w:p w:rsidR="007831DD" w:rsidRDefault="007831DD">
      <w:pPr>
        <w:spacing w:after="4"/>
        <w:ind w:left="18"/>
        <w:rPr>
          <w:rFonts w:ascii="Times New Roman" w:hAnsi="Times New Roman"/>
          <w:b/>
          <w:sz w:val="24"/>
          <w:szCs w:val="24"/>
        </w:rPr>
      </w:pPr>
    </w:p>
    <w:p w:rsidR="007831DD" w:rsidRDefault="007831DD">
      <w:pPr>
        <w:spacing w:after="4"/>
        <w:ind w:left="18"/>
        <w:rPr>
          <w:rFonts w:ascii="Times New Roman" w:hAnsi="Times New Roman"/>
          <w:b/>
          <w:sz w:val="24"/>
          <w:szCs w:val="24"/>
        </w:rPr>
      </w:pPr>
    </w:p>
    <w:p w:rsidR="007831DD" w:rsidRDefault="000038F5">
      <w:pPr>
        <w:spacing w:after="4"/>
        <w:ind w:left="18"/>
        <w:rPr>
          <w:rFonts w:ascii="Times New Roman" w:hAnsi="Times New Roman"/>
          <w:sz w:val="24"/>
          <w:szCs w:val="24"/>
        </w:rPr>
      </w:pPr>
      <w:r>
        <w:rPr>
          <w:rFonts w:ascii="Times New Roman" w:hAnsi="Times New Roman"/>
          <w:b/>
          <w:sz w:val="24"/>
          <w:szCs w:val="24"/>
        </w:rPr>
        <w:t>FIG 1a</w:t>
      </w:r>
      <w:r>
        <w:rPr>
          <w:rFonts w:ascii="Times New Roman" w:hAnsi="Times New Roman"/>
          <w:sz w:val="24"/>
          <w:szCs w:val="24"/>
        </w:rPr>
        <w:t>: shows a 3D surface plot showing the interaction of Catalyst and time</w:t>
      </w:r>
    </w:p>
    <w:p w:rsidR="007831DD" w:rsidRDefault="000038F5">
      <w:pPr>
        <w:tabs>
          <w:tab w:val="left" w:pos="540"/>
        </w:tabs>
        <w:jc w:val="both"/>
        <w:rPr>
          <w:rFonts w:ascii="Times New Roman" w:hAnsi="Times New Roman"/>
          <w:sz w:val="24"/>
          <w:szCs w:val="24"/>
        </w:rPr>
      </w:pPr>
      <w:r>
        <w:rPr>
          <w:noProof/>
          <w:lang w:val="en-IN" w:eastAsia="en-IN"/>
        </w:rPr>
        <w:lastRenderedPageBreak/>
        <w:drawing>
          <wp:inline distT="0" distB="0" distL="0" distR="0">
            <wp:extent cx="2977515" cy="2822575"/>
            <wp:effectExtent l="0" t="0" r="13335" b="158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a:stretch>
                      <a:fillRect/>
                    </a:stretch>
                  </pic:blipFill>
                  <pic:spPr>
                    <a:xfrm>
                      <a:off x="0" y="0"/>
                      <a:ext cx="3000831" cy="2844106"/>
                    </a:xfrm>
                    <a:prstGeom prst="rect">
                      <a:avLst/>
                    </a:prstGeom>
                  </pic:spPr>
                </pic:pic>
              </a:graphicData>
            </a:graphic>
          </wp:inline>
        </w:drawing>
      </w:r>
    </w:p>
    <w:p w:rsidR="007831DD" w:rsidRDefault="000038F5">
      <w:pPr>
        <w:tabs>
          <w:tab w:val="left" w:pos="540"/>
        </w:tabs>
        <w:jc w:val="both"/>
        <w:rPr>
          <w:rFonts w:ascii="Times New Roman" w:hAnsi="Times New Roman"/>
          <w:bCs/>
          <w:sz w:val="24"/>
          <w:szCs w:val="24"/>
        </w:rPr>
      </w:pPr>
      <w:r>
        <w:rPr>
          <w:rFonts w:ascii="Times New Roman" w:hAnsi="Times New Roman"/>
          <w:bCs/>
          <w:sz w:val="24"/>
          <w:szCs w:val="24"/>
        </w:rPr>
        <w:t>FIG 1b: Represents a Contour</w:t>
      </w:r>
      <w:r>
        <w:rPr>
          <w:rFonts w:ascii="Times New Roman" w:hAnsi="Times New Roman"/>
          <w:bCs/>
          <w:sz w:val="24"/>
          <w:szCs w:val="24"/>
        </w:rPr>
        <w:t xml:space="preserve"> plot of Catalyst and time</w:t>
      </w:r>
    </w:p>
    <w:p w:rsidR="007831DD" w:rsidRDefault="000038F5">
      <w:pPr>
        <w:tabs>
          <w:tab w:val="left" w:pos="540"/>
        </w:tabs>
        <w:jc w:val="both"/>
        <w:rPr>
          <w:rFonts w:ascii="Times New Roman" w:hAnsi="Times New Roman"/>
          <w:sz w:val="24"/>
          <w:szCs w:val="24"/>
        </w:rPr>
      </w:pPr>
      <w:r>
        <w:rPr>
          <w:noProof/>
          <w:lang w:val="en-IN" w:eastAsia="en-IN"/>
        </w:rPr>
        <w:drawing>
          <wp:inline distT="0" distB="0" distL="0" distR="0">
            <wp:extent cx="3119120" cy="1868170"/>
            <wp:effectExtent l="0" t="0" r="5080" b="177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2"/>
                    <a:stretch>
                      <a:fillRect/>
                    </a:stretch>
                  </pic:blipFill>
                  <pic:spPr>
                    <a:xfrm>
                      <a:off x="0" y="0"/>
                      <a:ext cx="3140864" cy="1881032"/>
                    </a:xfrm>
                    <a:prstGeom prst="rect">
                      <a:avLst/>
                    </a:prstGeom>
                  </pic:spPr>
                </pic:pic>
              </a:graphicData>
            </a:graphic>
          </wp:inline>
        </w:drawing>
      </w:r>
    </w:p>
    <w:p w:rsidR="007831DD" w:rsidRDefault="000038F5">
      <w:pPr>
        <w:spacing w:after="4"/>
        <w:ind w:left="18"/>
        <w:rPr>
          <w:rFonts w:ascii="Times New Roman" w:hAnsi="Times New Roman"/>
          <w:sz w:val="24"/>
          <w:szCs w:val="24"/>
        </w:rPr>
      </w:pPr>
      <w:r>
        <w:rPr>
          <w:rFonts w:ascii="Times New Roman" w:hAnsi="Times New Roman"/>
          <w:b/>
          <w:sz w:val="24"/>
          <w:szCs w:val="24"/>
        </w:rPr>
        <w:t>FIG 2a:</w:t>
      </w:r>
      <w:r>
        <w:rPr>
          <w:rFonts w:ascii="Times New Roman" w:hAnsi="Times New Roman"/>
          <w:sz w:val="24"/>
          <w:szCs w:val="24"/>
        </w:rPr>
        <w:t xml:space="preserve"> shows a 3D surface plot showing the interaction of catalyst and methanol</w:t>
      </w:r>
    </w:p>
    <w:p w:rsidR="007831DD" w:rsidRDefault="000038F5">
      <w:pPr>
        <w:spacing w:after="4"/>
        <w:ind w:left="18"/>
        <w:rPr>
          <w:rFonts w:ascii="Times New Roman" w:hAnsi="Times New Roman"/>
          <w:sz w:val="24"/>
          <w:szCs w:val="24"/>
        </w:rPr>
      </w:pPr>
      <w:r>
        <w:rPr>
          <w:noProof/>
          <w:lang w:val="en-IN" w:eastAsia="en-IN"/>
        </w:rPr>
        <w:drawing>
          <wp:inline distT="0" distB="0" distL="0" distR="0">
            <wp:extent cx="3066415" cy="2317750"/>
            <wp:effectExtent l="0" t="0" r="63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3"/>
                    <a:stretch>
                      <a:fillRect/>
                    </a:stretch>
                  </pic:blipFill>
                  <pic:spPr>
                    <a:xfrm>
                      <a:off x="0" y="0"/>
                      <a:ext cx="3101421" cy="2344359"/>
                    </a:xfrm>
                    <a:prstGeom prst="rect">
                      <a:avLst/>
                    </a:prstGeom>
                  </pic:spPr>
                </pic:pic>
              </a:graphicData>
            </a:graphic>
          </wp:inline>
        </w:drawing>
      </w:r>
    </w:p>
    <w:p w:rsidR="007831DD" w:rsidRDefault="000038F5">
      <w:pPr>
        <w:spacing w:after="4"/>
        <w:ind w:left="18"/>
        <w:rPr>
          <w:rFonts w:ascii="Times New Roman" w:hAnsi="Times New Roman"/>
          <w:sz w:val="24"/>
          <w:szCs w:val="24"/>
        </w:rPr>
      </w:pPr>
      <w:r>
        <w:rPr>
          <w:rFonts w:ascii="Times New Roman" w:hAnsi="Times New Roman"/>
          <w:b/>
          <w:sz w:val="24"/>
          <w:szCs w:val="24"/>
        </w:rPr>
        <w:t>FIG 2b:</w:t>
      </w:r>
      <w:r>
        <w:rPr>
          <w:rFonts w:ascii="Times New Roman" w:hAnsi="Times New Roman"/>
          <w:sz w:val="24"/>
          <w:szCs w:val="24"/>
        </w:rPr>
        <w:t xml:space="preserve"> Represents a Contour plot of catalyst and methanol, </w:t>
      </w:r>
    </w:p>
    <w:p w:rsidR="007831DD" w:rsidRDefault="000038F5">
      <w:pPr>
        <w:spacing w:after="4"/>
        <w:ind w:left="18"/>
        <w:rPr>
          <w:rFonts w:ascii="Times New Roman" w:hAnsi="Times New Roman"/>
          <w:sz w:val="24"/>
          <w:szCs w:val="24"/>
        </w:rPr>
      </w:pPr>
      <w:r>
        <w:rPr>
          <w:rFonts w:ascii="Times New Roman" w:hAnsi="Times New Roman"/>
          <w:sz w:val="24"/>
          <w:szCs w:val="24"/>
        </w:rPr>
        <w:t>3D Surface: Time vs Methanol (Catalyst = 0.4)</w:t>
      </w:r>
    </w:p>
    <w:p w:rsidR="007831DD" w:rsidRDefault="000038F5">
      <w:pPr>
        <w:ind w:left="10"/>
      </w:pPr>
      <w:r>
        <w:rPr>
          <w:noProof/>
          <w:lang w:val="en-IN" w:eastAsia="en-IN"/>
        </w:rPr>
        <w:lastRenderedPageBreak/>
        <w:drawing>
          <wp:inline distT="0" distB="0" distL="114300" distR="114300">
            <wp:extent cx="2766060" cy="2728595"/>
            <wp:effectExtent l="0" t="0" r="15240" b="1460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stretch>
                      <a:fillRect/>
                    </a:stretch>
                  </pic:blipFill>
                  <pic:spPr>
                    <a:xfrm>
                      <a:off x="0" y="0"/>
                      <a:ext cx="2766060" cy="2728595"/>
                    </a:xfrm>
                    <a:prstGeom prst="rect">
                      <a:avLst/>
                    </a:prstGeom>
                    <a:noFill/>
                    <a:ln>
                      <a:noFill/>
                    </a:ln>
                  </pic:spPr>
                </pic:pic>
              </a:graphicData>
            </a:graphic>
          </wp:inline>
        </w:drawing>
      </w:r>
    </w:p>
    <w:p w:rsidR="007831DD" w:rsidRDefault="000038F5">
      <w:pPr>
        <w:ind w:left="10"/>
        <w:rPr>
          <w:rFonts w:ascii="Times New Roman" w:hAnsi="Times New Roman"/>
          <w:sz w:val="24"/>
          <w:szCs w:val="24"/>
        </w:rPr>
      </w:pPr>
      <w:r>
        <w:rPr>
          <w:rFonts w:ascii="Times New Roman" w:hAnsi="Times New Roman"/>
          <w:b/>
          <w:sz w:val="24"/>
          <w:szCs w:val="24"/>
        </w:rPr>
        <w:t>FIG 3a</w:t>
      </w:r>
      <w:r>
        <w:rPr>
          <w:rFonts w:ascii="Times New Roman" w:hAnsi="Times New Roman"/>
          <w:sz w:val="24"/>
          <w:szCs w:val="24"/>
        </w:rPr>
        <w:t xml:space="preserve">: shows a 3D surface plot </w:t>
      </w:r>
      <w:r>
        <w:rPr>
          <w:rFonts w:ascii="Times New Roman" w:hAnsi="Times New Roman"/>
          <w:sz w:val="24"/>
          <w:szCs w:val="24"/>
        </w:rPr>
        <w:t>showing the interaction of time and methanol</w:t>
      </w:r>
    </w:p>
    <w:p w:rsidR="007831DD" w:rsidRDefault="000038F5">
      <w:pPr>
        <w:spacing w:after="4"/>
        <w:ind w:left="18"/>
        <w:rPr>
          <w:rFonts w:ascii="Times New Roman" w:hAnsi="Times New Roman"/>
          <w:sz w:val="24"/>
          <w:szCs w:val="24"/>
        </w:rPr>
      </w:pPr>
      <w:r>
        <w:rPr>
          <w:noProof/>
          <w:lang w:val="en-IN" w:eastAsia="en-IN"/>
        </w:rPr>
        <w:drawing>
          <wp:inline distT="0" distB="0" distL="0" distR="0">
            <wp:extent cx="2887345" cy="2503170"/>
            <wp:effectExtent l="0" t="0" r="8255"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5"/>
                    <a:stretch>
                      <a:fillRect/>
                    </a:stretch>
                  </pic:blipFill>
                  <pic:spPr>
                    <a:xfrm>
                      <a:off x="0" y="0"/>
                      <a:ext cx="2908277" cy="2521061"/>
                    </a:xfrm>
                    <a:prstGeom prst="rect">
                      <a:avLst/>
                    </a:prstGeom>
                  </pic:spPr>
                </pic:pic>
              </a:graphicData>
            </a:graphic>
          </wp:inline>
        </w:drawing>
      </w:r>
    </w:p>
    <w:p w:rsidR="007831DD" w:rsidRDefault="000038F5">
      <w:pPr>
        <w:spacing w:after="4"/>
        <w:ind w:left="18"/>
        <w:rPr>
          <w:rFonts w:ascii="Times New Roman" w:hAnsi="Times New Roman"/>
          <w:sz w:val="24"/>
          <w:szCs w:val="24"/>
        </w:rPr>
      </w:pPr>
      <w:r>
        <w:rPr>
          <w:rFonts w:ascii="Times New Roman" w:hAnsi="Times New Roman"/>
          <w:b/>
          <w:sz w:val="24"/>
          <w:szCs w:val="24"/>
        </w:rPr>
        <w:t>FIG 3b:</w:t>
      </w:r>
      <w:r>
        <w:rPr>
          <w:rFonts w:ascii="Times New Roman" w:hAnsi="Times New Roman"/>
          <w:sz w:val="24"/>
          <w:szCs w:val="24"/>
        </w:rPr>
        <w:t xml:space="preserve"> Represents a Contour plot of time and methanol</w:t>
      </w:r>
    </w:p>
    <w:p w:rsidR="007831DD" w:rsidRDefault="007831DD">
      <w:pPr>
        <w:spacing w:line="360" w:lineRule="auto"/>
        <w:jc w:val="both"/>
        <w:rPr>
          <w:rFonts w:ascii="Times New Roman" w:hAnsi="Times New Roman" w:cs="Times New Roman"/>
          <w:sz w:val="24"/>
          <w:szCs w:val="24"/>
        </w:rPr>
      </w:pPr>
    </w:p>
    <w:p w:rsidR="007831DD" w:rsidRDefault="007831DD">
      <w:pPr>
        <w:spacing w:line="360" w:lineRule="auto"/>
        <w:jc w:val="both"/>
        <w:rPr>
          <w:rFonts w:ascii="Times New Roman" w:hAnsi="Times New Roman" w:cs="Times New Roman"/>
          <w:sz w:val="24"/>
          <w:szCs w:val="24"/>
        </w:rPr>
      </w:pPr>
    </w:p>
    <w:p w:rsidR="007831DD" w:rsidRDefault="000038F5">
      <w:pPr>
        <w:pStyle w:val="Heading2"/>
        <w:spacing w:line="360" w:lineRule="auto"/>
        <w:jc w:val="both"/>
        <w:rPr>
          <w:sz w:val="24"/>
          <w:szCs w:val="24"/>
        </w:rPr>
      </w:pPr>
      <w:r>
        <w:rPr>
          <w:sz w:val="24"/>
          <w:szCs w:val="24"/>
        </w:rPr>
        <w:t xml:space="preserve">3.2 </w:t>
      </w:r>
      <w:r>
        <w:rPr>
          <w:sz w:val="24"/>
          <w:szCs w:val="24"/>
        </w:rPr>
        <w:t>DISCUSSION</w:t>
      </w:r>
    </w:p>
    <w:p w:rsidR="007831DD" w:rsidRDefault="000038F5">
      <w:pPr>
        <w:pStyle w:val="Heading3"/>
        <w:spacing w:line="360" w:lineRule="auto"/>
        <w:jc w:val="both"/>
        <w:rPr>
          <w:rFonts w:ascii="Times New Roman" w:hAnsi="Times New Roman" w:cs="Times New Roman"/>
          <w:color w:val="auto"/>
        </w:rPr>
      </w:pPr>
      <w:r>
        <w:rPr>
          <w:rFonts w:ascii="Times New Roman" w:hAnsi="Times New Roman" w:cs="Times New Roman"/>
          <w:color w:val="auto"/>
        </w:rPr>
        <w:t>Iodine Value</w:t>
      </w:r>
    </w:p>
    <w:p w:rsidR="007831DD" w:rsidRDefault="000038F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iodine value signifies the level of unsaturation in biodiesel. The measured iodine value for Desert Date oil was 7.42 g </w:t>
      </w:r>
      <w:r>
        <w:rPr>
          <w:rFonts w:ascii="Times New Roman" w:hAnsi="Times New Roman" w:cs="Times New Roman"/>
          <w:sz w:val="24"/>
          <w:szCs w:val="24"/>
        </w:rPr>
        <w:t>per 100 grams, indicating excellent oxidative stability and minimal propensity for polymerization. This finding aligns with the 14.53 g per 100 grams reported by Karaye et al. (2020).</w:t>
      </w:r>
    </w:p>
    <w:p w:rsidR="007831DD" w:rsidRDefault="000038F5">
      <w:pPr>
        <w:pStyle w:val="Heading3"/>
        <w:spacing w:line="360" w:lineRule="auto"/>
        <w:jc w:val="both"/>
        <w:rPr>
          <w:rFonts w:ascii="Times New Roman" w:hAnsi="Times New Roman" w:cs="Times New Roman"/>
          <w:color w:val="auto"/>
        </w:rPr>
      </w:pPr>
      <w:r>
        <w:rPr>
          <w:rFonts w:ascii="Times New Roman" w:hAnsi="Times New Roman" w:cs="Times New Roman"/>
          <w:color w:val="auto"/>
        </w:rPr>
        <w:lastRenderedPageBreak/>
        <w:t>Saponification Value</w:t>
      </w:r>
    </w:p>
    <w:p w:rsidR="007831DD" w:rsidRDefault="000038F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saponification value of Balanites aegyptiaca </w:t>
      </w:r>
      <w:r>
        <w:rPr>
          <w:rFonts w:ascii="Times New Roman" w:hAnsi="Times New Roman" w:cs="Times New Roman"/>
          <w:sz w:val="24"/>
          <w:szCs w:val="24"/>
        </w:rPr>
        <w:t xml:space="preserve">kernel oil is </w:t>
      </w:r>
      <w:proofErr w:type="gramStart"/>
      <w:r>
        <w:rPr>
          <w:rFonts w:ascii="Times New Roman" w:hAnsi="Times New Roman" w:cs="Times New Roman"/>
          <w:sz w:val="24"/>
          <w:szCs w:val="24"/>
        </w:rPr>
        <w:t>196.98 mgKOH/g,</w:t>
      </w:r>
      <w:proofErr w:type="gramEnd"/>
      <w:r>
        <w:rPr>
          <w:rFonts w:ascii="Times New Roman" w:hAnsi="Times New Roman" w:cs="Times New Roman"/>
          <w:sz w:val="24"/>
          <w:szCs w:val="24"/>
        </w:rPr>
        <w:t xml:space="preserve"> which is within the FAO/WHO standard range of 195–205 mgKOH/g for edible oils. This figure is slightly below the 198 mgKOH/g reported by Datti et al. (2020), but higher than the 136 mgKOH/g and 151 mgKOH/g values reported by A</w:t>
      </w:r>
      <w:r>
        <w:rPr>
          <w:rFonts w:ascii="Times New Roman" w:hAnsi="Times New Roman" w:cs="Times New Roman"/>
          <w:sz w:val="24"/>
          <w:szCs w:val="24"/>
        </w:rPr>
        <w:t>bdulhamid et al. (2023) and Karaye et al. (2020), respectively.</w:t>
      </w:r>
    </w:p>
    <w:p w:rsidR="007831DD" w:rsidRDefault="000038F5">
      <w:pPr>
        <w:pStyle w:val="Heading3"/>
        <w:spacing w:line="360" w:lineRule="auto"/>
        <w:jc w:val="both"/>
        <w:rPr>
          <w:rFonts w:ascii="Times New Roman" w:hAnsi="Times New Roman" w:cs="Times New Roman"/>
          <w:color w:val="auto"/>
        </w:rPr>
      </w:pPr>
      <w:r>
        <w:rPr>
          <w:rFonts w:ascii="Times New Roman" w:hAnsi="Times New Roman" w:cs="Times New Roman"/>
          <w:color w:val="auto"/>
        </w:rPr>
        <w:t>Density</w:t>
      </w:r>
    </w:p>
    <w:p w:rsidR="007831DD" w:rsidRDefault="000038F5">
      <w:pPr>
        <w:spacing w:line="360" w:lineRule="auto"/>
        <w:jc w:val="both"/>
        <w:rPr>
          <w:rFonts w:ascii="Times New Roman" w:hAnsi="Times New Roman" w:cs="Times New Roman"/>
          <w:sz w:val="24"/>
          <w:szCs w:val="24"/>
        </w:rPr>
      </w:pPr>
      <w:r>
        <w:rPr>
          <w:rFonts w:ascii="Times New Roman" w:hAnsi="Times New Roman" w:cs="Times New Roman"/>
          <w:sz w:val="24"/>
          <w:szCs w:val="24"/>
        </w:rPr>
        <w:t>The density of the extracted oil was 0.904 g/cm³, which falls within acceptable FAO/WHO limits. Conventional diesel has a density of 0.848 g/cm³. Density affects spray pattern and fuel</w:t>
      </w:r>
      <w:r>
        <w:rPr>
          <w:rFonts w:ascii="Times New Roman" w:hAnsi="Times New Roman" w:cs="Times New Roman"/>
          <w:sz w:val="24"/>
          <w:szCs w:val="24"/>
        </w:rPr>
        <w:t xml:space="preserve"> injection efficiency in engines.</w:t>
      </w:r>
    </w:p>
    <w:p w:rsidR="007831DD" w:rsidRDefault="000038F5">
      <w:pPr>
        <w:pStyle w:val="Heading3"/>
        <w:spacing w:line="360" w:lineRule="auto"/>
        <w:jc w:val="both"/>
        <w:rPr>
          <w:rFonts w:ascii="Times New Roman" w:hAnsi="Times New Roman" w:cs="Times New Roman"/>
          <w:color w:val="auto"/>
        </w:rPr>
      </w:pPr>
      <w:r>
        <w:rPr>
          <w:rFonts w:ascii="Times New Roman" w:hAnsi="Times New Roman" w:cs="Times New Roman"/>
          <w:color w:val="auto"/>
        </w:rPr>
        <w:t>Viscosity</w:t>
      </w:r>
    </w:p>
    <w:p w:rsidR="007831DD" w:rsidRDefault="000038F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oil viscosity was </w:t>
      </w:r>
      <w:proofErr w:type="gramStart"/>
      <w:r>
        <w:rPr>
          <w:rFonts w:ascii="Times New Roman" w:hAnsi="Times New Roman" w:cs="Times New Roman"/>
          <w:sz w:val="24"/>
          <w:szCs w:val="24"/>
        </w:rPr>
        <w:t>19.70 mm²/s, which falls within acceptable biodiesel limits and is close to the 19.67 mm²/s reported by Abdulhamid et al. (2023)</w:t>
      </w:r>
      <w:proofErr w:type="gramEnd"/>
      <w:r>
        <w:rPr>
          <w:rFonts w:ascii="Times New Roman" w:hAnsi="Times New Roman" w:cs="Times New Roman"/>
          <w:sz w:val="24"/>
          <w:szCs w:val="24"/>
        </w:rPr>
        <w:t>. Proper viscosity ensures smooth injector operation and reduc</w:t>
      </w:r>
      <w:r>
        <w:rPr>
          <w:rFonts w:ascii="Times New Roman" w:hAnsi="Times New Roman" w:cs="Times New Roman"/>
          <w:sz w:val="24"/>
          <w:szCs w:val="24"/>
        </w:rPr>
        <w:t>es engine wear.</w:t>
      </w:r>
    </w:p>
    <w:p w:rsidR="007831DD" w:rsidRDefault="000038F5">
      <w:pPr>
        <w:pStyle w:val="Heading2"/>
        <w:spacing w:line="360" w:lineRule="auto"/>
        <w:jc w:val="both"/>
        <w:rPr>
          <w:sz w:val="24"/>
          <w:szCs w:val="24"/>
        </w:rPr>
      </w:pPr>
      <w:r>
        <w:rPr>
          <w:sz w:val="24"/>
          <w:szCs w:val="24"/>
        </w:rPr>
        <w:t xml:space="preserve">3.3 </w:t>
      </w:r>
      <w:r>
        <w:rPr>
          <w:sz w:val="24"/>
          <w:szCs w:val="24"/>
        </w:rPr>
        <w:t>Yield Optimization</w:t>
      </w:r>
    </w:p>
    <w:p w:rsidR="007831DD" w:rsidRDefault="000038F5">
      <w:pPr>
        <w:spacing w:line="360" w:lineRule="auto"/>
        <w:jc w:val="both"/>
        <w:rPr>
          <w:rFonts w:ascii="Times New Roman" w:hAnsi="Times New Roman" w:cs="Times New Roman"/>
          <w:sz w:val="24"/>
          <w:szCs w:val="24"/>
        </w:rPr>
      </w:pPr>
      <w:r>
        <w:rPr>
          <w:rFonts w:ascii="Times New Roman" w:hAnsi="Times New Roman" w:cs="Times New Roman"/>
          <w:sz w:val="24"/>
          <w:szCs w:val="24"/>
        </w:rPr>
        <w:t>Central Composite Design (CCD) within Response Surface Methodology (RSM) was employed to optimise biodiesel yield based on methanol ratio, catalyst concentration, and reaction time.</w:t>
      </w:r>
    </w:p>
    <w:p w:rsidR="007831DD" w:rsidRDefault="000038F5">
      <w:pPr>
        <w:spacing w:line="360" w:lineRule="auto"/>
        <w:jc w:val="both"/>
        <w:rPr>
          <w:rFonts w:ascii="Times New Roman" w:hAnsi="Times New Roman" w:cs="Times New Roman"/>
          <w:sz w:val="24"/>
          <w:szCs w:val="24"/>
        </w:rPr>
      </w:pPr>
      <w:r>
        <w:rPr>
          <w:rFonts w:ascii="Times New Roman" w:hAnsi="Times New Roman" w:cs="Times New Roman"/>
          <w:sz w:val="24"/>
          <w:szCs w:val="24"/>
        </w:rPr>
        <w:t>The highest biodiesel yield (98.33%</w:t>
      </w:r>
      <w:r>
        <w:rPr>
          <w:rFonts w:ascii="Times New Roman" w:hAnsi="Times New Roman" w:cs="Times New Roman"/>
          <w:sz w:val="24"/>
          <w:szCs w:val="24"/>
        </w:rPr>
        <w:t>) was reached with 0.7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catalyst concentration, a 10:1 methanol ratio, and a reaction time of 35 minutes. The lowest yield was observed at 0.1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catalyst concentration, a 1:1 methanol ratio, and a reaction time of 35 minutes.</w:t>
      </w:r>
    </w:p>
    <w:p w:rsidR="007831DD" w:rsidRDefault="000038F5">
      <w:pPr>
        <w:spacing w:line="360" w:lineRule="auto"/>
        <w:jc w:val="both"/>
        <w:rPr>
          <w:rFonts w:ascii="Times New Roman" w:hAnsi="Times New Roman" w:cs="Times New Roman"/>
          <w:sz w:val="24"/>
          <w:szCs w:val="24"/>
        </w:rPr>
      </w:pPr>
      <w:r>
        <w:rPr>
          <w:rFonts w:ascii="Times New Roman" w:hAnsi="Times New Roman" w:cs="Times New Roman"/>
          <w:sz w:val="24"/>
          <w:szCs w:val="24"/>
        </w:rPr>
        <w:t>Quadratic regression mo</w:t>
      </w:r>
      <w:r>
        <w:rPr>
          <w:rFonts w:ascii="Times New Roman" w:hAnsi="Times New Roman" w:cs="Times New Roman"/>
          <w:sz w:val="24"/>
          <w:szCs w:val="24"/>
        </w:rPr>
        <w:t>del:</w:t>
      </w:r>
    </w:p>
    <w:p w:rsidR="007831DD" w:rsidRDefault="000038F5">
      <w:pPr>
        <w:spacing w:line="360" w:lineRule="auto"/>
        <w:jc w:val="both"/>
        <w:rPr>
          <w:rFonts w:ascii="Times New Roman" w:hAnsi="Times New Roman" w:cs="Times New Roman"/>
          <w:sz w:val="24"/>
          <w:szCs w:val="24"/>
        </w:rPr>
      </w:pPr>
      <w:r>
        <w:rPr>
          <w:rFonts w:ascii="Times New Roman" w:hAnsi="Times New Roman" w:cs="Times New Roman"/>
          <w:sz w:val="24"/>
          <w:szCs w:val="24"/>
        </w:rPr>
        <w:t>Y = 148.54 - 97.94A - 0.85B - 3.84C + 62.38A² + 0.0054B² + 0.19C² + 0.37AB + 0.54AC + 0.018BC</w:t>
      </w:r>
    </w:p>
    <w:p w:rsidR="007831DD" w:rsidRDefault="000038F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3.4 </w:t>
      </w:r>
      <w:r>
        <w:rPr>
          <w:rFonts w:ascii="Times New Roman" w:hAnsi="Times New Roman" w:cs="Times New Roman"/>
          <w:sz w:val="24"/>
          <w:szCs w:val="24"/>
        </w:rPr>
        <w:t>ANOVA analysis showed an F-value of 40.82 and p-value &lt; 0.05, indicating that the quadratic model is statistically significant.</w:t>
      </w:r>
    </w:p>
    <w:p w:rsidR="007831DD" w:rsidRDefault="007831DD">
      <w:pPr>
        <w:pStyle w:val="Heading2"/>
        <w:spacing w:line="360" w:lineRule="auto"/>
        <w:jc w:val="both"/>
        <w:rPr>
          <w:sz w:val="24"/>
          <w:szCs w:val="24"/>
        </w:rPr>
      </w:pPr>
    </w:p>
    <w:p w:rsidR="007831DD" w:rsidRDefault="007831DD">
      <w:pPr>
        <w:pStyle w:val="Heading2"/>
        <w:spacing w:line="360" w:lineRule="auto"/>
        <w:jc w:val="both"/>
        <w:rPr>
          <w:sz w:val="24"/>
          <w:szCs w:val="24"/>
        </w:rPr>
      </w:pPr>
    </w:p>
    <w:p w:rsidR="007831DD" w:rsidRDefault="000038F5">
      <w:pPr>
        <w:pStyle w:val="Heading2"/>
        <w:spacing w:line="360" w:lineRule="auto"/>
        <w:jc w:val="both"/>
        <w:rPr>
          <w:sz w:val="24"/>
          <w:szCs w:val="24"/>
        </w:rPr>
      </w:pPr>
      <w:r>
        <w:rPr>
          <w:sz w:val="24"/>
          <w:szCs w:val="24"/>
        </w:rPr>
        <w:lastRenderedPageBreak/>
        <w:t xml:space="preserve">3.6 </w:t>
      </w:r>
      <w:r>
        <w:rPr>
          <w:sz w:val="24"/>
          <w:szCs w:val="24"/>
        </w:rPr>
        <w:t>Conclusion</w:t>
      </w:r>
    </w:p>
    <w:p w:rsidR="007831DD" w:rsidRDefault="000038F5">
      <w:pPr>
        <w:spacing w:line="360" w:lineRule="auto"/>
        <w:jc w:val="both"/>
        <w:rPr>
          <w:rFonts w:ascii="Times New Roman" w:hAnsi="Times New Roman" w:cs="Times New Roman"/>
          <w:sz w:val="24"/>
          <w:szCs w:val="24"/>
        </w:rPr>
      </w:pPr>
      <w:r>
        <w:rPr>
          <w:rFonts w:ascii="Times New Roman" w:hAnsi="Times New Roman" w:cs="Times New Roman"/>
          <w:sz w:val="24"/>
          <w:szCs w:val="24"/>
        </w:rPr>
        <w:t>The Resp</w:t>
      </w:r>
      <w:r>
        <w:rPr>
          <w:rFonts w:ascii="Times New Roman" w:hAnsi="Times New Roman" w:cs="Times New Roman"/>
          <w:sz w:val="24"/>
          <w:szCs w:val="24"/>
        </w:rPr>
        <w:t xml:space="preserve">onse Surface Methodology effectively optimized the biodiesel production process derived from Desert Date oil. The optimal parameters were identified as a methanol ratio of 6:1, </w:t>
      </w:r>
      <w:proofErr w:type="gramStart"/>
      <w:r>
        <w:rPr>
          <w:rFonts w:ascii="Times New Roman" w:hAnsi="Times New Roman" w:cs="Times New Roman"/>
          <w:sz w:val="24"/>
          <w:szCs w:val="24"/>
        </w:rPr>
        <w:t>a reaction</w:t>
      </w:r>
      <w:proofErr w:type="gramEnd"/>
      <w:r>
        <w:rPr>
          <w:rFonts w:ascii="Times New Roman" w:hAnsi="Times New Roman" w:cs="Times New Roman"/>
          <w:sz w:val="24"/>
          <w:szCs w:val="24"/>
        </w:rPr>
        <w:t xml:space="preserve"> duration of 65 minutes, and a catalyst concentration of 0.4%, result</w:t>
      </w:r>
      <w:r>
        <w:rPr>
          <w:rFonts w:ascii="Times New Roman" w:hAnsi="Times New Roman" w:cs="Times New Roman"/>
          <w:sz w:val="24"/>
          <w:szCs w:val="24"/>
        </w:rPr>
        <w:t>ing in a maximum yield of 98.33%. The physicochemical properties of the oil complied with ASTM and FAO/WHO standards. Elevated saponification and viscosity values enhance lubrication, whereas a low iodine value signifies robust oxidative stability. Consequ</w:t>
      </w:r>
      <w:r>
        <w:rPr>
          <w:rFonts w:ascii="Times New Roman" w:hAnsi="Times New Roman" w:cs="Times New Roman"/>
          <w:sz w:val="24"/>
          <w:szCs w:val="24"/>
        </w:rPr>
        <w:t>ently, Desert Date oil is deemed suitable for biodiesel production.</w:t>
      </w:r>
    </w:p>
    <w:p w:rsidR="007831DD" w:rsidRDefault="000038F5">
      <w:pPr>
        <w:rPr>
          <w:rFonts w:ascii="Times New Roman" w:hAnsi="Times New Roman" w:cs="Times New Roman"/>
          <w:b/>
          <w:bCs/>
          <w:sz w:val="24"/>
          <w:szCs w:val="24"/>
        </w:rPr>
      </w:pPr>
      <w:r>
        <w:rPr>
          <w:rFonts w:ascii="Times New Roman" w:hAnsi="Times New Roman" w:cs="Times New Roman"/>
          <w:b/>
          <w:bCs/>
          <w:sz w:val="24"/>
          <w:szCs w:val="24"/>
        </w:rPr>
        <w:t>Acknowledgement</w:t>
      </w:r>
    </w:p>
    <w:p w:rsidR="007831DD" w:rsidRDefault="000038F5">
      <w:pPr>
        <w:rPr>
          <w:rFonts w:ascii="Times New Roman" w:hAnsi="Times New Roman" w:cs="Times New Roman"/>
          <w:sz w:val="24"/>
          <w:szCs w:val="24"/>
        </w:rPr>
      </w:pPr>
      <w:r>
        <w:rPr>
          <w:rFonts w:ascii="Times New Roman" w:hAnsi="Times New Roman" w:cs="Times New Roman"/>
          <w:sz w:val="24"/>
          <w:szCs w:val="24"/>
        </w:rPr>
        <w:t xml:space="preserve">The authors would like to acknowledge the Tertiary Education Trust Fund (TETFUND Nigeria) for the financial support under their Institutional Based Research programme </w:t>
      </w:r>
      <w:r>
        <w:rPr>
          <w:rFonts w:ascii="Times New Roman" w:hAnsi="Times New Roman" w:cs="Times New Roman"/>
          <w:sz w:val="24"/>
          <w:szCs w:val="24"/>
        </w:rPr>
        <w:t>(IBR).</w:t>
      </w:r>
    </w:p>
    <w:p w:rsidR="007831DD" w:rsidRDefault="007831DD">
      <w:pPr>
        <w:spacing w:line="360" w:lineRule="auto"/>
        <w:jc w:val="both"/>
        <w:rPr>
          <w:rFonts w:ascii="Times New Roman" w:hAnsi="Times New Roman" w:cs="Times New Roman"/>
          <w:sz w:val="24"/>
          <w:szCs w:val="24"/>
        </w:rPr>
      </w:pPr>
    </w:p>
    <w:p w:rsidR="007831DD" w:rsidRDefault="000038F5">
      <w:pPr>
        <w:rPr>
          <w:rFonts w:ascii="Times New Roman" w:eastAsia="Times New Roman" w:hAnsi="Times New Roman" w:cs="Times New Roman"/>
          <w:b/>
          <w:bCs/>
          <w:sz w:val="24"/>
          <w:szCs w:val="24"/>
        </w:rPr>
      </w:pPr>
      <w:r>
        <w:rPr>
          <w:sz w:val="24"/>
          <w:szCs w:val="24"/>
        </w:rPr>
        <w:br w:type="page"/>
      </w:r>
    </w:p>
    <w:p w:rsidR="007831DD" w:rsidRDefault="000038F5">
      <w:pPr>
        <w:pStyle w:val="Heading2"/>
        <w:spacing w:line="360" w:lineRule="auto"/>
        <w:jc w:val="both"/>
        <w:rPr>
          <w:sz w:val="24"/>
          <w:szCs w:val="24"/>
        </w:rPr>
      </w:pPr>
      <w:r>
        <w:rPr>
          <w:sz w:val="24"/>
          <w:szCs w:val="24"/>
        </w:rPr>
        <w:lastRenderedPageBreak/>
        <w:t>References</w:t>
      </w:r>
    </w:p>
    <w:p w:rsidR="007831DD" w:rsidRDefault="000038F5">
      <w:pPr>
        <w:pStyle w:val="ListNumber"/>
        <w:numPr>
          <w:ilvl w:val="0"/>
          <w:numId w:val="0"/>
        </w:numPr>
        <w:spacing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Abdulhamid et al. (2023). Biodiesel Production using Balanites aegyptiaca Seed as Raw Material. AJBAR, 2(2), 124–134.</w:t>
      </w:r>
    </w:p>
    <w:p w:rsidR="007831DD" w:rsidRDefault="000038F5">
      <w:pPr>
        <w:pStyle w:val="ListNumber"/>
        <w:numPr>
          <w:ilvl w:val="0"/>
          <w:numId w:val="0"/>
        </w:numPr>
        <w:spacing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 xml:space="preserve">Aboje et al. (2023). Optimization and Characterization of Biodiesel Production from Desert Date Seed Oil. Journal of </w:t>
      </w:r>
      <w:r>
        <w:rPr>
          <w:rFonts w:ascii="Times New Roman" w:hAnsi="Times New Roman" w:cs="Times New Roman"/>
          <w:sz w:val="24"/>
          <w:szCs w:val="24"/>
        </w:rPr>
        <w:t>Energy Technology and Environment, 5(2), 181–186.</w:t>
      </w:r>
    </w:p>
    <w:p w:rsidR="007831DD" w:rsidRDefault="000038F5">
      <w:pPr>
        <w:pStyle w:val="ListNumber"/>
        <w:numPr>
          <w:ilvl w:val="0"/>
          <w:numId w:val="0"/>
        </w:numPr>
        <w:spacing w:line="360" w:lineRule="auto"/>
        <w:ind w:left="360" w:hanging="360"/>
        <w:jc w:val="both"/>
        <w:rPr>
          <w:rFonts w:ascii="Times New Roman" w:hAnsi="Times New Roman" w:cs="Times New Roman"/>
          <w:sz w:val="24"/>
          <w:szCs w:val="24"/>
        </w:rPr>
      </w:pPr>
      <w:r>
        <w:rPr>
          <w:rFonts w:ascii="Times New Roman" w:hAnsi="Times New Roman" w:cs="Times New Roman"/>
          <w:sz w:val="24"/>
          <w:szCs w:val="24"/>
          <w:lang w:eastAsia="zh-CN"/>
        </w:rPr>
        <w:t>Besbes, S.; Drira, L.; Blecker, C.; Deroanne, C.; Attia, H. Adding value to hard date (Phoenix dactylifera L.): Compositional, functional and sensory characteristics of date jam. Food Chem. 2009, 112, 406–4</w:t>
      </w:r>
      <w:r>
        <w:rPr>
          <w:rFonts w:ascii="Times New Roman" w:hAnsi="Times New Roman" w:cs="Times New Roman"/>
          <w:sz w:val="24"/>
          <w:szCs w:val="24"/>
          <w:lang w:eastAsia="zh-CN"/>
        </w:rPr>
        <w:t>11. [CrossRef]</w:t>
      </w:r>
    </w:p>
    <w:p w:rsidR="007831DD" w:rsidRDefault="000038F5">
      <w:pPr>
        <w:pStyle w:val="ListNumber"/>
        <w:numPr>
          <w:ilvl w:val="0"/>
          <w:numId w:val="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Demirbas, A. (2003). Biodiesel fuels from vegetable oils via catalytic and non-catalytic </w:t>
      </w:r>
      <w:r>
        <w:rPr>
          <w:rFonts w:ascii="Times New Roman" w:hAnsi="Times New Roman" w:cs="Times New Roman"/>
          <w:sz w:val="24"/>
          <w:szCs w:val="24"/>
        </w:rPr>
        <w:tab/>
        <w:t xml:space="preserve">supercritical alcohol transesterifications and other methods: a survey. Energy conservation </w:t>
      </w:r>
      <w:r>
        <w:rPr>
          <w:rFonts w:ascii="Times New Roman" w:hAnsi="Times New Roman" w:cs="Times New Roman"/>
          <w:sz w:val="24"/>
          <w:szCs w:val="24"/>
        </w:rPr>
        <w:tab/>
        <w:t>and management. 44(13): 2093-2109.</w:t>
      </w:r>
    </w:p>
    <w:p w:rsidR="007831DD" w:rsidRDefault="000038F5">
      <w:pPr>
        <w:pStyle w:val="ListNumber"/>
        <w:numPr>
          <w:ilvl w:val="0"/>
          <w:numId w:val="0"/>
        </w:numPr>
        <w:spacing w:line="360" w:lineRule="auto"/>
        <w:ind w:left="360" w:hanging="360"/>
        <w:jc w:val="both"/>
        <w:rPr>
          <w:rFonts w:ascii="Times New Roman" w:hAnsi="Times New Roman" w:cs="Times New Roman"/>
          <w:sz w:val="24"/>
          <w:szCs w:val="24"/>
          <w:lang w:eastAsia="zh-CN"/>
        </w:rPr>
      </w:pPr>
      <w:r>
        <w:rPr>
          <w:rFonts w:ascii="Times New Roman" w:hAnsi="Times New Roman" w:cs="Times New Roman"/>
          <w:sz w:val="24"/>
          <w:szCs w:val="24"/>
          <w:lang w:eastAsia="zh-CN"/>
        </w:rPr>
        <w:t>FAOSTAT. Statistical da</w:t>
      </w:r>
      <w:r>
        <w:rPr>
          <w:rFonts w:ascii="Times New Roman" w:hAnsi="Times New Roman" w:cs="Times New Roman"/>
          <w:sz w:val="24"/>
          <w:szCs w:val="24"/>
          <w:lang w:eastAsia="zh-CN"/>
        </w:rPr>
        <w:t>tabases of the Food and Agriculture Organization of the United Nations. 2020. Available online: http://www.fao.org/faostat/en/#home (accessed on 17 December 2023).</w:t>
      </w:r>
    </w:p>
    <w:p w:rsidR="007831DD" w:rsidRDefault="000038F5">
      <w:pPr>
        <w:pStyle w:val="ListNumber"/>
        <w:numPr>
          <w:ilvl w:val="0"/>
          <w:numId w:val="0"/>
        </w:numPr>
        <w:spacing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Giwa, S. O., Haggai, M. B., &amp; Giwa, A. (2021). Production of biodiesel from desert date seed</w:t>
      </w:r>
      <w:r>
        <w:rPr>
          <w:rFonts w:ascii="Times New Roman" w:hAnsi="Times New Roman" w:cs="Times New Roman"/>
          <w:sz w:val="24"/>
          <w:szCs w:val="24"/>
        </w:rPr>
        <w:t xml:space="preserve"> oil using heterogeneous catalysts. International Journal of Engineering Research in Africa, 53, 180-189.</w:t>
      </w:r>
    </w:p>
    <w:p w:rsidR="007831DD" w:rsidRDefault="000038F5">
      <w:pPr>
        <w:pStyle w:val="ListNumber"/>
        <w:numPr>
          <w:ilvl w:val="0"/>
          <w:numId w:val="0"/>
        </w:numPr>
        <w:spacing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Karaye, I. U., Ladan, M. U., Adili, I. S., Shehu, A., Lawal, H. M. and Sahabi, M., H</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2020). Phytochemistry and Proximate Composition of Fruit Pulp an</w:t>
      </w:r>
      <w:r>
        <w:rPr>
          <w:rFonts w:ascii="Times New Roman" w:hAnsi="Times New Roman" w:cs="Times New Roman"/>
          <w:sz w:val="24"/>
          <w:szCs w:val="24"/>
        </w:rPr>
        <w:t>d Seed of Desert Date, Balanites aegyptiaca (Del.). International journal of science for global sustainability,  fugusau VOL 6(2): 109 – 117</w:t>
      </w:r>
    </w:p>
    <w:p w:rsidR="007831DD" w:rsidRDefault="000038F5">
      <w:pPr>
        <w:pStyle w:val="ListNumber"/>
        <w:numPr>
          <w:ilvl w:val="0"/>
          <w:numId w:val="0"/>
        </w:numPr>
        <w:spacing w:line="360" w:lineRule="auto"/>
        <w:ind w:left="360" w:hanging="360"/>
        <w:jc w:val="both"/>
      </w:pPr>
      <w:r>
        <w:rPr>
          <w:rFonts w:ascii="Times New Roman" w:hAnsi="Times New Roman" w:cs="Times New Roman"/>
          <w:sz w:val="24"/>
          <w:szCs w:val="24"/>
          <w:lang w:eastAsia="zh-CN"/>
        </w:rPr>
        <w:t>Kumar Ghosh, U. and Mittal, V. 2021. Application of response surface methodology for optimization of biodiesel prod</w:t>
      </w:r>
      <w:r>
        <w:rPr>
          <w:rFonts w:ascii="Times New Roman" w:hAnsi="Times New Roman" w:cs="Times New Roman"/>
          <w:sz w:val="24"/>
          <w:szCs w:val="24"/>
          <w:lang w:eastAsia="zh-CN"/>
        </w:rPr>
        <w:t xml:space="preserve">uction from microalgae through nano catalytic transesteriication process. Fuel Process. Technol., 92(3): 407-413. </w:t>
      </w:r>
    </w:p>
    <w:p w:rsidR="007831DD" w:rsidRDefault="000038F5">
      <w:pPr>
        <w:pStyle w:val="ListNumber"/>
        <w:numPr>
          <w:ilvl w:val="0"/>
          <w:numId w:val="0"/>
        </w:numPr>
        <w:spacing w:line="360" w:lineRule="auto"/>
        <w:ind w:left="360" w:hanging="360"/>
        <w:jc w:val="both"/>
        <w:rPr>
          <w:rFonts w:ascii="Times New Roman" w:hAnsi="Times New Roman" w:cs="Times New Roman"/>
          <w:sz w:val="24"/>
          <w:szCs w:val="24"/>
          <w:lang w:eastAsia="zh-CN"/>
        </w:rPr>
      </w:pPr>
      <w:r>
        <w:rPr>
          <w:rFonts w:ascii="Times New Roman" w:hAnsi="Times New Roman" w:cs="Times New Roman"/>
          <w:sz w:val="24"/>
          <w:szCs w:val="24"/>
          <w:lang w:eastAsia="zh-CN"/>
        </w:rPr>
        <w:t>Manji, AJ; Sarah, EE; Modibbo, UU (2013). Studies on the potentials of Balanites aegyptiaca seed oil as raw material for the production of li</w:t>
      </w:r>
      <w:r>
        <w:rPr>
          <w:rFonts w:ascii="Times New Roman" w:hAnsi="Times New Roman" w:cs="Times New Roman"/>
          <w:sz w:val="24"/>
          <w:szCs w:val="24"/>
          <w:lang w:eastAsia="zh-CN"/>
        </w:rPr>
        <w:t xml:space="preserve">quid cleansing agents. Int. J. Phys. Sci. 8(33): 1655- 1660. </w:t>
      </w:r>
    </w:p>
    <w:p w:rsidR="007831DD" w:rsidRDefault="000038F5">
      <w:pPr>
        <w:pStyle w:val="ListNumber"/>
        <w:numPr>
          <w:ilvl w:val="0"/>
          <w:numId w:val="0"/>
        </w:numPr>
        <w:spacing w:line="360" w:lineRule="auto"/>
        <w:ind w:left="360" w:hanging="360"/>
        <w:jc w:val="both"/>
        <w:rPr>
          <w:rFonts w:ascii="Times New Roman" w:eastAsia="Cambria" w:hAnsi="Times New Roman" w:cs="Times New Roman"/>
          <w:sz w:val="24"/>
          <w:szCs w:val="24"/>
          <w:lang w:eastAsia="zh-CN"/>
        </w:rPr>
      </w:pPr>
      <w:r>
        <w:rPr>
          <w:rFonts w:ascii="Times New Roman" w:eastAsia="Cambria" w:hAnsi="Times New Roman" w:cs="Times New Roman"/>
          <w:sz w:val="24"/>
          <w:szCs w:val="24"/>
          <w:lang w:eastAsia="zh-CN"/>
        </w:rPr>
        <w:lastRenderedPageBreak/>
        <w:t xml:space="preserve">Mohamed AA and Mohammed AA. (2018). Extraction and Physico-Chemical Properties of Balanites aegyptiaca (Heglig) Seed Oil Grown </w:t>
      </w:r>
      <w:proofErr w:type="gramStart"/>
      <w:r>
        <w:rPr>
          <w:rFonts w:ascii="Times New Roman" w:eastAsia="Cambria" w:hAnsi="Times New Roman" w:cs="Times New Roman"/>
          <w:sz w:val="24"/>
          <w:szCs w:val="24"/>
          <w:lang w:eastAsia="zh-CN"/>
        </w:rPr>
        <w:t>In</w:t>
      </w:r>
      <w:proofErr w:type="gramEnd"/>
      <w:r>
        <w:rPr>
          <w:rFonts w:ascii="Times New Roman" w:eastAsia="Cambria" w:hAnsi="Times New Roman" w:cs="Times New Roman"/>
          <w:sz w:val="24"/>
          <w:szCs w:val="24"/>
          <w:lang w:eastAsia="zh-CN"/>
        </w:rPr>
        <w:t xml:space="preserve"> Libya. International Journal of Agricultural Research and Review</w:t>
      </w:r>
      <w:r>
        <w:rPr>
          <w:rFonts w:ascii="Times New Roman" w:eastAsia="Cambria" w:hAnsi="Times New Roman" w:cs="Times New Roman"/>
          <w:sz w:val="24"/>
          <w:szCs w:val="24"/>
          <w:lang w:eastAsia="zh-CN"/>
        </w:rPr>
        <w:t>, 6(2), 674-679.</w:t>
      </w:r>
    </w:p>
    <w:p w:rsidR="007831DD" w:rsidRDefault="000038F5">
      <w:pPr>
        <w:pStyle w:val="ListNumber"/>
        <w:numPr>
          <w:ilvl w:val="0"/>
          <w:numId w:val="0"/>
        </w:numPr>
        <w:spacing w:line="360" w:lineRule="auto"/>
        <w:ind w:left="360" w:hanging="360"/>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Mohammed F. B</w:t>
      </w:r>
      <w:proofErr w:type="gramStart"/>
      <w:r>
        <w:rPr>
          <w:rFonts w:ascii="Times New Roman" w:eastAsia="SimSun" w:hAnsi="Times New Roman" w:cs="Times New Roman"/>
          <w:sz w:val="24"/>
          <w:szCs w:val="24"/>
          <w:lang w:eastAsia="zh-CN"/>
        </w:rPr>
        <w:t>. ,</w:t>
      </w:r>
      <w:proofErr w:type="gramEnd"/>
      <w:r>
        <w:rPr>
          <w:rFonts w:ascii="Times New Roman" w:eastAsia="SimSun" w:hAnsi="Times New Roman" w:cs="Times New Roman"/>
          <w:sz w:val="24"/>
          <w:szCs w:val="24"/>
          <w:lang w:eastAsia="zh-CN"/>
        </w:rPr>
        <w:t xml:space="preserve">  Muhammad I. M. ,  Gutti B. , Abdulkarim  A. Y.&amp; Ahmed  S. I. 2018. Characterization and application of balanites aegyptiaca seed (desert date) kernel as natural coagulant and disinfectant for water purification. Nigerian </w:t>
      </w:r>
      <w:r>
        <w:rPr>
          <w:rFonts w:ascii="Times New Roman" w:eastAsia="SimSun" w:hAnsi="Times New Roman" w:cs="Times New Roman"/>
          <w:sz w:val="24"/>
          <w:szCs w:val="24"/>
          <w:lang w:eastAsia="zh-CN"/>
        </w:rPr>
        <w:t>Journal of Engineering Faculty of Engineering, Vol. 24, No. 2, 68-74.</w:t>
      </w:r>
    </w:p>
    <w:p w:rsidR="007831DD" w:rsidRDefault="000038F5">
      <w:pPr>
        <w:pStyle w:val="ListNumber"/>
        <w:numPr>
          <w:ilvl w:val="0"/>
          <w:numId w:val="0"/>
        </w:numPr>
        <w:spacing w:line="360" w:lineRule="auto"/>
        <w:ind w:left="360" w:hanging="360"/>
        <w:jc w:val="both"/>
        <w:rPr>
          <w:rFonts w:ascii="Times New Roman" w:eastAsia="AdvTimes" w:hAnsi="Times New Roman" w:cs="Times New Roman"/>
          <w:sz w:val="24"/>
          <w:szCs w:val="24"/>
          <w:lang w:eastAsia="zh-CN"/>
        </w:rPr>
      </w:pPr>
      <w:r>
        <w:rPr>
          <w:rFonts w:ascii="Times New Roman" w:eastAsia="AdvTimes" w:hAnsi="Times New Roman" w:cs="Times New Roman"/>
          <w:sz w:val="24"/>
          <w:szCs w:val="24"/>
          <w:lang w:eastAsia="zh-CN"/>
        </w:rPr>
        <w:t>Mohibbe M.A., Amtul W., &amp; Nahar N.M. 2005. Prospects and potential of fatty acid methyl esters of some non-traditional seed oils for use as biodiesel in India, Biomass and Bioenergy 29 (</w:t>
      </w:r>
      <w:r>
        <w:rPr>
          <w:rFonts w:ascii="Times New Roman" w:eastAsia="AdvTimes" w:hAnsi="Times New Roman" w:cs="Times New Roman"/>
          <w:sz w:val="24"/>
          <w:szCs w:val="24"/>
          <w:lang w:eastAsia="zh-CN"/>
        </w:rPr>
        <w:t>2005) 293–302</w:t>
      </w:r>
    </w:p>
    <w:p w:rsidR="007831DD" w:rsidRDefault="000038F5">
      <w:pPr>
        <w:pStyle w:val="ListNumber"/>
        <w:numPr>
          <w:ilvl w:val="0"/>
          <w:numId w:val="0"/>
        </w:numPr>
        <w:spacing w:line="360" w:lineRule="auto"/>
        <w:ind w:left="360" w:hanging="360"/>
        <w:jc w:val="both"/>
        <w:rPr>
          <w:rFonts w:ascii="Times New Roman" w:hAnsi="Times New Roman" w:cs="Times New Roman"/>
          <w:sz w:val="24"/>
          <w:szCs w:val="24"/>
          <w:lang w:eastAsia="zh-CN"/>
        </w:rPr>
      </w:pPr>
      <w:r>
        <w:rPr>
          <w:rFonts w:ascii="Times New Roman" w:hAnsi="Times New Roman" w:cs="Times New Roman"/>
          <w:sz w:val="24"/>
          <w:szCs w:val="24"/>
          <w:lang w:eastAsia="zh-CN"/>
        </w:rPr>
        <w:t>The British Petroleum Company, BP. BP Statistical Review of World Energy, June 2017. Availableonline:https://www.bp.com/content/dam/bp/en/corporate/pdf/energyeconomics/statistical-review-2017/bp-statistical-review-of-world-energy-2017 -full-r</w:t>
      </w:r>
      <w:r>
        <w:rPr>
          <w:rFonts w:ascii="Times New Roman" w:hAnsi="Times New Roman" w:cs="Times New Roman"/>
          <w:sz w:val="24"/>
          <w:szCs w:val="24"/>
          <w:lang w:eastAsia="zh-CN"/>
        </w:rPr>
        <w:t xml:space="preserve">eport.pdf (accessed on 23 August 2018). </w:t>
      </w:r>
    </w:p>
    <w:p w:rsidR="007831DD" w:rsidRDefault="000038F5">
      <w:pPr>
        <w:pStyle w:val="ListNumber"/>
        <w:numPr>
          <w:ilvl w:val="0"/>
          <w:numId w:val="0"/>
        </w:numPr>
        <w:spacing w:line="360" w:lineRule="auto"/>
        <w:ind w:left="360" w:hanging="360"/>
        <w:jc w:val="both"/>
        <w:rPr>
          <w:rFonts w:ascii="Times New Roman" w:hAnsi="Times New Roman" w:cs="Times New Roman"/>
          <w:sz w:val="24"/>
          <w:szCs w:val="24"/>
          <w:lang w:eastAsia="zh-CN"/>
        </w:rPr>
      </w:pPr>
      <w:r>
        <w:rPr>
          <w:rFonts w:ascii="Times New Roman" w:hAnsi="Times New Roman" w:cs="Times New Roman"/>
          <w:sz w:val="24"/>
          <w:szCs w:val="24"/>
          <w:lang w:eastAsia="zh-CN"/>
        </w:rPr>
        <w:t>Production from Waste Cooking Oil—</w:t>
      </w:r>
      <w:proofErr w:type="gramStart"/>
      <w:r>
        <w:rPr>
          <w:rFonts w:ascii="Times New Roman" w:hAnsi="Times New Roman" w:cs="Times New Roman"/>
          <w:sz w:val="24"/>
          <w:szCs w:val="24"/>
          <w:lang w:eastAsia="zh-CN"/>
        </w:rPr>
        <w:t>A</w:t>
      </w:r>
      <w:proofErr w:type="gramEnd"/>
      <w:r>
        <w:rPr>
          <w:rFonts w:ascii="Times New Roman" w:hAnsi="Times New Roman" w:cs="Times New Roman"/>
          <w:sz w:val="24"/>
          <w:szCs w:val="24"/>
          <w:lang w:eastAsia="zh-CN"/>
        </w:rPr>
        <w:t xml:space="preserve"> Case Study of Hong Kong. Int. J. Mol. Sci. 2015, 16, 4362–4371. [CrossRef] </w:t>
      </w:r>
      <w:bookmarkStart w:id="1" w:name="_Hlk58848128"/>
    </w:p>
    <w:p w:rsidR="007831DD" w:rsidRDefault="000038F5">
      <w:pPr>
        <w:pStyle w:val="ListNumber"/>
        <w:numPr>
          <w:ilvl w:val="0"/>
          <w:numId w:val="0"/>
        </w:numPr>
        <w:spacing w:line="360" w:lineRule="auto"/>
        <w:ind w:left="360" w:hanging="360"/>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Ogala, H., Elinge, C.M., Wawata I.G., Adegoke, A.I., Muhammad, A.B., &amp; Ige, A.R., (2018), Extraction </w:t>
      </w:r>
      <w:r>
        <w:rPr>
          <w:rFonts w:ascii="Times New Roman" w:eastAsia="SimSun" w:hAnsi="Times New Roman" w:cs="Times New Roman"/>
          <w:sz w:val="24"/>
          <w:szCs w:val="24"/>
          <w:lang w:eastAsia="zh-CN"/>
        </w:rPr>
        <w:t>and Physicochemical Analysis of Desert Date (</w:t>
      </w:r>
      <w:r>
        <w:rPr>
          <w:rFonts w:ascii="Times New Roman" w:eastAsia="TimesNewRomanPS-ItalicMT" w:hAnsi="Times New Roman" w:cs="Times New Roman"/>
          <w:sz w:val="24"/>
          <w:szCs w:val="24"/>
          <w:lang w:eastAsia="zh-CN"/>
        </w:rPr>
        <w:t>Balanite Aegyptiaca</w:t>
      </w:r>
      <w:r>
        <w:rPr>
          <w:rFonts w:ascii="Times New Roman" w:eastAsia="SimSun" w:hAnsi="Times New Roman" w:cs="Times New Roman"/>
          <w:sz w:val="24"/>
          <w:szCs w:val="24"/>
          <w:lang w:eastAsia="zh-CN"/>
        </w:rPr>
        <w:t xml:space="preserve">) Seed Oil, </w:t>
      </w:r>
      <w:r>
        <w:rPr>
          <w:rFonts w:ascii="Times New Roman" w:eastAsia="TimesNewRomanPS-ItalicMT" w:hAnsi="Times New Roman" w:cs="Times New Roman"/>
          <w:sz w:val="24"/>
          <w:szCs w:val="24"/>
          <w:lang w:eastAsia="zh-CN"/>
        </w:rPr>
        <w:t xml:space="preserve">International Journal of Advanced Academic Research | Sciences, Technology &amp; Engineering </w:t>
      </w:r>
      <w:r>
        <w:rPr>
          <w:rFonts w:ascii="Times New Roman" w:eastAsia="SimSun" w:hAnsi="Times New Roman" w:cs="Times New Roman"/>
          <w:sz w:val="24"/>
          <w:szCs w:val="24"/>
          <w:lang w:eastAsia="zh-CN"/>
        </w:rPr>
        <w:t>| ISSN: 2488-9849 Vol. 4, Issue 4.</w:t>
      </w:r>
    </w:p>
    <w:p w:rsidR="007831DD" w:rsidRDefault="000038F5">
      <w:pPr>
        <w:pStyle w:val="ListNumber"/>
        <w:numPr>
          <w:ilvl w:val="0"/>
          <w:numId w:val="0"/>
        </w:numPr>
        <w:spacing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Orhevba, B.A., Adebayo, S.E. and Salihu, A.O., (2016). S</w:t>
      </w:r>
      <w:r>
        <w:rPr>
          <w:rFonts w:ascii="Times New Roman" w:hAnsi="Times New Roman" w:cs="Times New Roman"/>
          <w:sz w:val="24"/>
          <w:szCs w:val="24"/>
        </w:rPr>
        <w:t>ynthesis of Biodiesel from Tropical Almond (Termmalia Catappa) Seed Oil. Current Research in Agricultural Sciences. 3(4):57:63.</w:t>
      </w:r>
      <w:bookmarkEnd w:id="1"/>
    </w:p>
    <w:p w:rsidR="007831DD" w:rsidRDefault="000038F5">
      <w:pPr>
        <w:pStyle w:val="ListNumber"/>
        <w:numPr>
          <w:ilvl w:val="0"/>
          <w:numId w:val="0"/>
        </w:numPr>
        <w:spacing w:line="360" w:lineRule="auto"/>
        <w:ind w:left="360" w:hanging="360"/>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Yunus, M., and Zuru, A. (2017). Kinetics study of balanites aegyptiaca oil transesterification for the production of biodiesel. </w:t>
      </w:r>
      <w:r>
        <w:rPr>
          <w:rFonts w:ascii="Times New Roman" w:hAnsi="Times New Roman" w:cs="Times New Roman"/>
          <w:sz w:val="24"/>
          <w:szCs w:val="24"/>
          <w:lang w:eastAsia="zh-CN"/>
        </w:rPr>
        <w:t xml:space="preserve">Nigerian Journal of Chemical Research, 22(1), 9-19. Biodiesel fuel (B100) Blend, Philadelphia. </w:t>
      </w:r>
    </w:p>
    <w:p w:rsidR="007831DD" w:rsidRDefault="000038F5">
      <w:pPr>
        <w:pStyle w:val="ListNumber"/>
        <w:numPr>
          <w:ilvl w:val="0"/>
          <w:numId w:val="0"/>
        </w:numPr>
        <w:spacing w:line="360" w:lineRule="auto"/>
        <w:ind w:left="360" w:hanging="360"/>
        <w:jc w:val="both"/>
        <w:rPr>
          <w:rFonts w:ascii="Times New Roman" w:hAnsi="Times New Roman" w:cs="Times New Roman"/>
          <w:sz w:val="24"/>
          <w:szCs w:val="24"/>
          <w:lang w:eastAsia="zh-CN"/>
        </w:rPr>
      </w:pPr>
      <w:r>
        <w:rPr>
          <w:rFonts w:ascii="Times New Roman" w:hAnsi="Times New Roman" w:cs="Times New Roman"/>
          <w:sz w:val="24"/>
          <w:szCs w:val="24"/>
          <w:lang w:eastAsia="zh-CN"/>
        </w:rPr>
        <w:t>Yun-Hin, Taufiq-Yap, Nurul FA, Manhiran B. Biodiesel Production via Transesterification of Palm Oil Using NaOH/Al2O3 Catalysts. Sains Malaysi. 2011, 40(6), 587-</w:t>
      </w:r>
      <w:r>
        <w:rPr>
          <w:rFonts w:ascii="Times New Roman" w:hAnsi="Times New Roman" w:cs="Times New Roman"/>
          <w:sz w:val="24"/>
          <w:szCs w:val="24"/>
          <w:lang w:eastAsia="zh-CN"/>
        </w:rPr>
        <w:t>597</w:t>
      </w:r>
    </w:p>
    <w:p w:rsidR="007831DD" w:rsidRDefault="000038F5">
      <w:pPr>
        <w:pStyle w:val="ListNumber"/>
        <w:numPr>
          <w:ilvl w:val="0"/>
          <w:numId w:val="0"/>
        </w:numPr>
        <w:spacing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lastRenderedPageBreak/>
        <w:t>Waseem H., Asma El Zerey-</w:t>
      </w:r>
      <w:proofErr w:type="gramStart"/>
      <w:r>
        <w:rPr>
          <w:rFonts w:ascii="Times New Roman" w:hAnsi="Times New Roman" w:cs="Times New Roman"/>
          <w:sz w:val="24"/>
          <w:szCs w:val="24"/>
        </w:rPr>
        <w:t>B ,</w:t>
      </w:r>
      <w:proofErr w:type="gramEnd"/>
      <w:r>
        <w:rPr>
          <w:rFonts w:ascii="Times New Roman" w:hAnsi="Times New Roman" w:cs="Times New Roman"/>
          <w:sz w:val="24"/>
          <w:szCs w:val="24"/>
        </w:rPr>
        <w:t xml:space="preserve"> Farwa N. and Iqra Y. (2016). The downside of biodiesel fuel – A review. International Journal of Chemical and Biochemical Sciences (ISSN 2226-9614, , 9(2016):97-106</w:t>
      </w:r>
    </w:p>
    <w:p w:rsidR="007831DD" w:rsidRDefault="007831DD">
      <w:pPr>
        <w:rPr>
          <w:rFonts w:ascii="Times New Roman" w:hAnsi="Times New Roman" w:cs="Times New Roman"/>
          <w:sz w:val="24"/>
          <w:szCs w:val="24"/>
        </w:rPr>
      </w:pPr>
    </w:p>
    <w:p w:rsidR="007831DD" w:rsidRDefault="007831DD">
      <w:pPr>
        <w:jc w:val="both"/>
        <w:rPr>
          <w:rFonts w:ascii="Times New Roman" w:hAnsi="Times New Roman" w:cs="Times New Roman"/>
          <w:sz w:val="24"/>
          <w:szCs w:val="24"/>
        </w:rPr>
      </w:pPr>
    </w:p>
    <w:p w:rsidR="007831DD" w:rsidRDefault="007831DD">
      <w:pPr>
        <w:pStyle w:val="ListNumber"/>
        <w:numPr>
          <w:ilvl w:val="0"/>
          <w:numId w:val="0"/>
        </w:numPr>
        <w:spacing w:line="360" w:lineRule="auto"/>
        <w:ind w:left="360" w:hanging="360"/>
        <w:jc w:val="both"/>
        <w:rPr>
          <w:rFonts w:ascii="Times New Roman" w:hAnsi="Times New Roman" w:cs="Times New Roman"/>
          <w:sz w:val="24"/>
          <w:szCs w:val="24"/>
        </w:rPr>
      </w:pPr>
    </w:p>
    <w:p w:rsidR="007831DD" w:rsidRDefault="007831DD">
      <w:pPr>
        <w:spacing w:line="360" w:lineRule="auto"/>
        <w:jc w:val="both"/>
        <w:rPr>
          <w:sz w:val="24"/>
          <w:szCs w:val="24"/>
        </w:rPr>
      </w:pPr>
    </w:p>
    <w:p w:rsidR="007831DD" w:rsidRDefault="007831DD"/>
    <w:sectPr w:rsidR="007831DD">
      <w:pgSz w:w="12240" w:h="15840"/>
      <w:pgMar w:top="1440" w:right="1440" w:bottom="9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38F5" w:rsidRDefault="000038F5">
      <w:pPr>
        <w:spacing w:line="240" w:lineRule="auto"/>
      </w:pPr>
      <w:r>
        <w:separator/>
      </w:r>
    </w:p>
  </w:endnote>
  <w:endnote w:type="continuationSeparator" w:id="0">
    <w:p w:rsidR="000038F5" w:rsidRDefault="000038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等线">
    <w:altName w:val="Arial Unicode MS"/>
    <w:charset w:val="86"/>
    <w:family w:val="auto"/>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altName w:val="Segoe Print"/>
    <w:charset w:val="00"/>
    <w:family w:val="auto"/>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charset w:val="00"/>
    <w:family w:val="auto"/>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dvTimes">
    <w:altName w:val="Segoe Print"/>
    <w:charset w:val="00"/>
    <w:family w:val="auto"/>
    <w:pitch w:val="default"/>
  </w:font>
  <w:font w:name="TimesNewRomanPS-ItalicMT">
    <w:altName w:val="Segoe Print"/>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38F5" w:rsidRDefault="000038F5">
      <w:pPr>
        <w:spacing w:after="0"/>
      </w:pPr>
      <w:r>
        <w:separator/>
      </w:r>
    </w:p>
  </w:footnote>
  <w:footnote w:type="continuationSeparator" w:id="0">
    <w:p w:rsidR="000038F5" w:rsidRDefault="000038F5">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3052DDB"/>
    <w:multiLevelType w:val="singleLevel"/>
    <w:tmpl w:val="93052DDB"/>
    <w:lvl w:ilvl="0">
      <w:start w:val="1"/>
      <w:numFmt w:val="decimal"/>
      <w:pStyle w:val="ListNumber"/>
      <w:lvlText w:val="%1."/>
      <w:lvlJc w:val="left"/>
      <w:pPr>
        <w:tabs>
          <w:tab w:val="left" w:pos="360"/>
        </w:tabs>
        <w:ind w:left="360" w:hangingChars="200" w:hanging="360"/>
      </w:pPr>
    </w:lvl>
  </w:abstractNum>
  <w:abstractNum w:abstractNumId="1">
    <w:nsid w:val="7AE63A9C"/>
    <w:multiLevelType w:val="singleLevel"/>
    <w:tmpl w:val="7AE63A9C"/>
    <w:lvl w:ilvl="0">
      <w:start w:val="1"/>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defaultTabStop w:val="720"/>
  <w:drawingGridVerticalSpacing w:val="156"/>
  <w:displayHorizontalDrawingGridEvery w:val="0"/>
  <w:displayVerticalDrawingGridEvery w:val="2"/>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FDD0A20"/>
    <w:rsid w:val="000038F5"/>
    <w:rsid w:val="000E4D63"/>
    <w:rsid w:val="004B58EE"/>
    <w:rsid w:val="007831DD"/>
    <w:rsid w:val="009137BF"/>
    <w:rsid w:val="00932801"/>
    <w:rsid w:val="00A6143C"/>
    <w:rsid w:val="00BA6FF3"/>
    <w:rsid w:val="00C63040"/>
    <w:rsid w:val="00DE5643"/>
    <w:rsid w:val="00DE619C"/>
    <w:rsid w:val="00E36486"/>
    <w:rsid w:val="07CB4840"/>
    <w:rsid w:val="0B0D3E92"/>
    <w:rsid w:val="0E9A3896"/>
    <w:rsid w:val="0EAC1C08"/>
    <w:rsid w:val="14EA645D"/>
    <w:rsid w:val="2A284E64"/>
    <w:rsid w:val="30231066"/>
    <w:rsid w:val="35EE4AEB"/>
    <w:rsid w:val="3E214A39"/>
    <w:rsid w:val="40510A2D"/>
    <w:rsid w:val="4E59586C"/>
    <w:rsid w:val="4FA17831"/>
    <w:rsid w:val="5CAF0C9F"/>
    <w:rsid w:val="63284D3B"/>
    <w:rsid w:val="637A7212"/>
    <w:rsid w:val="6BC50556"/>
    <w:rsid w:val="70D80C69"/>
    <w:rsid w:val="75034787"/>
    <w:rsid w:val="750B02F3"/>
    <w:rsid w:val="772960B4"/>
    <w:rsid w:val="7D087968"/>
    <w:rsid w:val="7DB4560B"/>
    <w:rsid w:val="7E990AC0"/>
    <w:rsid w:val="7FDD0A2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IN" w:eastAsia="en-I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Number"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160" w:line="259" w:lineRule="auto"/>
    </w:pPr>
    <w:rPr>
      <w:rFonts w:eastAsiaTheme="minorHAnsi"/>
      <w:sz w:val="22"/>
      <w:szCs w:val="22"/>
      <w:lang w:val="en-US" w:eastAsia="en-US"/>
    </w:rPr>
  </w:style>
  <w:style w:type="paragraph" w:styleId="Heading1">
    <w:name w:val="heading 1"/>
    <w:basedOn w:val="Normal"/>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semiHidden/>
    <w:unhideWhenUsed/>
    <w:qFormat/>
    <w:pPr>
      <w:keepNext/>
      <w:keepLines/>
      <w:spacing w:before="40" w:after="0"/>
      <w:outlineLvl w:val="2"/>
    </w:pPr>
    <w:rPr>
      <w:rFonts w:asciiTheme="majorHAnsi" w:eastAsiaTheme="majorEastAsia" w:hAnsiTheme="majorHAnsi" w:cstheme="majorBidi"/>
      <w:color w:val="1F4E79"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qFormat/>
    <w:pPr>
      <w:numPr>
        <w:numId w:val="1"/>
      </w:numPr>
    </w:pPr>
  </w:style>
  <w:style w:type="table" w:styleId="TableGrid">
    <w:name w:val="Table Grid"/>
    <w:basedOn w:val="TableNormal"/>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
    <w:name w:val="EndNote Bibliography"/>
    <w:basedOn w:val="Normal"/>
    <w:qFormat/>
    <w:pPr>
      <w:spacing w:line="240" w:lineRule="auto"/>
    </w:pPr>
  </w:style>
  <w:style w:type="paragraph" w:styleId="BalloonText">
    <w:name w:val="Balloon Text"/>
    <w:basedOn w:val="Normal"/>
    <w:link w:val="BalloonTextChar"/>
    <w:rsid w:val="000E4D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E4D63"/>
    <w:rPr>
      <w:rFonts w:ascii="Tahoma" w:eastAsiaTheme="minorHAnsi"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IN" w:eastAsia="en-I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Number"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160" w:line="259" w:lineRule="auto"/>
    </w:pPr>
    <w:rPr>
      <w:rFonts w:eastAsiaTheme="minorHAnsi"/>
      <w:sz w:val="22"/>
      <w:szCs w:val="22"/>
      <w:lang w:val="en-US" w:eastAsia="en-US"/>
    </w:rPr>
  </w:style>
  <w:style w:type="paragraph" w:styleId="Heading1">
    <w:name w:val="heading 1"/>
    <w:basedOn w:val="Normal"/>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semiHidden/>
    <w:unhideWhenUsed/>
    <w:qFormat/>
    <w:pPr>
      <w:keepNext/>
      <w:keepLines/>
      <w:spacing w:before="40" w:after="0"/>
      <w:outlineLvl w:val="2"/>
    </w:pPr>
    <w:rPr>
      <w:rFonts w:asciiTheme="majorHAnsi" w:eastAsiaTheme="majorEastAsia" w:hAnsiTheme="majorHAnsi" w:cstheme="majorBidi"/>
      <w:color w:val="1F4E79"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qFormat/>
    <w:pPr>
      <w:numPr>
        <w:numId w:val="1"/>
      </w:numPr>
    </w:pPr>
  </w:style>
  <w:style w:type="table" w:styleId="TableGrid">
    <w:name w:val="Table Grid"/>
    <w:basedOn w:val="TableNormal"/>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
    <w:name w:val="EndNote Bibliography"/>
    <w:basedOn w:val="Normal"/>
    <w:qFormat/>
    <w:pPr>
      <w:spacing w:line="240" w:lineRule="auto"/>
    </w:pPr>
  </w:style>
  <w:style w:type="paragraph" w:styleId="BalloonText">
    <w:name w:val="Balloon Text"/>
    <w:basedOn w:val="Normal"/>
    <w:link w:val="BalloonTextChar"/>
    <w:rsid w:val="000E4D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E4D63"/>
    <w:rPr>
      <w:rFonts w:ascii="Tahoma" w:eastAsiaTheme="minorHAnsi"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17</Pages>
  <Words>3093</Words>
  <Characters>17631</Characters>
  <Application>Microsoft Office Word</Application>
  <DocSecurity>0</DocSecurity>
  <Lines>146</Lines>
  <Paragraphs>41</Paragraphs>
  <ScaleCrop>false</ScaleCrop>
  <Company/>
  <LinksUpToDate>false</LinksUpToDate>
  <CharactersWithSpaces>20683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qwert</cp:lastModifiedBy>
  <cp:revision>6</cp:revision>
  <dcterms:created xsi:type="dcterms:W3CDTF">2026-02-23T08:01:00Z</dcterms:created>
  <dcterms:modified xsi:type="dcterms:W3CDTF">2026-03-11T11:30:00Z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1033-12.2.0.23131</vt:lpwstr>
  </property>
  <property fmtid="{D5CDD505-2E9C-101B-9397-08002B2CF9AE}" pid="3" name="ICV">
    <vt:lpwstr>4044FD9F67744AE3B8D34A937B1B2153_11</vt:lpwstr>
  </property>
  <property fmtid="{D5CDD505-2E9C-101B-9397-08002B2CF9AE}" pid="4" name="GrammarlyDocumentId">
    <vt:lpwstr>cf9608c1-27ee-4a39-97d7-0d6c72e7ea2a</vt:lpwstr>
  </property>
</Properties>
</file>