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2AA7B" w14:textId="77777777" w:rsidR="00141C10" w:rsidRPr="00FE21D9" w:rsidRDefault="00141C10" w:rsidP="00141C10">
      <w:pPr>
        <w:spacing w:line="360" w:lineRule="auto"/>
        <w:jc w:val="center"/>
        <w:rPr>
          <w:rFonts w:ascii="Times New Roman" w:hAnsi="Times New Roman" w:cs="Times New Roman"/>
          <w:b/>
          <w:bCs/>
          <w:sz w:val="28"/>
          <w:szCs w:val="28"/>
        </w:rPr>
      </w:pPr>
      <w:r w:rsidRPr="00FE21D9">
        <w:rPr>
          <w:rFonts w:ascii="Times New Roman" w:hAnsi="Times New Roman" w:cs="Times New Roman"/>
          <w:b/>
          <w:bCs/>
          <w:sz w:val="28"/>
          <w:szCs w:val="28"/>
        </w:rPr>
        <w:t>A RETROSPECTIVE ANALYSIS OF ICU READMISSIONS AND PROPOSED QUALITY IMPROVEMENT MEASURES TO REDUCE EARLY READMISSIONS</w:t>
      </w:r>
    </w:p>
    <w:p w14:paraId="5D31D52F" w14:textId="3F073B67" w:rsidR="00141C10" w:rsidRPr="00141C10" w:rsidRDefault="00141C10" w:rsidP="00141C10">
      <w:pPr>
        <w:spacing w:line="360" w:lineRule="auto"/>
        <w:jc w:val="both"/>
        <w:rPr>
          <w:rFonts w:ascii="Times New Roman" w:hAnsi="Times New Roman" w:cs="Times New Roman"/>
          <w:i/>
          <w:iCs/>
          <w:sz w:val="24"/>
          <w:szCs w:val="24"/>
        </w:rPr>
      </w:pPr>
      <w:bookmarkStart w:id="0" w:name="_GoBack"/>
      <w:bookmarkEnd w:id="0"/>
      <w:r w:rsidRPr="00141C10">
        <w:rPr>
          <w:rFonts w:ascii="Times New Roman" w:hAnsi="Times New Roman" w:cs="Times New Roman"/>
          <w:b/>
          <w:bCs/>
          <w:i/>
          <w:iCs/>
          <w:sz w:val="24"/>
          <w:szCs w:val="24"/>
        </w:rPr>
        <w:t>Abstract:</w:t>
      </w:r>
      <w:r w:rsidRPr="00141C10">
        <w:rPr>
          <w:rFonts w:ascii="Times New Roman" w:hAnsi="Times New Roman" w:cs="Times New Roman"/>
          <w:i/>
          <w:iCs/>
          <w:sz w:val="24"/>
          <w:szCs w:val="24"/>
        </w:rPr>
        <w:t xml:space="preserve"> Intensive care unit (ICU) readmissions are considered an important quality indicator that reflects the effectiveness of ICU care, discharge planning, and post-ICU monitoring. Early readmission within 24 hours is associated with an increased risk for patients. The aim of this study is to review ICU readmissions over a one-year period in order to identify areas that require quality improvement measures. The objectives of the study were to determine the ICU readmission rate over the past 12 months, to identify the common causes of readmission, and to assess patient-related factors associated with readmissions. This retrospective observational study was conducted in the ICU of a tertiary care hospital, and data were collected from patient medical records. The variables collected included demographic details, discharge status, time interval of readmission, primary reasons for readmission, mechanical ventilation status, and the outcome of readmission. The readmission rate observed in the study was 2.33%, which is relatively low compared with other studies reported in the literature. The study also observed a higher proportion of mortality among patients above 80 years of age. Another important finding was that ICU readmissions within 24 hours were relatively high. In conclusion, appropriate preventive measures and improved patient monitoring systems can reduce the risk of ICU readmissions.</w:t>
      </w:r>
    </w:p>
    <w:p w14:paraId="38DA783E" w14:textId="675CE88D" w:rsidR="00141C10" w:rsidRPr="00E20CEA" w:rsidRDefault="00E20CEA" w:rsidP="00E20CEA">
      <w:pPr>
        <w:spacing w:line="360" w:lineRule="auto"/>
        <w:jc w:val="both"/>
        <w:rPr>
          <w:rFonts w:ascii="Times New Roman" w:hAnsi="Times New Roman" w:cs="Times New Roman"/>
          <w:i/>
          <w:i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454CE886" wp14:editId="2C46B651">
                <wp:simplePos x="0" y="0"/>
                <wp:positionH relativeFrom="column">
                  <wp:posOffset>-38101</wp:posOffset>
                </wp:positionH>
                <wp:positionV relativeFrom="paragraph">
                  <wp:posOffset>287020</wp:posOffset>
                </wp:positionV>
                <wp:extent cx="6638925" cy="0"/>
                <wp:effectExtent l="0" t="0" r="0" b="0"/>
                <wp:wrapNone/>
                <wp:docPr id="207675599" name="Straight Connector 2"/>
                <wp:cNvGraphicFramePr/>
                <a:graphic xmlns:a="http://schemas.openxmlformats.org/drawingml/2006/main">
                  <a:graphicData uri="http://schemas.microsoft.com/office/word/2010/wordprocessingShape">
                    <wps:wsp>
                      <wps:cNvCnPr/>
                      <wps:spPr>
                        <a:xfrm>
                          <a:off x="0" y="0"/>
                          <a:ext cx="6638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6AF8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2.6pt" to="519.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" strokecolor="black [3213]" strokeweight=".5pt">
                <v:stroke joinstyle="miter"/>
              </v:line>
            </w:pict>
          </mc:Fallback>
        </mc:AlternateContent>
      </w:r>
      <w:r w:rsidR="00141C10" w:rsidRPr="00141C10">
        <w:rPr>
          <w:rFonts w:ascii="Times New Roman" w:hAnsi="Times New Roman" w:cs="Times New Roman"/>
          <w:i/>
          <w:iCs/>
          <w:sz w:val="24"/>
          <w:szCs w:val="24"/>
        </w:rPr>
        <w:t>Keywords: Readmission, Intensive care unit, Quality improvement, Mortality</w:t>
      </w:r>
    </w:p>
    <w:p w14:paraId="6880E8B7" w14:textId="77777777" w:rsidR="00E20CEA" w:rsidRDefault="00E20CEA" w:rsidP="00141C10">
      <w:pPr>
        <w:spacing w:line="360" w:lineRule="auto"/>
        <w:jc w:val="center"/>
        <w:rPr>
          <w:rFonts w:ascii="Times New Roman" w:hAnsi="Times New Roman" w:cs="Times New Roman"/>
          <w:b/>
          <w:bCs/>
          <w:sz w:val="24"/>
          <w:szCs w:val="24"/>
        </w:rPr>
        <w:sectPr w:rsidR="00E20CEA" w:rsidSect="00B90B72">
          <w:footerReference w:type="default" r:id="rId9"/>
          <w:pgSz w:w="11906" w:h="16838"/>
          <w:pgMar w:top="720" w:right="720" w:bottom="720" w:left="720" w:header="708" w:footer="708" w:gutter="0"/>
          <w:cols w:space="708"/>
          <w:docGrid w:linePitch="360"/>
        </w:sectPr>
      </w:pPr>
    </w:p>
    <w:p w14:paraId="277A505A" w14:textId="5E376BAF" w:rsidR="00141C10" w:rsidRDefault="00A03BFB" w:rsidP="00141C10">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141C10">
        <w:rPr>
          <w:rFonts w:ascii="Times New Roman" w:hAnsi="Times New Roman" w:cs="Times New Roman"/>
          <w:b/>
          <w:bCs/>
          <w:sz w:val="24"/>
          <w:szCs w:val="24"/>
        </w:rPr>
        <w:t>INTRODUCTION</w:t>
      </w:r>
    </w:p>
    <w:p w14:paraId="660C1370" w14:textId="50179659" w:rsidR="00141C10" w:rsidRDefault="00141C10" w:rsidP="00141C10">
      <w:pPr>
        <w:spacing w:line="360" w:lineRule="auto"/>
        <w:jc w:val="both"/>
        <w:rPr>
          <w:rFonts w:ascii="Times New Roman" w:hAnsi="Times New Roman" w:cs="Times New Roman"/>
          <w:sz w:val="24"/>
          <w:szCs w:val="24"/>
        </w:rPr>
      </w:pPr>
      <w:r w:rsidRPr="00141C10">
        <w:rPr>
          <w:rFonts w:ascii="Times New Roman" w:hAnsi="Times New Roman" w:cs="Times New Roman"/>
          <w:sz w:val="24"/>
          <w:szCs w:val="24"/>
        </w:rPr>
        <w:t xml:space="preserve">ICU readmission refers to the return of a patient to the Intensive Care Unit (ICU) within a specific time frame during the same hospital admission. Recent studies conducted in India indicate that the ICU readmission rate is approximately 7.52 per 100 ICU discharges in tertiary care settings. The rate of ICU readmissions has been increasing due to factors such as early discharge from the ICU, inadequate monitoring in the wards, and progression of the underlying disease. The most common causes of ICU readmission include respiratory failure, sepsis, cardiac complications, and postoperative complications. ICU readmission intervals are commonly categorized as within 24 hours, 24–48 hours, and 48–72 hours after ICU discharge. Studying ICU readmission is important </w:t>
      </w:r>
      <w:r w:rsidRPr="00141C10">
        <w:rPr>
          <w:rFonts w:ascii="Times New Roman" w:hAnsi="Times New Roman" w:cs="Times New Roman"/>
          <w:sz w:val="24"/>
          <w:szCs w:val="24"/>
        </w:rPr>
        <w:lastRenderedPageBreak/>
        <w:t>because it helps in evaluating the quality of patient care, improving discharge decision-making, reducing the risk of mortality, enhancing patient safety, and optimizing the utilization of ICU resources. It also highlights the need for improved monitoring systems, such as electronic monitoring in both ICU and ward settings, to detect early clinical deterioration.</w:t>
      </w:r>
    </w:p>
    <w:p w14:paraId="2FE002F0" w14:textId="77777777" w:rsidR="00EE5FCC" w:rsidRDefault="00EE5FCC" w:rsidP="00141C10">
      <w:pPr>
        <w:spacing w:line="360" w:lineRule="auto"/>
        <w:rPr>
          <w:rFonts w:ascii="Times New Roman" w:hAnsi="Times New Roman" w:cs="Times New Roman"/>
          <w:b/>
          <w:bCs/>
          <w:sz w:val="24"/>
          <w:szCs w:val="24"/>
        </w:rPr>
      </w:pPr>
    </w:p>
    <w:p w14:paraId="3FDD8C60" w14:textId="77777777" w:rsidR="00EE5FCC" w:rsidRDefault="00EE5FCC" w:rsidP="00141C10">
      <w:pPr>
        <w:spacing w:line="360" w:lineRule="auto"/>
        <w:rPr>
          <w:rFonts w:ascii="Times New Roman" w:hAnsi="Times New Roman" w:cs="Times New Roman"/>
          <w:b/>
          <w:bCs/>
          <w:sz w:val="24"/>
          <w:szCs w:val="24"/>
        </w:rPr>
      </w:pPr>
    </w:p>
    <w:p w14:paraId="0C8C6493" w14:textId="77F1EFD9" w:rsidR="00141C10" w:rsidRDefault="00A03BFB" w:rsidP="00141C1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00141C10" w:rsidRPr="00141C10">
        <w:rPr>
          <w:rFonts w:ascii="Times New Roman" w:hAnsi="Times New Roman" w:cs="Times New Roman"/>
          <w:b/>
          <w:bCs/>
          <w:sz w:val="24"/>
          <w:szCs w:val="24"/>
        </w:rPr>
        <w:t>OBJECTIVES</w:t>
      </w:r>
    </w:p>
    <w:p w14:paraId="5DEC4E0D" w14:textId="77777777" w:rsidR="00141C10" w:rsidRPr="002F2DBB" w:rsidRDefault="00141C10" w:rsidP="00141C10">
      <w:pPr>
        <w:spacing w:line="360" w:lineRule="auto"/>
        <w:jc w:val="both"/>
        <w:rPr>
          <w:rFonts w:ascii="Times New Roman" w:hAnsi="Times New Roman" w:cs="Times New Roman"/>
          <w:b/>
          <w:bCs/>
          <w:sz w:val="24"/>
          <w:szCs w:val="24"/>
        </w:rPr>
      </w:pPr>
      <w:r w:rsidRPr="002F2DBB">
        <w:rPr>
          <w:rFonts w:ascii="Times New Roman" w:hAnsi="Times New Roman" w:cs="Times New Roman"/>
          <w:b/>
          <w:bCs/>
          <w:sz w:val="24"/>
          <w:szCs w:val="24"/>
        </w:rPr>
        <w:t>PRIMARY OBJECTIVE</w:t>
      </w:r>
    </w:p>
    <w:p w14:paraId="4D7B2B41" w14:textId="77777777" w:rsidR="00141C10" w:rsidRPr="002F2DBB" w:rsidRDefault="00141C10" w:rsidP="00141C10">
      <w:pPr>
        <w:pStyle w:val="ListParagraph"/>
        <w:numPr>
          <w:ilvl w:val="0"/>
          <w:numId w:val="2"/>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determine the ICU readmission rate over the past 12 months. </w:t>
      </w:r>
    </w:p>
    <w:p w14:paraId="093730FC" w14:textId="77777777" w:rsidR="00141C10" w:rsidRPr="002F2DBB" w:rsidRDefault="00141C10" w:rsidP="00141C10">
      <w:pPr>
        <w:spacing w:line="360" w:lineRule="auto"/>
        <w:jc w:val="both"/>
        <w:rPr>
          <w:rFonts w:ascii="Times New Roman" w:hAnsi="Times New Roman" w:cs="Times New Roman"/>
          <w:b/>
          <w:bCs/>
          <w:sz w:val="24"/>
          <w:szCs w:val="24"/>
        </w:rPr>
      </w:pPr>
      <w:r w:rsidRPr="002F2DBB">
        <w:rPr>
          <w:rFonts w:ascii="Times New Roman" w:hAnsi="Times New Roman" w:cs="Times New Roman"/>
          <w:b/>
          <w:bCs/>
          <w:sz w:val="24"/>
          <w:szCs w:val="24"/>
        </w:rPr>
        <w:t xml:space="preserve">SECONDARY OBJECTIVES </w:t>
      </w:r>
    </w:p>
    <w:p w14:paraId="255EFB41"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lastRenderedPageBreak/>
        <w:t xml:space="preserve">To identify the most common causes of ICU readmissions. </w:t>
      </w:r>
    </w:p>
    <w:p w14:paraId="07A50D11"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assess the association between patient demographics, comorbidities, and clinical factors with ICU readmission. </w:t>
      </w:r>
    </w:p>
    <w:p w14:paraId="61F30576" w14:textId="77777777" w:rsidR="00141C10" w:rsidRPr="002F2DBB" w:rsidRDefault="00141C10" w:rsidP="00141C10">
      <w:pPr>
        <w:pStyle w:val="ListParagraph"/>
        <w:numPr>
          <w:ilvl w:val="0"/>
          <w:numId w:val="3"/>
        </w:numPr>
        <w:spacing w:line="360" w:lineRule="auto"/>
        <w:jc w:val="both"/>
        <w:rPr>
          <w:rFonts w:ascii="Times New Roman" w:hAnsi="Times New Roman" w:cs="Times New Roman"/>
          <w:sz w:val="24"/>
          <w:szCs w:val="24"/>
        </w:rPr>
      </w:pPr>
      <w:r w:rsidRPr="002F2DBB">
        <w:rPr>
          <w:rFonts w:ascii="Times New Roman" w:hAnsi="Times New Roman" w:cs="Times New Roman"/>
          <w:sz w:val="24"/>
          <w:szCs w:val="24"/>
        </w:rPr>
        <w:t xml:space="preserve">To evaluate the time interval between ICU discharge and readmission. </w:t>
      </w:r>
    </w:p>
    <w:p w14:paraId="0EE2678D" w14:textId="541D62DF" w:rsidR="00141C10" w:rsidRPr="00141C10" w:rsidRDefault="00141C10" w:rsidP="00141C10">
      <w:pPr>
        <w:pStyle w:val="ListParagraph"/>
        <w:numPr>
          <w:ilvl w:val="0"/>
          <w:numId w:val="3"/>
        </w:numPr>
        <w:spacing w:line="360" w:lineRule="auto"/>
        <w:jc w:val="both"/>
        <w:rPr>
          <w:rFonts w:ascii="Times New Roman" w:hAnsi="Times New Roman" w:cs="Times New Roman"/>
          <w:sz w:val="24"/>
          <w:szCs w:val="24"/>
          <w:lang w:val="en-US"/>
        </w:rPr>
      </w:pPr>
      <w:r w:rsidRPr="002F2DBB">
        <w:rPr>
          <w:rFonts w:ascii="Times New Roman" w:hAnsi="Times New Roman" w:cs="Times New Roman"/>
          <w:sz w:val="24"/>
          <w:szCs w:val="24"/>
        </w:rPr>
        <w:t>To propose structured quality improvement measures to reduce ICU readmissions.</w:t>
      </w:r>
    </w:p>
    <w:p w14:paraId="09E50A3A" w14:textId="567E114C" w:rsidR="00141C10" w:rsidRPr="00141C10" w:rsidRDefault="00A03BFB" w:rsidP="00141C1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2.</w:t>
      </w:r>
      <w:r w:rsidR="00141C10" w:rsidRPr="00141C10">
        <w:rPr>
          <w:rFonts w:ascii="Times New Roman" w:eastAsia="Times New Roman" w:hAnsi="Times New Roman" w:cs="Times New Roman"/>
          <w:b/>
          <w:bCs/>
          <w:sz w:val="24"/>
          <w:szCs w:val="24"/>
          <w:lang w:eastAsia="en-IN" w:bidi="ta-IN"/>
        </w:rPr>
        <w:t>REVIEW OF LITERATURE</w:t>
      </w:r>
    </w:p>
    <w:p w14:paraId="15955F6C" w14:textId="0F67DF72" w:rsidR="00141C10" w:rsidRPr="00141C10" w:rsidRDefault="00141C10" w:rsidP="00141C10">
      <w:pPr>
        <w:spacing w:line="360" w:lineRule="auto"/>
        <w:jc w:val="both"/>
        <w:rPr>
          <w:rFonts w:ascii="Times New Roman" w:hAnsi="Times New Roman" w:cs="Times New Roman"/>
          <w:sz w:val="24"/>
          <w:szCs w:val="24"/>
          <w:lang w:bidi="ta-IN"/>
        </w:rPr>
      </w:pPr>
      <w:r w:rsidRPr="00141C10">
        <w:rPr>
          <w:rFonts w:ascii="Times New Roman" w:eastAsia="Times New Roman" w:hAnsi="Times New Roman" w:cs="Times New Roman"/>
          <w:sz w:val="24"/>
          <w:szCs w:val="24"/>
          <w:lang w:eastAsia="en-IN" w:bidi="ta-IN"/>
        </w:rPr>
        <w:t>1.</w:t>
      </w:r>
      <w:r w:rsidRPr="00141C10">
        <w:rPr>
          <w:rFonts w:ascii="Times New Roman" w:eastAsia="Times New Roman" w:hAnsi="Times New Roman" w:cs="Times New Roman"/>
          <w:b/>
          <w:bCs/>
          <w:sz w:val="24"/>
          <w:szCs w:val="24"/>
          <w:lang w:eastAsia="en-IN" w:bidi="ta-IN"/>
        </w:rPr>
        <w:t xml:space="preserve"> </w:t>
      </w:r>
      <w:r w:rsidRPr="00141C10">
        <w:rPr>
          <w:rFonts w:ascii="Times New Roman" w:eastAsia="Times New Roman" w:hAnsi="Times New Roman" w:cs="Times New Roman"/>
          <w:sz w:val="24"/>
          <w:szCs w:val="24"/>
          <w:lang w:eastAsia="en-IN" w:bidi="ta-IN"/>
        </w:rPr>
        <w:t xml:space="preserve">According to </w:t>
      </w:r>
      <w:proofErr w:type="spellStart"/>
      <w:r w:rsidRPr="00141C10">
        <w:rPr>
          <w:rFonts w:ascii="Times New Roman" w:eastAsia="Times New Roman" w:hAnsi="Times New Roman" w:cs="Times New Roman"/>
          <w:sz w:val="24"/>
          <w:szCs w:val="24"/>
          <w:lang w:eastAsia="en-IN" w:bidi="ta-IN"/>
        </w:rPr>
        <w:t>Ponzoni</w:t>
      </w:r>
      <w:proofErr w:type="spellEnd"/>
      <w:r w:rsidRPr="00141C10">
        <w:rPr>
          <w:rFonts w:ascii="Times New Roman" w:eastAsia="Times New Roman" w:hAnsi="Times New Roman" w:cs="Times New Roman"/>
          <w:sz w:val="24"/>
          <w:szCs w:val="24"/>
          <w:lang w:eastAsia="en-IN" w:bidi="ta-IN"/>
        </w:rPr>
        <w:t xml:space="preserve"> C.R., </w:t>
      </w:r>
      <w:proofErr w:type="spellStart"/>
      <w:r w:rsidRPr="00141C10">
        <w:rPr>
          <w:rFonts w:ascii="Times New Roman" w:eastAsia="Times New Roman" w:hAnsi="Times New Roman" w:cs="Times New Roman"/>
          <w:sz w:val="24"/>
          <w:szCs w:val="24"/>
          <w:lang w:eastAsia="en-IN" w:bidi="ta-IN"/>
        </w:rPr>
        <w:t>Corrêa</w:t>
      </w:r>
      <w:proofErr w:type="spellEnd"/>
      <w:r w:rsidRPr="00141C10">
        <w:rPr>
          <w:rFonts w:ascii="Times New Roman" w:eastAsia="Times New Roman" w:hAnsi="Times New Roman" w:cs="Times New Roman"/>
          <w:sz w:val="24"/>
          <w:szCs w:val="24"/>
          <w:lang w:eastAsia="en-IN" w:bidi="ta-IN"/>
        </w:rPr>
        <w:t xml:space="preserve"> T.D., </w:t>
      </w:r>
      <w:proofErr w:type="spellStart"/>
      <w:r w:rsidRPr="00141C10">
        <w:rPr>
          <w:rFonts w:ascii="Times New Roman" w:eastAsia="Times New Roman" w:hAnsi="Times New Roman" w:cs="Times New Roman"/>
          <w:sz w:val="24"/>
          <w:szCs w:val="24"/>
          <w:lang w:eastAsia="en-IN" w:bidi="ta-IN"/>
        </w:rPr>
        <w:t>Filho</w:t>
      </w:r>
      <w:proofErr w:type="spellEnd"/>
      <w:r w:rsidRPr="00141C10">
        <w:rPr>
          <w:rFonts w:ascii="Times New Roman" w:eastAsia="Times New Roman" w:hAnsi="Times New Roman" w:cs="Times New Roman"/>
          <w:sz w:val="24"/>
          <w:szCs w:val="24"/>
          <w:lang w:eastAsia="en-IN" w:bidi="ta-IN"/>
        </w:rPr>
        <w:t xml:space="preserve"> R.R., </w:t>
      </w:r>
      <w:proofErr w:type="spellStart"/>
      <w:r w:rsidRPr="00141C10">
        <w:rPr>
          <w:rFonts w:ascii="Times New Roman" w:eastAsia="Times New Roman" w:hAnsi="Times New Roman" w:cs="Times New Roman"/>
          <w:sz w:val="24"/>
          <w:szCs w:val="24"/>
          <w:lang w:eastAsia="en-IN" w:bidi="ta-IN"/>
        </w:rPr>
        <w:t>Serpa</w:t>
      </w:r>
      <w:proofErr w:type="spellEnd"/>
      <w:r w:rsidRPr="00141C10">
        <w:rPr>
          <w:rFonts w:ascii="Times New Roman" w:eastAsia="Times New Roman" w:hAnsi="Times New Roman" w:cs="Times New Roman"/>
          <w:sz w:val="24"/>
          <w:szCs w:val="24"/>
          <w:lang w:eastAsia="en-IN" w:bidi="ta-IN"/>
        </w:rPr>
        <w:t xml:space="preserve"> </w:t>
      </w:r>
      <w:proofErr w:type="spellStart"/>
      <w:r w:rsidRPr="00141C10">
        <w:rPr>
          <w:rFonts w:ascii="Times New Roman" w:eastAsia="Times New Roman" w:hAnsi="Times New Roman" w:cs="Times New Roman"/>
          <w:sz w:val="24"/>
          <w:szCs w:val="24"/>
          <w:lang w:eastAsia="en-IN" w:bidi="ta-IN"/>
        </w:rPr>
        <w:t>Neto</w:t>
      </w:r>
      <w:proofErr w:type="spellEnd"/>
      <w:r w:rsidRPr="00141C10">
        <w:rPr>
          <w:rFonts w:ascii="Times New Roman" w:eastAsia="Times New Roman" w:hAnsi="Times New Roman" w:cs="Times New Roman"/>
          <w:sz w:val="24"/>
          <w:szCs w:val="24"/>
          <w:lang w:eastAsia="en-IN" w:bidi="ta-IN"/>
        </w:rPr>
        <w:t xml:space="preserve"> A., </w:t>
      </w:r>
      <w:proofErr w:type="spellStart"/>
      <w:r w:rsidRPr="00141C10">
        <w:rPr>
          <w:rFonts w:ascii="Times New Roman" w:eastAsia="Times New Roman" w:hAnsi="Times New Roman" w:cs="Times New Roman"/>
          <w:sz w:val="24"/>
          <w:szCs w:val="24"/>
          <w:lang w:eastAsia="en-IN" w:bidi="ta-IN"/>
        </w:rPr>
        <w:t>Assunção</w:t>
      </w:r>
      <w:proofErr w:type="spellEnd"/>
      <w:r w:rsidRPr="00141C10">
        <w:rPr>
          <w:rFonts w:ascii="Times New Roman" w:eastAsia="Times New Roman" w:hAnsi="Times New Roman" w:cs="Times New Roman"/>
          <w:sz w:val="24"/>
          <w:szCs w:val="24"/>
          <w:lang w:eastAsia="en-IN" w:bidi="ta-IN"/>
        </w:rPr>
        <w:t xml:space="preserve"> M.S.C., </w:t>
      </w:r>
      <w:proofErr w:type="spellStart"/>
      <w:r w:rsidRPr="00141C10">
        <w:rPr>
          <w:rFonts w:ascii="Times New Roman" w:eastAsia="Times New Roman" w:hAnsi="Times New Roman" w:cs="Times New Roman"/>
          <w:sz w:val="24"/>
          <w:szCs w:val="24"/>
          <w:lang w:eastAsia="en-IN" w:bidi="ta-IN"/>
        </w:rPr>
        <w:t>Pardini</w:t>
      </w:r>
      <w:proofErr w:type="spellEnd"/>
      <w:r w:rsidRPr="00141C10">
        <w:rPr>
          <w:rFonts w:ascii="Times New Roman" w:eastAsia="Times New Roman" w:hAnsi="Times New Roman" w:cs="Times New Roman"/>
          <w:sz w:val="24"/>
          <w:szCs w:val="24"/>
          <w:lang w:eastAsia="en-IN" w:bidi="ta-IN"/>
        </w:rPr>
        <w:t xml:space="preserve"> A., and </w:t>
      </w:r>
      <w:proofErr w:type="spellStart"/>
      <w:r w:rsidRPr="00141C10">
        <w:rPr>
          <w:rFonts w:ascii="Times New Roman" w:eastAsia="Times New Roman" w:hAnsi="Times New Roman" w:cs="Times New Roman"/>
          <w:sz w:val="24"/>
          <w:szCs w:val="24"/>
          <w:lang w:eastAsia="en-IN" w:bidi="ta-IN"/>
        </w:rPr>
        <w:t>Schettino</w:t>
      </w:r>
      <w:proofErr w:type="spellEnd"/>
      <w:r w:rsidRPr="00141C10">
        <w:rPr>
          <w:rFonts w:ascii="Times New Roman" w:eastAsia="Times New Roman" w:hAnsi="Times New Roman" w:cs="Times New Roman"/>
          <w:sz w:val="24"/>
          <w:szCs w:val="24"/>
          <w:lang w:eastAsia="en-IN" w:bidi="ta-IN"/>
        </w:rPr>
        <w:t xml:space="preserve"> G.P.P. (2017)</w:t>
      </w:r>
      <w:r>
        <w:rPr>
          <w:rFonts w:ascii="Times New Roman" w:eastAsia="Times New Roman" w:hAnsi="Times New Roman" w:cs="Times New Roman"/>
          <w:sz w:val="24"/>
          <w:szCs w:val="24"/>
          <w:lang w:eastAsia="en-IN" w:bidi="ta-IN"/>
        </w:rPr>
        <w:t>, “ICU</w:t>
      </w:r>
      <w:r w:rsidRPr="00141C10">
        <w:rPr>
          <w:rFonts w:ascii="Times New Roman" w:eastAsia="Times New Roman" w:hAnsi="Times New Roman" w:cs="Times New Roman"/>
          <w:sz w:val="24"/>
          <w:szCs w:val="24"/>
          <w:lang w:eastAsia="en-IN" w:bidi="ta-IN"/>
        </w:rPr>
        <w:t xml:space="preserve"> readmissions are relatively frequent and are associated with poor clinical outcomes, longer hospital stays, and increased healthcare resource utilization. </w:t>
      </w:r>
      <w:r w:rsidRPr="00141C10">
        <w:rPr>
          <w:rFonts w:ascii="Times New Roman" w:hAnsi="Times New Roman" w:cs="Times New Roman"/>
          <w:sz w:val="24"/>
          <w:szCs w:val="24"/>
          <w:lang w:bidi="ta-IN"/>
        </w:rPr>
        <w:t>The authors suggested the need for improved discharge planning and monitoring to reduce preventable ICU readmissions</w:t>
      </w:r>
      <w:r>
        <w:rPr>
          <w:rFonts w:ascii="Times New Roman" w:hAnsi="Times New Roman" w:cs="Times New Roman"/>
          <w:sz w:val="24"/>
          <w:szCs w:val="24"/>
          <w:lang w:bidi="ta-IN"/>
        </w:rPr>
        <w:t>”</w:t>
      </w:r>
      <w:r w:rsidRPr="00141C10">
        <w:rPr>
          <w:rFonts w:ascii="Times New Roman" w:hAnsi="Times New Roman" w:cs="Times New Roman"/>
          <w:sz w:val="24"/>
          <w:szCs w:val="24"/>
          <w:lang w:bidi="ta-IN"/>
        </w:rPr>
        <w:t>.</w:t>
      </w:r>
    </w:p>
    <w:p w14:paraId="67CDC3F4" w14:textId="67213502" w:rsidR="00141C10" w:rsidRPr="00141C10" w:rsidRDefault="00141C10" w:rsidP="00141C10">
      <w:pPr>
        <w:spacing w:line="360" w:lineRule="auto"/>
        <w:jc w:val="both"/>
        <w:rPr>
          <w:rFonts w:ascii="Times New Roman" w:hAnsi="Times New Roman" w:cs="Times New Roman"/>
          <w:sz w:val="24"/>
          <w:szCs w:val="24"/>
          <w:lang w:bidi="ta-IN"/>
        </w:rPr>
      </w:pPr>
      <w:r>
        <w:rPr>
          <w:rFonts w:ascii="Times New Roman" w:eastAsia="Times New Roman" w:hAnsi="Times New Roman" w:cs="Times New Roman"/>
          <w:sz w:val="24"/>
          <w:szCs w:val="24"/>
          <w:lang w:eastAsia="en-IN" w:bidi="ta-IN"/>
        </w:rPr>
        <w:t>2.</w:t>
      </w:r>
      <w:r w:rsidRPr="00141C10">
        <w:t xml:space="preserve"> </w:t>
      </w:r>
      <w:r w:rsidRPr="00141C10">
        <w:rPr>
          <w:rFonts w:ascii="Times New Roman" w:hAnsi="Times New Roman" w:cs="Times New Roman"/>
          <w:sz w:val="24"/>
          <w:szCs w:val="24"/>
        </w:rPr>
        <w:t xml:space="preserve">According to </w:t>
      </w:r>
      <w:r w:rsidRPr="00141C10">
        <w:rPr>
          <w:rFonts w:ascii="Times New Roman" w:eastAsia="Times New Roman" w:hAnsi="Times New Roman" w:cs="Times New Roman"/>
          <w:sz w:val="24"/>
          <w:szCs w:val="24"/>
          <w:lang w:eastAsia="en-IN" w:bidi="ta-IN"/>
        </w:rPr>
        <w:t xml:space="preserve">Van </w:t>
      </w:r>
      <w:proofErr w:type="spellStart"/>
      <w:r w:rsidRPr="00141C10">
        <w:rPr>
          <w:rFonts w:ascii="Times New Roman" w:eastAsia="Times New Roman" w:hAnsi="Times New Roman" w:cs="Times New Roman"/>
          <w:sz w:val="24"/>
          <w:szCs w:val="24"/>
          <w:lang w:eastAsia="en-IN" w:bidi="ta-IN"/>
        </w:rPr>
        <w:t>Sluisveld</w:t>
      </w:r>
      <w:proofErr w:type="spellEnd"/>
      <w:r w:rsidRPr="00141C10">
        <w:rPr>
          <w:rFonts w:ascii="Times New Roman" w:eastAsia="Times New Roman" w:hAnsi="Times New Roman" w:cs="Times New Roman"/>
          <w:sz w:val="24"/>
          <w:szCs w:val="24"/>
          <w:lang w:eastAsia="en-IN" w:bidi="ta-IN"/>
        </w:rPr>
        <w:t xml:space="preserve"> N., </w:t>
      </w:r>
      <w:proofErr w:type="spellStart"/>
      <w:r w:rsidRPr="00141C10">
        <w:rPr>
          <w:rFonts w:ascii="Times New Roman" w:eastAsia="Times New Roman" w:hAnsi="Times New Roman" w:cs="Times New Roman"/>
          <w:sz w:val="24"/>
          <w:szCs w:val="24"/>
          <w:lang w:eastAsia="en-IN" w:bidi="ta-IN"/>
        </w:rPr>
        <w:t>Hesselink</w:t>
      </w:r>
      <w:proofErr w:type="spellEnd"/>
      <w:r w:rsidRPr="00141C10">
        <w:rPr>
          <w:rFonts w:ascii="Times New Roman" w:eastAsia="Times New Roman" w:hAnsi="Times New Roman" w:cs="Times New Roman"/>
          <w:sz w:val="24"/>
          <w:szCs w:val="24"/>
          <w:lang w:eastAsia="en-IN" w:bidi="ta-IN"/>
        </w:rPr>
        <w:t xml:space="preserve"> G., Van der </w:t>
      </w:r>
      <w:proofErr w:type="spellStart"/>
      <w:r w:rsidRPr="00141C10">
        <w:rPr>
          <w:rFonts w:ascii="Times New Roman" w:eastAsia="Times New Roman" w:hAnsi="Times New Roman" w:cs="Times New Roman"/>
          <w:sz w:val="24"/>
          <w:szCs w:val="24"/>
          <w:lang w:eastAsia="en-IN" w:bidi="ta-IN"/>
        </w:rPr>
        <w:t>Hoeven</w:t>
      </w:r>
      <w:proofErr w:type="spellEnd"/>
      <w:r w:rsidRPr="00141C10">
        <w:rPr>
          <w:rFonts w:ascii="Times New Roman" w:eastAsia="Times New Roman" w:hAnsi="Times New Roman" w:cs="Times New Roman"/>
          <w:sz w:val="24"/>
          <w:szCs w:val="24"/>
          <w:lang w:eastAsia="en-IN" w:bidi="ta-IN"/>
        </w:rPr>
        <w:t xml:space="preserve"> J., </w:t>
      </w:r>
      <w:proofErr w:type="spellStart"/>
      <w:r w:rsidRPr="00141C10">
        <w:rPr>
          <w:rFonts w:ascii="Times New Roman" w:eastAsia="Times New Roman" w:hAnsi="Times New Roman" w:cs="Times New Roman"/>
          <w:sz w:val="24"/>
          <w:szCs w:val="24"/>
          <w:lang w:eastAsia="en-IN" w:bidi="ta-IN"/>
        </w:rPr>
        <w:t>Westert</w:t>
      </w:r>
      <w:proofErr w:type="spellEnd"/>
      <w:r w:rsidRPr="00141C10">
        <w:rPr>
          <w:rFonts w:ascii="Times New Roman" w:eastAsia="Times New Roman" w:hAnsi="Times New Roman" w:cs="Times New Roman"/>
          <w:sz w:val="24"/>
          <w:szCs w:val="24"/>
          <w:lang w:eastAsia="en-IN" w:bidi="ta-IN"/>
        </w:rPr>
        <w:t xml:space="preserve"> G., and </w:t>
      </w:r>
      <w:proofErr w:type="spellStart"/>
      <w:r w:rsidRPr="00141C10">
        <w:rPr>
          <w:rFonts w:ascii="Times New Roman" w:eastAsia="Times New Roman" w:hAnsi="Times New Roman" w:cs="Times New Roman"/>
          <w:sz w:val="24"/>
          <w:szCs w:val="24"/>
          <w:lang w:eastAsia="en-IN" w:bidi="ta-IN"/>
        </w:rPr>
        <w:t>Wollersheim</w:t>
      </w:r>
      <w:proofErr w:type="spellEnd"/>
      <w:r w:rsidRPr="00141C10">
        <w:rPr>
          <w:rFonts w:ascii="Times New Roman" w:eastAsia="Times New Roman" w:hAnsi="Times New Roman" w:cs="Times New Roman"/>
          <w:sz w:val="24"/>
          <w:szCs w:val="24"/>
          <w:lang w:eastAsia="en-IN" w:bidi="ta-IN"/>
        </w:rPr>
        <w:t xml:space="preserve"> H. (2017)</w:t>
      </w:r>
      <w:r>
        <w:rPr>
          <w:rFonts w:ascii="Times New Roman" w:eastAsia="Times New Roman" w:hAnsi="Times New Roman" w:cs="Times New Roman"/>
          <w:sz w:val="24"/>
          <w:szCs w:val="24"/>
          <w:lang w:eastAsia="en-IN" w:bidi="ta-IN"/>
        </w:rPr>
        <w:t>,”</w:t>
      </w:r>
      <w:r w:rsidRPr="00141C10">
        <w:rPr>
          <w:rFonts w:ascii="Times New Roman" w:hAnsi="Times New Roman" w:cs="Times New Roman"/>
          <w:sz w:val="24"/>
          <w:szCs w:val="24"/>
        </w:rPr>
        <w:t>H</w:t>
      </w:r>
      <w:r w:rsidRPr="00141C10">
        <w:rPr>
          <w:rFonts w:ascii="Times New Roman" w:eastAsia="Times New Roman" w:hAnsi="Times New Roman" w:cs="Times New Roman"/>
          <w:sz w:val="24"/>
          <w:szCs w:val="24"/>
          <w:lang w:eastAsia="en-IN" w:bidi="ta-IN"/>
        </w:rPr>
        <w:t xml:space="preserve">ere was significant variation in ICU readmission rates within 48 hours and post-ICU in-hospital mortality among hospitals. </w:t>
      </w:r>
      <w:r w:rsidRPr="00141C10">
        <w:rPr>
          <w:rFonts w:ascii="Times New Roman" w:hAnsi="Times New Roman" w:cs="Times New Roman"/>
          <w:sz w:val="24"/>
          <w:szCs w:val="24"/>
          <w:lang w:bidi="ta-IN"/>
        </w:rPr>
        <w:t xml:space="preserve">The study suggested that </w:t>
      </w:r>
      <w:r w:rsidRPr="00141C10">
        <w:rPr>
          <w:rFonts w:ascii="Times New Roman" w:eastAsia="Times New Roman" w:hAnsi="Times New Roman" w:cs="Times New Roman"/>
          <w:sz w:val="24"/>
          <w:szCs w:val="24"/>
          <w:lang w:bidi="ta-IN"/>
        </w:rPr>
        <w:t>further research is needed to identify other factors influencing ICU readmissions and patient outcomes in order to improve quality of care.</w:t>
      </w:r>
      <w:r>
        <w:rPr>
          <w:rFonts w:ascii="Times New Roman" w:eastAsia="Times New Roman" w:hAnsi="Times New Roman" w:cs="Times New Roman"/>
          <w:sz w:val="24"/>
          <w:szCs w:val="24"/>
          <w:lang w:bidi="ta-IN"/>
        </w:rPr>
        <w:t>”</w:t>
      </w:r>
    </w:p>
    <w:p w14:paraId="32C5FC48" w14:textId="02696579" w:rsidR="00141C10" w:rsidRDefault="00141C10" w:rsidP="00141C10">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3.</w:t>
      </w:r>
      <w:r w:rsidRPr="00141C10">
        <w:rPr>
          <w:rFonts w:ascii="Times New Roman" w:hAnsi="Times New Roman" w:cs="Times New Roman"/>
          <w:sz w:val="24"/>
          <w:szCs w:val="24"/>
        </w:rPr>
        <w:t xml:space="preserve"> According to</w:t>
      </w:r>
      <w:r w:rsidRPr="00141C10">
        <w:rPr>
          <w:rFonts w:ascii="Times New Roman" w:eastAsia="Times New Roman" w:hAnsi="Times New Roman" w:cs="Times New Roman"/>
          <w:sz w:val="24"/>
          <w:szCs w:val="24"/>
          <w:lang w:eastAsia="en-IN" w:bidi="ta-IN"/>
        </w:rPr>
        <w:t xml:space="preserve"> Wagner J., </w:t>
      </w:r>
      <w:proofErr w:type="spellStart"/>
      <w:r w:rsidRPr="00141C10">
        <w:rPr>
          <w:rFonts w:ascii="Times New Roman" w:eastAsia="Times New Roman" w:hAnsi="Times New Roman" w:cs="Times New Roman"/>
          <w:sz w:val="24"/>
          <w:szCs w:val="24"/>
          <w:lang w:eastAsia="en-IN" w:bidi="ta-IN"/>
        </w:rPr>
        <w:t>Gabler</w:t>
      </w:r>
      <w:proofErr w:type="spellEnd"/>
      <w:r w:rsidRPr="00141C10">
        <w:rPr>
          <w:rFonts w:ascii="Times New Roman" w:eastAsia="Times New Roman" w:hAnsi="Times New Roman" w:cs="Times New Roman"/>
          <w:sz w:val="24"/>
          <w:szCs w:val="24"/>
          <w:lang w:eastAsia="en-IN" w:bidi="ta-IN"/>
        </w:rPr>
        <w:t xml:space="preserve"> N.B.,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S.J., Brown S.E., Strom B.L., and Halpern S.D. (2013)</w:t>
      </w:r>
      <w:r>
        <w:rPr>
          <w:rFonts w:ascii="Times New Roman" w:eastAsia="Times New Roman" w:hAnsi="Times New Roman" w:cs="Times New Roman"/>
          <w:sz w:val="24"/>
          <w:szCs w:val="24"/>
          <w:lang w:eastAsia="en-IN" w:bidi="ta-IN"/>
        </w:rPr>
        <w:t>.”</w:t>
      </w:r>
      <w:r w:rsidRPr="00141C10">
        <w:rPr>
          <w:b/>
          <w:bCs/>
        </w:rPr>
        <w:t xml:space="preserve"> </w:t>
      </w:r>
      <w:r w:rsidRPr="00141C10">
        <w:rPr>
          <w:rFonts w:ascii="Times New Roman" w:eastAsia="Times New Roman" w:hAnsi="Times New Roman" w:cs="Times New Roman"/>
          <w:sz w:val="24"/>
          <w:szCs w:val="24"/>
          <w:lang w:eastAsia="en-IN" w:bidi="ta-IN"/>
        </w:rPr>
        <w:t xml:space="preserve">reduced ICU bed availability was associated with an increased likelihood of ICU </w:t>
      </w:r>
      <w:r w:rsidRPr="00141C10">
        <w:rPr>
          <w:rFonts w:ascii="Times New Roman" w:eastAsia="Times New Roman" w:hAnsi="Times New Roman" w:cs="Times New Roman"/>
          <w:sz w:val="24"/>
          <w:szCs w:val="24"/>
          <w:lang w:eastAsia="en-IN" w:bidi="ta-IN"/>
        </w:rPr>
        <w:lastRenderedPageBreak/>
        <w:t>readmission.</w:t>
      </w:r>
      <w:r w:rsidRPr="00141C10">
        <w:t xml:space="preserve"> </w:t>
      </w:r>
      <w:r w:rsidRPr="00141C10">
        <w:rPr>
          <w:rFonts w:ascii="Times New Roman" w:eastAsia="Times New Roman" w:hAnsi="Times New Roman" w:cs="Times New Roman"/>
          <w:sz w:val="24"/>
          <w:szCs w:val="24"/>
          <w:lang w:eastAsia="en-IN" w:bidi="ta-IN"/>
        </w:rPr>
        <w:t>The</w:t>
      </w:r>
      <w:r>
        <w:rPr>
          <w:rFonts w:ascii="Times New Roman" w:eastAsia="Times New Roman" w:hAnsi="Times New Roman" w:cs="Times New Roman"/>
          <w:sz w:val="24"/>
          <w:szCs w:val="24"/>
          <w:lang w:eastAsia="en-IN" w:bidi="ta-IN"/>
        </w:rPr>
        <w:t xml:space="preserve"> study</w:t>
      </w:r>
      <w:r w:rsidRPr="00141C10">
        <w:rPr>
          <w:rFonts w:ascii="Times New Roman" w:eastAsia="Times New Roman" w:hAnsi="Times New Roman" w:cs="Times New Roman"/>
          <w:sz w:val="24"/>
          <w:szCs w:val="24"/>
          <w:lang w:eastAsia="en-IN" w:bidi="ta-IN"/>
        </w:rPr>
        <w:t xml:space="preserve"> recommended that flexible critical care resources and improved bed management strategies may help reduce ICU readmissions and adverse events.</w:t>
      </w:r>
    </w:p>
    <w:p w14:paraId="08ED667F" w14:textId="36013545" w:rsidR="00141C10" w:rsidRDefault="00A03BFB" w:rsidP="00141C10">
      <w:pPr>
        <w:spacing w:before="100" w:beforeAutospacing="1" w:after="100" w:afterAutospacing="1"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3.</w:t>
      </w:r>
      <w:r w:rsidR="00141C10" w:rsidRPr="00141C10">
        <w:rPr>
          <w:rFonts w:ascii="Times New Roman" w:eastAsia="Times New Roman" w:hAnsi="Times New Roman" w:cs="Times New Roman"/>
          <w:b/>
          <w:bCs/>
          <w:sz w:val="24"/>
          <w:szCs w:val="24"/>
          <w:lang w:eastAsia="en-IN" w:bidi="ta-IN"/>
        </w:rPr>
        <w:t>METHODOLOGY</w:t>
      </w:r>
    </w:p>
    <w:p w14:paraId="1C7033B6" w14:textId="07AF2DA7" w:rsidR="00141C10" w:rsidRPr="00141C10" w:rsidRDefault="00141C10" w:rsidP="00141C10">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141C10">
        <w:rPr>
          <w:rFonts w:ascii="Times New Roman" w:eastAsia="Times New Roman" w:hAnsi="Times New Roman" w:cs="Times New Roman"/>
          <w:sz w:val="24"/>
          <w:szCs w:val="24"/>
          <w:lang w:eastAsia="en-IN" w:bidi="ta-IN"/>
        </w:rPr>
        <w:t>A quantitative research approach was used in this study to focus on measurable variables such as patient demographics, clinical characteristics, the time interval between ICU discharge and readmission, and the causes of readmission. The research was conducted in the Intensive Care Unit (ICU) of a tertiary care hospital, which helps in understanding possible gaps in clinical management or post-ICU monitoring. The study was conducted during the period from January 2025 to December 2025. All patients discharged from the ICU during the study period were considered, and a total of 43 ICU readmission cases were included in the study.</w:t>
      </w:r>
      <w:r>
        <w:rPr>
          <w:rFonts w:ascii="Times New Roman" w:eastAsia="Times New Roman" w:hAnsi="Times New Roman" w:cs="Times New Roman"/>
          <w:sz w:val="24"/>
          <w:szCs w:val="24"/>
          <w:lang w:eastAsia="en-IN" w:bidi="ta-IN"/>
        </w:rPr>
        <w:t xml:space="preserve"> </w:t>
      </w:r>
      <w:r w:rsidRPr="00141C10">
        <w:rPr>
          <w:rFonts w:ascii="Times New Roman" w:eastAsia="Times New Roman" w:hAnsi="Times New Roman" w:cs="Times New Roman"/>
          <w:sz w:val="24"/>
          <w:szCs w:val="24"/>
          <w:lang w:eastAsia="en-IN" w:bidi="ta-IN"/>
        </w:rPr>
        <w:t>The inclusion criteria consisted of patients who were discharged from the ICU and subsequently readmitted to the ICU during the same hospital admission, with complete medical records available. The exclusion criteria included patients with planned ICU readmission, patients transferred to another hospital, and patients who expired during the ICU stay. A total of 43 ICU readmission cases out of 1,843 ICU discharges were included in the study. The data were extracted from existing medical records and the hospital electronic medical record (EMR) system.</w:t>
      </w:r>
      <w:r>
        <w:rPr>
          <w:rFonts w:ascii="Times New Roman" w:eastAsia="Times New Roman" w:hAnsi="Times New Roman" w:cs="Times New Roman"/>
          <w:sz w:val="24"/>
          <w:szCs w:val="24"/>
          <w:lang w:eastAsia="en-IN" w:bidi="ta-IN"/>
        </w:rPr>
        <w:t xml:space="preserve"> </w:t>
      </w:r>
      <w:r w:rsidRPr="00141C10">
        <w:rPr>
          <w:rFonts w:ascii="Times New Roman" w:eastAsia="Times New Roman" w:hAnsi="Times New Roman" w:cs="Times New Roman"/>
          <w:sz w:val="24"/>
          <w:szCs w:val="24"/>
          <w:lang w:eastAsia="en-IN" w:bidi="ta-IN"/>
        </w:rPr>
        <w:t xml:space="preserve">Descriptive statistics such as frequency, percentage, and proportion were used to present the overall pattern of ICU readmissions and identify the most common causes of </w:t>
      </w:r>
      <w:r w:rsidRPr="00141C10">
        <w:rPr>
          <w:rFonts w:ascii="Times New Roman" w:eastAsia="Times New Roman" w:hAnsi="Times New Roman" w:cs="Times New Roman"/>
          <w:sz w:val="24"/>
          <w:szCs w:val="24"/>
          <w:lang w:eastAsia="en-IN" w:bidi="ta-IN"/>
        </w:rPr>
        <w:lastRenderedPageBreak/>
        <w:t>readmission. Inferential analysis using the Chi-square test was performed to examine the significant association between variables such as age, gender, comorbidities, ventilation status, and condition at discharge. A p-value of less than 0.05 was considered statistically significant in determining the relationship between variables.</w:t>
      </w:r>
    </w:p>
    <w:p w14:paraId="1AAC7AC7" w14:textId="38CA0EB9" w:rsidR="00141C10" w:rsidRDefault="00A03BFB" w:rsidP="00141C10">
      <w:pPr>
        <w:spacing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4.</w:t>
      </w:r>
      <w:r w:rsidR="00141C10">
        <w:rPr>
          <w:rFonts w:ascii="Times New Roman" w:eastAsia="Times New Roman" w:hAnsi="Times New Roman" w:cs="Times New Roman"/>
          <w:b/>
          <w:bCs/>
          <w:sz w:val="24"/>
          <w:szCs w:val="24"/>
          <w:lang w:eastAsia="en-IN" w:bidi="ta-IN"/>
        </w:rPr>
        <w:t>DATA ANALYSIS</w:t>
      </w:r>
    </w:p>
    <w:p w14:paraId="680DDA6B" w14:textId="768139A6" w:rsidR="00141C10" w:rsidRPr="00141C10" w:rsidRDefault="00141C10" w:rsidP="00141C10">
      <w:pPr>
        <w:spacing w:line="360" w:lineRule="auto"/>
        <w:rPr>
          <w:rFonts w:ascii="Times New Roman" w:hAnsi="Times New Roman" w:cs="Times New Roman"/>
          <w:b/>
          <w:bCs/>
          <w:sz w:val="24"/>
          <w:szCs w:val="24"/>
        </w:rPr>
      </w:pPr>
      <w:r w:rsidRPr="004D1642">
        <w:rPr>
          <w:rFonts w:ascii="Times New Roman" w:hAnsi="Times New Roman" w:cs="Times New Roman"/>
          <w:b/>
          <w:bCs/>
          <w:sz w:val="24"/>
          <w:szCs w:val="24"/>
        </w:rPr>
        <w:t>Fig:4.1.1 shows distribution of ICU discharges and readmissions</w:t>
      </w:r>
    </w:p>
    <w:p w14:paraId="1F3CB500" w14:textId="0D0D3E16"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drawing>
          <wp:inline distT="0" distB="0" distL="0" distR="0" wp14:anchorId="3D5662E9" wp14:editId="4C067586">
            <wp:extent cx="3000375" cy="1762125"/>
            <wp:effectExtent l="0" t="0" r="9525" b="9525"/>
            <wp:docPr id="133343365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8458AA-95D5-80A9-369C-6CAADC29F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1FF051" w14:textId="39691B36" w:rsidR="00141C10" w:rsidRDefault="00141C10" w:rsidP="00141C10">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chart shows o</w:t>
      </w:r>
      <w:r w:rsidRPr="004E0164">
        <w:rPr>
          <w:rFonts w:ascii="Times New Roman" w:hAnsi="Times New Roman" w:cs="Times New Roman"/>
          <w:sz w:val="24"/>
          <w:szCs w:val="24"/>
        </w:rPr>
        <w:t>ut of the total ICU discharges, 43 patients were readmitted to the ICU, resulting in a readmission rate of 2.33%. This indicates that a small proportion of patients required readmission after their initial discharge from the ICU.</w:t>
      </w:r>
    </w:p>
    <w:p w14:paraId="3966E21A" w14:textId="2D43004D" w:rsid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2</w:t>
      </w:r>
      <w:r w:rsidRPr="00A1611B">
        <w:t xml:space="preserve"> </w:t>
      </w:r>
      <w:r w:rsidRPr="00B5620F">
        <w:rPr>
          <w:rFonts w:ascii="Times New Roman" w:hAnsi="Times New Roman" w:cs="Times New Roman"/>
          <w:b/>
          <w:bCs/>
          <w:sz w:val="24"/>
          <w:szCs w:val="24"/>
        </w:rPr>
        <w:t xml:space="preserve">distribution of time interval for </w:t>
      </w:r>
      <w:proofErr w:type="spellStart"/>
      <w:r w:rsidRPr="00B5620F">
        <w:rPr>
          <w:rFonts w:ascii="Times New Roman" w:hAnsi="Times New Roman" w:cs="Times New Roman"/>
          <w:b/>
          <w:bCs/>
          <w:sz w:val="24"/>
          <w:szCs w:val="24"/>
        </w:rPr>
        <w:t>icu</w:t>
      </w:r>
      <w:proofErr w:type="spellEnd"/>
      <w:r w:rsidRPr="00B5620F">
        <w:rPr>
          <w:rFonts w:ascii="Times New Roman" w:hAnsi="Times New Roman" w:cs="Times New Roman"/>
          <w:b/>
          <w:bCs/>
          <w:sz w:val="24"/>
          <w:szCs w:val="24"/>
        </w:rPr>
        <w:t xml:space="preserve"> readmissions</w:t>
      </w:r>
    </w:p>
    <w:p w14:paraId="1CE1F97D" w14:textId="5EA77DAA" w:rsidR="00141C10" w:rsidRPr="00A03BFB" w:rsidRDefault="00141C10" w:rsidP="00141C10">
      <w:pPr>
        <w:spacing w:line="360" w:lineRule="auto"/>
        <w:jc w:val="both"/>
        <w:rPr>
          <w:rFonts w:ascii="Times New Roman" w:hAnsi="Times New Roman" w:cs="Times New Roman"/>
          <w:b/>
          <w:bCs/>
          <w:sz w:val="24"/>
          <w:szCs w:val="24"/>
        </w:rPr>
      </w:pPr>
      <w:r>
        <w:rPr>
          <w:noProof/>
          <w:lang w:eastAsia="en-IN"/>
        </w:rPr>
        <w:drawing>
          <wp:inline distT="0" distB="0" distL="0" distR="0" wp14:anchorId="5495DF25" wp14:editId="4245AE08">
            <wp:extent cx="3190875" cy="1858645"/>
            <wp:effectExtent l="0" t="0" r="9525" b="8255"/>
            <wp:docPr id="56631414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805545-6F00-2B85-5DA3-B0A1835C6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DECA42" w14:textId="77777777" w:rsidR="00A03BFB" w:rsidRDefault="00141C10" w:rsidP="00141C10">
      <w:pPr>
        <w:spacing w:line="360" w:lineRule="auto"/>
        <w:jc w:val="both"/>
        <w:rPr>
          <w:rFonts w:ascii="Times New Roman" w:hAnsi="Times New Roman" w:cs="Times New Roman"/>
          <w:sz w:val="24"/>
          <w:szCs w:val="24"/>
        </w:rPr>
      </w:pPr>
      <w:r w:rsidRPr="00266124">
        <w:rPr>
          <w:rFonts w:ascii="Times New Roman" w:hAnsi="Times New Roman" w:cs="Times New Roman"/>
          <w:sz w:val="24"/>
          <w:szCs w:val="24"/>
        </w:rPr>
        <w:lastRenderedPageBreak/>
        <w:t>The</w:t>
      </w:r>
      <w:r>
        <w:rPr>
          <w:rFonts w:ascii="Times New Roman" w:hAnsi="Times New Roman" w:cs="Times New Roman"/>
          <w:sz w:val="24"/>
          <w:szCs w:val="24"/>
        </w:rPr>
        <w:t xml:space="preserve"> above chart shows</w:t>
      </w:r>
      <w:r w:rsidRPr="00266124">
        <w:rPr>
          <w:rFonts w:ascii="Times New Roman" w:hAnsi="Times New Roman" w:cs="Times New Roman"/>
          <w:sz w:val="24"/>
          <w:szCs w:val="24"/>
        </w:rPr>
        <w:t xml:space="preserve"> majority of readmissions occurred within 24 hours (72.09%), while a smaller proportion occurred between 24–48 hours (27.91%), indicating that most readmissions happened shortly after ICU discharge.</w:t>
      </w:r>
    </w:p>
    <w:p w14:paraId="4907F84D" w14:textId="6947F069" w:rsidR="00141C10" w:rsidRPr="00A03BFB" w:rsidRDefault="00141C10" w:rsidP="00141C10">
      <w:pPr>
        <w:spacing w:line="360" w:lineRule="auto"/>
        <w:jc w:val="both"/>
        <w:rPr>
          <w:rFonts w:ascii="Times New Roman" w:hAnsi="Times New Roman" w:cs="Times New Roman"/>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3</w:t>
      </w:r>
      <w:r w:rsidRPr="004D1642">
        <w:rPr>
          <w:rFonts w:ascii="Times New Roman" w:hAnsi="Times New Roman" w:cs="Times New Roman"/>
          <w:b/>
          <w:bCs/>
          <w:sz w:val="24"/>
          <w:szCs w:val="24"/>
        </w:rPr>
        <w:t xml:space="preserve"> </w:t>
      </w:r>
      <w:r w:rsidRPr="00715803">
        <w:rPr>
          <w:rFonts w:ascii="Times New Roman" w:hAnsi="Times New Roman" w:cs="Times New Roman"/>
          <w:b/>
          <w:bCs/>
          <w:sz w:val="24"/>
          <w:szCs w:val="24"/>
        </w:rPr>
        <w:t xml:space="preserve">age group distribution of </w:t>
      </w:r>
      <w:proofErr w:type="spellStart"/>
      <w:r w:rsidRPr="00715803">
        <w:rPr>
          <w:rFonts w:ascii="Times New Roman" w:hAnsi="Times New Roman" w:cs="Times New Roman"/>
          <w:b/>
          <w:bCs/>
          <w:sz w:val="24"/>
          <w:szCs w:val="24"/>
        </w:rPr>
        <w:t>icu</w:t>
      </w:r>
      <w:proofErr w:type="spellEnd"/>
      <w:r w:rsidRPr="00715803">
        <w:rPr>
          <w:rFonts w:ascii="Times New Roman" w:hAnsi="Times New Roman" w:cs="Times New Roman"/>
          <w:b/>
          <w:bCs/>
          <w:sz w:val="24"/>
          <w:szCs w:val="24"/>
        </w:rPr>
        <w:t xml:space="preserve"> readmission outcomes</w:t>
      </w:r>
    </w:p>
    <w:p w14:paraId="13BF1093" w14:textId="77777777"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drawing>
          <wp:inline distT="0" distB="0" distL="0" distR="0" wp14:anchorId="2B431BE4" wp14:editId="7E88BC7C">
            <wp:extent cx="3098165" cy="1858899"/>
            <wp:effectExtent l="0" t="0" r="6985" b="8255"/>
            <wp:docPr id="1022151031"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9F93A6-646D-E481-6ACE-1E5BFFD1A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458BAD" w14:textId="1045BE70" w:rsidR="00141C10" w:rsidRDefault="00141C10" w:rsidP="00141C10">
      <w:pPr>
        <w:spacing w:line="360" w:lineRule="auto"/>
        <w:jc w:val="both"/>
        <w:rPr>
          <w:rFonts w:ascii="Times New Roman" w:hAnsi="Times New Roman" w:cs="Times New Roman"/>
          <w:sz w:val="24"/>
          <w:szCs w:val="24"/>
        </w:rPr>
      </w:pPr>
      <w:r w:rsidRPr="009148D1">
        <w:rPr>
          <w:rFonts w:ascii="Times New Roman" w:hAnsi="Times New Roman" w:cs="Times New Roman"/>
          <w:sz w:val="24"/>
          <w:szCs w:val="24"/>
        </w:rPr>
        <w:t>The</w:t>
      </w:r>
      <w:r w:rsidRPr="00141C10">
        <w:rPr>
          <w:rFonts w:ascii="Times New Roman" w:hAnsi="Times New Roman" w:cs="Times New Roman"/>
          <w:sz w:val="24"/>
          <w:szCs w:val="24"/>
        </w:rPr>
        <w:t xml:space="preserve"> </w:t>
      </w:r>
      <w:r>
        <w:rPr>
          <w:rFonts w:ascii="Times New Roman" w:hAnsi="Times New Roman" w:cs="Times New Roman"/>
          <w:sz w:val="24"/>
          <w:szCs w:val="24"/>
        </w:rPr>
        <w:t>above chart shows</w:t>
      </w:r>
      <w:r w:rsidRPr="009148D1">
        <w:rPr>
          <w:rFonts w:ascii="Times New Roman" w:hAnsi="Times New Roman" w:cs="Times New Roman"/>
          <w:sz w:val="24"/>
          <w:szCs w:val="24"/>
        </w:rPr>
        <w:t xml:space="preserve"> majority of patients who improved and were transferred to the ward belonged to the 66–80 years and 51–65 years age groups, while a higher proportion of deaths was observed among patients aged &gt;80 years. A Chi-square test was performed to assess the association between age group and ICU readmission outcome, which revealed a statistically significant association (p = 0.009). This means age group has a significant relationship with the outcome of ICU readmission in your study population.</w:t>
      </w:r>
    </w:p>
    <w:p w14:paraId="6B0274F1" w14:textId="2D97E96F" w:rsidR="00141C10" w:rsidRP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4</w:t>
      </w:r>
      <w:r w:rsidRPr="004D1642">
        <w:rPr>
          <w:rFonts w:ascii="Times New Roman" w:hAnsi="Times New Roman" w:cs="Times New Roman"/>
          <w:b/>
          <w:bCs/>
          <w:sz w:val="24"/>
          <w:szCs w:val="24"/>
        </w:rPr>
        <w:t xml:space="preserve"> </w:t>
      </w:r>
      <w:r>
        <w:rPr>
          <w:rFonts w:ascii="Times New Roman" w:hAnsi="Times New Roman" w:cs="Times New Roman"/>
          <w:b/>
          <w:bCs/>
          <w:sz w:val="24"/>
          <w:szCs w:val="24"/>
        </w:rPr>
        <w:t>g</w:t>
      </w:r>
      <w:r w:rsidRPr="006C74B3">
        <w:rPr>
          <w:rFonts w:ascii="Times New Roman" w:hAnsi="Times New Roman" w:cs="Times New Roman"/>
          <w:b/>
          <w:bCs/>
          <w:sz w:val="24"/>
          <w:szCs w:val="24"/>
        </w:rPr>
        <w:t xml:space="preserve">ender distribution of </w:t>
      </w:r>
      <w:proofErr w:type="spellStart"/>
      <w:r w:rsidRPr="006C74B3">
        <w:rPr>
          <w:rFonts w:ascii="Times New Roman" w:hAnsi="Times New Roman" w:cs="Times New Roman"/>
          <w:b/>
          <w:bCs/>
          <w:sz w:val="24"/>
          <w:szCs w:val="24"/>
        </w:rPr>
        <w:t>icu</w:t>
      </w:r>
      <w:proofErr w:type="spellEnd"/>
      <w:r w:rsidRPr="006C74B3">
        <w:rPr>
          <w:rFonts w:ascii="Times New Roman" w:hAnsi="Times New Roman" w:cs="Times New Roman"/>
          <w:b/>
          <w:bCs/>
          <w:sz w:val="24"/>
          <w:szCs w:val="24"/>
        </w:rPr>
        <w:t xml:space="preserve"> outcomes</w:t>
      </w:r>
    </w:p>
    <w:p w14:paraId="2759156E" w14:textId="5E023106" w:rsidR="00141C10" w:rsidRDefault="00141C10" w:rsidP="00141C10">
      <w:pPr>
        <w:spacing w:line="360" w:lineRule="auto"/>
        <w:jc w:val="both"/>
        <w:rPr>
          <w:rFonts w:ascii="Times New Roman" w:hAnsi="Times New Roman" w:cs="Times New Roman"/>
          <w:sz w:val="24"/>
          <w:szCs w:val="24"/>
        </w:rPr>
      </w:pPr>
      <w:r>
        <w:rPr>
          <w:noProof/>
          <w:lang w:eastAsia="en-IN"/>
        </w:rPr>
        <w:lastRenderedPageBreak/>
        <w:drawing>
          <wp:inline distT="0" distB="0" distL="0" distR="0" wp14:anchorId="151F9916" wp14:editId="12389A7A">
            <wp:extent cx="3098165" cy="1858899"/>
            <wp:effectExtent l="0" t="0" r="6985" b="8255"/>
            <wp:docPr id="64884479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1F9A1C-68D5-1666-47C3-683A22FDF2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4BB9A6" w14:textId="04F149C5" w:rsidR="00141C10" w:rsidRDefault="00141C10" w:rsidP="00141C10">
      <w:pPr>
        <w:spacing w:line="360" w:lineRule="auto"/>
        <w:jc w:val="both"/>
        <w:rPr>
          <w:rFonts w:ascii="Times New Roman" w:hAnsi="Times New Roman" w:cs="Times New Roman"/>
          <w:sz w:val="24"/>
          <w:szCs w:val="24"/>
        </w:rPr>
      </w:pPr>
      <w:r w:rsidRPr="009148D1">
        <w:rPr>
          <w:rFonts w:ascii="Times New Roman" w:hAnsi="Times New Roman" w:cs="Times New Roman"/>
          <w:sz w:val="24"/>
          <w:szCs w:val="24"/>
        </w:rPr>
        <w:t xml:space="preserve">A </w:t>
      </w:r>
      <w:r>
        <w:rPr>
          <w:rFonts w:ascii="Times New Roman" w:hAnsi="Times New Roman" w:cs="Times New Roman"/>
          <w:sz w:val="24"/>
          <w:szCs w:val="24"/>
        </w:rPr>
        <w:t xml:space="preserve">above chart shows </w:t>
      </w:r>
      <w:r w:rsidRPr="009148D1">
        <w:rPr>
          <w:rFonts w:ascii="Times New Roman" w:hAnsi="Times New Roman" w:cs="Times New Roman"/>
          <w:sz w:val="24"/>
          <w:szCs w:val="24"/>
        </w:rPr>
        <w:t>higher number of patients who improved and were transferred to the ward were males compared to females, while deaths were also slightly higher among male patients. A Chi-square test was performed to assess the association between gender and ICU readmission outcome, which showed no statistically significant association (p = 0.843).</w:t>
      </w:r>
    </w:p>
    <w:p w14:paraId="42165B0B" w14:textId="3FD85B7C" w:rsidR="00141C10" w:rsidRPr="00141C10" w:rsidRDefault="00141C10" w:rsidP="00141C10">
      <w:pPr>
        <w:spacing w:line="360" w:lineRule="auto"/>
        <w:jc w:val="both"/>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5</w:t>
      </w:r>
      <w:r w:rsidRPr="004D1642">
        <w:rPr>
          <w:rFonts w:ascii="Times New Roman" w:hAnsi="Times New Roman" w:cs="Times New Roman"/>
          <w:b/>
          <w:bCs/>
          <w:sz w:val="24"/>
          <w:szCs w:val="24"/>
        </w:rPr>
        <w:t xml:space="preserve"> </w:t>
      </w:r>
      <w:r>
        <w:rPr>
          <w:rFonts w:ascii="Times New Roman" w:hAnsi="Times New Roman" w:cs="Times New Roman"/>
          <w:b/>
          <w:bCs/>
          <w:sz w:val="24"/>
          <w:szCs w:val="24"/>
        </w:rPr>
        <w:t>v</w:t>
      </w:r>
      <w:r w:rsidRPr="00A1611B">
        <w:rPr>
          <w:rFonts w:ascii="Times New Roman" w:hAnsi="Times New Roman" w:cs="Times New Roman"/>
          <w:b/>
          <w:bCs/>
          <w:sz w:val="24"/>
          <w:szCs w:val="24"/>
        </w:rPr>
        <w:t xml:space="preserve">entilation </w:t>
      </w:r>
      <w:r>
        <w:rPr>
          <w:rFonts w:ascii="Times New Roman" w:hAnsi="Times New Roman" w:cs="Times New Roman"/>
          <w:b/>
          <w:bCs/>
          <w:sz w:val="24"/>
          <w:szCs w:val="24"/>
        </w:rPr>
        <w:t>s</w:t>
      </w:r>
      <w:r w:rsidRPr="00A1611B">
        <w:rPr>
          <w:rFonts w:ascii="Times New Roman" w:hAnsi="Times New Roman" w:cs="Times New Roman"/>
          <w:b/>
          <w:bCs/>
          <w:sz w:val="24"/>
          <w:szCs w:val="24"/>
        </w:rPr>
        <w:t xml:space="preserve">tatus </w:t>
      </w:r>
      <w:r w:rsidRPr="000308D8">
        <w:rPr>
          <w:rFonts w:ascii="Times New Roman" w:hAnsi="Times New Roman" w:cs="Times New Roman"/>
          <w:b/>
          <w:bCs/>
          <w:sz w:val="24"/>
          <w:szCs w:val="24"/>
        </w:rPr>
        <w:t xml:space="preserve">and </w:t>
      </w:r>
      <w:proofErr w:type="spellStart"/>
      <w:r w:rsidRPr="000308D8">
        <w:rPr>
          <w:rFonts w:ascii="Times New Roman" w:hAnsi="Times New Roman" w:cs="Times New Roman"/>
          <w:b/>
          <w:bCs/>
          <w:sz w:val="24"/>
          <w:szCs w:val="24"/>
        </w:rPr>
        <w:t>icu</w:t>
      </w:r>
      <w:proofErr w:type="spellEnd"/>
      <w:r w:rsidRPr="000308D8">
        <w:rPr>
          <w:rFonts w:ascii="Times New Roman" w:hAnsi="Times New Roman" w:cs="Times New Roman"/>
          <w:b/>
          <w:bCs/>
          <w:sz w:val="24"/>
          <w:szCs w:val="24"/>
        </w:rPr>
        <w:t xml:space="preserve"> readmission outcomes</w:t>
      </w:r>
    </w:p>
    <w:p w14:paraId="6427071C" w14:textId="62ABCC70" w:rsidR="00141C10" w:rsidRDefault="00141C10" w:rsidP="00141C10">
      <w:pPr>
        <w:spacing w:line="360" w:lineRule="auto"/>
        <w:jc w:val="both"/>
        <w:rPr>
          <w:rFonts w:ascii="Times New Roman" w:hAnsi="Times New Roman" w:cs="Times New Roman"/>
          <w:sz w:val="24"/>
          <w:szCs w:val="24"/>
        </w:rPr>
      </w:pPr>
      <w:r>
        <w:rPr>
          <w:noProof/>
          <w:lang w:eastAsia="en-IN"/>
        </w:rPr>
        <w:drawing>
          <wp:inline distT="0" distB="0" distL="0" distR="0" wp14:anchorId="1441AC45" wp14:editId="7445B636">
            <wp:extent cx="3098165" cy="1858899"/>
            <wp:effectExtent l="0" t="0" r="6985" b="8255"/>
            <wp:docPr id="22351136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34610F-2350-1A6C-156B-C6ACA8E01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BFB7E0" w14:textId="0901FEDA" w:rsidR="00141C10" w:rsidRDefault="00141C10" w:rsidP="00141C10">
      <w:pPr>
        <w:spacing w:line="360" w:lineRule="auto"/>
        <w:jc w:val="both"/>
        <w:rPr>
          <w:rFonts w:ascii="Times New Roman" w:hAnsi="Times New Roman" w:cs="Times New Roman"/>
          <w:sz w:val="24"/>
          <w:szCs w:val="24"/>
        </w:rPr>
      </w:pPr>
      <w:r w:rsidRPr="00266124">
        <w:rPr>
          <w:rFonts w:ascii="Times New Roman" w:hAnsi="Times New Roman" w:cs="Times New Roman"/>
          <w:sz w:val="24"/>
          <w:szCs w:val="24"/>
        </w:rPr>
        <w:t>The</w:t>
      </w:r>
      <w:r>
        <w:rPr>
          <w:rFonts w:ascii="Times New Roman" w:hAnsi="Times New Roman" w:cs="Times New Roman"/>
          <w:sz w:val="24"/>
          <w:szCs w:val="24"/>
        </w:rPr>
        <w:t xml:space="preserve"> above chart shows</w:t>
      </w:r>
      <w:r w:rsidRPr="00266124">
        <w:rPr>
          <w:rFonts w:ascii="Times New Roman" w:hAnsi="Times New Roman" w:cs="Times New Roman"/>
          <w:sz w:val="24"/>
          <w:szCs w:val="24"/>
        </w:rPr>
        <w:t xml:space="preserve"> majority of patients in both groups were improved and transferred to the ward, while a smaller proportion resulted in death. A Chi-square test was performed to assess the association between this factor and ICU readmission outcome, which showed no statistically significant association (p = 0.938).</w:t>
      </w:r>
    </w:p>
    <w:p w14:paraId="08D35381" w14:textId="57842E4E" w:rsidR="00141C10" w:rsidRPr="00141C10" w:rsidRDefault="00141C10" w:rsidP="00141C10">
      <w:pPr>
        <w:spacing w:line="360" w:lineRule="auto"/>
        <w:rPr>
          <w:rFonts w:ascii="Times New Roman" w:hAnsi="Times New Roman" w:cs="Times New Roman"/>
          <w:b/>
          <w:bCs/>
          <w:sz w:val="24"/>
          <w:szCs w:val="24"/>
        </w:rPr>
      </w:pPr>
      <w:r w:rsidRPr="004D1642">
        <w:rPr>
          <w:rFonts w:ascii="Times New Roman" w:hAnsi="Times New Roman" w:cs="Times New Roman"/>
          <w:b/>
          <w:bCs/>
          <w:sz w:val="24"/>
          <w:szCs w:val="24"/>
        </w:rPr>
        <w:t>Fig:4.</w:t>
      </w:r>
      <w:r w:rsidR="00A03BFB">
        <w:rPr>
          <w:rFonts w:ascii="Times New Roman" w:hAnsi="Times New Roman" w:cs="Times New Roman"/>
          <w:b/>
          <w:bCs/>
          <w:sz w:val="24"/>
          <w:szCs w:val="24"/>
        </w:rPr>
        <w:t>1</w:t>
      </w:r>
      <w:r>
        <w:rPr>
          <w:rFonts w:ascii="Times New Roman" w:hAnsi="Times New Roman" w:cs="Times New Roman"/>
          <w:b/>
          <w:bCs/>
          <w:sz w:val="24"/>
          <w:szCs w:val="24"/>
        </w:rPr>
        <w:t>.</w:t>
      </w:r>
      <w:r w:rsidR="00A03BFB">
        <w:rPr>
          <w:rFonts w:ascii="Times New Roman" w:hAnsi="Times New Roman" w:cs="Times New Roman"/>
          <w:b/>
          <w:bCs/>
          <w:sz w:val="24"/>
          <w:szCs w:val="24"/>
        </w:rPr>
        <w:t>6</w:t>
      </w:r>
      <w:r w:rsidRPr="004D1642">
        <w:rPr>
          <w:rFonts w:ascii="Times New Roman" w:hAnsi="Times New Roman" w:cs="Times New Roman"/>
          <w:b/>
          <w:bCs/>
          <w:sz w:val="24"/>
          <w:szCs w:val="24"/>
        </w:rPr>
        <w:t xml:space="preserve"> shows distribution of </w:t>
      </w:r>
      <w:r>
        <w:rPr>
          <w:rFonts w:ascii="Times New Roman" w:hAnsi="Times New Roman" w:cs="Times New Roman"/>
          <w:b/>
          <w:bCs/>
          <w:sz w:val="24"/>
          <w:szCs w:val="24"/>
        </w:rPr>
        <w:t xml:space="preserve">causes of ICU </w:t>
      </w:r>
      <w:r w:rsidRPr="004D1642">
        <w:rPr>
          <w:rFonts w:ascii="Times New Roman" w:hAnsi="Times New Roman" w:cs="Times New Roman"/>
          <w:b/>
          <w:bCs/>
          <w:sz w:val="24"/>
          <w:szCs w:val="24"/>
        </w:rPr>
        <w:t>readmission</w:t>
      </w:r>
    </w:p>
    <w:p w14:paraId="0157CE38" w14:textId="21638387"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noProof/>
          <w:lang w:eastAsia="en-IN"/>
        </w:rPr>
        <w:lastRenderedPageBreak/>
        <w:drawing>
          <wp:inline distT="0" distB="0" distL="0" distR="0" wp14:anchorId="6060E61E" wp14:editId="50410E63">
            <wp:extent cx="2905125" cy="2038350"/>
            <wp:effectExtent l="0" t="0" r="9525" b="19050"/>
            <wp:docPr id="36892373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67809D-E43D-F9F0-23D1-C190887D1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DFD7E0" w14:textId="28F3EBEE" w:rsidR="00141C10" w:rsidRPr="00141C10" w:rsidRDefault="00141C10" w:rsidP="00141C10">
      <w:pPr>
        <w:spacing w:line="360" w:lineRule="auto"/>
        <w:jc w:val="both"/>
        <w:rPr>
          <w:rFonts w:ascii="Times New Roman" w:hAnsi="Times New Roman" w:cs="Times New Roman"/>
          <w:sz w:val="24"/>
          <w:szCs w:val="24"/>
        </w:rPr>
      </w:pPr>
      <w:r w:rsidRPr="004E0164">
        <w:rPr>
          <w:rFonts w:ascii="Times New Roman" w:hAnsi="Times New Roman" w:cs="Times New Roman"/>
          <w:sz w:val="24"/>
          <w:szCs w:val="24"/>
        </w:rPr>
        <w:t xml:space="preserve">The </w:t>
      </w:r>
      <w:r>
        <w:rPr>
          <w:rFonts w:ascii="Times New Roman" w:hAnsi="Times New Roman" w:cs="Times New Roman"/>
          <w:sz w:val="24"/>
          <w:szCs w:val="24"/>
        </w:rPr>
        <w:t>above chart</w:t>
      </w:r>
      <w:r w:rsidRPr="004E0164">
        <w:rPr>
          <w:rFonts w:ascii="Times New Roman" w:hAnsi="Times New Roman" w:cs="Times New Roman"/>
          <w:sz w:val="24"/>
          <w:szCs w:val="24"/>
        </w:rPr>
        <w:t xml:space="preserve"> shows the distribution of causes responsible for ICU readmissions among the study population. The most common cause of ICU readmission was cardiac complications, followed by respiratory deterioration and neurological deterioration. Other causes such as infection, postoperative complications, and renal or metabolic imbalance contributed to a smaller proportion of readmissions.</w:t>
      </w:r>
    </w:p>
    <w:p w14:paraId="0E01C743" w14:textId="197141BF" w:rsidR="00141C10" w:rsidRDefault="00141C10" w:rsidP="00141C10">
      <w:pPr>
        <w:spacing w:line="360" w:lineRule="auto"/>
        <w:jc w:val="both"/>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FINDINGS</w:t>
      </w:r>
    </w:p>
    <w:p w14:paraId="023723DC" w14:textId="0FEA6D0D" w:rsidR="00F7025D" w:rsidRPr="00F7025D" w:rsidRDefault="00F7025D" w:rsidP="00141C10">
      <w:pPr>
        <w:spacing w:line="360" w:lineRule="auto"/>
        <w:jc w:val="both"/>
        <w:rPr>
          <w:rFonts w:ascii="Times New Roman" w:eastAsia="Times New Roman" w:hAnsi="Times New Roman" w:cs="Times New Roman"/>
          <w:sz w:val="24"/>
          <w:szCs w:val="24"/>
          <w:lang w:eastAsia="en-IN" w:bidi="ta-IN"/>
        </w:rPr>
      </w:pPr>
      <w:r w:rsidRPr="00F7025D">
        <w:rPr>
          <w:rFonts w:ascii="Times New Roman" w:eastAsia="Times New Roman" w:hAnsi="Times New Roman" w:cs="Times New Roman"/>
          <w:sz w:val="24"/>
          <w:szCs w:val="24"/>
          <w:lang w:eastAsia="en-IN" w:bidi="ta-IN"/>
        </w:rPr>
        <w:t xml:space="preserve">The overall ICU readmission rate in this study indicates that only a small proportion of patients required readmission after ICU discharge. The most common cause of ICU readmission was cardiac complications (30.23%), followed by respiratory deterioration and neurological deterioration. A comparison between age group and ICU outcome showed a statistically significant association with ICU readmission outcomes (p = 0.009). In contrast, other variables such as gender (p = 0.843), presence of comorbidities (p = 0.710), ventilator status (p = 0.938), and the condition of the patient at the time of ICU discharge (p = 0.335) did not show any statistically significant association with ICU readmission outcomes. Regarding the time interval between ICU discharge and readmission, </w:t>
      </w:r>
      <w:r w:rsidRPr="00F7025D">
        <w:rPr>
          <w:rFonts w:ascii="Times New Roman" w:eastAsia="Times New Roman" w:hAnsi="Times New Roman" w:cs="Times New Roman"/>
          <w:sz w:val="24"/>
          <w:szCs w:val="24"/>
          <w:lang w:eastAsia="en-IN" w:bidi="ta-IN"/>
        </w:rPr>
        <w:lastRenderedPageBreak/>
        <w:t>72.09% of readmissions occurred within 24 hours, while 27.91% occurred between 24 and 48 hours, indicating that the first 24 hours after ICU discharge is a critical period requiring close patient monitoring.</w:t>
      </w:r>
    </w:p>
    <w:p w14:paraId="6AD1C50D"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0C8182CE"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5F83CEB5" w14:textId="77777777" w:rsidR="00EE5FCC" w:rsidRDefault="00EE5FCC" w:rsidP="00141C10">
      <w:pPr>
        <w:spacing w:line="360" w:lineRule="auto"/>
        <w:jc w:val="both"/>
        <w:rPr>
          <w:rFonts w:ascii="Times New Roman" w:eastAsia="Times New Roman" w:hAnsi="Times New Roman" w:cs="Times New Roman"/>
          <w:b/>
          <w:bCs/>
          <w:sz w:val="24"/>
          <w:szCs w:val="24"/>
          <w:lang w:eastAsia="en-IN" w:bidi="ta-IN"/>
        </w:rPr>
      </w:pPr>
    </w:p>
    <w:p w14:paraId="0F671198" w14:textId="7C9F2818"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RECOMMENDATIONS</w:t>
      </w:r>
    </w:p>
    <w:p w14:paraId="17DD5959" w14:textId="07FA7B8D"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1.Establishment of a High Dependency Unit (HDU).</w:t>
      </w:r>
      <w:r w:rsidRPr="0067067F">
        <w:rPr>
          <w:rFonts w:ascii="Times New Roman" w:eastAsia="Times New Roman" w:hAnsi="Times New Roman" w:cs="Times New Roman"/>
          <w:sz w:val="24"/>
          <w:szCs w:val="24"/>
          <w:lang w:eastAsia="en-IN" w:bidi="ta-IN"/>
        </w:rPr>
        <w:t xml:space="preserve"> It functions as an intermediate care unit between the Intensive Care Unit (ICU) and the general ward. Patients can be monitored more closely in the HDU for a certain period before being transferred to the ward.</w:t>
      </w:r>
    </w:p>
    <w:p w14:paraId="21B95BF6" w14:textId="72B2E31D"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2.Implementation of standard handover protocols such as IPASS</w:t>
      </w:r>
      <w:r w:rsidRPr="0067067F">
        <w:rPr>
          <w:rFonts w:ascii="Times New Roman" w:eastAsia="Times New Roman" w:hAnsi="Times New Roman" w:cs="Times New Roman"/>
          <w:sz w:val="24"/>
          <w:szCs w:val="24"/>
          <w:lang w:eastAsia="en-IN" w:bidi="ta-IN"/>
        </w:rPr>
        <w:t>. This method ensures that all essential information about the patient is properly communicated between ICU staff and ward healthcare providers.</w:t>
      </w:r>
    </w:p>
    <w:p w14:paraId="5F09C1C9" w14:textId="4646D1CC"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3.Follow-up monitoring by the ICU team after patient transfer.</w:t>
      </w:r>
      <w:r>
        <w:rPr>
          <w:rFonts w:ascii="Times New Roman" w:eastAsia="Times New Roman" w:hAnsi="Times New Roman" w:cs="Times New Roman"/>
          <w:sz w:val="24"/>
          <w:szCs w:val="24"/>
          <w:lang w:eastAsia="en-IN" w:bidi="ta-IN"/>
        </w:rPr>
        <w:t xml:space="preserve"> </w:t>
      </w:r>
      <w:r w:rsidRPr="0067067F">
        <w:rPr>
          <w:rFonts w:ascii="Times New Roman" w:eastAsia="Times New Roman" w:hAnsi="Times New Roman" w:cs="Times New Roman"/>
          <w:sz w:val="24"/>
          <w:szCs w:val="24"/>
          <w:lang w:eastAsia="en-IN" w:bidi="ta-IN"/>
        </w:rPr>
        <w:t>If any concerning changes are observed, the ICU team can provide guidance or initiate necessary interventions immediately. Such follow-up systems may help improve continuity of care.</w:t>
      </w:r>
    </w:p>
    <w:p w14:paraId="145C188F" w14:textId="76979FC1"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4.Education and proper training for nursing staff.</w:t>
      </w:r>
      <w:r w:rsidRPr="0067067F">
        <w:rPr>
          <w:rFonts w:ascii="Times New Roman" w:eastAsia="Times New Roman" w:hAnsi="Times New Roman" w:cs="Times New Roman"/>
          <w:sz w:val="24"/>
          <w:szCs w:val="24"/>
          <w:lang w:eastAsia="en-IN" w:bidi="ta-IN"/>
        </w:rPr>
        <w:t xml:space="preserve"> Nurses should receive training on the early recognition of patient deterioration, interpretation of vital signs, and the use of early warning scoring systems. Improving the knowledge and skills of nursing staff can help ensure timely intervention in case of complications.</w:t>
      </w:r>
    </w:p>
    <w:p w14:paraId="2C26E5F1" w14:textId="3C53EDA2"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lastRenderedPageBreak/>
        <w:t>5.Continuous electronic monitoring of patients in the wards</w:t>
      </w:r>
      <w:r>
        <w:rPr>
          <w:rFonts w:ascii="Times New Roman" w:eastAsia="Times New Roman" w:hAnsi="Times New Roman" w:cs="Times New Roman"/>
          <w:b/>
          <w:bCs/>
          <w:sz w:val="24"/>
          <w:szCs w:val="24"/>
          <w:lang w:eastAsia="en-IN" w:bidi="ta-IN"/>
        </w:rPr>
        <w:t>.</w:t>
      </w:r>
      <w:r w:rsidRPr="0067067F">
        <w:rPr>
          <w:rFonts w:ascii="Times New Roman" w:eastAsia="Times New Roman" w:hAnsi="Times New Roman" w:cs="Times New Roman"/>
          <w:sz w:val="24"/>
          <w:szCs w:val="24"/>
          <w:lang w:eastAsia="en-IN" w:bidi="ta-IN"/>
        </w:rPr>
        <w:t xml:space="preserve"> Patient parameters can be displayed on monitors placed at nursing stations, allowing healthcare providers to observe patient status in real time.</w:t>
      </w:r>
    </w:p>
    <w:p w14:paraId="6B5006AB" w14:textId="790D149C" w:rsidR="0067067F" w:rsidRPr="0067067F" w:rsidRDefault="0067067F" w:rsidP="0067067F">
      <w:pPr>
        <w:spacing w:line="360" w:lineRule="auto"/>
        <w:jc w:val="both"/>
        <w:rPr>
          <w:rFonts w:ascii="Times New Roman" w:eastAsia="Times New Roman" w:hAnsi="Times New Roman" w:cs="Times New Roman"/>
          <w:sz w:val="24"/>
          <w:szCs w:val="24"/>
          <w:lang w:eastAsia="en-IN" w:bidi="ta-IN"/>
        </w:rPr>
      </w:pPr>
      <w:r w:rsidRPr="0067067F">
        <w:rPr>
          <w:rFonts w:ascii="Times New Roman" w:eastAsia="Times New Roman" w:hAnsi="Times New Roman" w:cs="Times New Roman"/>
          <w:b/>
          <w:bCs/>
          <w:sz w:val="24"/>
          <w:szCs w:val="24"/>
          <w:lang w:eastAsia="en-IN" w:bidi="ta-IN"/>
        </w:rPr>
        <w:t>6.Strengthening of ICU discharge criteria.</w:t>
      </w:r>
      <w:r w:rsidRPr="0067067F">
        <w:rPr>
          <w:rFonts w:ascii="Times New Roman" w:eastAsia="Times New Roman" w:hAnsi="Times New Roman" w:cs="Times New Roman"/>
          <w:sz w:val="24"/>
          <w:szCs w:val="24"/>
          <w:lang w:eastAsia="en-IN" w:bidi="ta-IN"/>
        </w:rPr>
        <w:br/>
        <w:t>Doctors should carefully evaluate the patient’s clinical stability before discharge from the ICU. They should also consider whether the patient requires advanced monitoring or specialized care that may not be available in the ward. If the patient still requires close observation, transferring them to an HDU instead of a general ward may be a safer option.</w:t>
      </w:r>
    </w:p>
    <w:p w14:paraId="18583212" w14:textId="77777777"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CONCLUSION</w:t>
      </w:r>
    </w:p>
    <w:p w14:paraId="218548E1" w14:textId="2844299A" w:rsidR="00141C10" w:rsidRDefault="00141C10" w:rsidP="00141C10">
      <w:pPr>
        <w:spacing w:line="360" w:lineRule="auto"/>
        <w:jc w:val="both"/>
        <w:rPr>
          <w:rFonts w:ascii="Times New Roman" w:eastAsia="Times New Roman" w:hAnsi="Times New Roman" w:cs="Times New Roman"/>
          <w:sz w:val="24"/>
          <w:szCs w:val="24"/>
          <w:lang w:eastAsia="en-IN" w:bidi="ta-IN"/>
        </w:rPr>
      </w:pPr>
      <w:r w:rsidRPr="00141C10">
        <w:rPr>
          <w:rFonts w:ascii="Times New Roman" w:eastAsia="Times New Roman" w:hAnsi="Times New Roman" w:cs="Times New Roman"/>
          <w:sz w:val="24"/>
          <w:szCs w:val="24"/>
          <w:lang w:eastAsia="en-IN" w:bidi="ta-IN"/>
        </w:rPr>
        <w:t>ICU readmission is an important quality indicator of critical care services. The findings show that most readmissions occurred within the first 24 hours after discharge from the ICU. The most common complications leading to readmission were cardiac, respiratory, and neurological conditions. To prevent this, proper discharge planning, effective handover communication, and close monitoring of high-risk patients are essential. These measures can help reduce ICU readmissions and improve patient outcomes.</w:t>
      </w:r>
    </w:p>
    <w:p w14:paraId="4290A881" w14:textId="0637744A" w:rsidR="00141C10" w:rsidRPr="00141C10" w:rsidRDefault="00141C10" w:rsidP="00141C10">
      <w:pPr>
        <w:spacing w:line="360" w:lineRule="auto"/>
        <w:jc w:val="both"/>
        <w:rPr>
          <w:rFonts w:ascii="Times New Roman" w:eastAsia="Times New Roman" w:hAnsi="Times New Roman" w:cs="Times New Roman"/>
          <w:b/>
          <w:bCs/>
          <w:sz w:val="24"/>
          <w:szCs w:val="24"/>
          <w:lang w:eastAsia="en-IN" w:bidi="ta-IN"/>
        </w:rPr>
      </w:pPr>
      <w:r w:rsidRPr="00141C10">
        <w:rPr>
          <w:rFonts w:ascii="Times New Roman" w:eastAsia="Times New Roman" w:hAnsi="Times New Roman" w:cs="Times New Roman"/>
          <w:b/>
          <w:bCs/>
          <w:sz w:val="24"/>
          <w:szCs w:val="24"/>
          <w:lang w:eastAsia="en-IN" w:bidi="ta-IN"/>
        </w:rPr>
        <w:t>REFERENCES</w:t>
      </w:r>
    </w:p>
    <w:p w14:paraId="4B6D2438" w14:textId="30A50431" w:rsidR="00141C10" w:rsidRPr="00141C10" w:rsidRDefault="00141C10" w:rsidP="00141C10">
      <w:pPr>
        <w:spacing w:line="360" w:lineRule="auto"/>
        <w:jc w:val="both"/>
        <w:rPr>
          <w:rFonts w:ascii="Times New Roman" w:eastAsia="Times New Roman" w:hAnsi="Times New Roman" w:cs="Times New Roman"/>
          <w:color w:val="000000" w:themeColor="text1"/>
          <w:sz w:val="24"/>
          <w:szCs w:val="24"/>
          <w:lang w:eastAsia="en-IN" w:bidi="ta-IN"/>
        </w:rPr>
      </w:pPr>
      <w:r>
        <w:rPr>
          <w:rFonts w:ascii="Times New Roman" w:eastAsia="Times New Roman" w:hAnsi="Times New Roman" w:cs="Times New Roman"/>
          <w:sz w:val="24"/>
          <w:szCs w:val="24"/>
          <w:lang w:eastAsia="en-IN" w:bidi="ta-IN"/>
        </w:rPr>
        <w:t>1.</w:t>
      </w:r>
      <w:r w:rsidRPr="00141C10">
        <w:rPr>
          <w:rFonts w:ascii="Times New Roman" w:eastAsia="Times New Roman" w:hAnsi="Times New Roman" w:cs="Times New Roman"/>
          <w:sz w:val="24"/>
          <w:szCs w:val="24"/>
          <w:lang w:eastAsia="en-IN" w:bidi="ta-IN"/>
        </w:rPr>
        <w:t xml:space="preserve">Ponzoni, C. R., </w:t>
      </w:r>
      <w:proofErr w:type="spellStart"/>
      <w:r w:rsidRPr="00141C10">
        <w:rPr>
          <w:rFonts w:ascii="Times New Roman" w:eastAsia="Times New Roman" w:hAnsi="Times New Roman" w:cs="Times New Roman"/>
          <w:sz w:val="24"/>
          <w:szCs w:val="24"/>
          <w:lang w:eastAsia="en-IN" w:bidi="ta-IN"/>
        </w:rPr>
        <w:t>Corrêa</w:t>
      </w:r>
      <w:proofErr w:type="spellEnd"/>
      <w:r w:rsidRPr="00141C10">
        <w:rPr>
          <w:rFonts w:ascii="Times New Roman" w:eastAsia="Times New Roman" w:hAnsi="Times New Roman" w:cs="Times New Roman"/>
          <w:sz w:val="24"/>
          <w:szCs w:val="24"/>
          <w:lang w:eastAsia="en-IN" w:bidi="ta-IN"/>
        </w:rPr>
        <w:t xml:space="preserve">, T. D., </w:t>
      </w:r>
      <w:proofErr w:type="spellStart"/>
      <w:r w:rsidRPr="00141C10">
        <w:rPr>
          <w:rFonts w:ascii="Times New Roman" w:eastAsia="Times New Roman" w:hAnsi="Times New Roman" w:cs="Times New Roman"/>
          <w:sz w:val="24"/>
          <w:szCs w:val="24"/>
          <w:lang w:eastAsia="en-IN" w:bidi="ta-IN"/>
        </w:rPr>
        <w:t>Filho</w:t>
      </w:r>
      <w:proofErr w:type="spellEnd"/>
      <w:r w:rsidRPr="00141C10">
        <w:rPr>
          <w:rFonts w:ascii="Times New Roman" w:eastAsia="Times New Roman" w:hAnsi="Times New Roman" w:cs="Times New Roman"/>
          <w:sz w:val="24"/>
          <w:szCs w:val="24"/>
          <w:lang w:eastAsia="en-IN" w:bidi="ta-IN"/>
        </w:rPr>
        <w:t xml:space="preserve">, R. R., </w:t>
      </w:r>
      <w:proofErr w:type="spellStart"/>
      <w:r w:rsidRPr="00141C10">
        <w:rPr>
          <w:rFonts w:ascii="Times New Roman" w:eastAsia="Times New Roman" w:hAnsi="Times New Roman" w:cs="Times New Roman"/>
          <w:sz w:val="24"/>
          <w:szCs w:val="24"/>
          <w:lang w:eastAsia="en-IN" w:bidi="ta-IN"/>
        </w:rPr>
        <w:t>Serpa</w:t>
      </w:r>
      <w:proofErr w:type="spellEnd"/>
      <w:r w:rsidRPr="00141C10">
        <w:rPr>
          <w:rFonts w:ascii="Times New Roman" w:eastAsia="Times New Roman" w:hAnsi="Times New Roman" w:cs="Times New Roman"/>
          <w:sz w:val="24"/>
          <w:szCs w:val="24"/>
          <w:lang w:eastAsia="en-IN" w:bidi="ta-IN"/>
        </w:rPr>
        <w:t xml:space="preserve"> </w:t>
      </w:r>
      <w:proofErr w:type="spellStart"/>
      <w:r w:rsidRPr="00141C10">
        <w:rPr>
          <w:rFonts w:ascii="Times New Roman" w:eastAsia="Times New Roman" w:hAnsi="Times New Roman" w:cs="Times New Roman"/>
          <w:sz w:val="24"/>
          <w:szCs w:val="24"/>
          <w:lang w:eastAsia="en-IN" w:bidi="ta-IN"/>
        </w:rPr>
        <w:t>Neto</w:t>
      </w:r>
      <w:proofErr w:type="spellEnd"/>
      <w:r w:rsidRPr="00141C10">
        <w:rPr>
          <w:rFonts w:ascii="Times New Roman" w:eastAsia="Times New Roman" w:hAnsi="Times New Roman" w:cs="Times New Roman"/>
          <w:sz w:val="24"/>
          <w:szCs w:val="24"/>
          <w:lang w:eastAsia="en-IN" w:bidi="ta-IN"/>
        </w:rPr>
        <w:t xml:space="preserve">, A., </w:t>
      </w:r>
      <w:proofErr w:type="spellStart"/>
      <w:r w:rsidRPr="00141C10">
        <w:rPr>
          <w:rFonts w:ascii="Times New Roman" w:eastAsia="Times New Roman" w:hAnsi="Times New Roman" w:cs="Times New Roman"/>
          <w:sz w:val="24"/>
          <w:szCs w:val="24"/>
          <w:lang w:eastAsia="en-IN" w:bidi="ta-IN"/>
        </w:rPr>
        <w:t>Assunção</w:t>
      </w:r>
      <w:proofErr w:type="spellEnd"/>
      <w:r w:rsidRPr="00141C10">
        <w:rPr>
          <w:rFonts w:ascii="Times New Roman" w:eastAsia="Times New Roman" w:hAnsi="Times New Roman" w:cs="Times New Roman"/>
          <w:sz w:val="24"/>
          <w:szCs w:val="24"/>
          <w:lang w:eastAsia="en-IN" w:bidi="ta-IN"/>
        </w:rPr>
        <w:t xml:space="preserve">, M. S. C., </w:t>
      </w:r>
      <w:proofErr w:type="spellStart"/>
      <w:r w:rsidRPr="00141C10">
        <w:rPr>
          <w:rFonts w:ascii="Times New Roman" w:eastAsia="Times New Roman" w:hAnsi="Times New Roman" w:cs="Times New Roman"/>
          <w:sz w:val="24"/>
          <w:szCs w:val="24"/>
          <w:lang w:eastAsia="en-IN" w:bidi="ta-IN"/>
        </w:rPr>
        <w:t>Pardini</w:t>
      </w:r>
      <w:proofErr w:type="spellEnd"/>
      <w:r w:rsidRPr="00141C10">
        <w:rPr>
          <w:rFonts w:ascii="Times New Roman" w:eastAsia="Times New Roman" w:hAnsi="Times New Roman" w:cs="Times New Roman"/>
          <w:sz w:val="24"/>
          <w:szCs w:val="24"/>
          <w:lang w:eastAsia="en-IN" w:bidi="ta-IN"/>
        </w:rPr>
        <w:t xml:space="preserve">, A., &amp; </w:t>
      </w:r>
      <w:proofErr w:type="spellStart"/>
      <w:r w:rsidRPr="00141C10">
        <w:rPr>
          <w:rFonts w:ascii="Times New Roman" w:eastAsia="Times New Roman" w:hAnsi="Times New Roman" w:cs="Times New Roman"/>
          <w:sz w:val="24"/>
          <w:szCs w:val="24"/>
          <w:lang w:eastAsia="en-IN" w:bidi="ta-IN"/>
        </w:rPr>
        <w:t>Schettino</w:t>
      </w:r>
      <w:proofErr w:type="spellEnd"/>
      <w:r w:rsidRPr="00141C10">
        <w:rPr>
          <w:rFonts w:ascii="Times New Roman" w:eastAsia="Times New Roman" w:hAnsi="Times New Roman" w:cs="Times New Roman"/>
          <w:sz w:val="24"/>
          <w:szCs w:val="24"/>
          <w:lang w:eastAsia="en-IN" w:bidi="ta-IN"/>
        </w:rPr>
        <w:t xml:space="preserve">, G. P. P. (2017). Readmission to the intensive care unit: Incidence, risk factors, resource use, and outcomes – A retrospective cohort study. </w:t>
      </w:r>
      <w:r w:rsidRPr="00141C10">
        <w:rPr>
          <w:rFonts w:ascii="Times New Roman" w:eastAsia="Times New Roman" w:hAnsi="Times New Roman" w:cs="Times New Roman"/>
          <w:i/>
          <w:iCs/>
          <w:sz w:val="24"/>
          <w:szCs w:val="24"/>
          <w:lang w:eastAsia="en-IN" w:bidi="ta-IN"/>
        </w:rPr>
        <w:t>Annals of the American Thoracic Society</w:t>
      </w:r>
      <w:r w:rsidRPr="00141C10">
        <w:rPr>
          <w:rFonts w:ascii="Times New Roman" w:eastAsia="Times New Roman" w:hAnsi="Times New Roman" w:cs="Times New Roman"/>
          <w:sz w:val="24"/>
          <w:szCs w:val="24"/>
          <w:lang w:eastAsia="en-IN" w:bidi="ta-IN"/>
        </w:rPr>
        <w:t>, 14(8), 1312–1319.</w:t>
      </w:r>
      <w:r>
        <w:rPr>
          <w:rFonts w:ascii="Times New Roman" w:eastAsia="Times New Roman" w:hAnsi="Times New Roman" w:cs="Times New Roman"/>
          <w:sz w:val="24"/>
          <w:szCs w:val="24"/>
          <w:lang w:eastAsia="en-IN" w:bidi="ta-IN"/>
        </w:rPr>
        <w:t xml:space="preserve"> </w:t>
      </w:r>
    </w:p>
    <w:p w14:paraId="35134C90" w14:textId="02451E38"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lastRenderedPageBreak/>
        <w:t>2.</w:t>
      </w:r>
      <w:r w:rsidRPr="00141C10">
        <w:rPr>
          <w:rFonts w:ascii="Times New Roman" w:eastAsia="Times New Roman" w:hAnsi="Times New Roman" w:cs="Times New Roman"/>
          <w:sz w:val="24"/>
          <w:szCs w:val="24"/>
          <w:lang w:eastAsia="en-IN" w:bidi="ta-IN"/>
        </w:rPr>
        <w:t xml:space="preserve">Van </w:t>
      </w:r>
      <w:proofErr w:type="spellStart"/>
      <w:r w:rsidRPr="00141C10">
        <w:rPr>
          <w:rFonts w:ascii="Times New Roman" w:eastAsia="Times New Roman" w:hAnsi="Times New Roman" w:cs="Times New Roman"/>
          <w:sz w:val="24"/>
          <w:szCs w:val="24"/>
          <w:lang w:eastAsia="en-IN" w:bidi="ta-IN"/>
        </w:rPr>
        <w:t>Sluisveld</w:t>
      </w:r>
      <w:proofErr w:type="spellEnd"/>
      <w:r w:rsidRPr="00141C10">
        <w:rPr>
          <w:rFonts w:ascii="Times New Roman" w:eastAsia="Times New Roman" w:hAnsi="Times New Roman" w:cs="Times New Roman"/>
          <w:sz w:val="24"/>
          <w:szCs w:val="24"/>
          <w:lang w:eastAsia="en-IN" w:bidi="ta-IN"/>
        </w:rPr>
        <w:t xml:space="preserve">, N., </w:t>
      </w:r>
      <w:proofErr w:type="spellStart"/>
      <w:r w:rsidRPr="00141C10">
        <w:rPr>
          <w:rFonts w:ascii="Times New Roman" w:eastAsia="Times New Roman" w:hAnsi="Times New Roman" w:cs="Times New Roman"/>
          <w:sz w:val="24"/>
          <w:szCs w:val="24"/>
          <w:lang w:eastAsia="en-IN" w:bidi="ta-IN"/>
        </w:rPr>
        <w:t>Hesselink</w:t>
      </w:r>
      <w:proofErr w:type="spellEnd"/>
      <w:r w:rsidRPr="00141C10">
        <w:rPr>
          <w:rFonts w:ascii="Times New Roman" w:eastAsia="Times New Roman" w:hAnsi="Times New Roman" w:cs="Times New Roman"/>
          <w:sz w:val="24"/>
          <w:szCs w:val="24"/>
          <w:lang w:eastAsia="en-IN" w:bidi="ta-IN"/>
        </w:rPr>
        <w:t xml:space="preserve">, G., Van der </w:t>
      </w:r>
      <w:proofErr w:type="spellStart"/>
      <w:r w:rsidRPr="00141C10">
        <w:rPr>
          <w:rFonts w:ascii="Times New Roman" w:eastAsia="Times New Roman" w:hAnsi="Times New Roman" w:cs="Times New Roman"/>
          <w:sz w:val="24"/>
          <w:szCs w:val="24"/>
          <w:lang w:eastAsia="en-IN" w:bidi="ta-IN"/>
        </w:rPr>
        <w:t>Hoeven</w:t>
      </w:r>
      <w:proofErr w:type="spellEnd"/>
      <w:r w:rsidRPr="00141C10">
        <w:rPr>
          <w:rFonts w:ascii="Times New Roman" w:eastAsia="Times New Roman" w:hAnsi="Times New Roman" w:cs="Times New Roman"/>
          <w:sz w:val="24"/>
          <w:szCs w:val="24"/>
          <w:lang w:eastAsia="en-IN" w:bidi="ta-IN"/>
        </w:rPr>
        <w:t xml:space="preserve">, J., </w:t>
      </w:r>
      <w:proofErr w:type="spellStart"/>
      <w:r w:rsidRPr="00141C10">
        <w:rPr>
          <w:rFonts w:ascii="Times New Roman" w:eastAsia="Times New Roman" w:hAnsi="Times New Roman" w:cs="Times New Roman"/>
          <w:sz w:val="24"/>
          <w:szCs w:val="24"/>
          <w:lang w:eastAsia="en-IN" w:bidi="ta-IN"/>
        </w:rPr>
        <w:t>Westert</w:t>
      </w:r>
      <w:proofErr w:type="spellEnd"/>
      <w:r w:rsidRPr="00141C10">
        <w:rPr>
          <w:rFonts w:ascii="Times New Roman" w:eastAsia="Times New Roman" w:hAnsi="Times New Roman" w:cs="Times New Roman"/>
          <w:sz w:val="24"/>
          <w:szCs w:val="24"/>
          <w:lang w:eastAsia="en-IN" w:bidi="ta-IN"/>
        </w:rPr>
        <w:t xml:space="preserve">, G., &amp; </w:t>
      </w:r>
      <w:proofErr w:type="spellStart"/>
      <w:r w:rsidRPr="00141C10">
        <w:rPr>
          <w:rFonts w:ascii="Times New Roman" w:eastAsia="Times New Roman" w:hAnsi="Times New Roman" w:cs="Times New Roman"/>
          <w:sz w:val="24"/>
          <w:szCs w:val="24"/>
          <w:lang w:eastAsia="en-IN" w:bidi="ta-IN"/>
        </w:rPr>
        <w:t>Wollersheim</w:t>
      </w:r>
      <w:proofErr w:type="spellEnd"/>
      <w:r w:rsidRPr="00141C10">
        <w:rPr>
          <w:rFonts w:ascii="Times New Roman" w:eastAsia="Times New Roman" w:hAnsi="Times New Roman" w:cs="Times New Roman"/>
          <w:sz w:val="24"/>
          <w:szCs w:val="24"/>
          <w:lang w:eastAsia="en-IN" w:bidi="ta-IN"/>
        </w:rPr>
        <w:t xml:space="preserve">, H. (2017). Variation in rates of ICU readmissions and post-ICU in-hospital mortality and their association with ICU discharge practices. </w:t>
      </w:r>
      <w:r w:rsidRPr="00141C10">
        <w:rPr>
          <w:rFonts w:ascii="Times New Roman" w:eastAsia="Times New Roman" w:hAnsi="Times New Roman" w:cs="Times New Roman"/>
          <w:i/>
          <w:iCs/>
          <w:sz w:val="24"/>
          <w:szCs w:val="24"/>
          <w:lang w:eastAsia="en-IN" w:bidi="ta-IN"/>
        </w:rPr>
        <w:t>BMC Health Services Research</w:t>
      </w:r>
      <w:r w:rsidRPr="00141C10">
        <w:rPr>
          <w:rFonts w:ascii="Times New Roman" w:eastAsia="Times New Roman" w:hAnsi="Times New Roman" w:cs="Times New Roman"/>
          <w:sz w:val="24"/>
          <w:szCs w:val="24"/>
          <w:lang w:eastAsia="en-IN" w:bidi="ta-IN"/>
        </w:rPr>
        <w:t>, 17, 281.</w:t>
      </w:r>
    </w:p>
    <w:p w14:paraId="0BA9341E" w14:textId="5F1351F3" w:rsid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3.</w:t>
      </w:r>
      <w:r w:rsidRPr="00141C10">
        <w:rPr>
          <w:rFonts w:ascii="Times New Roman" w:eastAsia="Times New Roman" w:hAnsi="Times New Roman" w:cs="Times New Roman"/>
          <w:sz w:val="24"/>
          <w:szCs w:val="24"/>
          <w:lang w:eastAsia="en-IN" w:bidi="ta-IN"/>
        </w:rPr>
        <w:t xml:space="preserve">Wagner, J., </w:t>
      </w:r>
      <w:proofErr w:type="spellStart"/>
      <w:r w:rsidRPr="00141C10">
        <w:rPr>
          <w:rFonts w:ascii="Times New Roman" w:eastAsia="Times New Roman" w:hAnsi="Times New Roman" w:cs="Times New Roman"/>
          <w:sz w:val="24"/>
          <w:szCs w:val="24"/>
          <w:lang w:eastAsia="en-IN" w:bidi="ta-IN"/>
        </w:rPr>
        <w:t>Gabler</w:t>
      </w:r>
      <w:proofErr w:type="spellEnd"/>
      <w:r w:rsidRPr="00141C10">
        <w:rPr>
          <w:rFonts w:ascii="Times New Roman" w:eastAsia="Times New Roman" w:hAnsi="Times New Roman" w:cs="Times New Roman"/>
          <w:sz w:val="24"/>
          <w:szCs w:val="24"/>
          <w:lang w:eastAsia="en-IN" w:bidi="ta-IN"/>
        </w:rPr>
        <w:t xml:space="preserve">, N. B.,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 J., Brown, S. E., Strom, B. L., &amp; Halpern, S. D. (2013). Outcomes among patients discharged from the ICU and the effect of ICU bed availability.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41(3), 726–733.</w:t>
      </w:r>
    </w:p>
    <w:p w14:paraId="6E78127D" w14:textId="2B752EAD"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4.</w:t>
      </w:r>
      <w:r w:rsidRPr="00141C10">
        <w:rPr>
          <w:rFonts w:ascii="Times New Roman" w:eastAsia="Times New Roman" w:hAnsi="Times New Roman" w:cs="Times New Roman"/>
          <w:sz w:val="24"/>
          <w:szCs w:val="24"/>
          <w:lang w:eastAsia="en-IN" w:bidi="ta-IN"/>
        </w:rPr>
        <w:t xml:space="preserve">Brown, S. E., </w:t>
      </w:r>
      <w:proofErr w:type="spellStart"/>
      <w:r w:rsidRPr="00141C10">
        <w:rPr>
          <w:rFonts w:ascii="Times New Roman" w:eastAsia="Times New Roman" w:hAnsi="Times New Roman" w:cs="Times New Roman"/>
          <w:sz w:val="24"/>
          <w:szCs w:val="24"/>
          <w:lang w:eastAsia="en-IN" w:bidi="ta-IN"/>
        </w:rPr>
        <w:t>Ratcliffe</w:t>
      </w:r>
      <w:proofErr w:type="spellEnd"/>
      <w:r w:rsidRPr="00141C10">
        <w:rPr>
          <w:rFonts w:ascii="Times New Roman" w:eastAsia="Times New Roman" w:hAnsi="Times New Roman" w:cs="Times New Roman"/>
          <w:sz w:val="24"/>
          <w:szCs w:val="24"/>
          <w:lang w:eastAsia="en-IN" w:bidi="ta-IN"/>
        </w:rPr>
        <w:t xml:space="preserve">, S. J., Kahn, J. M., &amp; Halpern, S. D. (2012). The epidemiology of </w:t>
      </w:r>
      <w:r w:rsidRPr="00141C10">
        <w:rPr>
          <w:rFonts w:ascii="Times New Roman" w:eastAsia="Times New Roman" w:hAnsi="Times New Roman" w:cs="Times New Roman"/>
          <w:sz w:val="24"/>
          <w:szCs w:val="24"/>
          <w:lang w:eastAsia="en-IN" w:bidi="ta-IN"/>
        </w:rPr>
        <w:lastRenderedPageBreak/>
        <w:t xml:space="preserve">intensive care unit readmissions in the United States. </w:t>
      </w:r>
      <w:r w:rsidRPr="00141C10">
        <w:rPr>
          <w:rFonts w:ascii="Times New Roman" w:eastAsia="Times New Roman" w:hAnsi="Times New Roman" w:cs="Times New Roman"/>
          <w:i/>
          <w:iCs/>
          <w:sz w:val="24"/>
          <w:szCs w:val="24"/>
          <w:lang w:eastAsia="en-IN" w:bidi="ta-IN"/>
        </w:rPr>
        <w:t>American Journal of Respiratory and Critical Care Medicine</w:t>
      </w:r>
      <w:r w:rsidRPr="00141C10">
        <w:rPr>
          <w:rFonts w:ascii="Times New Roman" w:eastAsia="Times New Roman" w:hAnsi="Times New Roman" w:cs="Times New Roman"/>
          <w:sz w:val="24"/>
          <w:szCs w:val="24"/>
          <w:lang w:eastAsia="en-IN" w:bidi="ta-IN"/>
        </w:rPr>
        <w:t>, 185(9), 955–964.</w:t>
      </w:r>
    </w:p>
    <w:p w14:paraId="2800B419" w14:textId="7394BB3B" w:rsidR="00141C10" w:rsidRDefault="00141C10" w:rsidP="00141C10">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5.</w:t>
      </w:r>
      <w:r w:rsidRPr="00141C10">
        <w:rPr>
          <w:rFonts w:ascii="Times New Roman" w:eastAsia="Times New Roman" w:hAnsi="Times New Roman" w:cs="Times New Roman"/>
          <w:sz w:val="24"/>
          <w:szCs w:val="24"/>
          <w:lang w:eastAsia="en-IN" w:bidi="ta-IN"/>
        </w:rPr>
        <w:t xml:space="preserve">Kramer, A. A., Higgins, T. L., &amp; Zimmerman, J. E. (2013). Intensive care unit readmissions in U.S. hospitals: Patient characteristics, risk factors, and outcomes.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41(4), 987–995.</w:t>
      </w:r>
    </w:p>
    <w:p w14:paraId="346CA4CD" w14:textId="1E4FB9B9" w:rsidR="00141C10" w:rsidRPr="00141C10" w:rsidRDefault="00141C10" w:rsidP="00141C10">
      <w:pPr>
        <w:spacing w:line="360" w:lineRule="auto"/>
        <w:jc w:val="both"/>
        <w:rPr>
          <w:rFonts w:ascii="Times New Roman" w:eastAsia="Times New Roman" w:hAnsi="Times New Roman" w:cs="Times New Roman"/>
          <w:sz w:val="24"/>
          <w:szCs w:val="24"/>
          <w:lang w:eastAsia="en-IN" w:bidi="ta-IN"/>
        </w:rPr>
        <w:sectPr w:rsidR="00141C10" w:rsidRPr="00141C10" w:rsidSect="00141C10">
          <w:type w:val="continuous"/>
          <w:pgSz w:w="11906" w:h="16838"/>
          <w:pgMar w:top="720" w:right="720" w:bottom="720" w:left="720" w:header="708" w:footer="708" w:gutter="0"/>
          <w:cols w:num="2" w:space="708"/>
          <w:docGrid w:linePitch="360"/>
        </w:sectPr>
      </w:pPr>
      <w:r>
        <w:rPr>
          <w:rFonts w:ascii="Times New Roman" w:eastAsia="Times New Roman" w:hAnsi="Times New Roman" w:cs="Times New Roman"/>
          <w:sz w:val="24"/>
          <w:szCs w:val="24"/>
          <w:lang w:eastAsia="en-IN" w:bidi="ta-IN"/>
        </w:rPr>
        <w:t>6.</w:t>
      </w:r>
      <w:r w:rsidRPr="00141C10">
        <w:rPr>
          <w:rFonts w:ascii="Times New Roman" w:eastAsia="Times New Roman" w:hAnsi="Times New Roman" w:cs="Times New Roman"/>
          <w:sz w:val="24"/>
          <w:szCs w:val="24"/>
          <w:lang w:eastAsia="en-IN" w:bidi="ta-IN"/>
        </w:rPr>
        <w:t xml:space="preserve">Rosenberg, A. L., Watts, C., &amp; others (2001). Patients readmitted to intensive care: A systematic review of risk factors and outcomes. </w:t>
      </w:r>
      <w:r w:rsidRPr="00141C10">
        <w:rPr>
          <w:rFonts w:ascii="Times New Roman" w:eastAsia="Times New Roman" w:hAnsi="Times New Roman" w:cs="Times New Roman"/>
          <w:i/>
          <w:iCs/>
          <w:sz w:val="24"/>
          <w:szCs w:val="24"/>
          <w:lang w:eastAsia="en-IN" w:bidi="ta-IN"/>
        </w:rPr>
        <w:t>Critical Care Medicine</w:t>
      </w:r>
      <w:r w:rsidRPr="00141C10">
        <w:rPr>
          <w:rFonts w:ascii="Times New Roman" w:eastAsia="Times New Roman" w:hAnsi="Times New Roman" w:cs="Times New Roman"/>
          <w:sz w:val="24"/>
          <w:szCs w:val="24"/>
          <w:lang w:eastAsia="en-IN" w:bidi="ta-IN"/>
        </w:rPr>
        <w:t>, 29(3), 511–518.</w:t>
      </w:r>
    </w:p>
    <w:p w14:paraId="71DADE72" w14:textId="77777777" w:rsidR="00141C10" w:rsidRPr="00141C10" w:rsidRDefault="00141C10" w:rsidP="00141C10">
      <w:pPr>
        <w:spacing w:line="360" w:lineRule="auto"/>
        <w:jc w:val="both"/>
        <w:rPr>
          <w:sz w:val="24"/>
          <w:szCs w:val="24"/>
          <w:lang w:val="en-US"/>
        </w:rPr>
      </w:pPr>
    </w:p>
    <w:sectPr w:rsidR="00141C10" w:rsidRPr="00141C10" w:rsidSect="00141C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F0950" w14:textId="77777777" w:rsidR="00117BEF" w:rsidRDefault="00117BEF" w:rsidP="00102F16">
      <w:pPr>
        <w:spacing w:after="0" w:line="240" w:lineRule="auto"/>
      </w:pPr>
      <w:r>
        <w:separator/>
      </w:r>
    </w:p>
  </w:endnote>
  <w:endnote w:type="continuationSeparator" w:id="0">
    <w:p w14:paraId="3823B9EF" w14:textId="77777777" w:rsidR="00117BEF" w:rsidRDefault="00117BEF" w:rsidP="0010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35761"/>
      <w:docPartObj>
        <w:docPartGallery w:val="Page Numbers (Bottom of Page)"/>
        <w:docPartUnique/>
      </w:docPartObj>
    </w:sdtPr>
    <w:sdtEndPr>
      <w:rPr>
        <w:noProof/>
      </w:rPr>
    </w:sdtEndPr>
    <w:sdtContent>
      <w:p w14:paraId="2D24C057" w14:textId="19CD37E6" w:rsidR="00102F16" w:rsidRDefault="00102F16">
        <w:pPr>
          <w:pStyle w:val="Footer"/>
          <w:jc w:val="center"/>
        </w:pPr>
        <w:r>
          <w:fldChar w:fldCharType="begin"/>
        </w:r>
        <w:r>
          <w:instrText xml:space="preserve"> PAGE   \* MERGEFORMAT </w:instrText>
        </w:r>
        <w:r>
          <w:fldChar w:fldCharType="separate"/>
        </w:r>
        <w:r w:rsidR="001640FE">
          <w:rPr>
            <w:noProof/>
          </w:rPr>
          <w:t>1</w:t>
        </w:r>
        <w:r>
          <w:rPr>
            <w:noProof/>
          </w:rPr>
          <w:fldChar w:fldCharType="end"/>
        </w:r>
      </w:p>
    </w:sdtContent>
  </w:sdt>
  <w:p w14:paraId="460EF9A2" w14:textId="77777777" w:rsidR="00102F16" w:rsidRDefault="00102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F5047" w14:textId="77777777" w:rsidR="00117BEF" w:rsidRDefault="00117BEF" w:rsidP="00102F16">
      <w:pPr>
        <w:spacing w:after="0" w:line="240" w:lineRule="auto"/>
      </w:pPr>
      <w:r>
        <w:separator/>
      </w:r>
    </w:p>
  </w:footnote>
  <w:footnote w:type="continuationSeparator" w:id="0">
    <w:p w14:paraId="2C8B813B" w14:textId="77777777" w:rsidR="00117BEF" w:rsidRDefault="00117BEF" w:rsidP="00102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B91"/>
    <w:multiLevelType w:val="hybridMultilevel"/>
    <w:tmpl w:val="E8466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E84B24"/>
    <w:multiLevelType w:val="hybridMultilevel"/>
    <w:tmpl w:val="B6545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200A41"/>
    <w:multiLevelType w:val="hybridMultilevel"/>
    <w:tmpl w:val="4372D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72"/>
    <w:rsid w:val="00102F16"/>
    <w:rsid w:val="00117BEF"/>
    <w:rsid w:val="00141C10"/>
    <w:rsid w:val="001640FE"/>
    <w:rsid w:val="0028706A"/>
    <w:rsid w:val="00352056"/>
    <w:rsid w:val="0066163F"/>
    <w:rsid w:val="0067067F"/>
    <w:rsid w:val="007235EC"/>
    <w:rsid w:val="007E73EC"/>
    <w:rsid w:val="007F1599"/>
    <w:rsid w:val="00925DDA"/>
    <w:rsid w:val="00A03BFB"/>
    <w:rsid w:val="00B90B72"/>
    <w:rsid w:val="00E20CEA"/>
    <w:rsid w:val="00E86FF7"/>
    <w:rsid w:val="00EE397A"/>
    <w:rsid w:val="00EE5FCC"/>
    <w:rsid w:val="00F7025D"/>
    <w:rsid w:val="00FB07AB"/>
    <w:rsid w:val="00FE21D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10"/>
  </w:style>
  <w:style w:type="paragraph" w:styleId="Heading1">
    <w:name w:val="heading 1"/>
    <w:basedOn w:val="Normal"/>
    <w:next w:val="Normal"/>
    <w:link w:val="Heading1Char"/>
    <w:uiPriority w:val="9"/>
    <w:qFormat/>
    <w:rsid w:val="00E86FF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86FF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86FF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86FF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86FF7"/>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86FF7"/>
    <w:pPr>
      <w:keepNext/>
      <w:keepLines/>
      <w:spacing w:before="40" w:after="0"/>
      <w:outlineLvl w:val="5"/>
    </w:pPr>
  </w:style>
  <w:style w:type="paragraph" w:styleId="Heading7">
    <w:name w:val="heading 7"/>
    <w:basedOn w:val="Normal"/>
    <w:next w:val="Normal"/>
    <w:link w:val="Heading7Char"/>
    <w:uiPriority w:val="9"/>
    <w:semiHidden/>
    <w:unhideWhenUsed/>
    <w:qFormat/>
    <w:rsid w:val="00E86FF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86FF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86FF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F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86FF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E86FF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86FF7"/>
    <w:rPr>
      <w:i/>
      <w:iCs/>
    </w:rPr>
  </w:style>
  <w:style w:type="character" w:customStyle="1" w:styleId="Heading5Char">
    <w:name w:val="Heading 5 Char"/>
    <w:basedOn w:val="DefaultParagraphFont"/>
    <w:link w:val="Heading5"/>
    <w:uiPriority w:val="9"/>
    <w:semiHidden/>
    <w:rsid w:val="00E86FF7"/>
    <w:rPr>
      <w:color w:val="404040" w:themeColor="text1" w:themeTint="BF"/>
    </w:rPr>
  </w:style>
  <w:style w:type="character" w:customStyle="1" w:styleId="Heading6Char">
    <w:name w:val="Heading 6 Char"/>
    <w:basedOn w:val="DefaultParagraphFont"/>
    <w:link w:val="Heading6"/>
    <w:uiPriority w:val="9"/>
    <w:semiHidden/>
    <w:rsid w:val="00E86FF7"/>
  </w:style>
  <w:style w:type="character" w:customStyle="1" w:styleId="Heading7Char">
    <w:name w:val="Heading 7 Char"/>
    <w:basedOn w:val="DefaultParagraphFont"/>
    <w:link w:val="Heading7"/>
    <w:uiPriority w:val="9"/>
    <w:semiHidden/>
    <w:rsid w:val="00E86F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86FF7"/>
    <w:rPr>
      <w:color w:val="262626" w:themeColor="text1" w:themeTint="D9"/>
      <w:sz w:val="21"/>
      <w:szCs w:val="21"/>
    </w:rPr>
  </w:style>
  <w:style w:type="character" w:customStyle="1" w:styleId="Heading9Char">
    <w:name w:val="Heading 9 Char"/>
    <w:basedOn w:val="DefaultParagraphFont"/>
    <w:link w:val="Heading9"/>
    <w:uiPriority w:val="9"/>
    <w:semiHidden/>
    <w:rsid w:val="00E86FF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86FF7"/>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E86FF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6FF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86FF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86FF7"/>
    <w:rPr>
      <w:color w:val="5A5A5A" w:themeColor="text1" w:themeTint="A5"/>
      <w:spacing w:val="15"/>
    </w:rPr>
  </w:style>
  <w:style w:type="character" w:styleId="Strong">
    <w:name w:val="Strong"/>
    <w:basedOn w:val="DefaultParagraphFont"/>
    <w:uiPriority w:val="22"/>
    <w:qFormat/>
    <w:rsid w:val="00E86FF7"/>
    <w:rPr>
      <w:b/>
      <w:bCs/>
      <w:color w:val="auto"/>
    </w:rPr>
  </w:style>
  <w:style w:type="character" w:styleId="Emphasis">
    <w:name w:val="Emphasis"/>
    <w:basedOn w:val="DefaultParagraphFont"/>
    <w:uiPriority w:val="20"/>
    <w:qFormat/>
    <w:rsid w:val="00E86FF7"/>
    <w:rPr>
      <w:i/>
      <w:iCs/>
      <w:color w:val="auto"/>
    </w:rPr>
  </w:style>
  <w:style w:type="paragraph" w:styleId="NoSpacing">
    <w:name w:val="No Spacing"/>
    <w:link w:val="NoSpacingChar"/>
    <w:uiPriority w:val="1"/>
    <w:qFormat/>
    <w:rsid w:val="00E86FF7"/>
    <w:pPr>
      <w:spacing w:after="0" w:line="240" w:lineRule="auto"/>
    </w:pPr>
  </w:style>
  <w:style w:type="character" w:customStyle="1" w:styleId="NoSpacingChar">
    <w:name w:val="No Spacing Char"/>
    <w:basedOn w:val="DefaultParagraphFont"/>
    <w:link w:val="NoSpacing"/>
    <w:uiPriority w:val="1"/>
    <w:rsid w:val="00E86FF7"/>
  </w:style>
  <w:style w:type="paragraph" w:styleId="ListParagraph">
    <w:name w:val="List Paragraph"/>
    <w:basedOn w:val="Normal"/>
    <w:uiPriority w:val="34"/>
    <w:qFormat/>
    <w:rsid w:val="00E86FF7"/>
    <w:pPr>
      <w:ind w:left="720"/>
      <w:contextualSpacing/>
    </w:pPr>
  </w:style>
  <w:style w:type="paragraph" w:styleId="Quote">
    <w:name w:val="Quote"/>
    <w:basedOn w:val="Normal"/>
    <w:next w:val="Normal"/>
    <w:link w:val="QuoteChar"/>
    <w:uiPriority w:val="29"/>
    <w:qFormat/>
    <w:rsid w:val="00E86FF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86FF7"/>
    <w:rPr>
      <w:i/>
      <w:iCs/>
      <w:color w:val="404040" w:themeColor="text1" w:themeTint="BF"/>
    </w:rPr>
  </w:style>
  <w:style w:type="paragraph" w:styleId="IntenseQuote">
    <w:name w:val="Intense Quote"/>
    <w:basedOn w:val="Normal"/>
    <w:next w:val="Normal"/>
    <w:link w:val="IntenseQuoteChar"/>
    <w:uiPriority w:val="30"/>
    <w:qFormat/>
    <w:rsid w:val="00E86FF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86FF7"/>
    <w:rPr>
      <w:i/>
      <w:iCs/>
      <w:color w:val="404040" w:themeColor="text1" w:themeTint="BF"/>
    </w:rPr>
  </w:style>
  <w:style w:type="character" w:styleId="SubtleEmphasis">
    <w:name w:val="Subtle Emphasis"/>
    <w:basedOn w:val="DefaultParagraphFont"/>
    <w:uiPriority w:val="19"/>
    <w:qFormat/>
    <w:rsid w:val="00E86FF7"/>
    <w:rPr>
      <w:i/>
      <w:iCs/>
      <w:color w:val="404040" w:themeColor="text1" w:themeTint="BF"/>
    </w:rPr>
  </w:style>
  <w:style w:type="character" w:styleId="IntenseEmphasis">
    <w:name w:val="Intense Emphasis"/>
    <w:basedOn w:val="DefaultParagraphFont"/>
    <w:uiPriority w:val="21"/>
    <w:qFormat/>
    <w:rsid w:val="00E86FF7"/>
    <w:rPr>
      <w:b/>
      <w:bCs/>
      <w:i/>
      <w:iCs/>
      <w:color w:val="auto"/>
    </w:rPr>
  </w:style>
  <w:style w:type="character" w:styleId="SubtleReference">
    <w:name w:val="Subtle Reference"/>
    <w:basedOn w:val="DefaultParagraphFont"/>
    <w:uiPriority w:val="31"/>
    <w:qFormat/>
    <w:rsid w:val="00E86FF7"/>
    <w:rPr>
      <w:smallCaps/>
      <w:color w:val="404040" w:themeColor="text1" w:themeTint="BF"/>
    </w:rPr>
  </w:style>
  <w:style w:type="character" w:styleId="IntenseReference">
    <w:name w:val="Intense Reference"/>
    <w:basedOn w:val="DefaultParagraphFont"/>
    <w:uiPriority w:val="32"/>
    <w:qFormat/>
    <w:rsid w:val="00E86FF7"/>
    <w:rPr>
      <w:b/>
      <w:bCs/>
      <w:smallCaps/>
      <w:color w:val="404040" w:themeColor="text1" w:themeTint="BF"/>
      <w:spacing w:val="5"/>
    </w:rPr>
  </w:style>
  <w:style w:type="character" w:styleId="BookTitle">
    <w:name w:val="Book Title"/>
    <w:basedOn w:val="DefaultParagraphFont"/>
    <w:uiPriority w:val="33"/>
    <w:qFormat/>
    <w:rsid w:val="00E86FF7"/>
    <w:rPr>
      <w:b/>
      <w:bCs/>
      <w:i/>
      <w:iCs/>
      <w:spacing w:val="5"/>
    </w:rPr>
  </w:style>
  <w:style w:type="paragraph" w:styleId="TOCHeading">
    <w:name w:val="TOC Heading"/>
    <w:basedOn w:val="Heading1"/>
    <w:next w:val="Normal"/>
    <w:uiPriority w:val="39"/>
    <w:unhideWhenUsed/>
    <w:qFormat/>
    <w:rsid w:val="00E86FF7"/>
    <w:pPr>
      <w:outlineLvl w:val="9"/>
    </w:pPr>
  </w:style>
  <w:style w:type="paragraph" w:styleId="NormalWeb">
    <w:name w:val="Normal (Web)"/>
    <w:basedOn w:val="Normal"/>
    <w:uiPriority w:val="99"/>
    <w:semiHidden/>
    <w:unhideWhenUsed/>
    <w:rsid w:val="00141C1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Hyperlink">
    <w:name w:val="Hyperlink"/>
    <w:basedOn w:val="DefaultParagraphFont"/>
    <w:uiPriority w:val="99"/>
    <w:unhideWhenUsed/>
    <w:rsid w:val="00141C10"/>
    <w:rPr>
      <w:color w:val="467886" w:themeColor="hyperlink"/>
      <w:u w:val="single"/>
    </w:rPr>
  </w:style>
  <w:style w:type="character" w:customStyle="1" w:styleId="UnresolvedMention">
    <w:name w:val="Unresolved Mention"/>
    <w:basedOn w:val="DefaultParagraphFont"/>
    <w:uiPriority w:val="99"/>
    <w:semiHidden/>
    <w:unhideWhenUsed/>
    <w:rsid w:val="00141C10"/>
    <w:rPr>
      <w:color w:val="605E5C"/>
      <w:shd w:val="clear" w:color="auto" w:fill="E1DFDD"/>
    </w:rPr>
  </w:style>
  <w:style w:type="paragraph" w:styleId="BalloonText">
    <w:name w:val="Balloon Text"/>
    <w:basedOn w:val="Normal"/>
    <w:link w:val="BalloonTextChar"/>
    <w:uiPriority w:val="99"/>
    <w:semiHidden/>
    <w:unhideWhenUsed/>
    <w:rsid w:val="00EE5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CC"/>
    <w:rPr>
      <w:rFonts w:ascii="Tahoma" w:hAnsi="Tahoma" w:cs="Tahoma"/>
      <w:sz w:val="16"/>
      <w:szCs w:val="16"/>
    </w:rPr>
  </w:style>
  <w:style w:type="paragraph" w:styleId="Header">
    <w:name w:val="header"/>
    <w:basedOn w:val="Normal"/>
    <w:link w:val="HeaderChar"/>
    <w:uiPriority w:val="99"/>
    <w:unhideWhenUsed/>
    <w:rsid w:val="00102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F16"/>
  </w:style>
  <w:style w:type="paragraph" w:styleId="Footer">
    <w:name w:val="footer"/>
    <w:basedOn w:val="Normal"/>
    <w:link w:val="FooterChar"/>
    <w:uiPriority w:val="99"/>
    <w:unhideWhenUsed/>
    <w:rsid w:val="00102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10"/>
  </w:style>
  <w:style w:type="paragraph" w:styleId="Heading1">
    <w:name w:val="heading 1"/>
    <w:basedOn w:val="Normal"/>
    <w:next w:val="Normal"/>
    <w:link w:val="Heading1Char"/>
    <w:uiPriority w:val="9"/>
    <w:qFormat/>
    <w:rsid w:val="00E86FF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86FF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86FF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86FF7"/>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86FF7"/>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86FF7"/>
    <w:pPr>
      <w:keepNext/>
      <w:keepLines/>
      <w:spacing w:before="40" w:after="0"/>
      <w:outlineLvl w:val="5"/>
    </w:pPr>
  </w:style>
  <w:style w:type="paragraph" w:styleId="Heading7">
    <w:name w:val="heading 7"/>
    <w:basedOn w:val="Normal"/>
    <w:next w:val="Normal"/>
    <w:link w:val="Heading7Char"/>
    <w:uiPriority w:val="9"/>
    <w:semiHidden/>
    <w:unhideWhenUsed/>
    <w:qFormat/>
    <w:rsid w:val="00E86FF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86FF7"/>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86FF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F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E86FF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E86FF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86FF7"/>
    <w:rPr>
      <w:i/>
      <w:iCs/>
    </w:rPr>
  </w:style>
  <w:style w:type="character" w:customStyle="1" w:styleId="Heading5Char">
    <w:name w:val="Heading 5 Char"/>
    <w:basedOn w:val="DefaultParagraphFont"/>
    <w:link w:val="Heading5"/>
    <w:uiPriority w:val="9"/>
    <w:semiHidden/>
    <w:rsid w:val="00E86FF7"/>
    <w:rPr>
      <w:color w:val="404040" w:themeColor="text1" w:themeTint="BF"/>
    </w:rPr>
  </w:style>
  <w:style w:type="character" w:customStyle="1" w:styleId="Heading6Char">
    <w:name w:val="Heading 6 Char"/>
    <w:basedOn w:val="DefaultParagraphFont"/>
    <w:link w:val="Heading6"/>
    <w:uiPriority w:val="9"/>
    <w:semiHidden/>
    <w:rsid w:val="00E86FF7"/>
  </w:style>
  <w:style w:type="character" w:customStyle="1" w:styleId="Heading7Char">
    <w:name w:val="Heading 7 Char"/>
    <w:basedOn w:val="DefaultParagraphFont"/>
    <w:link w:val="Heading7"/>
    <w:uiPriority w:val="9"/>
    <w:semiHidden/>
    <w:rsid w:val="00E86F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86FF7"/>
    <w:rPr>
      <w:color w:val="262626" w:themeColor="text1" w:themeTint="D9"/>
      <w:sz w:val="21"/>
      <w:szCs w:val="21"/>
    </w:rPr>
  </w:style>
  <w:style w:type="character" w:customStyle="1" w:styleId="Heading9Char">
    <w:name w:val="Heading 9 Char"/>
    <w:basedOn w:val="DefaultParagraphFont"/>
    <w:link w:val="Heading9"/>
    <w:uiPriority w:val="9"/>
    <w:semiHidden/>
    <w:rsid w:val="00E86FF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86FF7"/>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E86FF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86FF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86FF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86FF7"/>
    <w:rPr>
      <w:color w:val="5A5A5A" w:themeColor="text1" w:themeTint="A5"/>
      <w:spacing w:val="15"/>
    </w:rPr>
  </w:style>
  <w:style w:type="character" w:styleId="Strong">
    <w:name w:val="Strong"/>
    <w:basedOn w:val="DefaultParagraphFont"/>
    <w:uiPriority w:val="22"/>
    <w:qFormat/>
    <w:rsid w:val="00E86FF7"/>
    <w:rPr>
      <w:b/>
      <w:bCs/>
      <w:color w:val="auto"/>
    </w:rPr>
  </w:style>
  <w:style w:type="character" w:styleId="Emphasis">
    <w:name w:val="Emphasis"/>
    <w:basedOn w:val="DefaultParagraphFont"/>
    <w:uiPriority w:val="20"/>
    <w:qFormat/>
    <w:rsid w:val="00E86FF7"/>
    <w:rPr>
      <w:i/>
      <w:iCs/>
      <w:color w:val="auto"/>
    </w:rPr>
  </w:style>
  <w:style w:type="paragraph" w:styleId="NoSpacing">
    <w:name w:val="No Spacing"/>
    <w:link w:val="NoSpacingChar"/>
    <w:uiPriority w:val="1"/>
    <w:qFormat/>
    <w:rsid w:val="00E86FF7"/>
    <w:pPr>
      <w:spacing w:after="0" w:line="240" w:lineRule="auto"/>
    </w:pPr>
  </w:style>
  <w:style w:type="character" w:customStyle="1" w:styleId="NoSpacingChar">
    <w:name w:val="No Spacing Char"/>
    <w:basedOn w:val="DefaultParagraphFont"/>
    <w:link w:val="NoSpacing"/>
    <w:uiPriority w:val="1"/>
    <w:rsid w:val="00E86FF7"/>
  </w:style>
  <w:style w:type="paragraph" w:styleId="ListParagraph">
    <w:name w:val="List Paragraph"/>
    <w:basedOn w:val="Normal"/>
    <w:uiPriority w:val="34"/>
    <w:qFormat/>
    <w:rsid w:val="00E86FF7"/>
    <w:pPr>
      <w:ind w:left="720"/>
      <w:contextualSpacing/>
    </w:pPr>
  </w:style>
  <w:style w:type="paragraph" w:styleId="Quote">
    <w:name w:val="Quote"/>
    <w:basedOn w:val="Normal"/>
    <w:next w:val="Normal"/>
    <w:link w:val="QuoteChar"/>
    <w:uiPriority w:val="29"/>
    <w:qFormat/>
    <w:rsid w:val="00E86FF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86FF7"/>
    <w:rPr>
      <w:i/>
      <w:iCs/>
      <w:color w:val="404040" w:themeColor="text1" w:themeTint="BF"/>
    </w:rPr>
  </w:style>
  <w:style w:type="paragraph" w:styleId="IntenseQuote">
    <w:name w:val="Intense Quote"/>
    <w:basedOn w:val="Normal"/>
    <w:next w:val="Normal"/>
    <w:link w:val="IntenseQuoteChar"/>
    <w:uiPriority w:val="30"/>
    <w:qFormat/>
    <w:rsid w:val="00E86FF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86FF7"/>
    <w:rPr>
      <w:i/>
      <w:iCs/>
      <w:color w:val="404040" w:themeColor="text1" w:themeTint="BF"/>
    </w:rPr>
  </w:style>
  <w:style w:type="character" w:styleId="SubtleEmphasis">
    <w:name w:val="Subtle Emphasis"/>
    <w:basedOn w:val="DefaultParagraphFont"/>
    <w:uiPriority w:val="19"/>
    <w:qFormat/>
    <w:rsid w:val="00E86FF7"/>
    <w:rPr>
      <w:i/>
      <w:iCs/>
      <w:color w:val="404040" w:themeColor="text1" w:themeTint="BF"/>
    </w:rPr>
  </w:style>
  <w:style w:type="character" w:styleId="IntenseEmphasis">
    <w:name w:val="Intense Emphasis"/>
    <w:basedOn w:val="DefaultParagraphFont"/>
    <w:uiPriority w:val="21"/>
    <w:qFormat/>
    <w:rsid w:val="00E86FF7"/>
    <w:rPr>
      <w:b/>
      <w:bCs/>
      <w:i/>
      <w:iCs/>
      <w:color w:val="auto"/>
    </w:rPr>
  </w:style>
  <w:style w:type="character" w:styleId="SubtleReference">
    <w:name w:val="Subtle Reference"/>
    <w:basedOn w:val="DefaultParagraphFont"/>
    <w:uiPriority w:val="31"/>
    <w:qFormat/>
    <w:rsid w:val="00E86FF7"/>
    <w:rPr>
      <w:smallCaps/>
      <w:color w:val="404040" w:themeColor="text1" w:themeTint="BF"/>
    </w:rPr>
  </w:style>
  <w:style w:type="character" w:styleId="IntenseReference">
    <w:name w:val="Intense Reference"/>
    <w:basedOn w:val="DefaultParagraphFont"/>
    <w:uiPriority w:val="32"/>
    <w:qFormat/>
    <w:rsid w:val="00E86FF7"/>
    <w:rPr>
      <w:b/>
      <w:bCs/>
      <w:smallCaps/>
      <w:color w:val="404040" w:themeColor="text1" w:themeTint="BF"/>
      <w:spacing w:val="5"/>
    </w:rPr>
  </w:style>
  <w:style w:type="character" w:styleId="BookTitle">
    <w:name w:val="Book Title"/>
    <w:basedOn w:val="DefaultParagraphFont"/>
    <w:uiPriority w:val="33"/>
    <w:qFormat/>
    <w:rsid w:val="00E86FF7"/>
    <w:rPr>
      <w:b/>
      <w:bCs/>
      <w:i/>
      <w:iCs/>
      <w:spacing w:val="5"/>
    </w:rPr>
  </w:style>
  <w:style w:type="paragraph" w:styleId="TOCHeading">
    <w:name w:val="TOC Heading"/>
    <w:basedOn w:val="Heading1"/>
    <w:next w:val="Normal"/>
    <w:uiPriority w:val="39"/>
    <w:unhideWhenUsed/>
    <w:qFormat/>
    <w:rsid w:val="00E86FF7"/>
    <w:pPr>
      <w:outlineLvl w:val="9"/>
    </w:pPr>
  </w:style>
  <w:style w:type="paragraph" w:styleId="NormalWeb">
    <w:name w:val="Normal (Web)"/>
    <w:basedOn w:val="Normal"/>
    <w:uiPriority w:val="99"/>
    <w:semiHidden/>
    <w:unhideWhenUsed/>
    <w:rsid w:val="00141C10"/>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Hyperlink">
    <w:name w:val="Hyperlink"/>
    <w:basedOn w:val="DefaultParagraphFont"/>
    <w:uiPriority w:val="99"/>
    <w:unhideWhenUsed/>
    <w:rsid w:val="00141C10"/>
    <w:rPr>
      <w:color w:val="467886" w:themeColor="hyperlink"/>
      <w:u w:val="single"/>
    </w:rPr>
  </w:style>
  <w:style w:type="character" w:customStyle="1" w:styleId="UnresolvedMention">
    <w:name w:val="Unresolved Mention"/>
    <w:basedOn w:val="DefaultParagraphFont"/>
    <w:uiPriority w:val="99"/>
    <w:semiHidden/>
    <w:unhideWhenUsed/>
    <w:rsid w:val="00141C10"/>
    <w:rPr>
      <w:color w:val="605E5C"/>
      <w:shd w:val="clear" w:color="auto" w:fill="E1DFDD"/>
    </w:rPr>
  </w:style>
  <w:style w:type="paragraph" w:styleId="BalloonText">
    <w:name w:val="Balloon Text"/>
    <w:basedOn w:val="Normal"/>
    <w:link w:val="BalloonTextChar"/>
    <w:uiPriority w:val="99"/>
    <w:semiHidden/>
    <w:unhideWhenUsed/>
    <w:rsid w:val="00EE5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FCC"/>
    <w:rPr>
      <w:rFonts w:ascii="Tahoma" w:hAnsi="Tahoma" w:cs="Tahoma"/>
      <w:sz w:val="16"/>
      <w:szCs w:val="16"/>
    </w:rPr>
  </w:style>
  <w:style w:type="paragraph" w:styleId="Header">
    <w:name w:val="header"/>
    <w:basedOn w:val="Normal"/>
    <w:link w:val="HeaderChar"/>
    <w:uiPriority w:val="99"/>
    <w:unhideWhenUsed/>
    <w:rsid w:val="00102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F16"/>
  </w:style>
  <w:style w:type="paragraph" w:styleId="Footer">
    <w:name w:val="footer"/>
    <w:basedOn w:val="Normal"/>
    <w:link w:val="FooterChar"/>
    <w:uiPriority w:val="99"/>
    <w:unhideWhenUsed/>
    <w:rsid w:val="00102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runq\Downloads\Untitled%20form%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IN" sz="1100"/>
              <a:t>Distribution of ICU Discharges and Readmissions</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07DD-4456-BC88-8533419A560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07DD-4456-BC88-8533419A5606}"/>
              </c:ext>
            </c:extLst>
          </c:dPt>
          <c:dLbls>
            <c:dLbl>
              <c:idx val="0"/>
              <c:layout>
                <c:manualLayout>
                  <c:x val="0.28333333333333333"/>
                  <c:y val="-0.13657407407407401"/>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DD-4456-BC88-8533419A5606}"/>
                </c:ext>
              </c:extLst>
            </c:dLbl>
            <c:dLbl>
              <c:idx val="1"/>
              <c:layout>
                <c:manualLayout>
                  <c:x val="0.33452385118526856"/>
                  <c:y val="0.13953550400794498"/>
                </c:manualLayout>
              </c:layout>
              <c:tx>
                <c:rich>
                  <a:bodyPr/>
                  <a:lstStyle/>
                  <a:p>
                    <a:fld id="{E5B4DD68-3656-404F-962C-C32B305236C7}" type="CATEGORYNAME">
                      <a:rPr lang="en-US"/>
                      <a:pPr/>
                      <a:t>[CATEGORY NAME]</a:t>
                    </a:fld>
                    <a:r>
                      <a:rPr lang="en-US"/>
                      <a:t>
</a:t>
                    </a:r>
                    <a:fld id="{1282E7F0-FAC6-41B5-ACFD-4C6E48ED59EC}" type="VALUE">
                      <a:rPr lang="en-US"/>
                      <a:pPr/>
                      <a:t>[VALUE]</a:t>
                    </a:fld>
                    <a:r>
                      <a:rPr lang="en-US"/>
                      <a:t>
</a:t>
                    </a:r>
                  </a:p>
                </c:rich>
              </c:tx>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7104745240178313"/>
                      <c:h val="0.37351379726182876"/>
                    </c:manualLayout>
                  </c15:layout>
                  <c15:dlblFieldTable/>
                  <c15:showDataLabelsRange val="0"/>
                </c:ext>
                <c:ext xmlns:c16="http://schemas.microsoft.com/office/drawing/2014/chart" uri="{C3380CC4-5D6E-409C-BE32-E72D297353CC}">
                  <c16:uniqueId val="{00000003-07DD-4456-BC88-8533419A560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2"/>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'ICU READMISSION RATE'!$H$19:$I$19</c:f>
              <c:strCache>
                <c:ptCount val="2"/>
                <c:pt idx="0">
                  <c:v>TOTAL ICU DISCHRGE</c:v>
                </c:pt>
                <c:pt idx="1">
                  <c:v>ICU READMISSIONS</c:v>
                </c:pt>
              </c:strCache>
            </c:strRef>
          </c:cat>
          <c:val>
            <c:numRef>
              <c:f>'ICU READMISSION RATE'!$H$20:$I$20</c:f>
              <c:numCache>
                <c:formatCode>General</c:formatCode>
                <c:ptCount val="2"/>
                <c:pt idx="0">
                  <c:v>1843</c:v>
                </c:pt>
                <c:pt idx="1">
                  <c:v>43</c:v>
                </c:pt>
              </c:numCache>
            </c:numRef>
          </c:val>
          <c:extLst xmlns:c16r2="http://schemas.microsoft.com/office/drawing/2015/06/chart">
            <c:ext xmlns:c16="http://schemas.microsoft.com/office/drawing/2014/chart" uri="{C3380CC4-5D6E-409C-BE32-E72D297353CC}">
              <c16:uniqueId val="{00000004-07DD-4456-BC88-8533419A5606}"/>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(Responses).xlsx]Sheet4!PivotTable4</c:name>
    <c:fmtId val="-1"/>
  </c:pivotSource>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IN" sz="1100" b="1" i="0" u="none" strike="noStrike" baseline="0"/>
              <a:t>Distribution of Time Interval for ICU Readmissions</a:t>
            </a:r>
            <a:endParaRPr lang="en-US" sz="1100"/>
          </a:p>
        </c:rich>
      </c:tx>
      <c:overlay val="0"/>
      <c:spPr>
        <a:noFill/>
        <a:ln>
          <a:noFill/>
        </a:ln>
        <a:effectLst/>
      </c:spPr>
    </c:title>
    <c:autoTitleDeleted val="0"/>
    <c:pivotFmts>
      <c:pivotFmt>
        <c:idx val="0"/>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6"/>
        <c:spPr>
          <a:solidFill>
            <a:srgbClr val="FFC000"/>
          </a:solidFill>
          <a:ln w="19050">
            <a:solidFill>
              <a:schemeClr val="l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7"/>
        <c:spPr>
          <a:solidFill>
            <a:srgbClr val="FFC000"/>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8"/>
        <c:spPr>
          <a:solidFill>
            <a:schemeClr val="accent1"/>
          </a:solidFill>
          <a:ln w="19050">
            <a:solidFill>
              <a:schemeClr val="lt1"/>
            </a:solid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pieChart>
        <c:varyColors val="1"/>
        <c:ser>
          <c:idx val="0"/>
          <c:order val="0"/>
          <c:tx>
            <c:strRef>
              <c:f>Sheet4!$B$3</c:f>
              <c:strCache>
                <c:ptCount val="1"/>
                <c:pt idx="0">
                  <c:v>Total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929B-4E4D-BC44-CA6FC658A57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929B-4E4D-BC44-CA6FC658A57F}"/>
              </c:ext>
            </c:extLst>
          </c:dPt>
          <c:dLbls>
            <c:dLbl>
              <c:idx val="0"/>
              <c:layout>
                <c:manualLayout>
                  <c:x val="-0.108422924746347"/>
                  <c:y val="0.11476048411611685"/>
                </c:manualLayout>
              </c:layout>
              <c:tx>
                <c:rich>
                  <a:bodyPr/>
                  <a:lstStyle/>
                  <a:p>
                    <a:fld id="{6B8CB9E4-68D4-4E86-9F04-2D82B14A1C00}" type="VALUE">
                      <a:rPr lang="en-US">
                        <a:solidFill>
                          <a:schemeClr val="bg1"/>
                        </a:solidFill>
                      </a:rPr>
                      <a:pPr/>
                      <a:t>[VALUE]</a:t>
                    </a:fld>
                    <a:endParaRPr lang="en-IN"/>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29B-4E4D-BC44-CA6FC658A57F}"/>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9B-4E4D-BC44-CA6FC658A5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Sheet4!$A$4:$A$6</c:f>
              <c:strCache>
                <c:ptCount val="2"/>
                <c:pt idx="0">
                  <c:v>24-48 HRS</c:v>
                </c:pt>
                <c:pt idx="1">
                  <c:v>WITHIN 24 HRS</c:v>
                </c:pt>
              </c:strCache>
            </c:strRef>
          </c:cat>
          <c:val>
            <c:numRef>
              <c:f>Sheet4!$B$4:$B$6</c:f>
              <c:numCache>
                <c:formatCode>0.00%</c:formatCode>
                <c:ptCount val="2"/>
                <c:pt idx="0">
                  <c:v>0.27906976744186046</c:v>
                </c:pt>
                <c:pt idx="1">
                  <c:v>0.72093023255813948</c:v>
                </c:pt>
              </c:numCache>
            </c:numRef>
          </c:val>
          <c:extLst xmlns:c16r2="http://schemas.microsoft.com/office/drawing/2015/06/chart">
            <c:ext xmlns:c16="http://schemas.microsoft.com/office/drawing/2014/chart" uri="{C3380CC4-5D6E-409C-BE32-E72D297353CC}">
              <c16:uniqueId val="{00000004-929B-4E4D-BC44-CA6FC658A57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(Responses).xlsx]AGE GROUP VS OUTCOME!PivotTable2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IN" sz="1400" b="1">
                <a:effectLst/>
              </a:rPr>
              <a:t>Age Group Distribution of Icu Readmission Outcomes</a:t>
            </a:r>
            <a:endParaRPr lang="en-IN" sz="1400">
              <a:effectLst/>
            </a:endParaRPr>
          </a:p>
        </c:rich>
      </c:tx>
      <c:overlay val="0"/>
      <c:spPr>
        <a:noFill/>
        <a:ln>
          <a:noFill/>
        </a:ln>
        <a:effectLst/>
      </c:spPr>
    </c:title>
    <c:autoTitleDeleted val="0"/>
    <c:pivotFmts>
      <c:pivotFmt>
        <c:idx val="0"/>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chemeClr val="accent1"/>
          </a:solidFill>
          <a:ln>
            <a:solidFill>
              <a:schemeClr val="accent1"/>
            </a:solidFill>
          </a:ln>
          <a:effectLst/>
        </c:spPr>
      </c:pivotFmt>
      <c:pivotFmt>
        <c:idx val="3"/>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6"/>
        <c:spPr>
          <a:solidFill>
            <a:schemeClr val="accent1"/>
          </a:solidFill>
          <a:ln>
            <a:solidFill>
              <a:schemeClr val="accent1"/>
            </a:solid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'AGE GROUP VS OUTCOME'!$B$3:$B$4</c:f>
              <c:strCache>
                <c:ptCount val="1"/>
                <c:pt idx="0">
                  <c:v>DEATH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 VS OUTCOME'!$A$5:$A$9</c:f>
              <c:strCache>
                <c:ptCount val="4"/>
                <c:pt idx="0">
                  <c:v>&gt;80</c:v>
                </c:pt>
                <c:pt idx="1">
                  <c:v>30-50</c:v>
                </c:pt>
                <c:pt idx="2">
                  <c:v>51-65</c:v>
                </c:pt>
                <c:pt idx="3">
                  <c:v>66-80</c:v>
                </c:pt>
              </c:strCache>
            </c:strRef>
          </c:cat>
          <c:val>
            <c:numRef>
              <c:f>'AGE GROUP VS OUTCOME'!$B$5:$B$9</c:f>
              <c:numCache>
                <c:formatCode>General</c:formatCode>
                <c:ptCount val="4"/>
                <c:pt idx="0">
                  <c:v>3</c:v>
                </c:pt>
                <c:pt idx="2">
                  <c:v>1</c:v>
                </c:pt>
                <c:pt idx="3">
                  <c:v>3</c:v>
                </c:pt>
              </c:numCache>
            </c:numRef>
          </c:val>
          <c:extLst xmlns:c16r2="http://schemas.microsoft.com/office/drawing/2015/06/chart">
            <c:ext xmlns:c16="http://schemas.microsoft.com/office/drawing/2014/chart" uri="{C3380CC4-5D6E-409C-BE32-E72D297353CC}">
              <c16:uniqueId val="{00000000-4D23-4C96-8CAF-0C692578CAFB}"/>
            </c:ext>
          </c:extLst>
        </c:ser>
        <c:ser>
          <c:idx val="1"/>
          <c:order val="1"/>
          <c:tx>
            <c:strRef>
              <c:f>'AGE GROUP VS OUTCOME'!$C$3:$C$4</c:f>
              <c:strCache>
                <c:ptCount val="1"/>
                <c:pt idx="0">
                  <c:v>IMPROVED AND TRANSFERRED TO WARD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 GROUP VS OUTCOME'!$A$5:$A$9</c:f>
              <c:strCache>
                <c:ptCount val="4"/>
                <c:pt idx="0">
                  <c:v>&gt;80</c:v>
                </c:pt>
                <c:pt idx="1">
                  <c:v>30-50</c:v>
                </c:pt>
                <c:pt idx="2">
                  <c:v>51-65</c:v>
                </c:pt>
                <c:pt idx="3">
                  <c:v>66-80</c:v>
                </c:pt>
              </c:strCache>
            </c:strRef>
          </c:cat>
          <c:val>
            <c:numRef>
              <c:f>'AGE GROUP VS OUTCOME'!$C$5:$C$9</c:f>
              <c:numCache>
                <c:formatCode>General</c:formatCode>
                <c:ptCount val="4"/>
                <c:pt idx="0">
                  <c:v>1</c:v>
                </c:pt>
                <c:pt idx="1">
                  <c:v>8</c:v>
                </c:pt>
                <c:pt idx="2">
                  <c:v>14</c:v>
                </c:pt>
                <c:pt idx="3">
                  <c:v>13</c:v>
                </c:pt>
              </c:numCache>
            </c:numRef>
          </c:val>
          <c:extLst xmlns:c16r2="http://schemas.microsoft.com/office/drawing/2015/06/chart">
            <c:ext xmlns:c16="http://schemas.microsoft.com/office/drawing/2014/chart" uri="{C3380CC4-5D6E-409C-BE32-E72D297353CC}">
              <c16:uniqueId val="{00000001-4D23-4C96-8CAF-0C692578CAFB}"/>
            </c:ext>
          </c:extLst>
        </c:ser>
        <c:dLbls>
          <c:showLegendKey val="0"/>
          <c:showVal val="0"/>
          <c:showCatName val="0"/>
          <c:showSerName val="0"/>
          <c:showPercent val="0"/>
          <c:showBubbleSize val="0"/>
        </c:dLbls>
        <c:gapWidth val="100"/>
        <c:overlap val="-24"/>
        <c:axId val="210664448"/>
        <c:axId val="171941184"/>
      </c:barChart>
      <c:catAx>
        <c:axId val="210664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941184"/>
        <c:crosses val="autoZero"/>
        <c:auto val="1"/>
        <c:lblAlgn val="ctr"/>
        <c:lblOffset val="100"/>
        <c:noMultiLvlLbl val="0"/>
      </c:catAx>
      <c:valAx>
        <c:axId val="17194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664448"/>
        <c:crosses val="autoZero"/>
        <c:crossBetween val="between"/>
      </c:valAx>
      <c:spPr>
        <a:noFill/>
        <a:ln>
          <a:noFill/>
        </a:ln>
        <a:effectLst/>
      </c:spPr>
    </c:plotArea>
    <c:legend>
      <c:legendPos val="r"/>
      <c:layout>
        <c:manualLayout>
          <c:xMode val="edge"/>
          <c:yMode val="edge"/>
          <c:x val="0.65555555555555556"/>
          <c:y val="0.30040099154272387"/>
          <c:w val="0.33333333333333331"/>
          <c:h val="0.399197652376786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(Responses).xlsx]GENDER VS OUTCOME!PivotTable2</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Gender Distribution of ICU Outcomes</a:t>
            </a:r>
            <a:endParaRPr lang="en-US"/>
          </a:p>
        </c:rich>
      </c:tx>
      <c:overlay val="0"/>
      <c:spPr>
        <a:noFill/>
        <a:ln>
          <a:noFill/>
        </a:ln>
        <a:effectLst/>
      </c:spPr>
    </c:title>
    <c:autoTitleDeleted val="0"/>
    <c:pivotFmts>
      <c:pivotFmt>
        <c:idx val="0"/>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2"/>
        <c:spPr>
          <a:solidFill>
            <a:srgbClr val="00B0F0"/>
          </a:solidFill>
          <a:ln>
            <a:noFill/>
          </a:ln>
          <a:effectLst/>
        </c:spPr>
      </c:pivotFmt>
      <c:pivotFmt>
        <c:idx val="3"/>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6"/>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7"/>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8"/>
        <c:spPr>
          <a:solidFill>
            <a:srgbClr val="00B0F0"/>
          </a:solidFill>
          <a:ln>
            <a:noFill/>
          </a:ln>
          <a:effectLst/>
        </c:spPr>
      </c:pivotFmt>
      <c:pivotFmt>
        <c:idx val="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2"/>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3"/>
        <c:spPr>
          <a:solidFill>
            <a:srgbClr val="FFC000"/>
          </a:solidFill>
          <a:ln>
            <a:noFill/>
          </a:ln>
          <a:effectLst/>
        </c:spPr>
        <c:dLbl>
          <c:idx val="0"/>
          <c:layout>
            <c:manualLayout>
              <c:x val="-0.13441404199475077"/>
              <c:y val="6.88451443569553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4"/>
        <c:spPr>
          <a:solidFill>
            <a:srgbClr val="00B0F0"/>
          </a:solidFill>
          <a:ln>
            <a:noFill/>
          </a:ln>
          <a:effectLst/>
        </c:spPr>
      </c:pivotFmt>
      <c:pivotFmt>
        <c:idx val="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extLst xmlns:c16r2="http://schemas.microsoft.com/office/drawing/2015/06/chart">
            <c:ext xmlns:c15="http://schemas.microsoft.com/office/drawing/2012/chart" uri="{CE6537A1-D6FC-4f65-9D91-7224C49458BB}"/>
          </c:extLst>
        </c:dLbl>
      </c:pivotFmt>
      <c:pivotFmt>
        <c:idx val="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
        <c:idx val="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pivotFmt>
    </c:pivotFmts>
    <c:plotArea>
      <c:layout/>
      <c:pieChart>
        <c:varyColors val="1"/>
        <c:ser>
          <c:idx val="0"/>
          <c:order val="0"/>
          <c:tx>
            <c:strRef>
              <c:f>'GENDER VS OUTCOME'!$B$3:$B$4</c:f>
              <c:strCache>
                <c:ptCount val="1"/>
                <c:pt idx="0">
                  <c:v>DEATH</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1-829A-4653-8655-3994ABB3C7E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3-829A-4653-8655-3994ABB3C7EE}"/>
              </c:ext>
            </c:extLst>
          </c:dPt>
          <c:dLbls>
            <c:dLbl>
              <c:idx val="0"/>
              <c:layout>
                <c:manualLayout>
                  <c:x val="-0.10884623797025372"/>
                  <c:y val="0.12229294254884802"/>
                </c:manualLayout>
              </c:layout>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9A-4653-8655-3994ABB3C7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'GENDER VS OUTCOME'!$A$5:$A$7</c:f>
              <c:strCache>
                <c:ptCount val="2"/>
                <c:pt idx="0">
                  <c:v>Female</c:v>
                </c:pt>
                <c:pt idx="1">
                  <c:v>MALE</c:v>
                </c:pt>
              </c:strCache>
            </c:strRef>
          </c:cat>
          <c:val>
            <c:numRef>
              <c:f>'GENDER VS OUTCOME'!$B$5:$B$7</c:f>
              <c:numCache>
                <c:formatCode>General</c:formatCode>
                <c:ptCount val="2"/>
                <c:pt idx="0">
                  <c:v>2</c:v>
                </c:pt>
                <c:pt idx="1">
                  <c:v>5</c:v>
                </c:pt>
              </c:numCache>
            </c:numRef>
          </c:val>
          <c:extLst xmlns:c16r2="http://schemas.microsoft.com/office/drawing/2015/06/chart">
            <c:ext xmlns:c16="http://schemas.microsoft.com/office/drawing/2014/chart" uri="{C3380CC4-5D6E-409C-BE32-E72D297353CC}">
              <c16:uniqueId val="{00000004-829A-4653-8655-3994ABB3C7EE}"/>
            </c:ext>
          </c:extLst>
        </c:ser>
        <c:ser>
          <c:idx val="1"/>
          <c:order val="1"/>
          <c:tx>
            <c:strRef>
              <c:f>'GENDER VS OUTCOME'!$C$3:$C$4</c:f>
              <c:strCache>
                <c:ptCount val="1"/>
                <c:pt idx="0">
                  <c:v>IMPROVED AND TRANSFERRED TO WARD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6-829A-4653-8655-3994ABB3C7E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8-829A-4653-8655-3994ABB3C7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'GENDER VS OUTCOME'!$A$5:$A$7</c:f>
              <c:strCache>
                <c:ptCount val="2"/>
                <c:pt idx="0">
                  <c:v>Female</c:v>
                </c:pt>
                <c:pt idx="1">
                  <c:v>MALE</c:v>
                </c:pt>
              </c:strCache>
            </c:strRef>
          </c:cat>
          <c:val>
            <c:numRef>
              <c:f>'GENDER VS OUTCOME'!$C$5:$C$7</c:f>
              <c:numCache>
                <c:formatCode>General</c:formatCode>
                <c:ptCount val="2"/>
                <c:pt idx="0">
                  <c:v>9</c:v>
                </c:pt>
                <c:pt idx="1">
                  <c:v>27</c:v>
                </c:pt>
              </c:numCache>
            </c:numRef>
          </c:val>
          <c:extLst xmlns:c16r2="http://schemas.microsoft.com/office/drawing/2015/06/chart">
            <c:ext xmlns:c16="http://schemas.microsoft.com/office/drawing/2014/chart" uri="{C3380CC4-5D6E-409C-BE32-E72D297353CC}">
              <c16:uniqueId val="{00000009-829A-4653-8655-3994ABB3C7EE}"/>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(Responses).xlsx]VENTILATION VS OUTCOME!PivotTable1</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Ventilation Status and ICU Outcome</a:t>
            </a:r>
            <a:endParaRPr lang="en-IN"/>
          </a:p>
        </c:rich>
      </c:tx>
      <c:overlay val="0"/>
      <c:spPr>
        <a:noFill/>
        <a:ln>
          <a:noFill/>
        </a:ln>
        <a:effectLst/>
      </c:spPr>
    </c:title>
    <c:autoTitleDeleted val="0"/>
    <c:pivotFmts>
      <c:pivotFmt>
        <c:idx val="0"/>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1"/>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2"/>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3"/>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4"/>
        <c:spPr>
          <a:solidFill>
            <a:srgbClr val="FFC000"/>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
        <c:idx val="5"/>
        <c:spPr>
          <a:solidFill>
            <a:schemeClr val="accent1"/>
          </a:solidFill>
          <a:ln>
            <a:noFill/>
          </a:ln>
          <a:effectLst/>
        </c:spPr>
        <c:marker>
          <c:symbol val="none"/>
        </c:marker>
        <c:dLbl>
          <c:idx val="0"/>
          <c:delete val="1"/>
          <c:extLst xmlns:c16r2="http://schemas.microsoft.com/office/drawing/2015/06/chart">
            <c:ext xmlns:c15="http://schemas.microsoft.com/office/drawing/2012/chart" uri="{CE6537A1-D6FC-4f65-9D91-7224C49458BB}"/>
          </c:extLst>
        </c:dLbl>
      </c:pivotFmt>
    </c:pivotFmts>
    <c:plotArea>
      <c:layout>
        <c:manualLayout>
          <c:layoutTarget val="inner"/>
          <c:xMode val="edge"/>
          <c:yMode val="edge"/>
          <c:x val="9.2361329833770767E-2"/>
          <c:y val="0.14712744240303297"/>
          <c:w val="0.55208311461067372"/>
          <c:h val="0.66417104111986003"/>
        </c:manualLayout>
      </c:layout>
      <c:barChart>
        <c:barDir val="col"/>
        <c:grouping val="clustered"/>
        <c:varyColors val="0"/>
        <c:ser>
          <c:idx val="0"/>
          <c:order val="0"/>
          <c:tx>
            <c:strRef>
              <c:f>'VENTILATION VS OUTCOME'!$B$3:$B$4</c:f>
              <c:strCache>
                <c:ptCount val="1"/>
                <c:pt idx="0">
                  <c:v>DEATH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'VENTILATION VS OUTCOME'!$A$5:$A$7</c:f>
              <c:strCache>
                <c:ptCount val="2"/>
                <c:pt idx="0">
                  <c:v>No</c:v>
                </c:pt>
                <c:pt idx="1">
                  <c:v>Yes</c:v>
                </c:pt>
              </c:strCache>
            </c:strRef>
          </c:cat>
          <c:val>
            <c:numRef>
              <c:f>'VENTILATION VS OUTCOME'!$B$5:$B$7</c:f>
              <c:numCache>
                <c:formatCode>General</c:formatCode>
                <c:ptCount val="2"/>
                <c:pt idx="0">
                  <c:v>4</c:v>
                </c:pt>
                <c:pt idx="1">
                  <c:v>3</c:v>
                </c:pt>
              </c:numCache>
            </c:numRef>
          </c:val>
          <c:extLst xmlns:c16r2="http://schemas.microsoft.com/office/drawing/2015/06/chart">
            <c:ext xmlns:c16="http://schemas.microsoft.com/office/drawing/2014/chart" uri="{C3380CC4-5D6E-409C-BE32-E72D297353CC}">
              <c16:uniqueId val="{00000000-DD51-4A2C-9919-6A22C0058738}"/>
            </c:ext>
          </c:extLst>
        </c:ser>
        <c:ser>
          <c:idx val="1"/>
          <c:order val="1"/>
          <c:tx>
            <c:strRef>
              <c:f>'VENTILATION VS OUTCOME'!$C$3:$C$4</c:f>
              <c:strCache>
                <c:ptCount val="1"/>
                <c:pt idx="0">
                  <c:v>IMPROVED AND TRANSFERRED TO WARD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'VENTILATION VS OUTCOME'!$A$5:$A$7</c:f>
              <c:strCache>
                <c:ptCount val="2"/>
                <c:pt idx="0">
                  <c:v>No</c:v>
                </c:pt>
                <c:pt idx="1">
                  <c:v>Yes</c:v>
                </c:pt>
              </c:strCache>
            </c:strRef>
          </c:cat>
          <c:val>
            <c:numRef>
              <c:f>'VENTILATION VS OUTCOME'!$C$5:$C$7</c:f>
              <c:numCache>
                <c:formatCode>General</c:formatCode>
                <c:ptCount val="2"/>
                <c:pt idx="0">
                  <c:v>20</c:v>
                </c:pt>
                <c:pt idx="1">
                  <c:v>16</c:v>
                </c:pt>
              </c:numCache>
            </c:numRef>
          </c:val>
          <c:extLst xmlns:c16r2="http://schemas.microsoft.com/office/drawing/2015/06/chart">
            <c:ext xmlns:c16="http://schemas.microsoft.com/office/drawing/2014/chart" uri="{C3380CC4-5D6E-409C-BE32-E72D297353CC}">
              <c16:uniqueId val="{00000001-DD51-4A2C-9919-6A22C0058738}"/>
            </c:ext>
          </c:extLst>
        </c:ser>
        <c:dLbls>
          <c:showLegendKey val="0"/>
          <c:showVal val="0"/>
          <c:showCatName val="0"/>
          <c:showSerName val="0"/>
          <c:showPercent val="0"/>
          <c:showBubbleSize val="0"/>
        </c:dLbls>
        <c:gapWidth val="100"/>
        <c:overlap val="-24"/>
        <c:axId val="166769664"/>
        <c:axId val="166593664"/>
      </c:barChart>
      <c:catAx>
        <c:axId val="1667696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593664"/>
        <c:crosses val="autoZero"/>
        <c:auto val="1"/>
        <c:lblAlgn val="ctr"/>
        <c:lblOffset val="100"/>
        <c:noMultiLvlLbl val="0"/>
      </c:catAx>
      <c:valAx>
        <c:axId val="166593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696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pivotSource>
    <c:name>[Untitled form (Responses).xlsx]COMMON CAUSE OF READMISSION!PivotTable1</c:name>
    <c:fmtId val="-1"/>
  </c:pivotSource>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600" b="1" i="0" u="none" strike="noStrike" baseline="0"/>
              <a:t> Distribution of Causes of ICU Readmission</a:t>
            </a:r>
            <a:endParaRPr lang="en-US"/>
          </a:p>
        </c:rich>
      </c:tx>
      <c:overlay val="0"/>
      <c:spPr>
        <a:noFill/>
        <a:ln>
          <a:noFill/>
        </a:ln>
        <a:effectLst/>
      </c:sp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s>
    <c:plotArea>
      <c:layout/>
      <c:barChart>
        <c:barDir val="col"/>
        <c:grouping val="clustered"/>
        <c:varyColors val="0"/>
        <c:ser>
          <c:idx val="0"/>
          <c:order val="0"/>
          <c:tx>
            <c:strRef>
              <c:f>'COMMON CAUSE OF READMISSION'!$B$3</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'COMMON CAUSE OF READMISSION'!$A$4:$A$11</c:f>
              <c:strCache>
                <c:ptCount val="7"/>
                <c:pt idx="0">
                  <c:v>CARDIAC COMPLICATION</c:v>
                </c:pt>
                <c:pt idx="1">
                  <c:v>RESPIRATORY DETERIORATION</c:v>
                </c:pt>
                <c:pt idx="2">
                  <c:v>NEUROLOGICAL DETERIORATION</c:v>
                </c:pt>
                <c:pt idx="3">
                  <c:v>INFECTION/SEPSIS</c:v>
                </c:pt>
                <c:pt idx="4">
                  <c:v>OTHERS</c:v>
                </c:pt>
                <c:pt idx="5">
                  <c:v>POST OPERATIVE COMPLICATION</c:v>
                </c:pt>
                <c:pt idx="6">
                  <c:v>RENAL/METABOLIC IMBALANCE</c:v>
                </c:pt>
              </c:strCache>
            </c:strRef>
          </c:cat>
          <c:val>
            <c:numRef>
              <c:f>'COMMON CAUSE OF READMISSION'!$B$4:$B$11</c:f>
              <c:numCache>
                <c:formatCode>0.00%</c:formatCode>
                <c:ptCount val="7"/>
                <c:pt idx="0">
                  <c:v>0.30232558139534882</c:v>
                </c:pt>
                <c:pt idx="1">
                  <c:v>0.2558139534883721</c:v>
                </c:pt>
                <c:pt idx="2">
                  <c:v>0.23255813953488372</c:v>
                </c:pt>
                <c:pt idx="3">
                  <c:v>0.11627906976744186</c:v>
                </c:pt>
                <c:pt idx="4">
                  <c:v>4.6511627906976744E-2</c:v>
                </c:pt>
                <c:pt idx="5">
                  <c:v>2.3255813953488372E-2</c:v>
                </c:pt>
                <c:pt idx="6">
                  <c:v>2.3255813953488372E-2</c:v>
                </c:pt>
              </c:numCache>
            </c:numRef>
          </c:val>
          <c:extLst xmlns:c16r2="http://schemas.microsoft.com/office/drawing/2015/06/chart">
            <c:ext xmlns:c16="http://schemas.microsoft.com/office/drawing/2014/chart" uri="{C3380CC4-5D6E-409C-BE32-E72D297353CC}">
              <c16:uniqueId val="{00000000-975D-4726-AF0E-C019E8850C0F}"/>
            </c:ext>
          </c:extLst>
        </c:ser>
        <c:dLbls>
          <c:dLblPos val="outEnd"/>
          <c:showLegendKey val="0"/>
          <c:showVal val="1"/>
          <c:showCatName val="0"/>
          <c:showSerName val="0"/>
          <c:showPercent val="0"/>
          <c:showBubbleSize val="0"/>
        </c:dLbls>
        <c:gapWidth val="100"/>
        <c:overlap val="-24"/>
        <c:axId val="161953792"/>
        <c:axId val="166595392"/>
      </c:barChart>
      <c:catAx>
        <c:axId val="161953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166595392"/>
        <c:crosses val="autoZero"/>
        <c:auto val="1"/>
        <c:lblAlgn val="ctr"/>
        <c:lblOffset val="100"/>
        <c:noMultiLvlLbl val="0"/>
      </c:catAx>
      <c:valAx>
        <c:axId val="1665953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53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85A9-FFB5-4C36-B3E4-313B5A95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1956</Words>
  <Characters>11154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qwert</cp:lastModifiedBy>
  <cp:revision>8</cp:revision>
  <cp:lastPrinted>2026-03-11T07:07:00Z</cp:lastPrinted>
  <dcterms:created xsi:type="dcterms:W3CDTF">2026-03-09T15:24:00Z</dcterms:created>
  <dcterms:modified xsi:type="dcterms:W3CDTF">2026-03-12T09:45:00Z</dcterms:modified>
</cp:coreProperties>
</file>