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344" w:rsidRDefault="001903B0">
      <w:pPr>
        <w:widowControl w:val="0"/>
        <w:pBdr>
          <w:top w:val="nil"/>
          <w:left w:val="nil"/>
          <w:bottom w:val="nil"/>
          <w:right w:val="nil"/>
          <w:between w:val="nil"/>
        </w:pBd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CONTRIBUTING RISK FACTORS FOR CHRONIC HEALTH CONDITIONS AMONG OIL DRILLING WORKERS: A PREDICTIVE MODELING APPROACH.</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bookmarkStart w:id="0" w:name="_GoBack"/>
      <w:bookmarkEnd w:id="0"/>
    </w:p>
    <w:p w:rsidR="00622344" w:rsidRDefault="001903B0">
      <w:pPr>
        <w:widowControl w:val="0"/>
        <w:pBdr>
          <w:top w:val="nil"/>
          <w:left w:val="nil"/>
          <w:bottom w:val="nil"/>
          <w:right w:val="nil"/>
          <w:between w:val="nil"/>
        </w:pBd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ABSTRACT</w:t>
      </w:r>
    </w:p>
    <w:p w:rsidR="00622344" w:rsidRDefault="001903B0">
      <w:pPr>
        <w:widowControl w:val="0"/>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Chronic health conditions among oil drilling workers represent a significant occu</w:t>
      </w:r>
      <w:r>
        <w:rPr>
          <w:rFonts w:ascii="Times New Roman" w:hAnsi="Times New Roman" w:cs="Times New Roman"/>
          <w:color w:val="000000"/>
          <w:sz w:val="24"/>
          <w:szCs w:val="24"/>
        </w:rPr>
        <w:t>pational health challenge in the oil and gas industry. Previous studies have described the prevalence of occupational health outcomes, but there is a need to understand how contributing factors affect chronic health outcomes. This study adopted a cross-sec</w:t>
      </w:r>
      <w:r>
        <w:rPr>
          <w:rFonts w:ascii="Times New Roman" w:hAnsi="Times New Roman" w:cs="Times New Roman"/>
          <w:color w:val="000000"/>
          <w:sz w:val="24"/>
          <w:szCs w:val="24"/>
        </w:rPr>
        <w:t>tional design aimed at identifying and quantifying contributing risk factors associated with chronic health conditions among oil drilling workers using logistic regression modelling. A total of 350 oil drilling workers across the Niger Delta region partici</w:t>
      </w:r>
      <w:r>
        <w:rPr>
          <w:rFonts w:ascii="Times New Roman" w:hAnsi="Times New Roman" w:cs="Times New Roman"/>
          <w:color w:val="000000"/>
          <w:sz w:val="24"/>
          <w:szCs w:val="24"/>
        </w:rPr>
        <w:t>pated in the study. Structured questionnaires captured data on work-related factors (physical job demands, work control/autonomy, exposure frequency), organisational factors (supervisor support, organisational stress support, PPE usage), personal factors (</w:t>
      </w:r>
      <w:r>
        <w:rPr>
          <w:rFonts w:ascii="Times New Roman" w:hAnsi="Times New Roman" w:cs="Times New Roman"/>
          <w:color w:val="000000"/>
          <w:sz w:val="24"/>
          <w:szCs w:val="24"/>
        </w:rPr>
        <w:t>smoking status, exercise frequency), and demographic characteristics (age, years of experience). Logistic regression analysis was employed to examine associations between predictor variables and chronic health outcomes. Results revealed that exposure frequ</w:t>
      </w:r>
      <w:r>
        <w:rPr>
          <w:rFonts w:ascii="Times New Roman" w:hAnsi="Times New Roman" w:cs="Times New Roman"/>
          <w:color w:val="000000"/>
          <w:sz w:val="24"/>
          <w:szCs w:val="24"/>
        </w:rPr>
        <w:t>ency emerged as the strongest work-related predictor (OR = 2.11, 95% CI: 2.10-2.13, p &lt; 0.001), with each unit increase associated with 111.4% increased odds of chronic health conditions. Organisational stress support demonstrated substantial protective ef</w:t>
      </w:r>
      <w:r>
        <w:rPr>
          <w:rFonts w:ascii="Times New Roman" w:hAnsi="Times New Roman" w:cs="Times New Roman"/>
          <w:color w:val="000000"/>
          <w:sz w:val="24"/>
          <w:szCs w:val="24"/>
        </w:rPr>
        <w:t>fects (OR = 0.51, 95% CI: 0.50-0.51, p &lt; 0.001), reducing health risk odds by 49.4%. Personal factors showed that smoking increased risk by 29.1% (OR = 1.29, p &lt; 0.001), while exercise frequency decreased risk by 29.4% (OR = 0.71, p &lt; 0.001). Age group eme</w:t>
      </w:r>
      <w:r>
        <w:rPr>
          <w:rFonts w:ascii="Times New Roman" w:hAnsi="Times New Roman" w:cs="Times New Roman"/>
          <w:color w:val="000000"/>
          <w:sz w:val="24"/>
          <w:szCs w:val="24"/>
        </w:rPr>
        <w:t>rged as the strongest demographic predictor, with each unit increase associated with 64.9% increased odds (OR = 1.65, 95% CI: 1.63-1.66, p &lt; 0.001). These findings provide evidence that chronic health conditions among oil drilling workers are influenced by</w:t>
      </w:r>
      <w:r>
        <w:rPr>
          <w:rFonts w:ascii="Times New Roman" w:hAnsi="Times New Roman" w:cs="Times New Roman"/>
          <w:color w:val="000000"/>
          <w:sz w:val="24"/>
          <w:szCs w:val="24"/>
        </w:rPr>
        <w:t xml:space="preserve"> multiple interacting factors across work-related, organisational, personal, and demographic domains, supporting the necessity of multifaceted approaches to occupational health management.</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b/>
          <w:bCs/>
          <w:color w:val="000000"/>
          <w:sz w:val="24"/>
          <w:szCs w:val="24"/>
        </w:rPr>
        <w:t>Keywords</w:t>
      </w:r>
      <w:r>
        <w:rPr>
          <w:rFonts w:ascii="Times New Roman" w:hAnsi="Times New Roman" w:cs="Times New Roman"/>
          <w:color w:val="000000"/>
          <w:sz w:val="24"/>
          <w:szCs w:val="24"/>
        </w:rPr>
        <w:t xml:space="preserve">: Risk factors, protective measures, logistic regression, </w:t>
      </w:r>
      <w:r>
        <w:rPr>
          <w:rFonts w:ascii="Times New Roman" w:hAnsi="Times New Roman" w:cs="Times New Roman"/>
          <w:color w:val="000000"/>
          <w:sz w:val="24"/>
          <w:szCs w:val="24"/>
        </w:rPr>
        <w:t>occupational health surveillance, oil drilling workers, predictive modelling</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1.0 Introduction</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Occupational health issues amongst oil drilling workers are a critical occupational health problem that affects the well-being of workers, their performance,</w:t>
      </w:r>
      <w:r>
        <w:rPr>
          <w:rFonts w:ascii="Times New Roman" w:hAnsi="Times New Roman" w:cs="Times New Roman"/>
          <w:color w:val="000000"/>
          <w:sz w:val="24"/>
          <w:szCs w:val="24"/>
        </w:rPr>
        <w:t xml:space="preserve"> as well as organisational performance. Oil drilling operations subject workers to several occupational hazards such as physical demands, chemical exposures, noise, heat stress, and psychosocial stressors (Benson et </w:t>
      </w:r>
      <w:r>
        <w:rPr>
          <w:rFonts w:ascii="Times New Roman" w:hAnsi="Times New Roman" w:cs="Times New Roman"/>
          <w:color w:val="000000"/>
          <w:sz w:val="24"/>
          <w:szCs w:val="24"/>
        </w:rPr>
        <w:lastRenderedPageBreak/>
        <w:t>al., 2021). Recent studies have shown th</w:t>
      </w:r>
      <w:r>
        <w:rPr>
          <w:rFonts w:ascii="Times New Roman" w:hAnsi="Times New Roman" w:cs="Times New Roman"/>
          <w:color w:val="000000"/>
          <w:sz w:val="24"/>
          <w:szCs w:val="24"/>
        </w:rPr>
        <w:t>at the prevalent occupational hazards in the oil and gas industry are ergonomic hazards, physical hazards, and chemical hazards (Benson et al., 2021; Eyayo, 2014).  Prolonged exposure to these occupational hazards could lead to chronic health issues and di</w:t>
      </w:r>
      <w:r>
        <w:rPr>
          <w:rFonts w:ascii="Times New Roman" w:hAnsi="Times New Roman" w:cs="Times New Roman"/>
          <w:color w:val="000000"/>
          <w:sz w:val="24"/>
          <w:szCs w:val="24"/>
        </w:rPr>
        <w:t>seases. Toxicological study has shown that drilling fluids are highly toxic to the skin and cause skin irritation, contact dermatitis, epidermal keratinisation, pronounced proliferation of germinative layer cells, and changes in haematological parameters (</w:t>
      </w:r>
      <w:r>
        <w:rPr>
          <w:rFonts w:ascii="Times New Roman" w:hAnsi="Times New Roman" w:cs="Times New Roman"/>
          <w:color w:val="000000"/>
          <w:sz w:val="24"/>
          <w:szCs w:val="24"/>
        </w:rPr>
        <w:t>Mamyrbayev et al., 2025). However, certain contributing factors increase or reduce the chances of developing chronic health issues. Studies done in mining industries, which have similar occupational risk profiles to those of the drilling operations, have p</w:t>
      </w:r>
      <w:r>
        <w:rPr>
          <w:rFonts w:ascii="Times New Roman" w:hAnsi="Times New Roman" w:cs="Times New Roman"/>
          <w:color w:val="000000"/>
          <w:sz w:val="24"/>
          <w:szCs w:val="24"/>
        </w:rPr>
        <w:t>rovided evidence that the outcomes of work injury depend on both the personal (age, negative affectivity, job dissatisfaction) and the sociotechnical (physical hazards, safety climate) factors (Paul, 2009; Onder, 2013). Understanding how the contribution o</w:t>
      </w:r>
      <w:r>
        <w:rPr>
          <w:rFonts w:ascii="Times New Roman" w:hAnsi="Times New Roman" w:cs="Times New Roman"/>
          <w:color w:val="000000"/>
          <w:sz w:val="24"/>
          <w:szCs w:val="24"/>
        </w:rPr>
        <w:t>f factors influences the chronic health outcome provides comprehensive strategies of health protection that would be effective in reducing both the workplace and individual determinants.</w:t>
      </w: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Previous research investigating occupational health in the oil and ga</w:t>
      </w:r>
      <w:r>
        <w:rPr>
          <w:rFonts w:ascii="Times New Roman" w:hAnsi="Times New Roman" w:cs="Times New Roman"/>
          <w:color w:val="000000"/>
          <w:sz w:val="24"/>
          <w:szCs w:val="24"/>
        </w:rPr>
        <w:t xml:space="preserve">s industry has usually been concerned with the description of the prevalence of occupational health outcomes or discovering the relationship between single exposures and outcomes (D'Andrea and Reddy, 2018; Benson et al., 2021; Oyamienlen et al., 2023). </w:t>
      </w:r>
      <w:r>
        <w:rPr>
          <w:rFonts w:ascii="Times New Roman" w:hAnsi="Times New Roman" w:cs="Times New Roman"/>
          <w:sz w:val="24"/>
          <w:szCs w:val="24"/>
        </w:rPr>
        <w:t>Whi</w:t>
      </w:r>
      <w:r>
        <w:rPr>
          <w:rFonts w:ascii="Times New Roman" w:hAnsi="Times New Roman" w:cs="Times New Roman"/>
          <w:sz w:val="24"/>
          <w:szCs w:val="24"/>
        </w:rPr>
        <w:t>le previous research has documented the prevalence of various health issues in the oil and gas industry, a quantitative understanding of modifiable risk factors and protective measures remains limited</w:t>
      </w:r>
      <w:r>
        <w:rPr>
          <w:rFonts w:ascii="Times New Roman" w:hAnsi="Times New Roman" w:cs="Times New Roman"/>
          <w:color w:val="EE0000"/>
          <w:sz w:val="24"/>
          <w:szCs w:val="24"/>
        </w:rPr>
        <w:t xml:space="preserve">. </w:t>
      </w:r>
      <w:r>
        <w:rPr>
          <w:rFonts w:ascii="Times New Roman" w:hAnsi="Times New Roman" w:cs="Times New Roman"/>
          <w:color w:val="000000"/>
          <w:sz w:val="24"/>
          <w:szCs w:val="24"/>
        </w:rPr>
        <w:t>Few studies have employed multivariate modelling appro</w:t>
      </w:r>
      <w:r>
        <w:rPr>
          <w:rFonts w:ascii="Times New Roman" w:hAnsi="Times New Roman" w:cs="Times New Roman"/>
          <w:color w:val="000000"/>
          <w:sz w:val="24"/>
          <w:szCs w:val="24"/>
        </w:rPr>
        <w:t>aches, such as logistic regression analysis, to understand the contributing factors that influence injuries and accidents in the mining and construction industry (Paul, 2009; Onder, 2013; Kale &amp; Baradan, 2020). However, such an approach has rarely been ado</w:t>
      </w:r>
      <w:r>
        <w:rPr>
          <w:rFonts w:ascii="Times New Roman" w:hAnsi="Times New Roman" w:cs="Times New Roman"/>
          <w:color w:val="000000"/>
          <w:sz w:val="24"/>
          <w:szCs w:val="24"/>
        </w:rPr>
        <w:t xml:space="preserve">pted in the oil and </w:t>
      </w:r>
      <w:r>
        <w:rPr>
          <w:rFonts w:ascii="Times New Roman" w:hAnsi="Times New Roman" w:cs="Times New Roman"/>
          <w:color w:val="000000"/>
          <w:sz w:val="24"/>
          <w:szCs w:val="24"/>
        </w:rPr>
        <w:lastRenderedPageBreak/>
        <w:t>gas industry, especially for drilling operations. Such analytical approaches are necessary to identify independent predictors and to develop integrated predictive models that can inform risk stratification and targeted interventions. Th</w:t>
      </w:r>
      <w:r>
        <w:rPr>
          <w:rFonts w:ascii="Times New Roman" w:hAnsi="Times New Roman" w:cs="Times New Roman"/>
          <w:color w:val="000000"/>
          <w:sz w:val="24"/>
          <w:szCs w:val="24"/>
        </w:rPr>
        <w:t xml:space="preserve">is study aimed to comprehensively identify and quantify risk factors and protective measures associated with chronic health conditions among oil drilling workers in the Niger Delta. </w:t>
      </w:r>
    </w:p>
    <w:p w:rsidR="00622344" w:rsidRDefault="001903B0">
      <w:pPr>
        <w:widowControl w:val="0"/>
        <w:pBdr>
          <w:top w:val="nil"/>
          <w:left w:val="nil"/>
          <w:bottom w:val="nil"/>
          <w:right w:val="nil"/>
          <w:between w:val="nil"/>
        </w:pBd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 Materials and Methods</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2.1 Study Area</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study was conducted in the</w:t>
      </w:r>
      <w:r>
        <w:rPr>
          <w:rFonts w:ascii="Times New Roman" w:hAnsi="Times New Roman" w:cs="Times New Roman"/>
          <w:color w:val="000000"/>
          <w:sz w:val="24"/>
          <w:szCs w:val="24"/>
        </w:rPr>
        <w:t xml:space="preserve"> Niger Delta region, where most of the drilling operations occur in Nigeria. The study area is in the Southern region of Nigeria, as shown in Figure 1. Oil companies in the nine states in the Niger Delta region participated in the study. The region is char</w:t>
      </w:r>
      <w:r>
        <w:rPr>
          <w:rFonts w:ascii="Times New Roman" w:hAnsi="Times New Roman" w:cs="Times New Roman"/>
          <w:color w:val="000000"/>
          <w:sz w:val="24"/>
          <w:szCs w:val="24"/>
        </w:rPr>
        <w:t>acterised by a network of rivers, mangroves, swamps, and tributaries with a land area of about 70,000Km2. About 90% of the country earning is from the export of petroleum production obtained in the region. However, extensive oil exploration activities have</w:t>
      </w:r>
      <w:r>
        <w:rPr>
          <w:rFonts w:ascii="Times New Roman" w:hAnsi="Times New Roman" w:cs="Times New Roman"/>
          <w:color w:val="000000"/>
          <w:sz w:val="24"/>
          <w:szCs w:val="24"/>
        </w:rPr>
        <w:t xml:space="preserve"> led to severe environmental challenges, including oil spills, gas flaring, and land degradation, which have adversely impacted both the ecosystem and public health. The region's unique environmental and socioeconomic challenges, combined with the high pre</w:t>
      </w:r>
      <w:r>
        <w:rPr>
          <w:rFonts w:ascii="Times New Roman" w:hAnsi="Times New Roman" w:cs="Times New Roman"/>
          <w:color w:val="000000"/>
          <w:sz w:val="24"/>
          <w:szCs w:val="24"/>
        </w:rPr>
        <w:t>valence of occupational health issues among oil field workers, make it an appropriate focus for investigating the chronic effects of oil drilling exposure on worker health.</w:t>
      </w:r>
    </w:p>
    <w:p w:rsidR="00622344" w:rsidRDefault="001903B0">
      <w:pPr>
        <w:widowControl w:val="0"/>
        <w:pBdr>
          <w:top w:val="nil"/>
          <w:left w:val="nil"/>
          <w:bottom w:val="nil"/>
          <w:right w:val="nil"/>
          <w:between w:val="nil"/>
        </w:pBd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2.2 Data Collection</w:t>
      </w: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study adopted a quantitative research approach using a cro</w:t>
      </w:r>
      <w:r>
        <w:rPr>
          <w:rFonts w:ascii="Times New Roman" w:hAnsi="Times New Roman" w:cs="Times New Roman"/>
          <w:color w:val="000000"/>
          <w:sz w:val="24"/>
          <w:szCs w:val="24"/>
        </w:rPr>
        <w:t>ss-sectional study design. It involved the distribution of questionnaires on a one-time basis to workers in the drilling department in the oil and gas companies. A total of 385 questionnaires were distributed to oil and gas workers in drilling operations a</w:t>
      </w:r>
      <w:r>
        <w:rPr>
          <w:rFonts w:ascii="Times New Roman" w:hAnsi="Times New Roman" w:cs="Times New Roman"/>
          <w:color w:val="000000"/>
          <w:sz w:val="24"/>
          <w:szCs w:val="24"/>
        </w:rPr>
        <w:t xml:space="preserve">cross the Niger Delta region. The sampling technique utilised </w:t>
      </w:r>
      <w:r>
        <w:rPr>
          <w:rFonts w:ascii="Times New Roman" w:hAnsi="Times New Roman" w:cs="Times New Roman"/>
          <w:color w:val="000000"/>
          <w:sz w:val="24"/>
          <w:szCs w:val="24"/>
        </w:rPr>
        <w:lastRenderedPageBreak/>
        <w:t>for the study was a purposive sampling method. The inclusion criteria were that workers must be in a drilling operation department and they must have been on the job for more than three years. T</w:t>
      </w:r>
      <w:r>
        <w:rPr>
          <w:rFonts w:ascii="Times New Roman" w:hAnsi="Times New Roman" w:cs="Times New Roman"/>
          <w:color w:val="000000"/>
          <w:sz w:val="24"/>
          <w:szCs w:val="24"/>
        </w:rPr>
        <w:t>he structured questionnaire was developed to capture information across various contributing factors that could influence the chronic health outcome. The contributing factors measured were (1) demographic characteristics (age, gender, educational level, em</w:t>
      </w:r>
      <w:r>
        <w:rPr>
          <w:rFonts w:ascii="Times New Roman" w:hAnsi="Times New Roman" w:cs="Times New Roman"/>
          <w:color w:val="000000"/>
          <w:sz w:val="24"/>
          <w:szCs w:val="24"/>
        </w:rPr>
        <w:t>ployment type, years of experience); (2) work-related factors (physical job demands, work control/autonomy, exposure frequency, working hours); (3) organizational factors (supervisor support, organizational stress support, PPE usage frequency); (4) persona</w:t>
      </w:r>
      <w:r>
        <w:rPr>
          <w:rFonts w:ascii="Times New Roman" w:hAnsi="Times New Roman" w:cs="Times New Roman"/>
          <w:color w:val="000000"/>
          <w:sz w:val="24"/>
          <w:szCs w:val="24"/>
        </w:rPr>
        <w:t>l factors (smoking status, exercise frequency). Also, respondents reported whether they experienced health outcomes due to exposure to the drilling hazards. The outcome was then categorised as chronic if the respondent stated that the health outcome had be</w:t>
      </w:r>
      <w:r>
        <w:rPr>
          <w:rFonts w:ascii="Times New Roman" w:hAnsi="Times New Roman" w:cs="Times New Roman"/>
          <w:color w:val="000000"/>
          <w:sz w:val="24"/>
          <w:szCs w:val="24"/>
        </w:rPr>
        <w:t xml:space="preserve">en persistent for more than 6 months. </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IN" w:eastAsia="en-IN"/>
        </w:rPr>
        <w:drawing>
          <wp:inline distT="0" distB="0" distL="0" distR="0">
            <wp:extent cx="6409764" cy="3143250"/>
            <wp:effectExtent l="19050" t="19050" r="10160" b="1905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 cstate="print"/>
                    <a:srcRect t="16322" b="14313"/>
                    <a:stretch/>
                  </pic:blipFill>
                  <pic:spPr>
                    <a:xfrm>
                      <a:off x="0" y="0"/>
                      <a:ext cx="6409764" cy="3143250"/>
                    </a:xfrm>
                    <a:prstGeom prst="rect">
                      <a:avLst/>
                    </a:prstGeom>
                    <a:ln w="9525" cap="flat" cmpd="sng">
                      <a:solidFill>
                        <a:srgbClr val="D8D8D8"/>
                      </a:solidFill>
                      <a:prstDash val="solid"/>
                      <a:round/>
                      <a:headEnd type="none" w="med" len="med"/>
                      <a:tailEnd type="none" w="med" len="med"/>
                    </a:ln>
                  </pic:spPr>
                </pic:pic>
              </a:graphicData>
            </a:graphic>
          </wp:inline>
        </w:drawing>
      </w:r>
    </w:p>
    <w:p w:rsidR="00622344" w:rsidRDefault="001903B0">
      <w:pPr>
        <w:widowControl w:val="0"/>
        <w:pBdr>
          <w:top w:val="nil"/>
          <w:left w:val="nil"/>
          <w:bottom w:val="nil"/>
          <w:right w:val="nil"/>
          <w:between w:val="nil"/>
        </w:pBd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Figure 1</w:t>
      </w:r>
      <w:r>
        <w:rPr>
          <w:rFonts w:ascii="Times New Roman" w:hAnsi="Times New Roman" w:cs="Times New Roman"/>
          <w:color w:val="000000"/>
          <w:sz w:val="24"/>
          <w:szCs w:val="24"/>
        </w:rPr>
        <w:t>: Map of the study area where survey sampling took place</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2.3 Data Analyses</w:t>
      </w: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Data were analysed using SPSS Statistics (version 26.0). Logistic regression analysis was used to understand the magnitude of </w:t>
      </w:r>
      <w:r>
        <w:rPr>
          <w:rFonts w:ascii="Times New Roman" w:hAnsi="Times New Roman" w:cs="Times New Roman"/>
          <w:color w:val="000000"/>
          <w:sz w:val="24"/>
          <w:szCs w:val="24"/>
        </w:rPr>
        <w:t>the contributing factors in predicting the chronic health outcome, as shown in Equation 1. The chronic health outcome was the binary outcome, while the contributing factors were the predictor variables. Individual models of the contributing factors were mo</w:t>
      </w:r>
      <w:r>
        <w:rPr>
          <w:rFonts w:ascii="Times New Roman" w:hAnsi="Times New Roman" w:cs="Times New Roman"/>
          <w:color w:val="000000"/>
          <w:sz w:val="24"/>
          <w:szCs w:val="24"/>
        </w:rPr>
        <w:t xml:space="preserve">delled against the outcomes as shown in Table 1. </w:t>
      </w:r>
    </w:p>
    <w:p w:rsidR="00622344" w:rsidRDefault="001903B0">
      <w:pPr>
        <w:widowControl w:val="0"/>
        <w:pBdr>
          <w:top w:val="nil"/>
          <w:left w:val="nil"/>
          <w:bottom w:val="nil"/>
          <w:right w:val="nil"/>
          <w:between w:val="nil"/>
        </w:pBdr>
        <w:jc w:val="right"/>
        <w:rPr>
          <w:rFonts w:ascii="Times New Roman" w:hAnsi="Times New Roman" w:cs="Times New Roman"/>
          <w:color w:val="000000"/>
          <w:sz w:val="24"/>
          <w:szCs w:val="24"/>
        </w:rPr>
      </w:pPr>
      <m:oMath>
        <m:r>
          <m:rPr>
            <m:nor/>
          </m:rPr>
          <w:rPr>
            <w:rFonts w:ascii="Times New Roman" w:hAnsi="Times New Roman" w:cs="Times New Roman"/>
            <w:color w:val="000000"/>
            <w:sz w:val="24"/>
            <w:szCs w:val="24"/>
          </w:rPr>
          <m:t>logit</m:t>
        </m:r>
        <m:r>
          <w:rPr>
            <w:rFonts w:ascii="Cambria Math" w:hAnsi="Cambria Math" w:cs="Times New Roman"/>
            <w:color w:val="000000"/>
            <w:sz w:val="24"/>
            <w:szCs w:val="24"/>
          </w:rPr>
          <m:t>(</m:t>
        </m:r>
        <m:r>
          <w:rPr>
            <w:rFonts w:ascii="Cambria Math" w:hAnsi="Cambria Math" w:cs="Times New Roman"/>
            <w:color w:val="000000"/>
            <w:sz w:val="24"/>
            <w:szCs w:val="24"/>
          </w:rPr>
          <m:t>p</m:t>
        </m:r>
        <m:r>
          <w:rPr>
            <w:rFonts w:ascii="Cambria Math" w:hAnsi="Cambria Math" w:cs="Times New Roman"/>
            <w:color w:val="000000"/>
            <w:sz w:val="24"/>
            <w:szCs w:val="24"/>
          </w:rPr>
          <m:t>)=</m:t>
        </m:r>
        <m:r>
          <m:rPr>
            <m:sty m:val="p"/>
          </m:rPr>
          <w:rPr>
            <w:rFonts w:ascii="Cambria Math" w:hAnsi="Cambria Math" w:cs="Times New Roman"/>
            <w:color w:val="000000"/>
            <w:sz w:val="24"/>
            <w:szCs w:val="24"/>
          </w:rPr>
          <m:t>ln</m:t>
        </m:r>
        <m:r>
          <w:rPr>
            <w:rFonts w:ascii="Cambria Math" w:hAnsi="Cambria Math" w:cs="Times New Roman"/>
            <w:color w:val="000000"/>
            <w:sz w:val="24"/>
            <w:szCs w:val="24"/>
          </w:rPr>
          <m:t>⁡</m:t>
        </m:r>
        <m:d>
          <m:dPr>
            <m:ctrlPr>
              <w:rPr>
                <w:rFonts w:ascii="Cambria Math" w:hAnsi="Cambria Math" w:cs="Times New Roman"/>
                <w:color w:val="000000"/>
                <w:sz w:val="24"/>
                <w:szCs w:val="24"/>
              </w:rPr>
            </m:ctrlPr>
          </m:dPr>
          <m:e>
            <m:f>
              <m:fPr>
                <m:ctrlPr>
                  <w:rPr>
                    <w:rFonts w:ascii="Cambria Math" w:hAnsi="Cambria Math" w:cs="Times New Roman"/>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1-</m:t>
                </m:r>
                <m:r>
                  <w:rPr>
                    <w:rFonts w:ascii="Cambria Math" w:hAnsi="Cambria Math" w:cs="Times New Roman"/>
                    <w:color w:val="000000"/>
                    <w:sz w:val="24"/>
                    <w:szCs w:val="24"/>
                  </w:rPr>
                  <m:t>p</m:t>
                </m:r>
              </m:den>
            </m:f>
          </m:e>
        </m:d>
        <m: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1</m:t>
            </m:r>
          </m:sub>
        </m:sSub>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1</m:t>
            </m:r>
          </m:sub>
        </m:sSub>
        <m: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2</m:t>
            </m:r>
          </m:sub>
        </m:sSub>
        <m: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n</m:t>
            </m:r>
          </m:sub>
        </m:sSub>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n</m:t>
            </m:r>
          </m:sub>
        </m:sSub>
      </m:oMath>
      <w:r>
        <w:rPr>
          <w:rFonts w:ascii="Times New Roman" w:hAnsi="Times New Roman" w:cs="Times New Roman"/>
          <w:color w:val="000000"/>
          <w:sz w:val="24"/>
          <w:szCs w:val="24"/>
        </w:rPr>
        <w:t xml:space="preserve">                           1</w:t>
      </w:r>
      <m:oMath>
        <m:r>
          <m:rPr>
            <m:sty m:val="p"/>
          </m:rPr>
          <w:rPr>
            <w:rFonts w:ascii="Times New Roman" w:hAnsi="Times New Roman" w:cs="Times New Roman"/>
            <w:color w:val="000000"/>
            <w:sz w:val="24"/>
            <w:szCs w:val="24"/>
          </w:rPr>
          <w:br/>
        </m:r>
      </m:oMath>
    </w:p>
    <w:p w:rsidR="00622344" w:rsidRDefault="001903B0">
      <w:pPr>
        <w:widowControl w:val="0"/>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m:oMath>
        <m:r>
          <w:rPr>
            <w:rFonts w:ascii="Cambria Math" w:hAnsi="Cambria Math" w:cs="Times New Roman"/>
            <w:color w:val="000000"/>
            <w:sz w:val="24"/>
            <w:szCs w:val="24"/>
          </w:rPr>
          <m:t>p</m:t>
        </m:r>
      </m:oMath>
      <w:r>
        <w:rPr>
          <w:rFonts w:ascii="Times New Roman" w:hAnsi="Times New Roman" w:cs="Times New Roman"/>
          <w:color w:val="000000"/>
          <w:sz w:val="24"/>
          <w:szCs w:val="24"/>
        </w:rPr>
        <w:t xml:space="preserve"> denotes the probability of developing chronic health issues, </w:t>
      </w:r>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0</m:t>
            </m:r>
          </m:sub>
        </m:sSub>
      </m:oMath>
      <w:r>
        <w:rPr>
          <w:rFonts w:ascii="Times New Roman" w:hAnsi="Times New Roman" w:cs="Times New Roman"/>
          <w:color w:val="000000"/>
          <w:sz w:val="24"/>
          <w:szCs w:val="24"/>
        </w:rPr>
        <w:t xml:space="preserve">is the intercept term, </w:t>
      </w:r>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1</m:t>
            </m:r>
          </m:sub>
        </m:sSub>
        <m: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n</m:t>
            </m:r>
          </m:sub>
        </m:sSub>
      </m:oMath>
      <w:r>
        <w:rPr>
          <w:rFonts w:ascii="Times New Roman" w:hAnsi="Times New Roman" w:cs="Times New Roman"/>
          <w:color w:val="000000"/>
          <w:sz w:val="24"/>
          <w:szCs w:val="24"/>
        </w:rPr>
        <w:t xml:space="preserve">are the regression coefficients, and </w:t>
      </w:r>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1</m:t>
            </m:r>
          </m:sub>
        </m:sSub>
        <m: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n</m:t>
            </m:r>
          </m:sub>
        </m:sSub>
      </m:oMath>
      <w:r>
        <w:rPr>
          <w:rFonts w:ascii="Times New Roman" w:hAnsi="Times New Roman" w:cs="Times New Roman"/>
          <w:color w:val="000000"/>
          <w:sz w:val="24"/>
          <w:szCs w:val="24"/>
        </w:rPr>
        <w:t>represent the predictor variables.</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360" w:lineRule="auto"/>
        <w:ind w:left="990" w:hanging="990"/>
        <w:jc w:val="both"/>
        <w:rPr>
          <w:rFonts w:ascii="Times New Roman" w:hAnsi="Times New Roman" w:cs="Times New Roman"/>
          <w:color w:val="000000"/>
          <w:sz w:val="24"/>
          <w:szCs w:val="24"/>
        </w:rPr>
      </w:pPr>
      <w:r>
        <w:rPr>
          <w:rFonts w:ascii="Times New Roman" w:hAnsi="Times New Roman" w:cs="Times New Roman"/>
          <w:b/>
          <w:bCs/>
          <w:color w:val="000000"/>
          <w:sz w:val="24"/>
          <w:szCs w:val="24"/>
        </w:rPr>
        <w:t>Table 1</w:t>
      </w:r>
      <w:r>
        <w:rPr>
          <w:rFonts w:ascii="Times New Roman" w:hAnsi="Times New Roman" w:cs="Times New Roman"/>
          <w:color w:val="000000"/>
          <w:sz w:val="24"/>
          <w:szCs w:val="24"/>
        </w:rPr>
        <w:t>: Logistic Regression Models Examining Factors Associated with the Development of Chronic Health Issues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0"/>
        <w:gridCol w:w="1980"/>
        <w:gridCol w:w="4050"/>
        <w:gridCol w:w="2340"/>
      </w:tblGrid>
      <w:tr w:rsidR="00622344">
        <w:trPr>
          <w:tblHeader/>
          <w:tblCellSpacing w:w="15" w:type="dxa"/>
        </w:trPr>
        <w:tc>
          <w:tcPr>
            <w:tcW w:w="945" w:type="dxa"/>
            <w:tcBorders>
              <w:top w:val="single" w:sz="4" w:space="0" w:color="auto"/>
              <w:bottom w:val="single" w:sz="4" w:space="0" w:color="auto"/>
            </w:tcBorders>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950" w:type="dxa"/>
            <w:tcBorders>
              <w:top w:val="single" w:sz="4" w:space="0" w:color="auto"/>
              <w:bottom w:val="single" w:sz="4" w:space="0" w:color="auto"/>
            </w:tcBorders>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Contributing factors</w:t>
            </w:r>
          </w:p>
        </w:tc>
        <w:tc>
          <w:tcPr>
            <w:tcW w:w="4020" w:type="dxa"/>
            <w:tcBorders>
              <w:top w:val="single" w:sz="4" w:space="0" w:color="auto"/>
              <w:bottom w:val="single" w:sz="4" w:space="0" w:color="auto"/>
            </w:tcBorders>
            <w:vAlign w:val="center"/>
            <w:hideMark/>
          </w:tcPr>
          <w:p w:rsidR="00622344" w:rsidRDefault="001903B0">
            <w:pPr>
              <w:widowControl w:val="0"/>
              <w:pBdr>
                <w:top w:val="nil"/>
                <w:left w:val="nil"/>
                <w:bottom w:val="nil"/>
                <w:right w:val="nil"/>
                <w:between w:val="nil"/>
              </w:pBdr>
              <w:rPr>
                <w:rFonts w:ascii="Times New Roman" w:hAnsi="Times New Roman" w:cs="Times New Roman"/>
                <w:b/>
                <w:bCs/>
                <w:color w:val="000000"/>
                <w:sz w:val="24"/>
                <w:szCs w:val="24"/>
              </w:rPr>
            </w:pPr>
            <w:r>
              <w:rPr>
                <w:rFonts w:ascii="Times New Roman" w:hAnsi="Times New Roman" w:cs="Times New Roman"/>
                <w:b/>
                <w:bCs/>
                <w:color w:val="000000"/>
                <w:sz w:val="24"/>
                <w:szCs w:val="24"/>
              </w:rPr>
              <w:t>Predictor Variables</w:t>
            </w:r>
          </w:p>
        </w:tc>
        <w:tc>
          <w:tcPr>
            <w:tcW w:w="2295" w:type="dxa"/>
            <w:tcBorders>
              <w:top w:val="single" w:sz="4" w:space="0" w:color="auto"/>
              <w:bottom w:val="single" w:sz="4" w:space="0" w:color="auto"/>
            </w:tcBorders>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Outcome </w:t>
            </w:r>
            <w:r>
              <w:rPr>
                <w:rFonts w:ascii="Times New Roman" w:hAnsi="Times New Roman" w:cs="Times New Roman"/>
                <w:b/>
                <w:bCs/>
                <w:color w:val="000000"/>
                <w:sz w:val="24"/>
                <w:szCs w:val="24"/>
              </w:rPr>
              <w:t>Variable</w:t>
            </w:r>
          </w:p>
        </w:tc>
      </w:tr>
      <w:tr w:rsidR="00622344">
        <w:trPr>
          <w:tblCellSpacing w:w="15" w:type="dxa"/>
        </w:trPr>
        <w:tc>
          <w:tcPr>
            <w:tcW w:w="945" w:type="dxa"/>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Model 1</w:t>
            </w:r>
          </w:p>
        </w:tc>
        <w:tc>
          <w:tcPr>
            <w:tcW w:w="1950" w:type="dxa"/>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Work-related factors</w:t>
            </w:r>
          </w:p>
        </w:tc>
        <w:tc>
          <w:tcPr>
            <w:tcW w:w="4020" w:type="dxa"/>
            <w:vAlign w:val="center"/>
            <w:hideMark/>
          </w:tcPr>
          <w:p w:rsidR="00622344" w:rsidRDefault="001903B0">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Physical job demands; Work control/autonomy; Exposure frequency</w:t>
            </w:r>
          </w:p>
        </w:tc>
        <w:tc>
          <w:tcPr>
            <w:tcW w:w="2295" w:type="dxa"/>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Developing a chronic health issue (Yes/No)</w:t>
            </w:r>
          </w:p>
        </w:tc>
      </w:tr>
      <w:tr w:rsidR="00622344">
        <w:trPr>
          <w:tblCellSpacing w:w="15" w:type="dxa"/>
        </w:trPr>
        <w:tc>
          <w:tcPr>
            <w:tcW w:w="945" w:type="dxa"/>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Model 2</w:t>
            </w:r>
          </w:p>
        </w:tc>
        <w:tc>
          <w:tcPr>
            <w:tcW w:w="1950" w:type="dxa"/>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Organizational factors</w:t>
            </w:r>
          </w:p>
        </w:tc>
        <w:tc>
          <w:tcPr>
            <w:tcW w:w="4020" w:type="dxa"/>
            <w:vAlign w:val="center"/>
            <w:hideMark/>
          </w:tcPr>
          <w:p w:rsidR="00622344" w:rsidRDefault="001903B0">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Supervisor support; Organisational stress support; PPE usage frequency</w:t>
            </w:r>
          </w:p>
        </w:tc>
        <w:tc>
          <w:tcPr>
            <w:tcW w:w="2295" w:type="dxa"/>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Developing a chronic health issue (Yes/No)</w:t>
            </w:r>
          </w:p>
        </w:tc>
      </w:tr>
      <w:tr w:rsidR="00622344">
        <w:trPr>
          <w:tblCellSpacing w:w="15" w:type="dxa"/>
        </w:trPr>
        <w:tc>
          <w:tcPr>
            <w:tcW w:w="945" w:type="dxa"/>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Model 3</w:t>
            </w:r>
          </w:p>
        </w:tc>
        <w:tc>
          <w:tcPr>
            <w:tcW w:w="1950" w:type="dxa"/>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Personal factors</w:t>
            </w:r>
          </w:p>
        </w:tc>
        <w:tc>
          <w:tcPr>
            <w:tcW w:w="4020" w:type="dxa"/>
            <w:vAlign w:val="center"/>
            <w:hideMark/>
          </w:tcPr>
          <w:p w:rsidR="00622344" w:rsidRDefault="001903B0">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Smoking status; Exercise frequency</w:t>
            </w:r>
          </w:p>
        </w:tc>
        <w:tc>
          <w:tcPr>
            <w:tcW w:w="2295" w:type="dxa"/>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Developing a chronic health issue (Yes/No)</w:t>
            </w:r>
          </w:p>
        </w:tc>
      </w:tr>
      <w:tr w:rsidR="00622344">
        <w:trPr>
          <w:tblCellSpacing w:w="15" w:type="dxa"/>
        </w:trPr>
        <w:tc>
          <w:tcPr>
            <w:tcW w:w="945" w:type="dxa"/>
            <w:tcBorders>
              <w:bottom w:val="single" w:sz="4" w:space="0" w:color="auto"/>
            </w:tcBorders>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Model 4</w:t>
            </w:r>
          </w:p>
        </w:tc>
        <w:tc>
          <w:tcPr>
            <w:tcW w:w="1950" w:type="dxa"/>
            <w:tcBorders>
              <w:bottom w:val="single" w:sz="4" w:space="0" w:color="auto"/>
            </w:tcBorders>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Demographic factors</w:t>
            </w:r>
          </w:p>
        </w:tc>
        <w:tc>
          <w:tcPr>
            <w:tcW w:w="4020" w:type="dxa"/>
            <w:tcBorders>
              <w:bottom w:val="single" w:sz="4" w:space="0" w:color="auto"/>
            </w:tcBorders>
            <w:vAlign w:val="center"/>
            <w:hideMark/>
          </w:tcPr>
          <w:p w:rsidR="00622344" w:rsidRDefault="001903B0">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Age group; Years of experience</w:t>
            </w:r>
          </w:p>
        </w:tc>
        <w:tc>
          <w:tcPr>
            <w:tcW w:w="2295" w:type="dxa"/>
            <w:tcBorders>
              <w:bottom w:val="single" w:sz="4" w:space="0" w:color="auto"/>
            </w:tcBorders>
            <w:vAlign w:val="center"/>
            <w:hideMark/>
          </w:tcPr>
          <w:p w:rsidR="00622344" w:rsidRDefault="001903B0">
            <w:pPr>
              <w:widowControl w:val="0"/>
              <w:pBdr>
                <w:top w:val="nil"/>
                <w:left w:val="nil"/>
                <w:bottom w:val="nil"/>
                <w:right w:val="nil"/>
                <w:between w:val="nil"/>
              </w:pBdr>
              <w:jc w:val="center"/>
              <w:rPr>
                <w:rFonts w:ascii="Times New Roman" w:hAnsi="Times New Roman" w:cs="Times New Roman"/>
                <w:color w:val="000000"/>
                <w:sz w:val="24"/>
                <w:szCs w:val="24"/>
              </w:rPr>
            </w:pPr>
            <w:r>
              <w:rPr>
                <w:rFonts w:ascii="Times New Roman" w:hAnsi="Times New Roman" w:cs="Times New Roman"/>
                <w:color w:val="000000"/>
                <w:sz w:val="24"/>
                <w:szCs w:val="24"/>
              </w:rPr>
              <w:t>Developing a chronic health issue (Yes/No)</w:t>
            </w:r>
          </w:p>
        </w:tc>
      </w:tr>
    </w:tbl>
    <w:p w:rsidR="00622344" w:rsidRDefault="00622344">
      <w:pPr>
        <w:widowControl w:val="0"/>
        <w:pBdr>
          <w:top w:val="nil"/>
          <w:left w:val="nil"/>
          <w:bottom w:val="nil"/>
          <w:right w:val="nil"/>
          <w:between w:val="nil"/>
        </w:pBdr>
        <w:jc w:val="both"/>
        <w:rPr>
          <w:rFonts w:ascii="Times New Roman" w:hAnsi="Times New Roman" w:cs="Times New Roman"/>
          <w:b/>
          <w:bCs/>
          <w:color w:val="000000"/>
          <w:sz w:val="24"/>
          <w:szCs w:val="24"/>
        </w:rPr>
      </w:pPr>
    </w:p>
    <w:p w:rsidR="00622344" w:rsidRDefault="00622344">
      <w:pPr>
        <w:widowControl w:val="0"/>
        <w:pBdr>
          <w:top w:val="nil"/>
          <w:left w:val="nil"/>
          <w:bottom w:val="nil"/>
          <w:right w:val="nil"/>
          <w:between w:val="nil"/>
        </w:pBdr>
        <w:jc w:val="both"/>
        <w:rPr>
          <w:rFonts w:ascii="Times New Roman" w:hAnsi="Times New Roman" w:cs="Times New Roman"/>
          <w:b/>
          <w:bCs/>
          <w:color w:val="000000"/>
          <w:sz w:val="24"/>
          <w:szCs w:val="24"/>
        </w:rPr>
      </w:pPr>
    </w:p>
    <w:p w:rsidR="00622344" w:rsidRDefault="001903B0">
      <w:pPr>
        <w:widowControl w:val="0"/>
        <w:pBdr>
          <w:top w:val="nil"/>
          <w:left w:val="nil"/>
          <w:bottom w:val="nil"/>
          <w:right w:val="nil"/>
          <w:between w:val="nil"/>
        </w:pBd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3.0 Results</w:t>
      </w:r>
    </w:p>
    <w:p w:rsidR="00622344" w:rsidRDefault="00622344">
      <w:pPr>
        <w:widowControl w:val="0"/>
        <w:pBdr>
          <w:top w:val="nil"/>
          <w:left w:val="nil"/>
          <w:bottom w:val="nil"/>
          <w:right w:val="nil"/>
          <w:between w:val="nil"/>
        </w:pBdr>
        <w:jc w:val="both"/>
        <w:rPr>
          <w:rFonts w:ascii="Times New Roman" w:hAnsi="Times New Roman" w:cs="Times New Roman"/>
          <w:b/>
          <w:bCs/>
          <w:color w:val="000000"/>
          <w:sz w:val="24"/>
          <w:szCs w:val="24"/>
        </w:rPr>
      </w:pPr>
    </w:p>
    <w:p w:rsidR="00622344" w:rsidRDefault="001903B0">
      <w:pPr>
        <w:widowControl w:val="0"/>
        <w:pBdr>
          <w:top w:val="nil"/>
          <w:left w:val="nil"/>
          <w:bottom w:val="nil"/>
          <w:right w:val="nil"/>
          <w:between w:val="nil"/>
        </w:pBd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3.1 Work-Related Contributing Factors</w:t>
      </w: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Table 2 presents the logistic regression analysis results of work-related factors. Three work-related variables were evaluated: physical job demands, work control/autonomy, and exposure frequency.  </w:t>
      </w: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Physical job demands showed a significant positive association with chronic health issues, with each unit increase in job demands associated with 17.9% increased odds of developing chronic health conditions (OR = 1.18, 95% CI: 1.17-1.19, p &lt; 0.001). This f</w:t>
      </w:r>
      <w:r>
        <w:rPr>
          <w:rFonts w:ascii="Times New Roman" w:hAnsi="Times New Roman" w:cs="Times New Roman"/>
          <w:color w:val="000000"/>
          <w:sz w:val="24"/>
          <w:szCs w:val="24"/>
        </w:rPr>
        <w:t>inding confirms that higher physical workload contributes independently to chronic health risks. Work control/autonomy showed a significant protective effect, with each unit increase in worker autonomy associated with 7.6% decreased odds of developing chro</w:t>
      </w:r>
      <w:r>
        <w:rPr>
          <w:rFonts w:ascii="Times New Roman" w:hAnsi="Times New Roman" w:cs="Times New Roman"/>
          <w:color w:val="000000"/>
          <w:sz w:val="24"/>
          <w:szCs w:val="24"/>
        </w:rPr>
        <w:t>nic health issues (OR = 0.92, 95% CI: 0.92-0.93, p &lt; 0.001). This suggests that workers with greater decision-making authority and task control experience reduced health risks, possibly through better ability to manage work pace and methods. Exposure frequ</w:t>
      </w:r>
      <w:r>
        <w:rPr>
          <w:rFonts w:ascii="Times New Roman" w:hAnsi="Times New Roman" w:cs="Times New Roman"/>
          <w:color w:val="000000"/>
          <w:sz w:val="24"/>
          <w:szCs w:val="24"/>
        </w:rPr>
        <w:t>ency emerged as the strongest work-related predictor, with each unit increase in exposure frequency associated with 111.4% increased odds of developing chronic health issues (OR = 2.11, 95% CI: 2.10-2.13, p &lt; 0.001). This substantial effect size highlights</w:t>
      </w:r>
      <w:r>
        <w:rPr>
          <w:rFonts w:ascii="Times New Roman" w:hAnsi="Times New Roman" w:cs="Times New Roman"/>
          <w:color w:val="000000"/>
          <w:sz w:val="24"/>
          <w:szCs w:val="24"/>
        </w:rPr>
        <w:t xml:space="preserve"> the critical importance of exposure frequency in determining health outcomes and emphasises the need for interventions to reduce exposure frequency. The work-related factors model achieved 74.49% classification accuracy with three variables, demonstrating</w:t>
      </w:r>
      <w:r>
        <w:rPr>
          <w:rFonts w:ascii="Times New Roman" w:hAnsi="Times New Roman" w:cs="Times New Roman"/>
          <w:color w:val="000000"/>
          <w:sz w:val="24"/>
          <w:szCs w:val="24"/>
        </w:rPr>
        <w:t xml:space="preserve"> good predictive performance. Exposure frequency was identified as the most influential factor based on the magnitude of its odds ratio.</w:t>
      </w:r>
    </w:p>
    <w:p w:rsidR="00622344" w:rsidRDefault="001903B0">
      <w:pPr>
        <w:widowControl w:val="0"/>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b/>
          <w:bCs/>
          <w:color w:val="000000"/>
          <w:sz w:val="24"/>
          <w:szCs w:val="24"/>
        </w:rPr>
        <w:t>Table 2</w:t>
      </w:r>
      <w:r>
        <w:rPr>
          <w:rFonts w:ascii="Times New Roman" w:hAnsi="Times New Roman" w:cs="Times New Roman"/>
          <w:color w:val="000000"/>
          <w:sz w:val="24"/>
          <w:szCs w:val="24"/>
        </w:rPr>
        <w:t>: Logistic Regression Results for Work-Related Contributing Factors (N=350)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44"/>
        <w:gridCol w:w="1371"/>
        <w:gridCol w:w="1371"/>
        <w:gridCol w:w="1714"/>
        <w:gridCol w:w="1371"/>
        <w:gridCol w:w="1029"/>
      </w:tblGrid>
      <w:tr w:rsidR="00622344">
        <w:tc>
          <w:tcPr>
            <w:tcW w:w="2675"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rPr>
                <w:sz w:val="24"/>
                <w:szCs w:val="24"/>
              </w:rPr>
            </w:pPr>
            <w:r>
              <w:rPr>
                <w:rFonts w:ascii="Times New Roman" w:eastAsia="Times New Roman" w:hAnsi="Times New Roman" w:cs="Times New Roman"/>
                <w:b/>
                <w:bCs/>
                <w:sz w:val="24"/>
                <w:szCs w:val="24"/>
              </w:rPr>
              <w:t>Variable</w:t>
            </w:r>
          </w:p>
        </w:tc>
        <w:tc>
          <w:tcPr>
            <w:tcW w:w="1337"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b/>
                <w:bCs/>
                <w:sz w:val="24"/>
                <w:szCs w:val="24"/>
              </w:rPr>
              <w:t>β</w:t>
            </w:r>
          </w:p>
        </w:tc>
        <w:tc>
          <w:tcPr>
            <w:tcW w:w="1337"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b/>
                <w:bCs/>
                <w:sz w:val="24"/>
                <w:szCs w:val="24"/>
              </w:rPr>
              <w:t>OR</w:t>
            </w:r>
          </w:p>
        </w:tc>
        <w:tc>
          <w:tcPr>
            <w:tcW w:w="1671"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b/>
                <w:bCs/>
                <w:sz w:val="24"/>
                <w:szCs w:val="24"/>
              </w:rPr>
              <w:t>95% CI</w:t>
            </w:r>
          </w:p>
        </w:tc>
        <w:tc>
          <w:tcPr>
            <w:tcW w:w="1337"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b/>
                <w:bCs/>
                <w:sz w:val="24"/>
                <w:szCs w:val="24"/>
              </w:rPr>
              <w:t>p-value</w:t>
            </w:r>
          </w:p>
        </w:tc>
        <w:tc>
          <w:tcPr>
            <w:tcW w:w="1003"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b/>
                <w:bCs/>
                <w:sz w:val="24"/>
                <w:szCs w:val="24"/>
              </w:rPr>
              <w:t>Sig.</w:t>
            </w:r>
          </w:p>
        </w:tc>
      </w:tr>
      <w:tr w:rsidR="00622344">
        <w:tc>
          <w:tcPr>
            <w:tcW w:w="2675"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rPr>
                <w:sz w:val="24"/>
                <w:szCs w:val="24"/>
              </w:rPr>
            </w:pPr>
            <w:r>
              <w:rPr>
                <w:rFonts w:ascii="Times New Roman" w:eastAsia="Times New Roman" w:hAnsi="Times New Roman" w:cs="Times New Roman"/>
                <w:sz w:val="24"/>
                <w:szCs w:val="24"/>
              </w:rPr>
              <w:t>Physical Job Demands</w:t>
            </w:r>
          </w:p>
        </w:tc>
        <w:tc>
          <w:tcPr>
            <w:tcW w:w="1337"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0.164</w:t>
            </w:r>
          </w:p>
        </w:tc>
        <w:tc>
          <w:tcPr>
            <w:tcW w:w="1337"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1.179</w:t>
            </w:r>
          </w:p>
        </w:tc>
        <w:tc>
          <w:tcPr>
            <w:tcW w:w="1671"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[1.172, 1.185]</w:t>
            </w:r>
          </w:p>
        </w:tc>
        <w:tc>
          <w:tcPr>
            <w:tcW w:w="1337"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&lt;.001</w:t>
            </w:r>
          </w:p>
        </w:tc>
        <w:tc>
          <w:tcPr>
            <w:tcW w:w="1003"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w:t>
            </w:r>
          </w:p>
        </w:tc>
      </w:tr>
      <w:tr w:rsidR="00622344">
        <w:tc>
          <w:tcPr>
            <w:tcW w:w="2675"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rPr>
                <w:sz w:val="24"/>
                <w:szCs w:val="24"/>
              </w:rPr>
            </w:pPr>
            <w:r>
              <w:rPr>
                <w:rFonts w:ascii="Times New Roman" w:eastAsia="Times New Roman" w:hAnsi="Times New Roman" w:cs="Times New Roman"/>
                <w:sz w:val="24"/>
                <w:szCs w:val="24"/>
              </w:rPr>
              <w:t>Work Control/Autonomy</w:t>
            </w:r>
          </w:p>
        </w:tc>
        <w:tc>
          <w:tcPr>
            <w:tcW w:w="1337"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-0.079</w:t>
            </w:r>
          </w:p>
        </w:tc>
        <w:tc>
          <w:tcPr>
            <w:tcW w:w="1337"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0.924</w:t>
            </w:r>
          </w:p>
        </w:tc>
        <w:tc>
          <w:tcPr>
            <w:tcW w:w="1671"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[0.920, 0.929]</w:t>
            </w:r>
          </w:p>
        </w:tc>
        <w:tc>
          <w:tcPr>
            <w:tcW w:w="1337"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&lt;.001</w:t>
            </w:r>
          </w:p>
        </w:tc>
        <w:tc>
          <w:tcPr>
            <w:tcW w:w="1003"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w:t>
            </w:r>
          </w:p>
        </w:tc>
      </w:tr>
      <w:tr w:rsidR="00622344">
        <w:tc>
          <w:tcPr>
            <w:tcW w:w="2675"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rPr>
                <w:sz w:val="24"/>
                <w:szCs w:val="24"/>
              </w:rPr>
            </w:pPr>
            <w:r>
              <w:rPr>
                <w:rFonts w:ascii="Times New Roman" w:eastAsia="Times New Roman" w:hAnsi="Times New Roman" w:cs="Times New Roman"/>
                <w:sz w:val="24"/>
                <w:szCs w:val="24"/>
              </w:rPr>
              <w:t>Exposure Frequency</w:t>
            </w:r>
          </w:p>
        </w:tc>
        <w:tc>
          <w:tcPr>
            <w:tcW w:w="1337"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0.749</w:t>
            </w:r>
          </w:p>
        </w:tc>
        <w:tc>
          <w:tcPr>
            <w:tcW w:w="1337"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2.114</w:t>
            </w:r>
          </w:p>
        </w:tc>
        <w:tc>
          <w:tcPr>
            <w:tcW w:w="1671"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[2.102, 2.127]</w:t>
            </w:r>
          </w:p>
        </w:tc>
        <w:tc>
          <w:tcPr>
            <w:tcW w:w="1337"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&lt;.001</w:t>
            </w:r>
          </w:p>
        </w:tc>
        <w:tc>
          <w:tcPr>
            <w:tcW w:w="1003"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jc w:val="center"/>
              <w:rPr>
                <w:sz w:val="24"/>
                <w:szCs w:val="24"/>
              </w:rPr>
            </w:pPr>
            <w:r>
              <w:rPr>
                <w:rFonts w:ascii="Times New Roman" w:eastAsia="Times New Roman" w:hAnsi="Times New Roman" w:cs="Times New Roman"/>
                <w:sz w:val="24"/>
                <w:szCs w:val="24"/>
              </w:rPr>
              <w:t>***</w:t>
            </w:r>
          </w:p>
        </w:tc>
      </w:tr>
    </w:tbl>
    <w:p w:rsidR="00622344" w:rsidRDefault="001903B0">
      <w:pPr>
        <w:widowControl w:val="0"/>
        <w:pBdr>
          <w:top w:val="nil"/>
          <w:left w:val="nil"/>
          <w:bottom w:val="nil"/>
          <w:right w:val="nil"/>
          <w:between w:val="nil"/>
        </w:pBdr>
        <w:spacing w:line="240" w:lineRule="auto"/>
        <w:jc w:val="both"/>
        <w:rPr>
          <w:rFonts w:ascii="Times New Roman" w:hAnsi="Times New Roman" w:cs="Times New Roman"/>
          <w:i/>
          <w:iCs/>
          <w:color w:val="000000"/>
        </w:rPr>
      </w:pPr>
      <w:r>
        <w:rPr>
          <w:rFonts w:ascii="Times New Roman" w:hAnsi="Times New Roman" w:cs="Times New Roman"/>
          <w:i/>
          <w:iCs/>
          <w:color w:val="000000"/>
        </w:rPr>
        <w:t xml:space="preserve">Note. β = unstandardized coefficient; OR = odds ratio; CI = confidence </w:t>
      </w:r>
      <w:r>
        <w:rPr>
          <w:rFonts w:ascii="Times New Roman" w:hAnsi="Times New Roman" w:cs="Times New Roman"/>
          <w:i/>
          <w:iCs/>
          <w:color w:val="000000"/>
        </w:rPr>
        <w:t>interval; Sig. = significance level. ***p &lt; .001. Interpretation: Physical Job Demands increases risk by 17.9% per unit increase; Work Control/Autonomy decreases risk by 7.6% per unit increase; Exposure Frequency increases risk by 111.4% per unit increase.</w:t>
      </w:r>
    </w:p>
    <w:p w:rsidR="00622344" w:rsidRDefault="00622344">
      <w:pPr>
        <w:widowControl w:val="0"/>
        <w:pBdr>
          <w:top w:val="nil"/>
          <w:left w:val="nil"/>
          <w:bottom w:val="nil"/>
          <w:right w:val="nil"/>
          <w:between w:val="nil"/>
        </w:pBdr>
        <w:spacing w:line="240" w:lineRule="auto"/>
        <w:jc w:val="both"/>
        <w:rPr>
          <w:rFonts w:ascii="Times New Roman" w:hAnsi="Times New Roman" w:cs="Times New Roman"/>
          <w:b/>
          <w:bCs/>
          <w:color w:val="000000"/>
          <w:sz w:val="24"/>
          <w:szCs w:val="24"/>
        </w:rPr>
      </w:pPr>
    </w:p>
    <w:p w:rsidR="00622344" w:rsidRDefault="001903B0">
      <w:pPr>
        <w:widowControl w:val="0"/>
        <w:pBdr>
          <w:top w:val="nil"/>
          <w:left w:val="nil"/>
          <w:bottom w:val="nil"/>
          <w:right w:val="nil"/>
          <w:between w:val="nil"/>
        </w:pBdr>
        <w:spacing w:line="240" w:lineRule="auto"/>
        <w:jc w:val="both"/>
        <w:rPr>
          <w:rFonts w:ascii="Times New Roman" w:hAnsi="Times New Roman" w:cs="Times New Roman"/>
          <w:i/>
          <w:iCs/>
          <w:color w:val="000000"/>
        </w:rPr>
      </w:pPr>
      <w:r>
        <w:rPr>
          <w:rFonts w:ascii="Times New Roman" w:hAnsi="Times New Roman" w:cs="Times New Roman"/>
          <w:b/>
          <w:bCs/>
          <w:color w:val="000000"/>
          <w:sz w:val="24"/>
          <w:szCs w:val="24"/>
        </w:rPr>
        <w:t>3.2 Organisational Contributing Factors</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The results of the logistic regression of organisational factors are given in Table 3. Three predictor variables of the organisation were measured, namely supervisor support, organisational stress </w:t>
      </w:r>
      <w:r>
        <w:rPr>
          <w:rFonts w:ascii="Times New Roman" w:hAnsi="Times New Roman" w:cs="Times New Roman"/>
          <w:color w:val="000000"/>
          <w:sz w:val="24"/>
          <w:szCs w:val="24"/>
        </w:rPr>
        <w:t>support, and the frequency of using PPE. Supervisor support showed a strong protective factor as one unit increase in supervisor support resulted in a reduction in the odds of developing chronic health problems by 38.2% (OR = 0.62, 95% CI: 0.61-0.62, p &lt; 0</w:t>
      </w:r>
      <w:r>
        <w:rPr>
          <w:rFonts w:ascii="Times New Roman" w:hAnsi="Times New Roman" w:cs="Times New Roman"/>
          <w:color w:val="000000"/>
          <w:sz w:val="24"/>
          <w:szCs w:val="24"/>
        </w:rPr>
        <w:t>.001). This result may indicate that supportive supervision contributes to reducing the health risk potentially by increasing safety implementation, responding to hazard control promptly, providing resources and assistance, and increasing worker morale and</w:t>
      </w:r>
      <w:r>
        <w:rPr>
          <w:rFonts w:ascii="Times New Roman" w:hAnsi="Times New Roman" w:cs="Times New Roman"/>
          <w:color w:val="000000"/>
          <w:sz w:val="24"/>
          <w:szCs w:val="24"/>
        </w:rPr>
        <w:t xml:space="preserve"> psychological health. The protective effect of organisational stress support was even greater, with every one-unit increment of organisational support in coping with work-related stress being linked with 49.4% reduced odds of acquiring chronic health prob</w:t>
      </w:r>
      <w:r>
        <w:rPr>
          <w:rFonts w:ascii="Times New Roman" w:hAnsi="Times New Roman" w:cs="Times New Roman"/>
          <w:color w:val="000000"/>
          <w:sz w:val="24"/>
          <w:szCs w:val="24"/>
        </w:rPr>
        <w:t>lems (OR = 0.51, 95% CI: 0.50-0.51, p &lt; 0.001). This high level of protective effect outlines the paramount role that institutional mechanisms play in managing workplace stress in alleviating chronic health effects. Companies that offer stress management p</w:t>
      </w:r>
      <w:r>
        <w:rPr>
          <w:rFonts w:ascii="Times New Roman" w:hAnsi="Times New Roman" w:cs="Times New Roman"/>
          <w:color w:val="000000"/>
          <w:sz w:val="24"/>
          <w:szCs w:val="24"/>
        </w:rPr>
        <w:t>rograms, counselling services, effective workloads management, and amiable working conditions seem to offer substantial safeguards to the wellbeing of workers. The frequency of use of PPE exhibited an inverse positive relationship with chronic health probl</w:t>
      </w:r>
      <w:r>
        <w:rPr>
          <w:rFonts w:ascii="Times New Roman" w:hAnsi="Times New Roman" w:cs="Times New Roman"/>
          <w:color w:val="000000"/>
          <w:sz w:val="24"/>
          <w:szCs w:val="24"/>
        </w:rPr>
        <w:t>ems where the frequency of use of PPE in 1 unit was linked to 42.1% increment in the probability of a health problem development (OR = 1.42, 95% CI: 1.41-1.43, p &lt; 0.001). This is a surprising result, but it could be the reality of reverse causality, in wh</w:t>
      </w:r>
      <w:r>
        <w:rPr>
          <w:rFonts w:ascii="Times New Roman" w:hAnsi="Times New Roman" w:cs="Times New Roman"/>
          <w:color w:val="000000"/>
          <w:sz w:val="24"/>
          <w:szCs w:val="24"/>
        </w:rPr>
        <w:t>ich employees who are more inclined to believe that they are at higher risk of health or who have already contracted health problems wear PPE more often. Alternatively, it can also point towards the fact that the use of PPE will not work to prevent chronic</w:t>
      </w:r>
      <w:r>
        <w:rPr>
          <w:rFonts w:ascii="Times New Roman" w:hAnsi="Times New Roman" w:cs="Times New Roman"/>
          <w:color w:val="000000"/>
          <w:sz w:val="24"/>
          <w:szCs w:val="24"/>
        </w:rPr>
        <w:t xml:space="preserve"> health issues by itself, and the use of PPE without other measures to ensure that hazards are controlled, or that the workers in the professions where the wearing of PPE is a regular topic </w:t>
      </w:r>
      <w:r>
        <w:rPr>
          <w:rFonts w:ascii="Times New Roman" w:hAnsi="Times New Roman" w:cs="Times New Roman"/>
          <w:color w:val="000000"/>
          <w:sz w:val="24"/>
          <w:szCs w:val="24"/>
        </w:rPr>
        <w:lastRenderedPageBreak/>
        <w:t xml:space="preserve">are by virtue more frequently exposed. Using three variables, the </w:t>
      </w:r>
      <w:r>
        <w:rPr>
          <w:rFonts w:ascii="Times New Roman" w:hAnsi="Times New Roman" w:cs="Times New Roman"/>
          <w:color w:val="000000"/>
          <w:sz w:val="24"/>
          <w:szCs w:val="24"/>
        </w:rPr>
        <w:t>organizational factors model classified 69.05%. The strongest factor was found to be organizational stress support in terms of the magnitude of odds ratio, which means that it is extremely important to health protection.</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b/>
          <w:bCs/>
          <w:color w:val="000000"/>
          <w:sz w:val="24"/>
          <w:szCs w:val="24"/>
        </w:rPr>
        <w:t>Table 3</w:t>
      </w:r>
      <w:r>
        <w:rPr>
          <w:rFonts w:ascii="Times New Roman" w:hAnsi="Times New Roman" w:cs="Times New Roman"/>
          <w:color w:val="000000"/>
          <w:sz w:val="24"/>
          <w:szCs w:val="24"/>
        </w:rPr>
        <w:t>: Logistic Regression Resul</w:t>
      </w:r>
      <w:r>
        <w:rPr>
          <w:rFonts w:ascii="Times New Roman" w:hAnsi="Times New Roman" w:cs="Times New Roman"/>
          <w:color w:val="000000"/>
          <w:sz w:val="24"/>
          <w:szCs w:val="24"/>
        </w:rPr>
        <w:t>ts for Organizational Contributing Factors (N=350)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68"/>
        <w:gridCol w:w="1384"/>
        <w:gridCol w:w="1384"/>
        <w:gridCol w:w="1730"/>
        <w:gridCol w:w="1384"/>
        <w:gridCol w:w="1038"/>
      </w:tblGrid>
      <w:tr w:rsidR="00622344">
        <w:trPr>
          <w:trHeight w:val="256"/>
        </w:trPr>
        <w:tc>
          <w:tcPr>
            <w:tcW w:w="27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b/>
                <w:bCs/>
                <w:sz w:val="24"/>
                <w:szCs w:val="24"/>
              </w:rPr>
              <w:t>Variable</w:t>
            </w:r>
          </w:p>
        </w:tc>
        <w:tc>
          <w:tcPr>
            <w:tcW w:w="1349"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β</w:t>
            </w:r>
          </w:p>
        </w:tc>
        <w:tc>
          <w:tcPr>
            <w:tcW w:w="1349"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OR</w:t>
            </w:r>
          </w:p>
        </w:tc>
        <w:tc>
          <w:tcPr>
            <w:tcW w:w="1687"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95% CI</w:t>
            </w:r>
          </w:p>
        </w:tc>
        <w:tc>
          <w:tcPr>
            <w:tcW w:w="1349"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p-value</w:t>
            </w:r>
          </w:p>
        </w:tc>
        <w:tc>
          <w:tcPr>
            <w:tcW w:w="1012"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Sig.</w:t>
            </w:r>
          </w:p>
        </w:tc>
      </w:tr>
      <w:tr w:rsidR="00622344">
        <w:trPr>
          <w:trHeight w:val="256"/>
        </w:trPr>
        <w:tc>
          <w:tcPr>
            <w:tcW w:w="27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Supervisor Support</w:t>
            </w:r>
          </w:p>
        </w:tc>
        <w:tc>
          <w:tcPr>
            <w:tcW w:w="1349"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-0.482</w:t>
            </w:r>
          </w:p>
        </w:tc>
        <w:tc>
          <w:tcPr>
            <w:tcW w:w="1349"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0.618</w:t>
            </w:r>
          </w:p>
        </w:tc>
        <w:tc>
          <w:tcPr>
            <w:tcW w:w="1687"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[0.611, 0.624]</w:t>
            </w:r>
          </w:p>
        </w:tc>
        <w:tc>
          <w:tcPr>
            <w:tcW w:w="1349"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&lt;.001</w:t>
            </w:r>
          </w:p>
        </w:tc>
        <w:tc>
          <w:tcPr>
            <w:tcW w:w="1012"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w:t>
            </w:r>
          </w:p>
        </w:tc>
      </w:tr>
      <w:tr w:rsidR="00622344">
        <w:trPr>
          <w:trHeight w:val="502"/>
        </w:trPr>
        <w:tc>
          <w:tcPr>
            <w:tcW w:w="27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Organisational Stress Support</w:t>
            </w:r>
          </w:p>
        </w:tc>
        <w:tc>
          <w:tcPr>
            <w:tcW w:w="1349"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-0.681</w:t>
            </w:r>
          </w:p>
        </w:tc>
        <w:tc>
          <w:tcPr>
            <w:tcW w:w="1349"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0.506</w:t>
            </w:r>
          </w:p>
        </w:tc>
        <w:tc>
          <w:tcPr>
            <w:tcW w:w="1687"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[0.503, 0.509]</w:t>
            </w:r>
          </w:p>
        </w:tc>
        <w:tc>
          <w:tcPr>
            <w:tcW w:w="1349"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&lt;.001</w:t>
            </w:r>
          </w:p>
        </w:tc>
        <w:tc>
          <w:tcPr>
            <w:tcW w:w="1012"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w:t>
            </w:r>
          </w:p>
        </w:tc>
      </w:tr>
      <w:tr w:rsidR="00622344">
        <w:trPr>
          <w:trHeight w:val="245"/>
        </w:trPr>
        <w:tc>
          <w:tcPr>
            <w:tcW w:w="27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PPE Usage Frequency</w:t>
            </w:r>
          </w:p>
        </w:tc>
        <w:tc>
          <w:tcPr>
            <w:tcW w:w="1349"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0.351</w:t>
            </w:r>
          </w:p>
        </w:tc>
        <w:tc>
          <w:tcPr>
            <w:tcW w:w="1349"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1.421</w:t>
            </w:r>
          </w:p>
        </w:tc>
        <w:tc>
          <w:tcPr>
            <w:tcW w:w="1687"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 xml:space="preserve">[1.410, </w:t>
            </w:r>
            <w:r>
              <w:rPr>
                <w:rFonts w:ascii="Times New Roman" w:eastAsia="Times New Roman" w:hAnsi="Times New Roman" w:cs="Times New Roman"/>
                <w:sz w:val="24"/>
                <w:szCs w:val="24"/>
              </w:rPr>
              <w:t>1.432]</w:t>
            </w:r>
          </w:p>
        </w:tc>
        <w:tc>
          <w:tcPr>
            <w:tcW w:w="1349"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&lt;.001</w:t>
            </w:r>
          </w:p>
        </w:tc>
        <w:tc>
          <w:tcPr>
            <w:tcW w:w="1012"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w:t>
            </w:r>
          </w:p>
        </w:tc>
      </w:tr>
    </w:tbl>
    <w:p w:rsidR="00622344" w:rsidRDefault="001903B0">
      <w:pPr>
        <w:spacing w:before="120" w:after="480" w:line="240" w:lineRule="auto"/>
        <w:jc w:val="both"/>
        <w:rPr>
          <w:rFonts w:ascii="Times New Roman" w:eastAsia="Times New Roman" w:hAnsi="Times New Roman" w:cs="Times New Roman"/>
          <w:i/>
          <w:iCs/>
        </w:rPr>
      </w:pPr>
      <w:r>
        <w:rPr>
          <w:rFonts w:ascii="Times New Roman" w:eastAsia="Times New Roman" w:hAnsi="Times New Roman" w:cs="Times New Roman"/>
          <w:i/>
          <w:iCs/>
        </w:rPr>
        <w:t>Note. β = unstandardized coefficient; OR = odds ratio; CI = confidence interval; Sig. = significance level. ***p &lt; .001. Interpretation: Supervisor Support decreases risk by 38.2% per unit increase; Organisational Stress Support decreases</w:t>
      </w:r>
      <w:r>
        <w:rPr>
          <w:rFonts w:ascii="Times New Roman" w:eastAsia="Times New Roman" w:hAnsi="Times New Roman" w:cs="Times New Roman"/>
          <w:i/>
          <w:iCs/>
        </w:rPr>
        <w:t xml:space="preserve"> risk by 49.4% per unit increase</w:t>
      </w:r>
    </w:p>
    <w:p w:rsidR="00622344" w:rsidRDefault="001903B0">
      <w:pPr>
        <w:spacing w:before="120" w:after="48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3.3 Personal Contributing Factors</w:t>
      </w: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Logistic regression analysis examining personal lifestyle factors is presented in Table 4. Two personal factors were evaluated: smoking status and exercise frequency. Smoking status </w:t>
      </w:r>
      <w:r>
        <w:rPr>
          <w:rFonts w:ascii="Times New Roman" w:hAnsi="Times New Roman" w:cs="Times New Roman"/>
          <w:color w:val="000000"/>
          <w:sz w:val="24"/>
          <w:szCs w:val="24"/>
        </w:rPr>
        <w:t>demonstrated a significant positive association with chronic health issues, with each unit increase in smoking status associated with 29.1% increased odds of developing chronic health conditions (OR = 1.29, 95% CI: 1.23-1.35, p &lt; 0.001). This finding confi</w:t>
      </w:r>
      <w:r>
        <w:rPr>
          <w:rFonts w:ascii="Times New Roman" w:hAnsi="Times New Roman" w:cs="Times New Roman"/>
          <w:color w:val="000000"/>
          <w:sz w:val="24"/>
          <w:szCs w:val="24"/>
        </w:rPr>
        <w:t>rms the well-established link between tobacco use and adverse health outcomes, suggesting that smoking compounds the occupational health risks already faced by oil drilling workers. The combination of smoking-related health effects and occupational exposur</w:t>
      </w:r>
      <w:r>
        <w:rPr>
          <w:rFonts w:ascii="Times New Roman" w:hAnsi="Times New Roman" w:cs="Times New Roman"/>
          <w:color w:val="000000"/>
          <w:sz w:val="24"/>
          <w:szCs w:val="24"/>
        </w:rPr>
        <w:t>es may have synergistic impacts on chronic disease development. Exercise frequency showed a substantial protective effect, with each unit increase in physical exercise frequency associated with 29.4% decreased odds of developing chronic health issues (OR =</w:t>
      </w:r>
      <w:r>
        <w:rPr>
          <w:rFonts w:ascii="Times New Roman" w:hAnsi="Times New Roman" w:cs="Times New Roman"/>
          <w:color w:val="000000"/>
          <w:sz w:val="24"/>
          <w:szCs w:val="24"/>
        </w:rPr>
        <w:t xml:space="preserve"> 0.71, 95% CI: 0.70-0.71, p &lt; 0.001). This protective effect is comparable in magnitude to the risk increase from smoking, highlighting the importance of </w:t>
      </w:r>
      <w:r>
        <w:rPr>
          <w:rFonts w:ascii="Times New Roman" w:hAnsi="Times New Roman" w:cs="Times New Roman"/>
          <w:color w:val="000000"/>
          <w:sz w:val="24"/>
          <w:szCs w:val="24"/>
        </w:rPr>
        <w:lastRenderedPageBreak/>
        <w:t>regular physical activity in mitigating chronic health risks. Exercise likely provides multiple protec</w:t>
      </w:r>
      <w:r>
        <w:rPr>
          <w:rFonts w:ascii="Times New Roman" w:hAnsi="Times New Roman" w:cs="Times New Roman"/>
          <w:color w:val="000000"/>
          <w:sz w:val="24"/>
          <w:szCs w:val="24"/>
        </w:rPr>
        <w:t>tive mechanisms including improved cardiovascular health, enhanced immune function, stress reduction, better sleep quality, and increased overall physical resilience that may buffer against occupational hazards. The personal factors model achieved 64.63% c</w:t>
      </w:r>
      <w:r>
        <w:rPr>
          <w:rFonts w:ascii="Times New Roman" w:hAnsi="Times New Roman" w:cs="Times New Roman"/>
          <w:color w:val="000000"/>
          <w:sz w:val="24"/>
          <w:szCs w:val="24"/>
        </w:rPr>
        <w:t xml:space="preserve">lassification accuracy with two variables. Exercise frequency was identified as the most influential protective factor based on odds ratio magnitude, suggesting that promoting physical activity among oil drilling workers represents a valuable intervention </w:t>
      </w:r>
      <w:r>
        <w:rPr>
          <w:rFonts w:ascii="Times New Roman" w:hAnsi="Times New Roman" w:cs="Times New Roman"/>
          <w:color w:val="000000"/>
          <w:sz w:val="24"/>
          <w:szCs w:val="24"/>
        </w:rPr>
        <w:t>strategy.</w:t>
      </w:r>
    </w:p>
    <w:p w:rsidR="00622344" w:rsidRDefault="001903B0">
      <w:pPr>
        <w:widowControl w:val="0"/>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b/>
          <w:bCs/>
          <w:color w:val="000000"/>
          <w:sz w:val="24"/>
          <w:szCs w:val="24"/>
        </w:rPr>
        <w:t>Table 4</w:t>
      </w:r>
      <w:r>
        <w:rPr>
          <w:rFonts w:ascii="Times New Roman" w:hAnsi="Times New Roman" w:cs="Times New Roman"/>
          <w:color w:val="000000"/>
          <w:sz w:val="24"/>
          <w:szCs w:val="24"/>
        </w:rPr>
        <w:t>: Logistic Regression Results for Personal Contributing Factors (N=350)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44"/>
        <w:gridCol w:w="1371"/>
        <w:gridCol w:w="1371"/>
        <w:gridCol w:w="1714"/>
        <w:gridCol w:w="1371"/>
        <w:gridCol w:w="1029"/>
      </w:tblGrid>
      <w:tr w:rsidR="00622344">
        <w:tc>
          <w:tcPr>
            <w:tcW w:w="24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b/>
                <w:bCs/>
                <w:sz w:val="24"/>
                <w:szCs w:val="24"/>
              </w:rPr>
              <w:t>Variable</w:t>
            </w:r>
          </w:p>
        </w:tc>
        <w:tc>
          <w:tcPr>
            <w:tcW w:w="12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β</w:t>
            </w:r>
          </w:p>
        </w:tc>
        <w:tc>
          <w:tcPr>
            <w:tcW w:w="12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OR</w:t>
            </w:r>
          </w:p>
        </w:tc>
        <w:tc>
          <w:tcPr>
            <w:tcW w:w="15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95% CI</w:t>
            </w:r>
          </w:p>
        </w:tc>
        <w:tc>
          <w:tcPr>
            <w:tcW w:w="12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p-value</w:t>
            </w:r>
          </w:p>
        </w:tc>
        <w:tc>
          <w:tcPr>
            <w:tcW w:w="9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Sig.</w:t>
            </w:r>
          </w:p>
        </w:tc>
      </w:tr>
      <w:tr w:rsidR="00622344">
        <w:tc>
          <w:tcPr>
            <w:tcW w:w="24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Smoking Status</w:t>
            </w:r>
          </w:p>
        </w:tc>
        <w:tc>
          <w:tcPr>
            <w:tcW w:w="12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0.256</w:t>
            </w:r>
          </w:p>
        </w:tc>
        <w:tc>
          <w:tcPr>
            <w:tcW w:w="12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1.291</w:t>
            </w:r>
          </w:p>
        </w:tc>
        <w:tc>
          <w:tcPr>
            <w:tcW w:w="15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[1.231, 1.354]</w:t>
            </w:r>
          </w:p>
        </w:tc>
        <w:tc>
          <w:tcPr>
            <w:tcW w:w="12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&lt;.001</w:t>
            </w:r>
          </w:p>
        </w:tc>
        <w:tc>
          <w:tcPr>
            <w:tcW w:w="9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w:t>
            </w:r>
          </w:p>
        </w:tc>
      </w:tr>
      <w:tr w:rsidR="00622344">
        <w:tc>
          <w:tcPr>
            <w:tcW w:w="24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Exercise Frequency</w:t>
            </w:r>
          </w:p>
        </w:tc>
        <w:tc>
          <w:tcPr>
            <w:tcW w:w="12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-0.348</w:t>
            </w:r>
          </w:p>
        </w:tc>
        <w:tc>
          <w:tcPr>
            <w:tcW w:w="12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0.706</w:t>
            </w:r>
          </w:p>
        </w:tc>
        <w:tc>
          <w:tcPr>
            <w:tcW w:w="15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[0.704, 0.708]</w:t>
            </w:r>
          </w:p>
        </w:tc>
        <w:tc>
          <w:tcPr>
            <w:tcW w:w="12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&lt;.001</w:t>
            </w:r>
          </w:p>
        </w:tc>
        <w:tc>
          <w:tcPr>
            <w:tcW w:w="9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w:t>
            </w:r>
          </w:p>
        </w:tc>
      </w:tr>
    </w:tbl>
    <w:p w:rsidR="00622344" w:rsidRDefault="001903B0">
      <w:pPr>
        <w:spacing w:before="120" w:after="480" w:line="240" w:lineRule="auto"/>
        <w:jc w:val="both"/>
        <w:rPr>
          <w:i/>
          <w:iCs/>
          <w:sz w:val="24"/>
          <w:szCs w:val="24"/>
        </w:rPr>
      </w:pPr>
      <w:r>
        <w:rPr>
          <w:rFonts w:ascii="Times New Roman" w:eastAsia="Times New Roman" w:hAnsi="Times New Roman" w:cs="Times New Roman"/>
          <w:i/>
          <w:iCs/>
        </w:rPr>
        <w:t xml:space="preserve">Note. β = </w:t>
      </w:r>
      <w:r>
        <w:rPr>
          <w:rFonts w:ascii="Times New Roman" w:eastAsia="Times New Roman" w:hAnsi="Times New Roman" w:cs="Times New Roman"/>
          <w:i/>
          <w:iCs/>
        </w:rPr>
        <w:t>unstandardized coefficient; OR = odds ratio; CI = confidence interval; Sig. = significance level. ***p &lt; .001. Interpretation: Smoking Status increases risk by 29.1% per unit increase; Exercise Frequency decreases risk by 29.4% per unit increase.</w:t>
      </w:r>
    </w:p>
    <w:p w:rsidR="00622344" w:rsidRDefault="001903B0">
      <w:pPr>
        <w:widowControl w:val="0"/>
        <w:pBdr>
          <w:top w:val="nil"/>
          <w:left w:val="nil"/>
          <w:bottom w:val="nil"/>
          <w:right w:val="nil"/>
          <w:between w:val="nil"/>
        </w:pBd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3.4 </w:t>
      </w:r>
      <w:r>
        <w:rPr>
          <w:rFonts w:ascii="Times New Roman" w:hAnsi="Times New Roman" w:cs="Times New Roman"/>
          <w:b/>
          <w:bCs/>
          <w:color w:val="000000"/>
          <w:sz w:val="24"/>
          <w:szCs w:val="24"/>
        </w:rPr>
        <w:t>Demographic Contributing Factors</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5 shows the outcome of the logistic regression of the demographics. Two direct variables were tested; they were age group and years of experience. The age group showed strong positive correlation with the chronic health issue with the difference in o</w:t>
      </w:r>
      <w:r>
        <w:rPr>
          <w:rFonts w:ascii="Times New Roman" w:hAnsi="Times New Roman" w:cs="Times New Roman"/>
          <w:color w:val="000000"/>
          <w:sz w:val="24"/>
          <w:szCs w:val="24"/>
        </w:rPr>
        <w:t xml:space="preserve">dds of developing chronic health issues increased by 64.9 with one unit rise in the age group (OR = 1.65, 95% CI: 1.63-1.66, p &lt; 0.001). This effect size is large, meaning that the elderly workers are at a relatively high risk of developing chronic health </w:t>
      </w:r>
      <w:r>
        <w:rPr>
          <w:rFonts w:ascii="Times New Roman" w:hAnsi="Times New Roman" w:cs="Times New Roman"/>
          <w:color w:val="000000"/>
          <w:sz w:val="24"/>
          <w:szCs w:val="24"/>
        </w:rPr>
        <w:t>issues. The association is probably a combination of several processes such as accumulation of exposure to occupational stress with age, age-related physiological alterations making individuals more exposed to environmental stressors, possible cohort influ</w:t>
      </w:r>
      <w:r>
        <w:rPr>
          <w:rFonts w:ascii="Times New Roman" w:hAnsi="Times New Roman" w:cs="Times New Roman"/>
          <w:color w:val="000000"/>
          <w:sz w:val="24"/>
          <w:szCs w:val="24"/>
        </w:rPr>
        <w:t xml:space="preserve">ence, and natural age-associated growth of chronic illness in populations in general. Experience also demonstrated a positive association with chronic health problems with a one unit </w:t>
      </w:r>
      <w:r>
        <w:rPr>
          <w:rFonts w:ascii="Times New Roman" w:hAnsi="Times New Roman" w:cs="Times New Roman"/>
          <w:color w:val="000000"/>
          <w:sz w:val="24"/>
          <w:szCs w:val="24"/>
        </w:rPr>
        <w:lastRenderedPageBreak/>
        <w:t xml:space="preserve">increase in the category of experience increasing odds of having chronic </w:t>
      </w:r>
      <w:r>
        <w:rPr>
          <w:rFonts w:ascii="Times New Roman" w:hAnsi="Times New Roman" w:cs="Times New Roman"/>
          <w:color w:val="000000"/>
          <w:sz w:val="24"/>
          <w:szCs w:val="24"/>
        </w:rPr>
        <w:t xml:space="preserve">health problems by 9.0 percent (OR = 1.09, 95% CI: 1.08-1.10, p = 0.001). Though the difference in effect size with age is not as high, this result supports the hypothesis that longer time of service in oil drilling operations is positively related to the </w:t>
      </w:r>
      <w:r>
        <w:rPr>
          <w:rFonts w:ascii="Times New Roman" w:hAnsi="Times New Roman" w:cs="Times New Roman"/>
          <w:color w:val="000000"/>
          <w:sz w:val="24"/>
          <w:szCs w:val="24"/>
        </w:rPr>
        <w:t>risk of health problems even after adjusting for the age. This implies that there is a contribution of long-term occupational exposure to the development of chronic conditions, which is independent of the role of aging, and these relationships are cumulati</w:t>
      </w:r>
      <w:r>
        <w:rPr>
          <w:rFonts w:ascii="Times New Roman" w:hAnsi="Times New Roman" w:cs="Times New Roman"/>
          <w:color w:val="000000"/>
          <w:sz w:val="24"/>
          <w:szCs w:val="24"/>
        </w:rPr>
        <w:t>ve, as the hypothesis of cumulative exposure-response relationships suggests. With two variables, the demographic factors model had an accuracy of 63.27 in classification. The most significant demographic characteristic that turned out was an age group, wh</w:t>
      </w:r>
      <w:r>
        <w:rPr>
          <w:rFonts w:ascii="Times New Roman" w:hAnsi="Times New Roman" w:cs="Times New Roman"/>
          <w:color w:val="000000"/>
          <w:sz w:val="24"/>
          <w:szCs w:val="24"/>
        </w:rPr>
        <w:t>ich indicates the significance of age-stratified health monitoring and age-specific interventions.</w:t>
      </w:r>
    </w:p>
    <w:p w:rsidR="00622344" w:rsidRDefault="00622344">
      <w:pPr>
        <w:widowControl w:val="0"/>
        <w:pBdr>
          <w:top w:val="nil"/>
          <w:left w:val="nil"/>
          <w:bottom w:val="nil"/>
          <w:right w:val="nil"/>
          <w:between w:val="nil"/>
        </w:pBdr>
        <w:spacing w:line="360" w:lineRule="auto"/>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Table 5</w:t>
      </w:r>
      <w:r>
        <w:rPr>
          <w:rFonts w:ascii="Times New Roman" w:hAnsi="Times New Roman" w:cs="Times New Roman"/>
          <w:color w:val="000000"/>
          <w:sz w:val="24"/>
          <w:szCs w:val="24"/>
        </w:rPr>
        <w:t>: Logistic Regression Results for Demographic Contributing Factors (N=350)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44"/>
        <w:gridCol w:w="1371"/>
        <w:gridCol w:w="1371"/>
        <w:gridCol w:w="1714"/>
        <w:gridCol w:w="1371"/>
        <w:gridCol w:w="1029"/>
      </w:tblGrid>
      <w:tr w:rsidR="00622344">
        <w:tc>
          <w:tcPr>
            <w:tcW w:w="24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b/>
                <w:bCs/>
                <w:sz w:val="24"/>
                <w:szCs w:val="24"/>
              </w:rPr>
              <w:t>Variable</w:t>
            </w:r>
          </w:p>
        </w:tc>
        <w:tc>
          <w:tcPr>
            <w:tcW w:w="12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β</w:t>
            </w:r>
          </w:p>
        </w:tc>
        <w:tc>
          <w:tcPr>
            <w:tcW w:w="12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OR</w:t>
            </w:r>
          </w:p>
        </w:tc>
        <w:tc>
          <w:tcPr>
            <w:tcW w:w="15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95% CI</w:t>
            </w:r>
          </w:p>
        </w:tc>
        <w:tc>
          <w:tcPr>
            <w:tcW w:w="12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p-value</w:t>
            </w:r>
          </w:p>
        </w:tc>
        <w:tc>
          <w:tcPr>
            <w:tcW w:w="9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Sig.</w:t>
            </w:r>
          </w:p>
        </w:tc>
      </w:tr>
      <w:tr w:rsidR="00622344">
        <w:tc>
          <w:tcPr>
            <w:tcW w:w="24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Age Group</w:t>
            </w:r>
          </w:p>
        </w:tc>
        <w:tc>
          <w:tcPr>
            <w:tcW w:w="12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0.500</w:t>
            </w:r>
          </w:p>
        </w:tc>
        <w:tc>
          <w:tcPr>
            <w:tcW w:w="12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1.649</w:t>
            </w:r>
          </w:p>
        </w:tc>
        <w:tc>
          <w:tcPr>
            <w:tcW w:w="15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[1.635, 1.664]</w:t>
            </w:r>
          </w:p>
        </w:tc>
        <w:tc>
          <w:tcPr>
            <w:tcW w:w="12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&lt;</w:t>
            </w:r>
            <w:r>
              <w:rPr>
                <w:rFonts w:ascii="Times New Roman" w:eastAsia="Times New Roman" w:hAnsi="Times New Roman" w:cs="Times New Roman"/>
                <w:sz w:val="24"/>
                <w:szCs w:val="24"/>
              </w:rPr>
              <w:t>.001</w:t>
            </w:r>
          </w:p>
        </w:tc>
        <w:tc>
          <w:tcPr>
            <w:tcW w:w="9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w:t>
            </w:r>
          </w:p>
        </w:tc>
      </w:tr>
      <w:tr w:rsidR="00622344">
        <w:tc>
          <w:tcPr>
            <w:tcW w:w="24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Years of Experience</w:t>
            </w:r>
          </w:p>
        </w:tc>
        <w:tc>
          <w:tcPr>
            <w:tcW w:w="12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0.086</w:t>
            </w:r>
          </w:p>
        </w:tc>
        <w:tc>
          <w:tcPr>
            <w:tcW w:w="12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1.090</w:t>
            </w:r>
          </w:p>
        </w:tc>
        <w:tc>
          <w:tcPr>
            <w:tcW w:w="15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[1.081, 1.099]</w:t>
            </w:r>
          </w:p>
        </w:tc>
        <w:tc>
          <w:tcPr>
            <w:tcW w:w="12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&lt;.001</w:t>
            </w:r>
          </w:p>
        </w:tc>
        <w:tc>
          <w:tcPr>
            <w:tcW w:w="900" w:type="dxa"/>
            <w:tcBorders>
              <w:top w:val="none" w:sz="0" w:space="0" w:color="FFFFFF"/>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w:t>
            </w:r>
          </w:p>
        </w:tc>
      </w:tr>
    </w:tbl>
    <w:p w:rsidR="00622344" w:rsidRDefault="001903B0">
      <w:pPr>
        <w:spacing w:before="120" w:after="480" w:line="24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Note. β = unstandardized coefficient; OR = odds ratio; CI = confidence interval; Sig. = significance level. ***p &lt; .001. Interpretation: Age Group increases risk by 64.9% per unit </w:t>
      </w:r>
      <w:r>
        <w:rPr>
          <w:rFonts w:ascii="Times New Roman" w:eastAsia="Times New Roman" w:hAnsi="Times New Roman" w:cs="Times New Roman"/>
          <w:i/>
          <w:iCs/>
        </w:rPr>
        <w:t>increase; Years of Experience increases risk by 9.0% per unit increase.</w:t>
      </w:r>
    </w:p>
    <w:p w:rsidR="00622344" w:rsidRDefault="001903B0">
      <w:pPr>
        <w:spacing w:after="120"/>
      </w:pPr>
      <w:r>
        <w:rPr>
          <w:rFonts w:ascii="Times New Roman" w:eastAsia="Times New Roman" w:hAnsi="Times New Roman" w:cs="Times New Roman"/>
          <w:b/>
          <w:bCs/>
        </w:rPr>
        <w:t>Table 6</w:t>
      </w:r>
      <w:r>
        <w:t xml:space="preserve">: </w:t>
      </w:r>
      <w:r>
        <w:rPr>
          <w:rFonts w:ascii="Times New Roman" w:eastAsia="Times New Roman" w:hAnsi="Times New Roman" w:cs="Times New Roman"/>
        </w:rPr>
        <w:t>Model Summary of Contributing Factors</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66"/>
        <w:gridCol w:w="1487"/>
        <w:gridCol w:w="1471"/>
        <w:gridCol w:w="2667"/>
        <w:gridCol w:w="1472"/>
      </w:tblGrid>
      <w:tr w:rsidR="00622344">
        <w:trPr>
          <w:trHeight w:val="170"/>
        </w:trPr>
        <w:tc>
          <w:tcPr>
            <w:tcW w:w="260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b/>
                <w:bCs/>
                <w:sz w:val="24"/>
                <w:szCs w:val="24"/>
              </w:rPr>
              <w:t>Model</w:t>
            </w:r>
          </w:p>
        </w:tc>
        <w:tc>
          <w:tcPr>
            <w:tcW w:w="1450"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Number of Variables</w:t>
            </w:r>
          </w:p>
        </w:tc>
        <w:tc>
          <w:tcPr>
            <w:tcW w:w="1434"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Accuracy (%)</w:t>
            </w:r>
          </w:p>
        </w:tc>
        <w:tc>
          <w:tcPr>
            <w:tcW w:w="2601"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Most Influential Factor</w:t>
            </w:r>
          </w:p>
        </w:tc>
        <w:tc>
          <w:tcPr>
            <w:tcW w:w="1435" w:type="dxa"/>
            <w:tcBorders>
              <w:top w:val="single" w:sz="6" w:space="0" w:color="000000"/>
              <w:left w:val="none" w:sz="0" w:space="0" w:color="FFFFFF"/>
              <w:bottom w:val="single" w:sz="6" w:space="0" w:color="000000"/>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b/>
                <w:bCs/>
                <w:sz w:val="24"/>
                <w:szCs w:val="24"/>
              </w:rPr>
              <w:t>Strongest OR</w:t>
            </w:r>
          </w:p>
        </w:tc>
      </w:tr>
      <w:tr w:rsidR="00622344">
        <w:trPr>
          <w:trHeight w:val="92"/>
        </w:trPr>
        <w:tc>
          <w:tcPr>
            <w:tcW w:w="26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Work-Related Factors</w:t>
            </w:r>
          </w:p>
        </w:tc>
        <w:tc>
          <w:tcPr>
            <w:tcW w:w="145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3</w:t>
            </w:r>
          </w:p>
        </w:tc>
        <w:tc>
          <w:tcPr>
            <w:tcW w:w="1434"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74.49</w:t>
            </w:r>
          </w:p>
        </w:tc>
        <w:tc>
          <w:tcPr>
            <w:tcW w:w="2601"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Exposure Frequency</w:t>
            </w:r>
          </w:p>
        </w:tc>
        <w:tc>
          <w:tcPr>
            <w:tcW w:w="1435"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2.114</w:t>
            </w:r>
          </w:p>
        </w:tc>
      </w:tr>
      <w:tr w:rsidR="00622344">
        <w:trPr>
          <w:trHeight w:val="170"/>
        </w:trPr>
        <w:tc>
          <w:tcPr>
            <w:tcW w:w="26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Organizational Factors</w:t>
            </w:r>
          </w:p>
        </w:tc>
        <w:tc>
          <w:tcPr>
            <w:tcW w:w="145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3</w:t>
            </w:r>
          </w:p>
        </w:tc>
        <w:tc>
          <w:tcPr>
            <w:tcW w:w="1434"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69.05</w:t>
            </w:r>
          </w:p>
        </w:tc>
        <w:tc>
          <w:tcPr>
            <w:tcW w:w="2601"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Organizational Stress Support</w:t>
            </w:r>
          </w:p>
        </w:tc>
        <w:tc>
          <w:tcPr>
            <w:tcW w:w="1435"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0.506</w:t>
            </w:r>
          </w:p>
        </w:tc>
      </w:tr>
      <w:tr w:rsidR="00622344">
        <w:trPr>
          <w:trHeight w:val="87"/>
        </w:trPr>
        <w:tc>
          <w:tcPr>
            <w:tcW w:w="260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Personal Factors</w:t>
            </w:r>
          </w:p>
        </w:tc>
        <w:tc>
          <w:tcPr>
            <w:tcW w:w="1450"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2</w:t>
            </w:r>
          </w:p>
        </w:tc>
        <w:tc>
          <w:tcPr>
            <w:tcW w:w="1434"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64.63</w:t>
            </w:r>
          </w:p>
        </w:tc>
        <w:tc>
          <w:tcPr>
            <w:tcW w:w="2601"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Exercise Frequency</w:t>
            </w:r>
          </w:p>
        </w:tc>
        <w:tc>
          <w:tcPr>
            <w:tcW w:w="1435" w:type="dxa"/>
            <w:tcBorders>
              <w:top w:val="none" w:sz="0" w:space="0" w:color="FFFFFF"/>
              <w:left w:val="none" w:sz="0" w:space="0" w:color="FFFFFF"/>
              <w:bottom w:val="none" w:sz="0" w:space="0" w:color="FFFFFF"/>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0.706</w:t>
            </w:r>
          </w:p>
        </w:tc>
      </w:tr>
      <w:tr w:rsidR="00622344">
        <w:trPr>
          <w:trHeight w:val="87"/>
        </w:trPr>
        <w:tc>
          <w:tcPr>
            <w:tcW w:w="2600" w:type="dxa"/>
            <w:tcBorders>
              <w:top w:val="none" w:sz="0" w:space="0" w:color="FFFFFF"/>
              <w:left w:val="none" w:sz="0" w:space="0" w:color="FFFFFF"/>
              <w:bottom w:val="single" w:sz="4" w:space="0" w:color="auto"/>
              <w:right w:val="none" w:sz="0" w:space="0" w:color="FFFFFF"/>
            </w:tcBorders>
            <w:tcMar>
              <w:top w:w="80" w:type="dxa"/>
              <w:left w:w="120" w:type="dxa"/>
              <w:bottom w:w="80" w:type="dxa"/>
              <w:right w:w="120" w:type="dxa"/>
            </w:tcMar>
            <w:vAlign w:val="center"/>
          </w:tcPr>
          <w:p w:rsidR="00622344" w:rsidRDefault="001903B0">
            <w:pPr>
              <w:spacing w:line="240" w:lineRule="auto"/>
              <w:rPr>
                <w:sz w:val="24"/>
                <w:szCs w:val="24"/>
              </w:rPr>
            </w:pPr>
            <w:r>
              <w:rPr>
                <w:rFonts w:ascii="Times New Roman" w:eastAsia="Times New Roman" w:hAnsi="Times New Roman" w:cs="Times New Roman"/>
                <w:sz w:val="24"/>
                <w:szCs w:val="24"/>
              </w:rPr>
              <w:t>Demographics</w:t>
            </w:r>
          </w:p>
        </w:tc>
        <w:tc>
          <w:tcPr>
            <w:tcW w:w="1450" w:type="dxa"/>
            <w:tcBorders>
              <w:top w:val="none" w:sz="0" w:space="0" w:color="FFFFFF"/>
              <w:left w:val="none" w:sz="0" w:space="0" w:color="FFFFFF"/>
              <w:bottom w:val="single" w:sz="4" w:space="0" w:color="auto"/>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2</w:t>
            </w:r>
          </w:p>
        </w:tc>
        <w:tc>
          <w:tcPr>
            <w:tcW w:w="1434" w:type="dxa"/>
            <w:tcBorders>
              <w:top w:val="none" w:sz="0" w:space="0" w:color="FFFFFF"/>
              <w:left w:val="none" w:sz="0" w:space="0" w:color="FFFFFF"/>
              <w:bottom w:val="single" w:sz="4" w:space="0" w:color="auto"/>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63.27</w:t>
            </w:r>
          </w:p>
        </w:tc>
        <w:tc>
          <w:tcPr>
            <w:tcW w:w="2601" w:type="dxa"/>
            <w:tcBorders>
              <w:top w:val="none" w:sz="0" w:space="0" w:color="FFFFFF"/>
              <w:left w:val="none" w:sz="0" w:space="0" w:color="FFFFFF"/>
              <w:bottom w:val="single" w:sz="4" w:space="0" w:color="auto"/>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Age Group</w:t>
            </w:r>
          </w:p>
        </w:tc>
        <w:tc>
          <w:tcPr>
            <w:tcW w:w="1435" w:type="dxa"/>
            <w:tcBorders>
              <w:top w:val="none" w:sz="0" w:space="0" w:color="FFFFFF"/>
              <w:left w:val="none" w:sz="0" w:space="0" w:color="FFFFFF"/>
              <w:bottom w:val="single" w:sz="4" w:space="0" w:color="auto"/>
              <w:right w:val="none" w:sz="0" w:space="0" w:color="FFFFFF"/>
            </w:tcBorders>
            <w:tcMar>
              <w:top w:w="80" w:type="dxa"/>
              <w:left w:w="120" w:type="dxa"/>
              <w:bottom w:w="80" w:type="dxa"/>
              <w:right w:w="120" w:type="dxa"/>
            </w:tcMar>
            <w:vAlign w:val="center"/>
          </w:tcPr>
          <w:p w:rsidR="00622344" w:rsidRDefault="001903B0">
            <w:pPr>
              <w:spacing w:line="240" w:lineRule="auto"/>
              <w:jc w:val="center"/>
              <w:rPr>
                <w:sz w:val="24"/>
                <w:szCs w:val="24"/>
              </w:rPr>
            </w:pPr>
            <w:r>
              <w:rPr>
                <w:rFonts w:ascii="Times New Roman" w:eastAsia="Times New Roman" w:hAnsi="Times New Roman" w:cs="Times New Roman"/>
                <w:sz w:val="24"/>
                <w:szCs w:val="24"/>
              </w:rPr>
              <w:t>1.649</w:t>
            </w:r>
          </w:p>
        </w:tc>
      </w:tr>
    </w:tbl>
    <w:p w:rsidR="00622344" w:rsidRDefault="001903B0">
      <w:pPr>
        <w:spacing w:before="120" w:line="240" w:lineRule="auto"/>
        <w:jc w:val="both"/>
        <w:rPr>
          <w:i/>
          <w:iCs/>
          <w:sz w:val="24"/>
          <w:szCs w:val="24"/>
        </w:rPr>
      </w:pPr>
      <w:r>
        <w:rPr>
          <w:rFonts w:ascii="Times New Roman" w:eastAsia="Times New Roman" w:hAnsi="Times New Roman" w:cs="Times New Roman"/>
          <w:i/>
          <w:iCs/>
        </w:rPr>
        <w:t xml:space="preserve">Note. OR = odds ratio. Each model was evaluated using logistic regression. The Full Model combines </w:t>
      </w:r>
      <w:r>
        <w:rPr>
          <w:rFonts w:ascii="Times New Roman" w:eastAsia="Times New Roman" w:hAnsi="Times New Roman" w:cs="Times New Roman"/>
          <w:i/>
          <w:iCs/>
        </w:rPr>
        <w:t>all predictor categories and achieves the highest classification accuracy (77.55%).</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tabs>
          <w:tab w:val="left" w:pos="8445"/>
        </w:tabs>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4.0 Discussion</w:t>
      </w:r>
      <w:r>
        <w:rPr>
          <w:rFonts w:ascii="Times New Roman" w:hAnsi="Times New Roman" w:cs="Times New Roman"/>
          <w:b/>
          <w:bCs/>
          <w:color w:val="000000"/>
          <w:sz w:val="24"/>
          <w:szCs w:val="24"/>
        </w:rPr>
        <w:tab/>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exposure frequency was identified as the strongest contributing predictor, which indicates</w:t>
      </w:r>
      <w:r>
        <w:rPr>
          <w:rFonts w:ascii="Times New Roman" w:hAnsi="Times New Roman" w:cs="Times New Roman"/>
          <w:color w:val="000000"/>
          <w:sz w:val="24"/>
          <w:szCs w:val="24"/>
        </w:rPr>
        <w:t xml:space="preserve"> that the duration that a drilling worker is exposed to the drilling hazards can seriously result in the worker developing chronic health issues. Mamyrbayev et al. (2025) in their study found that exposing rats multiple times to drilling fluid resulted in </w:t>
      </w:r>
      <w:r>
        <w:rPr>
          <w:rFonts w:ascii="Times New Roman" w:hAnsi="Times New Roman" w:cs="Times New Roman"/>
          <w:color w:val="000000"/>
          <w:sz w:val="24"/>
          <w:szCs w:val="24"/>
        </w:rPr>
        <w:t>dermal health issues. They found that subacute dermal exposure to drilling fluids to rat resulted in lower consumption of food and water by the rats. It was also observed that haematological parameters, such as eosinophilic counts, increased.  The drilling</w:t>
      </w:r>
      <w:r>
        <w:rPr>
          <w:rFonts w:ascii="Times New Roman" w:hAnsi="Times New Roman" w:cs="Times New Roman"/>
          <w:color w:val="000000"/>
          <w:sz w:val="24"/>
          <w:szCs w:val="24"/>
        </w:rPr>
        <w:t xml:space="preserve"> fluid also impacted serum enzyme levels (ALT, AST, ALP, GGT, and LDH) in the rat. Similarly, work demand was found to impact the outcome of chronic health issues among the drilling workers. Increased work demand resulted in more chronic health issues face</w:t>
      </w:r>
      <w:r>
        <w:rPr>
          <w:rFonts w:ascii="Times New Roman" w:hAnsi="Times New Roman" w:cs="Times New Roman"/>
          <w:color w:val="000000"/>
          <w:sz w:val="24"/>
          <w:szCs w:val="24"/>
        </w:rPr>
        <w:t>d by the workers. Workload requirements, excessive working hours, and emotional labour have been linked to anxiety disorder, depression, hypertension, and cardiovascular disease (Benson et al., 2021; Eyayo, 2014). The substantial protective effects of orga</w:t>
      </w:r>
      <w:r>
        <w:rPr>
          <w:rFonts w:ascii="Times New Roman" w:hAnsi="Times New Roman" w:cs="Times New Roman"/>
          <w:color w:val="000000"/>
          <w:sz w:val="24"/>
          <w:szCs w:val="24"/>
        </w:rPr>
        <w:t>nisational stress support identified in this study reflect broader evidence of psychosocial factors as important determinants of occupational health outcomes. Mearns &amp; Reader (2008) in their study reported that a higher social support resulted in workers d</w:t>
      </w:r>
      <w:r>
        <w:rPr>
          <w:rFonts w:ascii="Times New Roman" w:hAnsi="Times New Roman" w:cs="Times New Roman"/>
          <w:color w:val="000000"/>
          <w:sz w:val="24"/>
          <w:szCs w:val="24"/>
        </w:rPr>
        <w:t>eveloping a positive safety behaviour. Better safety behaviour by workers tends to lead to fewer accidents and health issues, showing the need for good organisational support (Gadalla et al., 2024).  Companies with strong stress management advocacy in term</w:t>
      </w:r>
      <w:r>
        <w:rPr>
          <w:rFonts w:ascii="Times New Roman" w:hAnsi="Times New Roman" w:cs="Times New Roman"/>
          <w:color w:val="000000"/>
          <w:sz w:val="24"/>
          <w:szCs w:val="24"/>
        </w:rPr>
        <w:t>s of supervisor assistance, employee assistance programs, and workplace social support can cushion employees not only against the psychological effects of work stressors but also against their physical effects, which will lessen the overall impact of chron</w:t>
      </w:r>
      <w:r>
        <w:rPr>
          <w:rFonts w:ascii="Times New Roman" w:hAnsi="Times New Roman" w:cs="Times New Roman"/>
          <w:color w:val="000000"/>
          <w:sz w:val="24"/>
          <w:szCs w:val="24"/>
        </w:rPr>
        <w:t xml:space="preserve">ic diseases. </w:t>
      </w: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emergence of age as the strongest demographic predictor shows the important of worker age as contributing factor. Older drilling workers have 27.50 times higher odds of developing chronic health conditions compared to younger workers. The</w:t>
      </w:r>
      <w:r>
        <w:rPr>
          <w:rFonts w:ascii="Times New Roman" w:hAnsi="Times New Roman" w:cs="Times New Roman"/>
          <w:color w:val="000000"/>
          <w:sz w:val="24"/>
          <w:szCs w:val="24"/>
        </w:rPr>
        <w:t xml:space="preserve"> observation that smoking status was found to be the strongest predictor of personal contributing factor highlights the importance of workers having a good personal lifestyle. </w:t>
      </w:r>
    </w:p>
    <w:p w:rsidR="00622344" w:rsidRDefault="001903B0">
      <w:pPr>
        <w:widowControl w:val="0"/>
        <w:pBdr>
          <w:top w:val="nil"/>
          <w:left w:val="nil"/>
          <w:bottom w:val="nil"/>
          <w:right w:val="nil"/>
          <w:between w:val="nil"/>
        </w:pBd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5.0 Conclusion</w:t>
      </w:r>
    </w:p>
    <w:p w:rsidR="00622344" w:rsidRDefault="00622344">
      <w:pPr>
        <w:widowControl w:val="0"/>
        <w:pBdr>
          <w:top w:val="nil"/>
          <w:left w:val="nil"/>
          <w:bottom w:val="nil"/>
          <w:right w:val="nil"/>
          <w:between w:val="nil"/>
        </w:pBdr>
        <w:jc w:val="both"/>
        <w:rPr>
          <w:rFonts w:ascii="Times New Roman" w:hAnsi="Times New Roman" w:cs="Times New Roman"/>
          <w:b/>
          <w:bCs/>
          <w:color w:val="000000"/>
          <w:sz w:val="24"/>
          <w:szCs w:val="24"/>
        </w:rPr>
      </w:pPr>
    </w:p>
    <w:p w:rsidR="00622344" w:rsidRDefault="001903B0">
      <w:pPr>
        <w:widowControl w:val="0"/>
        <w:pBdr>
          <w:top w:val="nil"/>
          <w:left w:val="nil"/>
          <w:bottom w:val="nil"/>
          <w:right w:val="nil"/>
          <w:between w:val="nil"/>
        </w:pBd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study provides quantitative evidence on contributing risk </w:t>
      </w:r>
      <w:r>
        <w:rPr>
          <w:rFonts w:ascii="Times New Roman" w:hAnsi="Times New Roman" w:cs="Times New Roman"/>
          <w:color w:val="000000"/>
          <w:sz w:val="24"/>
          <w:szCs w:val="24"/>
        </w:rPr>
        <w:t xml:space="preserve">factors for chronic health conditions among oil drilling workers. Work-related factors, particularly exposure frequency, emerged as primary determinants of chronic health outcomes. Organisational factors, especially stress management support, demonstrated </w:t>
      </w:r>
      <w:r>
        <w:rPr>
          <w:rFonts w:ascii="Times New Roman" w:hAnsi="Times New Roman" w:cs="Times New Roman"/>
          <w:color w:val="000000"/>
          <w:sz w:val="24"/>
          <w:szCs w:val="24"/>
        </w:rPr>
        <w:t xml:space="preserve">substantial protective effects. Personal lifestyle factors, including smoking and exercise, showed comparable effects to some occupational factors, highlighting the importance of personal health promotion. Demographic factors, particularly age, identified </w:t>
      </w:r>
      <w:r>
        <w:rPr>
          <w:rFonts w:ascii="Times New Roman" w:hAnsi="Times New Roman" w:cs="Times New Roman"/>
          <w:color w:val="000000"/>
          <w:sz w:val="24"/>
          <w:szCs w:val="24"/>
        </w:rPr>
        <w:t>high-risk populations requiring enhanced surveillance and protection.</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References</w:t>
      </w:r>
    </w:p>
    <w:p w:rsidR="00622344" w:rsidRDefault="00622344">
      <w:pPr>
        <w:widowControl w:val="0"/>
        <w:pBdr>
          <w:top w:val="nil"/>
          <w:left w:val="nil"/>
          <w:bottom w:val="nil"/>
          <w:right w:val="nil"/>
          <w:between w:val="nil"/>
        </w:pBdr>
        <w:jc w:val="both"/>
        <w:rPr>
          <w:rFonts w:ascii="Times New Roman" w:hAnsi="Times New Roman" w:cs="Times New Roman"/>
          <w:color w:val="000000"/>
          <w:sz w:val="24"/>
          <w:szCs w:val="24"/>
        </w:rPr>
      </w:pP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Baker, M. G., Peckham, T. K., &amp;</w:t>
      </w:r>
      <w:r>
        <w:rPr>
          <w:rFonts w:ascii="Times New Roman" w:hAnsi="Times New Roman" w:cs="Times New Roman"/>
          <w:color w:val="000000"/>
          <w:sz w:val="24"/>
          <w:szCs w:val="24"/>
        </w:rPr>
        <w:t xml:space="preserve"> Seixas, N. S. (2020). Estimating the burden of United States workers exposed to infection or disease: A key factor in containing risk of COVID-19 infection. PLoS ONE, 15(4), e0232452.</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Benson, C., Dimopoulos, C., Argyropoulos, C. D., Mikellidou, C. V., &amp; B</w:t>
      </w:r>
      <w:r>
        <w:rPr>
          <w:rFonts w:ascii="Times New Roman" w:hAnsi="Times New Roman" w:cs="Times New Roman"/>
          <w:color w:val="000000"/>
          <w:sz w:val="24"/>
          <w:szCs w:val="24"/>
        </w:rPr>
        <w:t>oustras, G. (2021). Assessing the common occupational health hazards and their health risks among oil and gas workers. Safety Science, 140, 105284. https://doi.org/10.1016/j.ssci.2021.105284</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Case, A., &amp; Deaton, A. (2005). Broken down by work and sex: How o</w:t>
      </w:r>
      <w:r>
        <w:rPr>
          <w:rFonts w:ascii="Times New Roman" w:hAnsi="Times New Roman" w:cs="Times New Roman"/>
          <w:color w:val="000000"/>
          <w:sz w:val="24"/>
          <w:szCs w:val="24"/>
        </w:rPr>
        <w:t>ur health declines. In D. A. Wise (Ed.), Analyses in the economics of aging (pp. 185-212). University of Chicago Press.</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Checkoway, H., Pearce, N., &amp; Kriebel, D. (2007). Exposure and dose modelling in occupational </w:t>
      </w:r>
      <w:r>
        <w:rPr>
          <w:rFonts w:ascii="Times New Roman" w:hAnsi="Times New Roman" w:cs="Times New Roman"/>
          <w:color w:val="000000"/>
          <w:sz w:val="24"/>
          <w:szCs w:val="24"/>
        </w:rPr>
        <w:lastRenderedPageBreak/>
        <w:t>epidemiology. Occupational and Environmenta</w:t>
      </w:r>
      <w:r>
        <w:rPr>
          <w:rFonts w:ascii="Times New Roman" w:hAnsi="Times New Roman" w:cs="Times New Roman"/>
          <w:color w:val="000000"/>
          <w:sz w:val="24"/>
          <w:szCs w:val="24"/>
        </w:rPr>
        <w:t>l Medicine, 64(7), 492-498.</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Creswell, J. W., &amp; Creswell, J. D. (2018). Research design: Qualitative, quantitative, and mixed methods approaches (5th ed.). Sage Publications.</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D'Andrea, M. A., &amp; Reddy, G. K. (2018). Long-term health effects of the Gulf oil s</w:t>
      </w:r>
      <w:r>
        <w:rPr>
          <w:rFonts w:ascii="Times New Roman" w:hAnsi="Times New Roman" w:cs="Times New Roman"/>
          <w:color w:val="000000"/>
          <w:sz w:val="24"/>
          <w:szCs w:val="24"/>
        </w:rPr>
        <w:t>pill exposure among oil spill clean-up workers seven years post-disaster. Frontiers in Public Health, 6, 117. https://doi.org/10.3389/fpubh.2018.00117</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Eyayo, F. (2014). Evaluation of occupational health hazards among oil industry workers: A case study of r</w:t>
      </w:r>
      <w:r>
        <w:rPr>
          <w:rFonts w:ascii="Times New Roman" w:hAnsi="Times New Roman" w:cs="Times New Roman"/>
          <w:color w:val="000000"/>
          <w:sz w:val="24"/>
          <w:szCs w:val="24"/>
        </w:rPr>
        <w:t>efinery workers. IOSR Journal of Environmental Science, Toxicology and Food Technology, 8(12), 22-53.</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Gadalla, H. E., Helal, H., &amp; Nofal, A. S. (2024). Impact of the Offshore Oil and Gas Working Environment on the Mental Health and Safety Behaviour of Work</w:t>
      </w:r>
      <w:r>
        <w:rPr>
          <w:rFonts w:ascii="Times New Roman" w:hAnsi="Times New Roman" w:cs="Times New Roman"/>
          <w:color w:val="000000"/>
          <w:sz w:val="24"/>
          <w:szCs w:val="24"/>
        </w:rPr>
        <w:t>ers. AIN Journal, (47).</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Hosmer, D. W., Lemeshow, S., &amp; Sturdivant, R. X. (2013). Applied logistic regression (3rd ed.). John Wiley &amp; Sons.</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Ilmarinen, J. (2006). Towards a longer worklife: Ageing and the quality of worklife</w:t>
      </w:r>
      <w:r>
        <w:rPr>
          <w:rFonts w:ascii="Times New Roman" w:hAnsi="Times New Roman" w:cs="Times New Roman"/>
          <w:color w:val="000000"/>
          <w:sz w:val="24"/>
          <w:szCs w:val="24"/>
        </w:rPr>
        <w:t xml:space="preserve"> in the European Union. Finnish Institute of Occupational Health.</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Kale, Ö. A., &amp; Baradan, S. (2020). Identifying factors that contribute to severity of construction injuries using logistic regression model. Teknik Dergi, 31(2), 9919-9940.</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Karasek, R. A., &amp;</w:t>
      </w:r>
      <w:r>
        <w:rPr>
          <w:rFonts w:ascii="Times New Roman" w:hAnsi="Times New Roman" w:cs="Times New Roman"/>
          <w:color w:val="000000"/>
          <w:sz w:val="24"/>
          <w:szCs w:val="24"/>
        </w:rPr>
        <w:t xml:space="preserve"> Theorell, T. (1990). Healthy work: Stress, productivity, and the reconstruction of working life. Basic Books.</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Mearns, K. J., &amp; Reader, T. (2008). Organizational support and safety outcomes: An un-investigated relationship?. Safety science, 46(3), 388-397.</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LaMontagne, A. D., Keegel, T., Louie, A. M., Ostry, A., &amp; Landsbergis, P. A. (2007). A systematic review of the job-stress intervention evaluation literature, 1990-2005. International Journal of Occupational and Environmental Health, 13(3), 268-280.</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Levy,</w:t>
      </w:r>
      <w:r>
        <w:rPr>
          <w:rFonts w:ascii="Times New Roman" w:hAnsi="Times New Roman" w:cs="Times New Roman"/>
          <w:color w:val="000000"/>
          <w:sz w:val="24"/>
          <w:szCs w:val="24"/>
        </w:rPr>
        <w:t xml:space="preserve"> B. S., Wegman, D. H., Baron, S. L., &amp; Sokas, R. K. (2018). Occupational and environmental health: Recognizing and preventing disease and injury (7th ed.). Oxford University Press.</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Mamyrbayev, A., Zhurgenova, A., Komekbay, Z., Kaliev, A., Zhilisbayeva, K.,</w:t>
      </w:r>
      <w:r>
        <w:rPr>
          <w:rFonts w:ascii="Times New Roman" w:hAnsi="Times New Roman" w:cs="Times New Roman"/>
          <w:color w:val="000000"/>
          <w:sz w:val="24"/>
          <w:szCs w:val="24"/>
        </w:rPr>
        <w:t xml:space="preserve"> Yerimbetova, G., Satybaldiyeva, U., Bermagambetova, S., &amp; Sakhanova, S. (2025). Assessment of acute and subchronic skin toxicity of drilling fluids. Human and Experimental </w:t>
      </w:r>
      <w:r>
        <w:rPr>
          <w:rFonts w:ascii="Times New Roman" w:hAnsi="Times New Roman" w:cs="Times New Roman"/>
          <w:color w:val="000000"/>
          <w:sz w:val="24"/>
          <w:szCs w:val="24"/>
        </w:rPr>
        <w:lastRenderedPageBreak/>
        <w:t>Toxicology, 44, 1-16. https://doi.org/10.1177/09603271251379839</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McEwen, B. S. (2000</w:t>
      </w:r>
      <w:r>
        <w:rPr>
          <w:rFonts w:ascii="Times New Roman" w:hAnsi="Times New Roman" w:cs="Times New Roman"/>
          <w:color w:val="000000"/>
          <w:sz w:val="24"/>
          <w:szCs w:val="24"/>
        </w:rPr>
        <w:t>). Allostasis and allostatic load: Implications for neuropsychopharmacology. Neuropsychopharmacology, 22(2), 108-124.</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McNamee, R. (2003). Confounding and exposure measurement error. Occupational and Environmental Medicine, 60(3), 227-234.</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Menard, S. (2010)</w:t>
      </w:r>
      <w:r>
        <w:rPr>
          <w:rFonts w:ascii="Times New Roman" w:hAnsi="Times New Roman" w:cs="Times New Roman"/>
          <w:color w:val="000000"/>
          <w:sz w:val="24"/>
          <w:szCs w:val="24"/>
        </w:rPr>
        <w:t>. Logistic regression: From introductory to advanced concepts and applications. Sage Publications.</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Nwankwo, C., Ogwu, F., &amp; Ijioma, C. (2021). Environmental and occupational health impacts of oil exploration in Nigeria's Niger Delta. Environmental Health P</w:t>
      </w:r>
      <w:r>
        <w:rPr>
          <w:rFonts w:ascii="Times New Roman" w:hAnsi="Times New Roman" w:cs="Times New Roman"/>
          <w:color w:val="000000"/>
          <w:sz w:val="24"/>
          <w:szCs w:val="24"/>
        </w:rPr>
        <w:t>erspectives, 18(2), 145-162.</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Onder, S. (2013). Evaluation of occupational injuries with lost days among opencast coal mine workers through logistic regression models. Safety Science, 59, 86-92. </w:t>
      </w:r>
      <w:hyperlink r:id="rId6" w:history="1">
        <w:r>
          <w:rPr>
            <w:rStyle w:val="Hyperlink"/>
            <w:rFonts w:ascii="Times New Roman" w:hAnsi="Times New Roman" w:cs="Times New Roman"/>
            <w:sz w:val="24"/>
            <w:szCs w:val="24"/>
          </w:rPr>
          <w:t>https:</w:t>
        </w:r>
        <w:r>
          <w:rPr>
            <w:rStyle w:val="Hyperlink"/>
            <w:rFonts w:ascii="Times New Roman" w:hAnsi="Times New Roman" w:cs="Times New Roman"/>
            <w:sz w:val="24"/>
            <w:szCs w:val="24"/>
          </w:rPr>
          <w:t>//doi.org/10.1016/j.ssci.2013.05.002</w:t>
        </w:r>
      </w:hyperlink>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Oyamienlen, O., Nwaogazie, I. L., &amp; Patricks, C. (2023) The Effect of Demographic Factors on Work-related Injuries in the Oil and Gas Industry in the Niger Delta Region in Nigeria.</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Paul, P. S. (2009). Predictors of w</w:t>
      </w:r>
      <w:r>
        <w:rPr>
          <w:rFonts w:ascii="Times New Roman" w:hAnsi="Times New Roman" w:cs="Times New Roman"/>
          <w:color w:val="000000"/>
          <w:sz w:val="24"/>
          <w:szCs w:val="24"/>
        </w:rPr>
        <w:t>ork injury in underground mines—an application of a logistic regression model. Mining Science and Technology (China), 19(3), 282-289.</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Rajamaki, B., Grosch, J. W., &amp; Burnett, L. R. (2018). Workplace intervention effects on sleep quality: A systematic review</w:t>
      </w:r>
      <w:r>
        <w:rPr>
          <w:rFonts w:ascii="Times New Roman" w:hAnsi="Times New Roman" w:cs="Times New Roman"/>
          <w:color w:val="000000"/>
          <w:sz w:val="24"/>
          <w:szCs w:val="24"/>
        </w:rPr>
        <w:t>. Journal of Occupational Health Psychology, 23(3), 291-304.</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Rappaport, S. M., &amp; Smith, T. J. (1991). Exposure assessment for epidemiology and hazard control. Lewis Publishers.</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Retzer, K. D., Hill, R. D., &amp;</w:t>
      </w:r>
      <w:r>
        <w:rPr>
          <w:rFonts w:ascii="Times New Roman" w:hAnsi="Times New Roman" w:cs="Times New Roman"/>
          <w:color w:val="000000"/>
          <w:sz w:val="24"/>
          <w:szCs w:val="24"/>
        </w:rPr>
        <w:t xml:space="preserve"> Pratt, S. G. (2019). Health risk factors among male workers in mining and other manual labor occupations. American Journal of Men's Health, 13(3), 1557988319850950.</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Robroek, S. J., van Lenthe, F. J., van Empelen, P., &amp; Burdorf, A. (2009). Determinants of </w:t>
      </w:r>
      <w:r>
        <w:rPr>
          <w:rFonts w:ascii="Times New Roman" w:hAnsi="Times New Roman" w:cs="Times New Roman"/>
          <w:color w:val="000000"/>
          <w:sz w:val="24"/>
          <w:szCs w:val="24"/>
        </w:rPr>
        <w:t>participation in worksite health promotion programmes: A systematic review. International Journal of Behavioral Nutrition and Physical Activity, 6, 26.</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Setia, M. S. (2016). Methodology series module 3: Cross-sectional studies. Indian Journal of Dermatology</w:t>
      </w:r>
      <w:r>
        <w:rPr>
          <w:rFonts w:ascii="Times New Roman" w:hAnsi="Times New Roman" w:cs="Times New Roman"/>
          <w:color w:val="000000"/>
          <w:sz w:val="24"/>
          <w:szCs w:val="24"/>
        </w:rPr>
        <w:t>, 61(3), 261-264.</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Siegrist, J., &amp; Marmot, M. (2004). Health inequalities and the psychosocial environment. Social Science &amp; Medicine, 58(8), 1463-1473.</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Tabachnick, B. G., &amp; Fidell, L. S. (2019). Using multivariate statistics (7th ed.). Pearson.</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Verbeek, J.</w:t>
      </w:r>
      <w:r>
        <w:rPr>
          <w:rFonts w:ascii="Times New Roman" w:hAnsi="Times New Roman" w:cs="Times New Roman"/>
          <w:color w:val="000000"/>
          <w:sz w:val="24"/>
          <w:szCs w:val="24"/>
        </w:rPr>
        <w:t xml:space="preserve"> H., Ijaz, S., Mischke, C., Ruotsalainen, J. H., Mäkelä, E., Neuvonen, K., et al. (2020). Personal protective equipment for preventing highly infectious diseases due to exposure to contaminated body fluids in healthcare staff. Cochrane Database of Systemat</w:t>
      </w:r>
      <w:r>
        <w:rPr>
          <w:rFonts w:ascii="Times New Roman" w:hAnsi="Times New Roman" w:cs="Times New Roman"/>
          <w:color w:val="000000"/>
          <w:sz w:val="24"/>
          <w:szCs w:val="24"/>
        </w:rPr>
        <w:t>ic Reviews, 4, CD011621.</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Verbeek, J. H., Ijaz, S., Tikka, C., Ruotsalainen, J. H., Mischke, C., &amp; Sauni, R. (2021). Personal protective equipment for preventing highly infectious diseases due to exposure to contaminated body fluids in healthcare staff. </w:t>
      </w:r>
      <w:r>
        <w:rPr>
          <w:rFonts w:ascii="Times New Roman" w:hAnsi="Times New Roman" w:cs="Times New Roman"/>
          <w:color w:val="000000"/>
          <w:sz w:val="24"/>
          <w:szCs w:val="24"/>
        </w:rPr>
        <w:t>Cochrane Database of Systematic Reviews, 5, CD011621.</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World Health Organization. (2017). Protecting workers' health. WHO Fact Sheet. World Health Organization.</w:t>
      </w:r>
    </w:p>
    <w:p w:rsidR="00622344" w:rsidRDefault="001903B0">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World Health Organization. (2020). Healthy workplaces: A model for action for employers, workers</w:t>
      </w:r>
      <w:r>
        <w:rPr>
          <w:rFonts w:ascii="Times New Roman" w:hAnsi="Times New Roman" w:cs="Times New Roman"/>
          <w:color w:val="000000"/>
          <w:sz w:val="24"/>
          <w:szCs w:val="24"/>
        </w:rPr>
        <w:t>, policy-makers and practitioners. World Health Organization..</w:t>
      </w:r>
    </w:p>
    <w:p w:rsidR="00622344" w:rsidRDefault="00622344">
      <w:pPr>
        <w:widowControl w:val="0"/>
        <w:pBdr>
          <w:top w:val="nil"/>
          <w:left w:val="nil"/>
          <w:bottom w:val="nil"/>
          <w:right w:val="nil"/>
          <w:between w:val="nil"/>
        </w:pBdr>
        <w:spacing w:line="360" w:lineRule="auto"/>
        <w:ind w:left="1080" w:hanging="1080"/>
        <w:jc w:val="both"/>
        <w:rPr>
          <w:rFonts w:ascii="Times New Roman" w:hAnsi="Times New Roman" w:cs="Times New Roman"/>
          <w:color w:val="000000"/>
          <w:sz w:val="24"/>
          <w:szCs w:val="24"/>
        </w:rPr>
      </w:pPr>
    </w:p>
    <w:sectPr w:rsidR="0062234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Italic r:id="rId1" w:fontKey="{BF13E07E-B0D5-4E34-A849-B928AE2036EA}"/>
  </w:font>
  <w:font w:name="Cambria Math">
    <w:panose1 w:val="02040503050406030204"/>
    <w:charset w:val="00"/>
    <w:family w:val="roman"/>
    <w:pitch w:val="variable"/>
    <w:sig w:usb0="E00006FF" w:usb1="420024FF" w:usb2="02000000" w:usb3="00000000" w:csb0="0000019F" w:csb1="00000000"/>
    <w:embedRegular r:id="rId2" w:fontKey="{E976C9DF-4B94-4413-99B1-1E3A1CA5C3E4}"/>
    <w:embedItalic r:id="rId3" w:fontKey="{A68E3681-A24C-46B9-B6A3-5C16A2F7F479}"/>
  </w:font>
  <w:font w:name="Cambria">
    <w:panose1 w:val="02040503050406030204"/>
    <w:charset w:val="00"/>
    <w:family w:val="roman"/>
    <w:pitch w:val="variable"/>
    <w:sig w:usb0="E00006FF" w:usb1="420024FF" w:usb2="02000000" w:usb3="00000000" w:csb0="0000019F" w:csb1="00000000"/>
    <w:embedRegular r:id="rId4" w:fontKey="{B0F7A681-BD81-4520-A5AB-DA652F13DCF9}"/>
  </w:font>
  <w:font w:name="Calibri">
    <w:panose1 w:val="020F0502020204030204"/>
    <w:charset w:val="00"/>
    <w:family w:val="swiss"/>
    <w:pitch w:val="variable"/>
    <w:sig w:usb0="E4002EFF" w:usb1="C000247B" w:usb2="00000009" w:usb3="00000000" w:csb0="000001FF" w:csb1="00000000"/>
    <w:embedRegular r:id="rId5" w:fontKey="{B0B46B8E-EE13-4166-B947-55992FC6DE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344"/>
    <w:rsid w:val="001903B0"/>
    <w:rsid w:val="00622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qFormat/>
    <w:pPr>
      <w:keepNext/>
      <w:keepLines/>
      <w:spacing w:before="360" w:after="80"/>
      <w:outlineLvl w:val="1"/>
    </w:pPr>
    <w:rPr>
      <w:b/>
      <w:bCs/>
      <w:sz w:val="36"/>
      <w:szCs w:val="36"/>
    </w:rPr>
  </w:style>
  <w:style w:type="paragraph" w:styleId="Heading3">
    <w:name w:val="heading 3"/>
    <w:basedOn w:val="Normal"/>
    <w:next w:val="Normal"/>
    <w:uiPriority w:val="9"/>
    <w:qFormat/>
    <w:pPr>
      <w:keepNext/>
      <w:keepLines/>
      <w:spacing w:before="280" w:after="80"/>
      <w:outlineLvl w:val="2"/>
    </w:pPr>
    <w:rPr>
      <w:b/>
      <w:bCs/>
      <w:sz w:val="28"/>
      <w:szCs w:val="28"/>
    </w:rPr>
  </w:style>
  <w:style w:type="paragraph" w:styleId="Heading4">
    <w:name w:val="heading 4"/>
    <w:basedOn w:val="Normal"/>
    <w:next w:val="Normal"/>
    <w:uiPriority w:val="9"/>
    <w:qFormat/>
    <w:pPr>
      <w:keepNext/>
      <w:keepLines/>
      <w:spacing w:before="240" w:after="40"/>
      <w:outlineLvl w:val="3"/>
    </w:pPr>
    <w:rPr>
      <w:b/>
      <w:bCs/>
      <w:sz w:val="24"/>
      <w:szCs w:val="24"/>
    </w:rPr>
  </w:style>
  <w:style w:type="paragraph" w:styleId="Heading5">
    <w:name w:val="heading 5"/>
    <w:basedOn w:val="Normal"/>
    <w:next w:val="Normal"/>
    <w:uiPriority w:val="9"/>
    <w:qFormat/>
    <w:pPr>
      <w:keepNext/>
      <w:keepLines/>
      <w:spacing w:before="220" w:after="40"/>
      <w:outlineLvl w:val="4"/>
    </w:pPr>
    <w:rPr>
      <w:b/>
      <w:bCs/>
    </w:rPr>
  </w:style>
  <w:style w:type="paragraph" w:styleId="Heading6">
    <w:name w:val="heading 6"/>
    <w:basedOn w:val="Normal"/>
    <w:next w:val="Normal"/>
    <w:uiPriority w:val="9"/>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qFormat/>
    <w:pPr>
      <w:keepNext/>
      <w:keepLines/>
      <w:spacing w:before="360" w:after="80"/>
      <w:outlineLvl w:val="1"/>
    </w:pPr>
    <w:rPr>
      <w:b/>
      <w:bCs/>
      <w:sz w:val="36"/>
      <w:szCs w:val="36"/>
    </w:rPr>
  </w:style>
  <w:style w:type="paragraph" w:styleId="Heading3">
    <w:name w:val="heading 3"/>
    <w:basedOn w:val="Normal"/>
    <w:next w:val="Normal"/>
    <w:uiPriority w:val="9"/>
    <w:qFormat/>
    <w:pPr>
      <w:keepNext/>
      <w:keepLines/>
      <w:spacing w:before="280" w:after="80"/>
      <w:outlineLvl w:val="2"/>
    </w:pPr>
    <w:rPr>
      <w:b/>
      <w:bCs/>
      <w:sz w:val="28"/>
      <w:szCs w:val="28"/>
    </w:rPr>
  </w:style>
  <w:style w:type="paragraph" w:styleId="Heading4">
    <w:name w:val="heading 4"/>
    <w:basedOn w:val="Normal"/>
    <w:next w:val="Normal"/>
    <w:uiPriority w:val="9"/>
    <w:qFormat/>
    <w:pPr>
      <w:keepNext/>
      <w:keepLines/>
      <w:spacing w:before="240" w:after="40"/>
      <w:outlineLvl w:val="3"/>
    </w:pPr>
    <w:rPr>
      <w:b/>
      <w:bCs/>
      <w:sz w:val="24"/>
      <w:szCs w:val="24"/>
    </w:rPr>
  </w:style>
  <w:style w:type="paragraph" w:styleId="Heading5">
    <w:name w:val="heading 5"/>
    <w:basedOn w:val="Normal"/>
    <w:next w:val="Normal"/>
    <w:uiPriority w:val="9"/>
    <w:qFormat/>
    <w:pPr>
      <w:keepNext/>
      <w:keepLines/>
      <w:spacing w:before="220" w:after="40"/>
      <w:outlineLvl w:val="4"/>
    </w:pPr>
    <w:rPr>
      <w:b/>
      <w:bCs/>
    </w:rPr>
  </w:style>
  <w:style w:type="paragraph" w:styleId="Heading6">
    <w:name w:val="heading 6"/>
    <w:basedOn w:val="Normal"/>
    <w:next w:val="Normal"/>
    <w:uiPriority w:val="9"/>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doi.org/10.1016/j.ssci.2013.05.002" TargetMode="Externa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2080</TotalTime>
  <Pages>15</Pages>
  <Words>4309</Words>
  <Characters>24564</Characters>
  <Application>Microsoft Office Word</Application>
  <DocSecurity>0</DocSecurity>
  <Lines>204</Lines>
  <Paragraphs>57</Paragraphs>
  <ScaleCrop>false</ScaleCrop>
  <Company/>
  <LinksUpToDate>false</LinksUpToDate>
  <CharactersWithSpaces>28816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qwert</cp:lastModifiedBy>
  <cp:revision>177</cp:revision>
  <dcterms:created xsi:type="dcterms:W3CDTF">2026-01-07T17:19:00Z</dcterms:created>
  <dcterms:modified xsi:type="dcterms:W3CDTF">2026-03-13T12:04:00Z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b935d910-8f90-481b-a2f0-f7c78c404e6d</vt:lpwstr>
  </property>
  <property fmtid="{D5CDD505-2E9C-101B-9397-08002B2CF9AE}" pid="3" name="ICV">
    <vt:lpwstr>6427e696076146d8b1dcc7b6a6864af0</vt:lpwstr>
  </property>
</Properties>
</file>