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6E74" w14:textId="77777777" w:rsidR="00C106AF" w:rsidRDefault="00644914">
      <w:pPr>
        <w:pStyle w:val="TitleStyle"/>
      </w:pPr>
      <w:r>
        <w:t>The Impact of Behavioural Biases in Personal Banking: A Study on Sri Lankan Customers</w:t>
      </w:r>
    </w:p>
    <w:p w14:paraId="325AE407" w14:textId="77777777" w:rsidR="00C106AF" w:rsidRDefault="00644914">
      <w:pPr>
        <w:pStyle w:val="MainHeading"/>
      </w:pPr>
      <w:r>
        <w:t>ABSTRACT</w:t>
      </w:r>
    </w:p>
    <w:p w14:paraId="63EAB56F" w14:textId="6DC79765" w:rsidR="00C106AF" w:rsidRDefault="004E6A01" w:rsidP="00B3723F">
      <w:r w:rsidRPr="004E6A01">
        <w:t xml:space="preserve">Behavioral finance shows that bias influences personal finance decisions. This study focuses on Sri Lankan customers during the turbulent economic situation in the country and the biases that come with it. It samples all present biases, loss aversion, anchoring, mental accounting, overconfidence, herding, status quo bias, and a further, valence-biased, psychologically motivated bias. A structured questionnaire with demographic, financial literacy, and behavioral-based banking questions, and behavioral bias on a Likert scale, was distributed to 400 personal banking customers selected through stratified random sampling, with 323 valid responses processed. Descriptive statistics, chi-square, independent samples t, and logit regression were the analytical methods used. Status quo bias and mental accounting were the leading ones with the highest mean scores. Present bias, overconfidence, and psychology bias significantly predicted the respondents reporting that their savings were always increasing. Bivariate tests also revealed age, education, and income association with gains in savings perception. Age and market condition attention were positive predictors of perceived success in savings, while higher present bias and emotion-driven tendencies were negative predictors. The study also shows strong dependence on fixed deposits, considerable use of online banking, and ongoing reliance on personal judgement and family advice when making financial decisions. </w:t>
      </w:r>
      <w:r w:rsidR="00361339" w:rsidRPr="00361339">
        <w:t>The research offers the results of an under researched South Asian environment and recommends the creation of banking products with a perception of bias, the establishment of more comprehensible communication with the consumers, the creation of specific financial literacy programs, and the increased inclusion of digitally reluctant and low-income clients in the banking strategies.</w:t>
      </w:r>
    </w:p>
    <w:p w14:paraId="4BF07B16" w14:textId="12940D94" w:rsidR="00943CD5" w:rsidRDefault="00644914">
      <w:pPr>
        <w:pStyle w:val="Body"/>
        <w:jc w:val="left"/>
      </w:pPr>
      <w:r>
        <w:rPr>
          <w:b/>
        </w:rPr>
        <w:t xml:space="preserve">Keywords: </w:t>
      </w:r>
      <w:r>
        <w:t>behavioural bias; personal banking; Sri Lanka; savings behaviour; logistic regression</w:t>
      </w:r>
    </w:p>
    <w:p w14:paraId="1FB1F10A" w14:textId="77777777" w:rsidR="00C106AF" w:rsidRDefault="00644914">
      <w:pPr>
        <w:pStyle w:val="MainHeading"/>
      </w:pPr>
      <w:r>
        <w:t>INTRODUCTION</w:t>
      </w:r>
    </w:p>
    <w:p w14:paraId="2B298602" w14:textId="77777777" w:rsidR="00BC3612" w:rsidRDefault="00BC3612" w:rsidP="00BC3612">
      <w:pPr>
        <w:pStyle w:val="Body"/>
      </w:pPr>
      <w:r>
        <w:t>Classical economic theory presupposes that people are rational decision-makers, who objectively process the available information and choose the options that will maximize utility. Behavioral finance refutes this premise and demonstrates that financial decisions are frequently influenced by systematic thinking biases, emotional responses, as well as judgemental biases that depend on the context (Anuradha et al., 2024; Pompian, 2012). These effects do not affect investing alone in a banking context, as they influence saving, borrowing, product choice and adoption of digital-services as well (Pompian, 2012).</w:t>
      </w:r>
    </w:p>
    <w:p w14:paraId="7306C0A2" w14:textId="77777777" w:rsidR="00BC3612" w:rsidRDefault="00BC3612" w:rsidP="00BC3612">
      <w:pPr>
        <w:pStyle w:val="Body"/>
      </w:pPr>
      <w:r>
        <w:t>The majority of empirical research on behavioral finance has focused on Western or developed markets, and stock-market involvement and retirement investments are of more interest than ordinary personal choices about banking (Gomes et al., 2021; Kaustia et al., 2023). Consequently, there is limited information on how the biases of behavior influence the household banking decisions in the emerging economies where the financial literacy levels, economic volatility, institutional trust, and social norms can be less favorable than in the developed setting (Badarinza et al., 2019).</w:t>
      </w:r>
    </w:p>
    <w:p w14:paraId="6518F2BF" w14:textId="77777777" w:rsidR="00BC3612" w:rsidRDefault="00BC3612" w:rsidP="00BC3612">
      <w:pPr>
        <w:pStyle w:val="Body"/>
      </w:pPr>
      <w:r>
        <w:t>Sri Lanka presents a very critical area of investigation. The macroeconomic instability of the country, inflationary pressure, and currency depreciation, as well as uncertainty about household finances, can increase short-termism, apprehension, and banking inertia (Samarakoon, 2024; DCS, 2023). Simultaneously, the rise of digitalization of financial services opens new possibilities of convenience and simultaneously raises the level of concern regarding the security, trust, and financial ability (Aboobacker and Bao, 2018; CBSL, 2021).</w:t>
      </w:r>
    </w:p>
    <w:p w14:paraId="092578CF" w14:textId="77777777" w:rsidR="00BC3612" w:rsidRDefault="00BC3612" w:rsidP="00BC3612">
      <w:pPr>
        <w:pStyle w:val="Body"/>
      </w:pPr>
      <w:r>
        <w:t xml:space="preserve">It is against this background that the current study examines behavioral biases that shape individual banking choices among the Sri Lankan customers. More particularly, the research objectives are: (1) to establish the greatest salience biasing behaviors influencing individual banking decision making; (2) to determine the connection between these biases and significant banking outcomes, particularly, savings outcomes; (3) to </w:t>
      </w:r>
      <w:r>
        <w:lastRenderedPageBreak/>
        <w:t>determine the connection between demographic factors and financial behavior and the perceived gains on savings.</w:t>
      </w:r>
    </w:p>
    <w:p w14:paraId="04AB2086" w14:textId="0BFBD132" w:rsidR="00C106AF" w:rsidRDefault="00BC3612" w:rsidP="0070122E">
      <w:pPr>
        <w:pStyle w:val="Body"/>
      </w:pPr>
      <w:r>
        <w:t>The paper addresses these objectives by providing empirical findings on an under-studied South Asian context and provides its implications to banks, regulators, and financial educators to enhance customer results in a challenging financial context.</w:t>
      </w:r>
    </w:p>
    <w:p w14:paraId="340B6D67" w14:textId="77777777" w:rsidR="00C106AF" w:rsidRDefault="00644914">
      <w:pPr>
        <w:pStyle w:val="MainHeading"/>
      </w:pPr>
      <w:r>
        <w:t>LITERATURE REVIEW</w:t>
      </w:r>
    </w:p>
    <w:p w14:paraId="3570CF27" w14:textId="72586781" w:rsidR="00C106AF" w:rsidRDefault="005406F9">
      <w:pPr>
        <w:pStyle w:val="Body"/>
      </w:pPr>
      <w:r w:rsidRPr="005406F9">
        <w:t>Behavioral bias is a mode of thinking that makes a person arrive at something other than a rational decision and is affected by cognitive boundaries, emotions, psychological shortcuts, or social culture (Ricciardi and Simon, 2000; Gethe et al., 2022). Behavioral biases can be applied in personal banking to influence the way consumers interpret the description of products, the evaluation of risks, the responses to uncertainties, and to make decisions between short-term gratification and long-term financial benefits (Rau &amp; Bromiley, 2025).</w:t>
      </w:r>
    </w:p>
    <w:p w14:paraId="43C7D0A0" w14:textId="77777777" w:rsidR="00C106AF" w:rsidRDefault="00644914">
      <w:pPr>
        <w:pStyle w:val="SubHeading"/>
      </w:pPr>
      <w:r>
        <w:t>Present bias</w:t>
      </w:r>
    </w:p>
    <w:p w14:paraId="639B7293" w14:textId="6C8BADE6" w:rsidR="00C106AF" w:rsidRDefault="003C4991">
      <w:pPr>
        <w:pStyle w:val="Body"/>
      </w:pPr>
      <w:r w:rsidRPr="003C4991">
        <w:t>Present bias is a behavioral tendency that involves placing a higher value on rewards that are received immediately versus those that are to be received in the future (Laibson, 1997). In retail banking, present bias can result in inadequate savings, an unwillingness to lock up funds for long time periods, overuse of short-term credit, and delays in making sound financial decisions. In an economically challenging situation, present bias is likely, because the need for immediate cash overshadows long-term financial considerations (Maji &amp; Prasad, 2024).</w:t>
      </w:r>
    </w:p>
    <w:p w14:paraId="5D87532F" w14:textId="77777777" w:rsidR="00C106AF" w:rsidRDefault="00644914">
      <w:pPr>
        <w:pStyle w:val="SubHeading"/>
      </w:pPr>
      <w:r>
        <w:t>Loss aversion</w:t>
      </w:r>
    </w:p>
    <w:p w14:paraId="2B8F0D7D" w14:textId="33F041CB" w:rsidR="00C106AF" w:rsidRDefault="00133DA0">
      <w:pPr>
        <w:pStyle w:val="Body"/>
      </w:pPr>
      <w:r w:rsidRPr="00133DA0">
        <w:t>Loss aversion is the tendency of people to consider losses more than equal gains (Kahneman &amp; Tversky, 1979). In banking, this may create a strong tendency of consumers to prefer investment products that offer guaranteed returns, avoid taking risks in the stock market, be reluctant to change banks, and be overly conservative in taking up new savings and credit offers. Although this type of behavior may be protective, it may lead to a reduction in potential wealth in the long-term if economically protective consumers avoid growth opportunities (Hwang, 2024).</w:t>
      </w:r>
    </w:p>
    <w:p w14:paraId="2A053EF7" w14:textId="77777777" w:rsidR="00C106AF" w:rsidRDefault="00644914">
      <w:pPr>
        <w:pStyle w:val="SubHeading"/>
      </w:pPr>
      <w:r>
        <w:t>Anchoring bias</w:t>
      </w:r>
    </w:p>
    <w:p w14:paraId="264D594E" w14:textId="1FE75621" w:rsidR="00C106AF" w:rsidRDefault="00E33125">
      <w:pPr>
        <w:pStyle w:val="Body"/>
      </w:pPr>
      <w:r w:rsidRPr="00E33125">
        <w:t>This phenomenon refers to the tendency to use the first piece of information given when making the following decisions (Tversky &amp; Kahneman, 1974). When marketing banking products in Sri Lanka, customers may refer to pre-crisis exchange rates, previous returns on deposits, or previous costs of loans. Such phenomenon can decrease customers’ ability to assess banking products appropriately, as they refer to out-of-date benchmarks (Pompian, 2012).</w:t>
      </w:r>
    </w:p>
    <w:p w14:paraId="0067DB6F" w14:textId="77777777" w:rsidR="00C106AF" w:rsidRDefault="00644914">
      <w:pPr>
        <w:pStyle w:val="SubHeading"/>
      </w:pPr>
      <w:r>
        <w:t>Mental accounting</w:t>
      </w:r>
    </w:p>
    <w:p w14:paraId="2B59D97D" w14:textId="141EE292" w:rsidR="00C106AF" w:rsidRDefault="0006406D">
      <w:pPr>
        <w:pStyle w:val="Body"/>
      </w:pPr>
      <w:r w:rsidRPr="0006406D">
        <w:t>This phenomenon is the tendency to think of money in separate “buckets” instead of in aggregate (Thaler, 1999). Bank customers may think of their salary, savings, emergency funds, bonuses, and borrowed money as different “accounts” and they may use even sub-optimal, i.e. economically inefficient, strategies. This can impact customers’ deposit behaviors, decisions on debt repayments, and their propensity to shift funds across different banking products (Dan, 2025).</w:t>
      </w:r>
    </w:p>
    <w:p w14:paraId="30F951AD" w14:textId="77777777" w:rsidR="00C106AF" w:rsidRDefault="00644914">
      <w:pPr>
        <w:pStyle w:val="SubHeading"/>
      </w:pPr>
      <w:r>
        <w:t>Overconfidence and herding</w:t>
      </w:r>
    </w:p>
    <w:p w14:paraId="67BF23BA" w14:textId="0FF4F68A" w:rsidR="00C106AF" w:rsidRDefault="001D3217">
      <w:pPr>
        <w:pStyle w:val="Body"/>
      </w:pPr>
      <w:r w:rsidRPr="001D3217">
        <w:t xml:space="preserve">Overconfidence is a misplaced belief in one’s understanding of financial issues and/or decision-making skills. Herding, meanwhile, is the tendency to follow other people’s behavior without assessing the situation independently (Adielyani &amp; Mawardi, 2020). The overconfident consumer may believe that he or she can pick </w:t>
      </w:r>
      <w:r w:rsidRPr="001D3217">
        <w:lastRenderedPageBreak/>
        <w:t>the best products or control the risk optimally. By contrast, herding causes consumers to choose popular banking products without assessing if the products suit their needs (Inghelbrecht &amp; Tedde, 2024).</w:t>
      </w:r>
    </w:p>
    <w:p w14:paraId="2ACA7428" w14:textId="77777777" w:rsidR="00C106AF" w:rsidRDefault="00644914">
      <w:pPr>
        <w:pStyle w:val="SubHeading"/>
      </w:pPr>
      <w:r>
        <w:t>Status quo and psychological bias</w:t>
      </w:r>
    </w:p>
    <w:p w14:paraId="33D6F75A" w14:textId="20660EC2" w:rsidR="00C106AF" w:rsidRDefault="002B14F5">
      <w:pPr>
        <w:pStyle w:val="Body"/>
      </w:pPr>
      <w:r w:rsidRPr="002B14F5">
        <w:t>Status quo bias is the tendency to stick to what one is accustomed to, even in the presence of more favorable options (Samuelson &amp; Zeckhauser, 1988). The survey in this study sought to capture breadth around the psychological bias, bias of emotion, such as fear, uncertainty, and trust in the context of financial decision-making. In a post-crisis situation, these responses may reinforce the inertia and deepen the hesitation, fostering the tendency of consumers to stay with their old routine products and avoid new options even if they are better (Godefroid et al., 2022).</w:t>
      </w:r>
    </w:p>
    <w:p w14:paraId="58DC02D9" w14:textId="695BBB03" w:rsidR="00C106AF" w:rsidRDefault="00792A8D">
      <w:pPr>
        <w:pStyle w:val="Body"/>
      </w:pPr>
      <w:r w:rsidRPr="00792A8D">
        <w:t>The aforementioned biases are widely documented in behavioral finance, but the literature is scarce on how the biases collectively impact everyday personal banking decisions, particularly in Sri Lanka. Hence, this study attempts to evaluate these concepts in the context of local banking in an environment of economic instability, disparate levels of financial literacy, and incomplete but increasing levels of digital adoption.</w:t>
      </w:r>
    </w:p>
    <w:p w14:paraId="0B661FCB" w14:textId="77777777" w:rsidR="00C106AF" w:rsidRDefault="00644914">
      <w:pPr>
        <w:pStyle w:val="MainHeading"/>
      </w:pPr>
      <w:r>
        <w:t>METHODS</w:t>
      </w:r>
    </w:p>
    <w:p w14:paraId="67DE63DE" w14:textId="77777777" w:rsidR="00C106AF" w:rsidRDefault="00644914">
      <w:pPr>
        <w:pStyle w:val="SubHeading"/>
      </w:pPr>
      <w:r>
        <w:t>Research design and sample</w:t>
      </w:r>
    </w:p>
    <w:p w14:paraId="570D8A32" w14:textId="77777777" w:rsidR="000C1D0E" w:rsidRDefault="00471DC2" w:rsidP="000C1D0E">
      <w:pPr>
        <w:pStyle w:val="Body"/>
      </w:pPr>
      <w:r>
        <w:t xml:space="preserve">The research used a cross-sectional design and a structured questionnaire focused on behavioral biases, financial literacy, and banking behaviors in personal banking customers in Sri Lanka. </w:t>
      </w:r>
      <w:r w:rsidR="000C1D0E">
        <w:t>The stratified random sampling method was employed to better represent the population on the main variables of demography - age, gender, income, education, and occupation.</w:t>
      </w:r>
    </w:p>
    <w:p w14:paraId="7187DA38" w14:textId="3D7B8BB0" w:rsidR="00C106AF" w:rsidRDefault="000C1D0E" w:rsidP="000C1D0E">
      <w:pPr>
        <w:pStyle w:val="Body"/>
      </w:pPr>
      <w:r>
        <w:t>Among all questionnaires sent (n=400), 323 questionnaires were identified as appropriate to be included in the study. The survey questionnaires were drafted in English since the study involved customers with access to formal banking and online banking systems that are accessed in the English language in the data collection exercise. This design decision traded consistency in the instruments with the restriction introduced by biases towards more educated and English competent respondents.</w:t>
      </w:r>
    </w:p>
    <w:p w14:paraId="03CB932E" w14:textId="77777777" w:rsidR="00C106AF" w:rsidRDefault="00644914">
      <w:pPr>
        <w:pStyle w:val="SubHeading"/>
      </w:pPr>
      <w:r>
        <w:t>Instrument and measures</w:t>
      </w:r>
    </w:p>
    <w:p w14:paraId="10E3DB5D" w14:textId="15BEC529" w:rsidR="003524EC" w:rsidRDefault="003524EC" w:rsidP="003524EC">
      <w:pPr>
        <w:pStyle w:val="Body"/>
      </w:pPr>
      <w:r>
        <w:t>The measure was divided into four sections: (1) screening and demographic data; (2) the question of financial literacy and banking behavior; (3) self-reported savings, consultations, and digital banking behavior; (4) Likert scale question on the strength of behavioral biases. On the behavioral-bias scale, respondents have a scale of 1 to 5 with one being strong disagreement and five strong agreements. Timely examples were loss avoidance, self-confidence in financial literacy, and need of immediate gratification over delayed gratification.</w:t>
      </w:r>
    </w:p>
    <w:p w14:paraId="4AEC3F75" w14:textId="106328C0" w:rsidR="00C106AF" w:rsidRDefault="003524EC" w:rsidP="003524EC">
      <w:pPr>
        <w:pStyle w:val="Body"/>
      </w:pPr>
      <w:r>
        <w:t>The analysis maintained the same category of biases in the experiment, including present bias, loss aversion, anchoring, mental accounting, overconfidence, herding, status quo bias, and a more generalized psychological bias of the questionnaire. Because the source manuscript just enumerated summary statistics, the revision should be aimed at the more comprehensible display of the given analytic findings, as opposed to the reconstitution of the estimated values.</w:t>
      </w:r>
    </w:p>
    <w:p w14:paraId="644B46FD" w14:textId="77777777" w:rsidR="00C106AF" w:rsidRDefault="00644914">
      <w:pPr>
        <w:pStyle w:val="SubHeading"/>
      </w:pPr>
      <w:r>
        <w:lastRenderedPageBreak/>
        <w:t>Analytical approach</w:t>
      </w:r>
    </w:p>
    <w:p w14:paraId="36EF4FCC" w14:textId="44521332" w:rsidR="00C106AF" w:rsidRDefault="00F46B3E">
      <w:pPr>
        <w:pStyle w:val="Body"/>
      </w:pPr>
      <w:r w:rsidRPr="00F46B3E">
        <w:t>Respondent profiles and the distributions of behavioral biases were described using descriptive statistics. Associations between demographic factors and perceived savings gains were assessed using chi-square tests. Bias scores were compared using independent-samples t-tests between respondents who stated their savings always resulted in gains and those who stated otherwise. Behavioral and demographic predictors of reporting savings that always resulted in gains were identified using a logistic regression model.</w:t>
      </w:r>
    </w:p>
    <w:p w14:paraId="15D51091" w14:textId="77777777" w:rsidR="00C106AF" w:rsidRDefault="00644914">
      <w:pPr>
        <w:pStyle w:val="MainHeading"/>
      </w:pPr>
      <w:r>
        <w:t>RESULTS</w:t>
      </w:r>
    </w:p>
    <w:p w14:paraId="29E93AC8" w14:textId="77777777" w:rsidR="00C106AF" w:rsidRDefault="00644914">
      <w:pPr>
        <w:pStyle w:val="SubHeading"/>
      </w:pPr>
      <w:r>
        <w:t>Respondent profile</w:t>
      </w:r>
    </w:p>
    <w:p w14:paraId="7380D5A8" w14:textId="3FD1D8BA" w:rsidR="00C106AF" w:rsidRDefault="007812E4">
      <w:pPr>
        <w:pStyle w:val="Body"/>
      </w:pPr>
      <w:r w:rsidRPr="007812E4">
        <w:t>Table 1 provides a demographic summary of the 323 respondents. The sample was evenly split by gender. However, there was an overrepresentation of young and middle-aged adults, high levels of education, high income groups, and participants in occupations.</w:t>
      </w:r>
    </w:p>
    <w:p w14:paraId="3091876B" w14:textId="77777777" w:rsidR="00C106AF" w:rsidRDefault="00644914">
      <w:pPr>
        <w:pStyle w:val="CaptionStyle"/>
      </w:pPr>
      <w:r>
        <w:rPr>
          <w:b/>
        </w:rPr>
        <w:t xml:space="preserve">Table 1. </w:t>
      </w:r>
      <w:r>
        <w:t>Frequency distribution of demographic variables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96"/>
        <w:gridCol w:w="6120"/>
        <w:gridCol w:w="1483"/>
      </w:tblGrid>
      <w:tr w:rsidR="00C106AF" w14:paraId="01B7031C" w14:textId="77777777">
        <w:trPr>
          <w:tblHeader/>
          <w:jc w:val="center"/>
        </w:trPr>
        <w:tc>
          <w:tcPr>
            <w:tcW w:w="3096" w:type="dxa"/>
            <w:shd w:val="clear" w:color="auto" w:fill="D9D9D9"/>
            <w:tcMar>
              <w:top w:w="60" w:type="dxa"/>
              <w:left w:w="90" w:type="dxa"/>
              <w:bottom w:w="60" w:type="dxa"/>
              <w:right w:w="90" w:type="dxa"/>
            </w:tcMar>
            <w:vAlign w:val="center"/>
          </w:tcPr>
          <w:p w14:paraId="5A04D13C" w14:textId="77777777" w:rsidR="00C106AF" w:rsidRDefault="00644914">
            <w:pPr>
              <w:spacing w:before="0" w:after="0"/>
              <w:jc w:val="left"/>
            </w:pPr>
            <w:r>
              <w:rPr>
                <w:b/>
              </w:rPr>
              <w:t>Variable</w:t>
            </w:r>
          </w:p>
        </w:tc>
        <w:tc>
          <w:tcPr>
            <w:tcW w:w="6120" w:type="dxa"/>
            <w:shd w:val="clear" w:color="auto" w:fill="D9D9D9"/>
            <w:tcMar>
              <w:top w:w="60" w:type="dxa"/>
              <w:left w:w="90" w:type="dxa"/>
              <w:bottom w:w="60" w:type="dxa"/>
              <w:right w:w="90" w:type="dxa"/>
            </w:tcMar>
            <w:vAlign w:val="center"/>
          </w:tcPr>
          <w:p w14:paraId="05DBE1F0" w14:textId="77777777" w:rsidR="00C106AF" w:rsidRDefault="00644914">
            <w:pPr>
              <w:spacing w:before="0" w:after="0"/>
              <w:jc w:val="left"/>
            </w:pPr>
            <w:r>
              <w:rPr>
                <w:b/>
              </w:rPr>
              <w:t>Category</w:t>
            </w:r>
          </w:p>
        </w:tc>
        <w:tc>
          <w:tcPr>
            <w:tcW w:w="1483" w:type="dxa"/>
            <w:shd w:val="clear" w:color="auto" w:fill="D9D9D9"/>
            <w:tcMar>
              <w:top w:w="60" w:type="dxa"/>
              <w:left w:w="90" w:type="dxa"/>
              <w:bottom w:w="60" w:type="dxa"/>
              <w:right w:w="90" w:type="dxa"/>
            </w:tcMar>
            <w:vAlign w:val="center"/>
          </w:tcPr>
          <w:p w14:paraId="5F776052" w14:textId="77777777" w:rsidR="00C106AF" w:rsidRDefault="00644914">
            <w:pPr>
              <w:spacing w:before="0" w:after="0"/>
              <w:jc w:val="center"/>
            </w:pPr>
            <w:r>
              <w:rPr>
                <w:b/>
              </w:rPr>
              <w:t>Frequency (%)</w:t>
            </w:r>
          </w:p>
        </w:tc>
      </w:tr>
      <w:tr w:rsidR="00C106AF" w14:paraId="5AE0A0DA" w14:textId="77777777">
        <w:trPr>
          <w:jc w:val="center"/>
        </w:trPr>
        <w:tc>
          <w:tcPr>
            <w:tcW w:w="3096" w:type="dxa"/>
            <w:tcMar>
              <w:top w:w="60" w:type="dxa"/>
              <w:left w:w="90" w:type="dxa"/>
              <w:bottom w:w="60" w:type="dxa"/>
              <w:right w:w="90" w:type="dxa"/>
            </w:tcMar>
            <w:vAlign w:val="center"/>
          </w:tcPr>
          <w:p w14:paraId="64FEEA10"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22665E0E" w14:textId="77777777" w:rsidR="00C106AF" w:rsidRDefault="00644914">
            <w:pPr>
              <w:spacing w:before="0" w:after="0"/>
              <w:jc w:val="left"/>
            </w:pPr>
            <w:r>
              <w:t>18-29</w:t>
            </w:r>
          </w:p>
        </w:tc>
        <w:tc>
          <w:tcPr>
            <w:tcW w:w="1483" w:type="dxa"/>
            <w:tcMar>
              <w:top w:w="60" w:type="dxa"/>
              <w:left w:w="90" w:type="dxa"/>
              <w:bottom w:w="60" w:type="dxa"/>
              <w:right w:w="90" w:type="dxa"/>
            </w:tcMar>
            <w:vAlign w:val="center"/>
          </w:tcPr>
          <w:p w14:paraId="4C32FB54" w14:textId="77777777" w:rsidR="00C106AF" w:rsidRDefault="00644914">
            <w:pPr>
              <w:spacing w:before="0" w:after="0"/>
              <w:jc w:val="center"/>
            </w:pPr>
            <w:r>
              <w:t>30.0</w:t>
            </w:r>
          </w:p>
        </w:tc>
      </w:tr>
      <w:tr w:rsidR="00C106AF" w14:paraId="5747B83E" w14:textId="77777777">
        <w:trPr>
          <w:jc w:val="center"/>
        </w:trPr>
        <w:tc>
          <w:tcPr>
            <w:tcW w:w="3096" w:type="dxa"/>
            <w:tcMar>
              <w:top w:w="60" w:type="dxa"/>
              <w:left w:w="90" w:type="dxa"/>
              <w:bottom w:w="60" w:type="dxa"/>
              <w:right w:w="90" w:type="dxa"/>
            </w:tcMar>
            <w:vAlign w:val="center"/>
          </w:tcPr>
          <w:p w14:paraId="7687B524"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4F3D2023" w14:textId="77777777" w:rsidR="00C106AF" w:rsidRDefault="00644914">
            <w:pPr>
              <w:spacing w:before="0" w:after="0"/>
              <w:jc w:val="left"/>
            </w:pPr>
            <w:r>
              <w:t>30-39</w:t>
            </w:r>
          </w:p>
        </w:tc>
        <w:tc>
          <w:tcPr>
            <w:tcW w:w="1483" w:type="dxa"/>
            <w:tcMar>
              <w:top w:w="60" w:type="dxa"/>
              <w:left w:w="90" w:type="dxa"/>
              <w:bottom w:w="60" w:type="dxa"/>
              <w:right w:w="90" w:type="dxa"/>
            </w:tcMar>
            <w:vAlign w:val="center"/>
          </w:tcPr>
          <w:p w14:paraId="7706B481" w14:textId="77777777" w:rsidR="00C106AF" w:rsidRDefault="00644914">
            <w:pPr>
              <w:spacing w:before="0" w:after="0"/>
              <w:jc w:val="center"/>
            </w:pPr>
            <w:r>
              <w:t>12.4</w:t>
            </w:r>
          </w:p>
        </w:tc>
      </w:tr>
      <w:tr w:rsidR="00C106AF" w14:paraId="3714BB56" w14:textId="77777777">
        <w:trPr>
          <w:jc w:val="center"/>
        </w:trPr>
        <w:tc>
          <w:tcPr>
            <w:tcW w:w="3096" w:type="dxa"/>
            <w:tcMar>
              <w:top w:w="60" w:type="dxa"/>
              <w:left w:w="90" w:type="dxa"/>
              <w:bottom w:w="60" w:type="dxa"/>
              <w:right w:w="90" w:type="dxa"/>
            </w:tcMar>
            <w:vAlign w:val="center"/>
          </w:tcPr>
          <w:p w14:paraId="7573F444"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7C6EDB6C" w14:textId="77777777" w:rsidR="00C106AF" w:rsidRDefault="00644914">
            <w:pPr>
              <w:spacing w:before="0" w:after="0"/>
              <w:jc w:val="left"/>
            </w:pPr>
            <w:r>
              <w:t>40-49</w:t>
            </w:r>
          </w:p>
        </w:tc>
        <w:tc>
          <w:tcPr>
            <w:tcW w:w="1483" w:type="dxa"/>
            <w:tcMar>
              <w:top w:w="60" w:type="dxa"/>
              <w:left w:w="90" w:type="dxa"/>
              <w:bottom w:w="60" w:type="dxa"/>
              <w:right w:w="90" w:type="dxa"/>
            </w:tcMar>
            <w:vAlign w:val="center"/>
          </w:tcPr>
          <w:p w14:paraId="43E4AEDA" w14:textId="77777777" w:rsidR="00C106AF" w:rsidRDefault="00644914">
            <w:pPr>
              <w:spacing w:before="0" w:after="0"/>
              <w:jc w:val="center"/>
            </w:pPr>
            <w:r>
              <w:t>15.8</w:t>
            </w:r>
          </w:p>
        </w:tc>
      </w:tr>
      <w:tr w:rsidR="00C106AF" w14:paraId="47A4FD85" w14:textId="77777777">
        <w:trPr>
          <w:jc w:val="center"/>
        </w:trPr>
        <w:tc>
          <w:tcPr>
            <w:tcW w:w="3096" w:type="dxa"/>
            <w:tcMar>
              <w:top w:w="60" w:type="dxa"/>
              <w:left w:w="90" w:type="dxa"/>
              <w:bottom w:w="60" w:type="dxa"/>
              <w:right w:w="90" w:type="dxa"/>
            </w:tcMar>
            <w:vAlign w:val="center"/>
          </w:tcPr>
          <w:p w14:paraId="3163996D"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5501B380" w14:textId="77777777" w:rsidR="00C106AF" w:rsidRDefault="00644914">
            <w:pPr>
              <w:spacing w:before="0" w:after="0"/>
              <w:jc w:val="left"/>
            </w:pPr>
            <w:r>
              <w:t>50-59</w:t>
            </w:r>
          </w:p>
        </w:tc>
        <w:tc>
          <w:tcPr>
            <w:tcW w:w="1483" w:type="dxa"/>
            <w:tcMar>
              <w:top w:w="60" w:type="dxa"/>
              <w:left w:w="90" w:type="dxa"/>
              <w:bottom w:w="60" w:type="dxa"/>
              <w:right w:w="90" w:type="dxa"/>
            </w:tcMar>
            <w:vAlign w:val="center"/>
          </w:tcPr>
          <w:p w14:paraId="3D502B96" w14:textId="77777777" w:rsidR="00C106AF" w:rsidRDefault="00644914">
            <w:pPr>
              <w:spacing w:before="0" w:after="0"/>
              <w:jc w:val="center"/>
            </w:pPr>
            <w:r>
              <w:t>28.5</w:t>
            </w:r>
          </w:p>
        </w:tc>
      </w:tr>
      <w:tr w:rsidR="00C106AF" w14:paraId="0E789447" w14:textId="77777777">
        <w:trPr>
          <w:jc w:val="center"/>
        </w:trPr>
        <w:tc>
          <w:tcPr>
            <w:tcW w:w="3096" w:type="dxa"/>
            <w:tcMar>
              <w:top w:w="60" w:type="dxa"/>
              <w:left w:w="90" w:type="dxa"/>
              <w:bottom w:w="60" w:type="dxa"/>
              <w:right w:w="90" w:type="dxa"/>
            </w:tcMar>
            <w:vAlign w:val="center"/>
          </w:tcPr>
          <w:p w14:paraId="1F9EC3F7"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28D09CBE" w14:textId="77777777" w:rsidR="00C106AF" w:rsidRDefault="00644914">
            <w:pPr>
              <w:spacing w:before="0" w:after="0"/>
              <w:jc w:val="left"/>
            </w:pPr>
            <w:r>
              <w:t>60+</w:t>
            </w:r>
          </w:p>
        </w:tc>
        <w:tc>
          <w:tcPr>
            <w:tcW w:w="1483" w:type="dxa"/>
            <w:tcMar>
              <w:top w:w="60" w:type="dxa"/>
              <w:left w:w="90" w:type="dxa"/>
              <w:bottom w:w="60" w:type="dxa"/>
              <w:right w:w="90" w:type="dxa"/>
            </w:tcMar>
            <w:vAlign w:val="center"/>
          </w:tcPr>
          <w:p w14:paraId="6619FFD6" w14:textId="77777777" w:rsidR="00C106AF" w:rsidRDefault="00644914">
            <w:pPr>
              <w:spacing w:before="0" w:after="0"/>
              <w:jc w:val="center"/>
            </w:pPr>
            <w:r>
              <w:t>13.3</w:t>
            </w:r>
          </w:p>
        </w:tc>
      </w:tr>
      <w:tr w:rsidR="00C106AF" w14:paraId="7EFE9962" w14:textId="77777777">
        <w:trPr>
          <w:jc w:val="center"/>
        </w:trPr>
        <w:tc>
          <w:tcPr>
            <w:tcW w:w="3096" w:type="dxa"/>
            <w:tcMar>
              <w:top w:w="60" w:type="dxa"/>
              <w:left w:w="90" w:type="dxa"/>
              <w:bottom w:w="60" w:type="dxa"/>
              <w:right w:w="90" w:type="dxa"/>
            </w:tcMar>
            <w:vAlign w:val="center"/>
          </w:tcPr>
          <w:p w14:paraId="42DD31F9" w14:textId="77777777" w:rsidR="00C106AF" w:rsidRDefault="00644914">
            <w:pPr>
              <w:spacing w:before="0" w:after="0"/>
              <w:jc w:val="left"/>
            </w:pPr>
            <w:r>
              <w:t>Gender</w:t>
            </w:r>
          </w:p>
        </w:tc>
        <w:tc>
          <w:tcPr>
            <w:tcW w:w="6120" w:type="dxa"/>
            <w:tcMar>
              <w:top w:w="60" w:type="dxa"/>
              <w:left w:w="90" w:type="dxa"/>
              <w:bottom w:w="60" w:type="dxa"/>
              <w:right w:w="90" w:type="dxa"/>
            </w:tcMar>
            <w:vAlign w:val="center"/>
          </w:tcPr>
          <w:p w14:paraId="3AD2F08E" w14:textId="77777777" w:rsidR="00C106AF" w:rsidRDefault="00644914">
            <w:pPr>
              <w:spacing w:before="0" w:after="0"/>
              <w:jc w:val="left"/>
            </w:pPr>
            <w:r>
              <w:t>Male</w:t>
            </w:r>
          </w:p>
        </w:tc>
        <w:tc>
          <w:tcPr>
            <w:tcW w:w="1483" w:type="dxa"/>
            <w:tcMar>
              <w:top w:w="60" w:type="dxa"/>
              <w:left w:w="90" w:type="dxa"/>
              <w:bottom w:w="60" w:type="dxa"/>
              <w:right w:w="90" w:type="dxa"/>
            </w:tcMar>
            <w:vAlign w:val="center"/>
          </w:tcPr>
          <w:p w14:paraId="49633BEC" w14:textId="77777777" w:rsidR="00C106AF" w:rsidRDefault="00644914">
            <w:pPr>
              <w:spacing w:before="0" w:after="0"/>
              <w:jc w:val="center"/>
            </w:pPr>
            <w:r>
              <w:t>48.0</w:t>
            </w:r>
          </w:p>
        </w:tc>
      </w:tr>
      <w:tr w:rsidR="00C106AF" w14:paraId="7518348B" w14:textId="77777777">
        <w:trPr>
          <w:jc w:val="center"/>
        </w:trPr>
        <w:tc>
          <w:tcPr>
            <w:tcW w:w="3096" w:type="dxa"/>
            <w:tcMar>
              <w:top w:w="60" w:type="dxa"/>
              <w:left w:w="90" w:type="dxa"/>
              <w:bottom w:w="60" w:type="dxa"/>
              <w:right w:w="90" w:type="dxa"/>
            </w:tcMar>
            <w:vAlign w:val="center"/>
          </w:tcPr>
          <w:p w14:paraId="084F3DD7" w14:textId="77777777" w:rsidR="00C106AF" w:rsidRDefault="00644914">
            <w:pPr>
              <w:spacing w:before="0" w:after="0"/>
              <w:jc w:val="left"/>
            </w:pPr>
            <w:r>
              <w:t>Gender</w:t>
            </w:r>
          </w:p>
        </w:tc>
        <w:tc>
          <w:tcPr>
            <w:tcW w:w="6120" w:type="dxa"/>
            <w:tcMar>
              <w:top w:w="60" w:type="dxa"/>
              <w:left w:w="90" w:type="dxa"/>
              <w:bottom w:w="60" w:type="dxa"/>
              <w:right w:w="90" w:type="dxa"/>
            </w:tcMar>
            <w:vAlign w:val="center"/>
          </w:tcPr>
          <w:p w14:paraId="630410AF" w14:textId="77777777" w:rsidR="00C106AF" w:rsidRDefault="00644914">
            <w:pPr>
              <w:spacing w:before="0" w:after="0"/>
              <w:jc w:val="left"/>
            </w:pPr>
            <w:r>
              <w:t>Female</w:t>
            </w:r>
          </w:p>
        </w:tc>
        <w:tc>
          <w:tcPr>
            <w:tcW w:w="1483" w:type="dxa"/>
            <w:tcMar>
              <w:top w:w="60" w:type="dxa"/>
              <w:left w:w="90" w:type="dxa"/>
              <w:bottom w:w="60" w:type="dxa"/>
              <w:right w:w="90" w:type="dxa"/>
            </w:tcMar>
            <w:vAlign w:val="center"/>
          </w:tcPr>
          <w:p w14:paraId="2E00F087" w14:textId="77777777" w:rsidR="00C106AF" w:rsidRDefault="00644914">
            <w:pPr>
              <w:spacing w:before="0" w:after="0"/>
              <w:jc w:val="center"/>
            </w:pPr>
            <w:r>
              <w:t>52.0</w:t>
            </w:r>
          </w:p>
        </w:tc>
      </w:tr>
      <w:tr w:rsidR="00C106AF" w14:paraId="152412C4" w14:textId="77777777">
        <w:trPr>
          <w:jc w:val="center"/>
        </w:trPr>
        <w:tc>
          <w:tcPr>
            <w:tcW w:w="3096" w:type="dxa"/>
            <w:tcMar>
              <w:top w:w="60" w:type="dxa"/>
              <w:left w:w="90" w:type="dxa"/>
              <w:bottom w:w="60" w:type="dxa"/>
              <w:right w:w="90" w:type="dxa"/>
            </w:tcMar>
            <w:vAlign w:val="center"/>
          </w:tcPr>
          <w:p w14:paraId="3CA4BFF8"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17655028" w14:textId="77777777" w:rsidR="00C106AF" w:rsidRDefault="00644914">
            <w:pPr>
              <w:spacing w:before="0" w:after="0"/>
              <w:jc w:val="left"/>
            </w:pPr>
            <w:r>
              <w:t>School</w:t>
            </w:r>
          </w:p>
        </w:tc>
        <w:tc>
          <w:tcPr>
            <w:tcW w:w="1483" w:type="dxa"/>
            <w:tcMar>
              <w:top w:w="60" w:type="dxa"/>
              <w:left w:w="90" w:type="dxa"/>
              <w:bottom w:w="60" w:type="dxa"/>
              <w:right w:w="90" w:type="dxa"/>
            </w:tcMar>
            <w:vAlign w:val="center"/>
          </w:tcPr>
          <w:p w14:paraId="24C0D7D0" w14:textId="77777777" w:rsidR="00C106AF" w:rsidRDefault="00644914">
            <w:pPr>
              <w:spacing w:before="0" w:after="0"/>
              <w:jc w:val="center"/>
            </w:pPr>
            <w:r>
              <w:t>16.7</w:t>
            </w:r>
          </w:p>
        </w:tc>
      </w:tr>
      <w:tr w:rsidR="00C106AF" w14:paraId="1DE316A2" w14:textId="77777777">
        <w:trPr>
          <w:jc w:val="center"/>
        </w:trPr>
        <w:tc>
          <w:tcPr>
            <w:tcW w:w="3096" w:type="dxa"/>
            <w:tcMar>
              <w:top w:w="60" w:type="dxa"/>
              <w:left w:w="90" w:type="dxa"/>
              <w:bottom w:w="60" w:type="dxa"/>
              <w:right w:w="90" w:type="dxa"/>
            </w:tcMar>
            <w:vAlign w:val="center"/>
          </w:tcPr>
          <w:p w14:paraId="23F0B8A1"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64E7C0A4" w14:textId="77777777" w:rsidR="00C106AF" w:rsidRDefault="00644914">
            <w:pPr>
              <w:spacing w:before="0" w:after="0"/>
              <w:jc w:val="left"/>
            </w:pPr>
            <w:r>
              <w:t>Diploma</w:t>
            </w:r>
          </w:p>
        </w:tc>
        <w:tc>
          <w:tcPr>
            <w:tcW w:w="1483" w:type="dxa"/>
            <w:tcMar>
              <w:top w:w="60" w:type="dxa"/>
              <w:left w:w="90" w:type="dxa"/>
              <w:bottom w:w="60" w:type="dxa"/>
              <w:right w:w="90" w:type="dxa"/>
            </w:tcMar>
            <w:vAlign w:val="center"/>
          </w:tcPr>
          <w:p w14:paraId="29D650B6" w14:textId="77777777" w:rsidR="00C106AF" w:rsidRDefault="00644914">
            <w:pPr>
              <w:spacing w:before="0" w:after="0"/>
              <w:jc w:val="center"/>
            </w:pPr>
            <w:r>
              <w:t>19.5</w:t>
            </w:r>
          </w:p>
        </w:tc>
      </w:tr>
      <w:tr w:rsidR="00C106AF" w14:paraId="1FDDAE26" w14:textId="77777777">
        <w:trPr>
          <w:jc w:val="center"/>
        </w:trPr>
        <w:tc>
          <w:tcPr>
            <w:tcW w:w="3096" w:type="dxa"/>
            <w:tcMar>
              <w:top w:w="60" w:type="dxa"/>
              <w:left w:w="90" w:type="dxa"/>
              <w:bottom w:w="60" w:type="dxa"/>
              <w:right w:w="90" w:type="dxa"/>
            </w:tcMar>
            <w:vAlign w:val="center"/>
          </w:tcPr>
          <w:p w14:paraId="2BE80764"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7F704630" w14:textId="77777777" w:rsidR="00C106AF" w:rsidRDefault="00644914">
            <w:pPr>
              <w:spacing w:before="0" w:after="0"/>
              <w:jc w:val="left"/>
            </w:pPr>
            <w:r>
              <w:t>Degree</w:t>
            </w:r>
          </w:p>
        </w:tc>
        <w:tc>
          <w:tcPr>
            <w:tcW w:w="1483" w:type="dxa"/>
            <w:tcMar>
              <w:top w:w="60" w:type="dxa"/>
              <w:left w:w="90" w:type="dxa"/>
              <w:bottom w:w="60" w:type="dxa"/>
              <w:right w:w="90" w:type="dxa"/>
            </w:tcMar>
            <w:vAlign w:val="center"/>
          </w:tcPr>
          <w:p w14:paraId="1141AEDA" w14:textId="77777777" w:rsidR="00C106AF" w:rsidRDefault="00644914">
            <w:pPr>
              <w:spacing w:before="0" w:after="0"/>
              <w:jc w:val="center"/>
            </w:pPr>
            <w:r>
              <w:t>29.4</w:t>
            </w:r>
          </w:p>
        </w:tc>
      </w:tr>
      <w:tr w:rsidR="00C106AF" w14:paraId="2429EC95" w14:textId="77777777">
        <w:trPr>
          <w:jc w:val="center"/>
        </w:trPr>
        <w:tc>
          <w:tcPr>
            <w:tcW w:w="3096" w:type="dxa"/>
            <w:tcMar>
              <w:top w:w="60" w:type="dxa"/>
              <w:left w:w="90" w:type="dxa"/>
              <w:bottom w:w="60" w:type="dxa"/>
              <w:right w:w="90" w:type="dxa"/>
            </w:tcMar>
            <w:vAlign w:val="center"/>
          </w:tcPr>
          <w:p w14:paraId="166EB030"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2F69E6BF" w14:textId="77777777" w:rsidR="00C106AF" w:rsidRDefault="00644914">
            <w:pPr>
              <w:spacing w:before="0" w:after="0"/>
              <w:jc w:val="left"/>
            </w:pPr>
            <w:r>
              <w:t>Postgraduate</w:t>
            </w:r>
          </w:p>
        </w:tc>
        <w:tc>
          <w:tcPr>
            <w:tcW w:w="1483" w:type="dxa"/>
            <w:tcMar>
              <w:top w:w="60" w:type="dxa"/>
              <w:left w:w="90" w:type="dxa"/>
              <w:bottom w:w="60" w:type="dxa"/>
              <w:right w:w="90" w:type="dxa"/>
            </w:tcMar>
            <w:vAlign w:val="center"/>
          </w:tcPr>
          <w:p w14:paraId="0CC607E7" w14:textId="77777777" w:rsidR="00C106AF" w:rsidRDefault="00644914">
            <w:pPr>
              <w:spacing w:before="0" w:after="0"/>
              <w:jc w:val="center"/>
            </w:pPr>
            <w:r>
              <w:t>34.4</w:t>
            </w:r>
          </w:p>
        </w:tc>
      </w:tr>
      <w:tr w:rsidR="00C106AF" w14:paraId="4D0677BA" w14:textId="77777777">
        <w:trPr>
          <w:jc w:val="center"/>
        </w:trPr>
        <w:tc>
          <w:tcPr>
            <w:tcW w:w="3096" w:type="dxa"/>
            <w:tcMar>
              <w:top w:w="60" w:type="dxa"/>
              <w:left w:w="90" w:type="dxa"/>
              <w:bottom w:w="60" w:type="dxa"/>
              <w:right w:w="90" w:type="dxa"/>
            </w:tcMar>
            <w:vAlign w:val="center"/>
          </w:tcPr>
          <w:p w14:paraId="7765C46D"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162D8190" w14:textId="77777777" w:rsidR="00C106AF" w:rsidRDefault="00644914">
            <w:pPr>
              <w:spacing w:before="0" w:after="0"/>
              <w:jc w:val="left"/>
            </w:pPr>
            <w:r>
              <w:t>&lt;50,000</w:t>
            </w:r>
          </w:p>
        </w:tc>
        <w:tc>
          <w:tcPr>
            <w:tcW w:w="1483" w:type="dxa"/>
            <w:tcMar>
              <w:top w:w="60" w:type="dxa"/>
              <w:left w:w="90" w:type="dxa"/>
              <w:bottom w:w="60" w:type="dxa"/>
              <w:right w:w="90" w:type="dxa"/>
            </w:tcMar>
            <w:vAlign w:val="center"/>
          </w:tcPr>
          <w:p w14:paraId="6AD01D71" w14:textId="77777777" w:rsidR="00C106AF" w:rsidRDefault="00644914">
            <w:pPr>
              <w:spacing w:before="0" w:after="0"/>
              <w:jc w:val="center"/>
            </w:pPr>
            <w:r>
              <w:t>24.8</w:t>
            </w:r>
          </w:p>
        </w:tc>
      </w:tr>
      <w:tr w:rsidR="00C106AF" w14:paraId="2F38BF2F" w14:textId="77777777">
        <w:trPr>
          <w:jc w:val="center"/>
        </w:trPr>
        <w:tc>
          <w:tcPr>
            <w:tcW w:w="3096" w:type="dxa"/>
            <w:tcMar>
              <w:top w:w="60" w:type="dxa"/>
              <w:left w:w="90" w:type="dxa"/>
              <w:bottom w:w="60" w:type="dxa"/>
              <w:right w:w="90" w:type="dxa"/>
            </w:tcMar>
            <w:vAlign w:val="center"/>
          </w:tcPr>
          <w:p w14:paraId="0C2C0832"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10430FAD" w14:textId="77777777" w:rsidR="00C106AF" w:rsidRDefault="00644914">
            <w:pPr>
              <w:spacing w:before="0" w:after="0"/>
              <w:jc w:val="left"/>
            </w:pPr>
            <w:r>
              <w:t>50,000-99,999</w:t>
            </w:r>
          </w:p>
        </w:tc>
        <w:tc>
          <w:tcPr>
            <w:tcW w:w="1483" w:type="dxa"/>
            <w:tcMar>
              <w:top w:w="60" w:type="dxa"/>
              <w:left w:w="90" w:type="dxa"/>
              <w:bottom w:w="60" w:type="dxa"/>
              <w:right w:w="90" w:type="dxa"/>
            </w:tcMar>
            <w:vAlign w:val="center"/>
          </w:tcPr>
          <w:p w14:paraId="77BD2B72" w14:textId="77777777" w:rsidR="00C106AF" w:rsidRDefault="00644914">
            <w:pPr>
              <w:spacing w:before="0" w:after="0"/>
              <w:jc w:val="center"/>
            </w:pPr>
            <w:r>
              <w:t>9.9</w:t>
            </w:r>
          </w:p>
        </w:tc>
      </w:tr>
      <w:tr w:rsidR="00C106AF" w14:paraId="57A1F4B8" w14:textId="77777777">
        <w:trPr>
          <w:jc w:val="center"/>
        </w:trPr>
        <w:tc>
          <w:tcPr>
            <w:tcW w:w="3096" w:type="dxa"/>
            <w:tcMar>
              <w:top w:w="60" w:type="dxa"/>
              <w:left w:w="90" w:type="dxa"/>
              <w:bottom w:w="60" w:type="dxa"/>
              <w:right w:w="90" w:type="dxa"/>
            </w:tcMar>
            <w:vAlign w:val="center"/>
          </w:tcPr>
          <w:p w14:paraId="2F0B30D6"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5B5D5583" w14:textId="77777777" w:rsidR="00C106AF" w:rsidRDefault="00644914">
            <w:pPr>
              <w:spacing w:before="0" w:after="0"/>
              <w:jc w:val="left"/>
            </w:pPr>
            <w:r>
              <w:t>100,000-199,999</w:t>
            </w:r>
          </w:p>
        </w:tc>
        <w:tc>
          <w:tcPr>
            <w:tcW w:w="1483" w:type="dxa"/>
            <w:tcMar>
              <w:top w:w="60" w:type="dxa"/>
              <w:left w:w="90" w:type="dxa"/>
              <w:bottom w:w="60" w:type="dxa"/>
              <w:right w:w="90" w:type="dxa"/>
            </w:tcMar>
            <w:vAlign w:val="center"/>
          </w:tcPr>
          <w:p w14:paraId="26A65F47" w14:textId="77777777" w:rsidR="00C106AF" w:rsidRDefault="00644914">
            <w:pPr>
              <w:spacing w:before="0" w:after="0"/>
              <w:jc w:val="center"/>
            </w:pPr>
            <w:r>
              <w:t>20.4</w:t>
            </w:r>
          </w:p>
        </w:tc>
      </w:tr>
      <w:tr w:rsidR="00C106AF" w14:paraId="5137FD07" w14:textId="77777777">
        <w:trPr>
          <w:jc w:val="center"/>
        </w:trPr>
        <w:tc>
          <w:tcPr>
            <w:tcW w:w="3096" w:type="dxa"/>
            <w:tcMar>
              <w:top w:w="60" w:type="dxa"/>
              <w:left w:w="90" w:type="dxa"/>
              <w:bottom w:w="60" w:type="dxa"/>
              <w:right w:w="90" w:type="dxa"/>
            </w:tcMar>
            <w:vAlign w:val="center"/>
          </w:tcPr>
          <w:p w14:paraId="7B360D15"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63A0E174" w14:textId="77777777" w:rsidR="00C106AF" w:rsidRDefault="00644914">
            <w:pPr>
              <w:spacing w:before="0" w:after="0"/>
              <w:jc w:val="left"/>
            </w:pPr>
            <w:r>
              <w:t>200,000+</w:t>
            </w:r>
          </w:p>
        </w:tc>
        <w:tc>
          <w:tcPr>
            <w:tcW w:w="1483" w:type="dxa"/>
            <w:tcMar>
              <w:top w:w="60" w:type="dxa"/>
              <w:left w:w="90" w:type="dxa"/>
              <w:bottom w:w="60" w:type="dxa"/>
              <w:right w:w="90" w:type="dxa"/>
            </w:tcMar>
            <w:vAlign w:val="center"/>
          </w:tcPr>
          <w:p w14:paraId="2DF5FEAD" w14:textId="77777777" w:rsidR="00C106AF" w:rsidRDefault="00644914">
            <w:pPr>
              <w:spacing w:before="0" w:after="0"/>
              <w:jc w:val="center"/>
            </w:pPr>
            <w:r>
              <w:t>44.9</w:t>
            </w:r>
          </w:p>
        </w:tc>
      </w:tr>
      <w:tr w:rsidR="00C106AF" w14:paraId="00E1A645" w14:textId="77777777">
        <w:trPr>
          <w:jc w:val="center"/>
        </w:trPr>
        <w:tc>
          <w:tcPr>
            <w:tcW w:w="3096" w:type="dxa"/>
            <w:tcMar>
              <w:top w:w="60" w:type="dxa"/>
              <w:left w:w="90" w:type="dxa"/>
              <w:bottom w:w="60" w:type="dxa"/>
              <w:right w:w="90" w:type="dxa"/>
            </w:tcMar>
            <w:vAlign w:val="center"/>
          </w:tcPr>
          <w:p w14:paraId="6BF2C8A3"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C07FFE9" w14:textId="77777777" w:rsidR="00C106AF" w:rsidRDefault="00644914">
            <w:pPr>
              <w:spacing w:before="0" w:after="0"/>
              <w:jc w:val="left"/>
            </w:pPr>
            <w:r>
              <w:t>Professionals</w:t>
            </w:r>
          </w:p>
        </w:tc>
        <w:tc>
          <w:tcPr>
            <w:tcW w:w="1483" w:type="dxa"/>
            <w:tcMar>
              <w:top w:w="60" w:type="dxa"/>
              <w:left w:w="90" w:type="dxa"/>
              <w:bottom w:w="60" w:type="dxa"/>
              <w:right w:w="90" w:type="dxa"/>
            </w:tcMar>
            <w:vAlign w:val="center"/>
          </w:tcPr>
          <w:p w14:paraId="39F180A9" w14:textId="77777777" w:rsidR="00C106AF" w:rsidRDefault="00644914">
            <w:pPr>
              <w:spacing w:before="0" w:after="0"/>
              <w:jc w:val="center"/>
            </w:pPr>
            <w:r>
              <w:t>25.16</w:t>
            </w:r>
          </w:p>
        </w:tc>
      </w:tr>
      <w:tr w:rsidR="00C106AF" w14:paraId="24124F74" w14:textId="77777777">
        <w:trPr>
          <w:jc w:val="center"/>
        </w:trPr>
        <w:tc>
          <w:tcPr>
            <w:tcW w:w="3096" w:type="dxa"/>
            <w:tcMar>
              <w:top w:w="60" w:type="dxa"/>
              <w:left w:w="90" w:type="dxa"/>
              <w:bottom w:w="60" w:type="dxa"/>
              <w:right w:w="90" w:type="dxa"/>
            </w:tcMar>
            <w:vAlign w:val="center"/>
          </w:tcPr>
          <w:p w14:paraId="6BB4547E"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001A6528" w14:textId="77777777" w:rsidR="00C106AF" w:rsidRDefault="00644914">
            <w:pPr>
              <w:spacing w:before="0" w:after="0"/>
              <w:jc w:val="left"/>
            </w:pPr>
            <w:r>
              <w:t>Technical and Associate Professionals</w:t>
            </w:r>
          </w:p>
        </w:tc>
        <w:tc>
          <w:tcPr>
            <w:tcW w:w="1483" w:type="dxa"/>
            <w:tcMar>
              <w:top w:w="60" w:type="dxa"/>
              <w:left w:w="90" w:type="dxa"/>
              <w:bottom w:w="60" w:type="dxa"/>
              <w:right w:w="90" w:type="dxa"/>
            </w:tcMar>
            <w:vAlign w:val="center"/>
          </w:tcPr>
          <w:p w14:paraId="0FA76675" w14:textId="77777777" w:rsidR="00C106AF" w:rsidRDefault="00644914">
            <w:pPr>
              <w:spacing w:before="0" w:after="0"/>
              <w:jc w:val="center"/>
            </w:pPr>
            <w:r>
              <w:t>20.92</w:t>
            </w:r>
          </w:p>
        </w:tc>
      </w:tr>
      <w:tr w:rsidR="00C106AF" w14:paraId="0BC1A8C8" w14:textId="77777777">
        <w:trPr>
          <w:jc w:val="center"/>
        </w:trPr>
        <w:tc>
          <w:tcPr>
            <w:tcW w:w="3096" w:type="dxa"/>
            <w:tcMar>
              <w:top w:w="60" w:type="dxa"/>
              <w:left w:w="90" w:type="dxa"/>
              <w:bottom w:w="60" w:type="dxa"/>
              <w:right w:w="90" w:type="dxa"/>
            </w:tcMar>
            <w:vAlign w:val="center"/>
          </w:tcPr>
          <w:p w14:paraId="6D7ED8C8"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364F5330" w14:textId="77777777" w:rsidR="00C106AF" w:rsidRDefault="00644914">
            <w:pPr>
              <w:spacing w:before="0" w:after="0"/>
              <w:jc w:val="left"/>
            </w:pPr>
            <w:r>
              <w:t>Clerks and clerical support workers</w:t>
            </w:r>
          </w:p>
        </w:tc>
        <w:tc>
          <w:tcPr>
            <w:tcW w:w="1483" w:type="dxa"/>
            <w:tcMar>
              <w:top w:w="60" w:type="dxa"/>
              <w:left w:w="90" w:type="dxa"/>
              <w:bottom w:w="60" w:type="dxa"/>
              <w:right w:w="90" w:type="dxa"/>
            </w:tcMar>
            <w:vAlign w:val="center"/>
          </w:tcPr>
          <w:p w14:paraId="1C372CE2" w14:textId="77777777" w:rsidR="00C106AF" w:rsidRDefault="00644914">
            <w:pPr>
              <w:spacing w:before="0" w:after="0"/>
              <w:jc w:val="center"/>
            </w:pPr>
            <w:r>
              <w:t>19.93</w:t>
            </w:r>
          </w:p>
        </w:tc>
      </w:tr>
      <w:tr w:rsidR="00C106AF" w14:paraId="5BE0D378" w14:textId="77777777">
        <w:trPr>
          <w:jc w:val="center"/>
        </w:trPr>
        <w:tc>
          <w:tcPr>
            <w:tcW w:w="3096" w:type="dxa"/>
            <w:tcMar>
              <w:top w:w="60" w:type="dxa"/>
              <w:left w:w="90" w:type="dxa"/>
              <w:bottom w:w="60" w:type="dxa"/>
              <w:right w:w="90" w:type="dxa"/>
            </w:tcMar>
            <w:vAlign w:val="center"/>
          </w:tcPr>
          <w:p w14:paraId="1F74A97F"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9972063" w14:textId="77777777" w:rsidR="00C106AF" w:rsidRDefault="00644914">
            <w:pPr>
              <w:spacing w:before="0" w:after="0"/>
              <w:jc w:val="left"/>
            </w:pPr>
            <w:r>
              <w:t>Services and sales workers</w:t>
            </w:r>
          </w:p>
        </w:tc>
        <w:tc>
          <w:tcPr>
            <w:tcW w:w="1483" w:type="dxa"/>
            <w:tcMar>
              <w:top w:w="60" w:type="dxa"/>
              <w:left w:w="90" w:type="dxa"/>
              <w:bottom w:w="60" w:type="dxa"/>
              <w:right w:w="90" w:type="dxa"/>
            </w:tcMar>
            <w:vAlign w:val="center"/>
          </w:tcPr>
          <w:p w14:paraId="15C25919" w14:textId="77777777" w:rsidR="00C106AF" w:rsidRDefault="00644914">
            <w:pPr>
              <w:spacing w:before="0" w:after="0"/>
              <w:jc w:val="center"/>
            </w:pPr>
            <w:r>
              <w:t>3.92</w:t>
            </w:r>
          </w:p>
        </w:tc>
      </w:tr>
      <w:tr w:rsidR="00C106AF" w14:paraId="5267871D" w14:textId="77777777">
        <w:trPr>
          <w:jc w:val="center"/>
        </w:trPr>
        <w:tc>
          <w:tcPr>
            <w:tcW w:w="3096" w:type="dxa"/>
            <w:tcMar>
              <w:top w:w="60" w:type="dxa"/>
              <w:left w:w="90" w:type="dxa"/>
              <w:bottom w:w="60" w:type="dxa"/>
              <w:right w:w="90" w:type="dxa"/>
            </w:tcMar>
            <w:vAlign w:val="center"/>
          </w:tcPr>
          <w:p w14:paraId="5B1D960F"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191293C5" w14:textId="77777777" w:rsidR="00C106AF" w:rsidRDefault="00644914">
            <w:pPr>
              <w:spacing w:before="0" w:after="0"/>
              <w:jc w:val="left"/>
            </w:pPr>
            <w:r>
              <w:t>Elementary occupation</w:t>
            </w:r>
          </w:p>
        </w:tc>
        <w:tc>
          <w:tcPr>
            <w:tcW w:w="1483" w:type="dxa"/>
            <w:tcMar>
              <w:top w:w="60" w:type="dxa"/>
              <w:left w:w="90" w:type="dxa"/>
              <w:bottom w:w="60" w:type="dxa"/>
              <w:right w:w="90" w:type="dxa"/>
            </w:tcMar>
            <w:vAlign w:val="center"/>
          </w:tcPr>
          <w:p w14:paraId="78BBA9A1" w14:textId="77777777" w:rsidR="00C106AF" w:rsidRDefault="00644914">
            <w:pPr>
              <w:spacing w:before="0" w:after="0"/>
              <w:jc w:val="center"/>
            </w:pPr>
            <w:r>
              <w:t>0.33</w:t>
            </w:r>
          </w:p>
        </w:tc>
      </w:tr>
      <w:tr w:rsidR="00C106AF" w14:paraId="38CB479E" w14:textId="77777777">
        <w:trPr>
          <w:jc w:val="center"/>
        </w:trPr>
        <w:tc>
          <w:tcPr>
            <w:tcW w:w="3096" w:type="dxa"/>
            <w:tcMar>
              <w:top w:w="60" w:type="dxa"/>
              <w:left w:w="90" w:type="dxa"/>
              <w:bottom w:w="60" w:type="dxa"/>
              <w:right w:w="90" w:type="dxa"/>
            </w:tcMar>
            <w:vAlign w:val="center"/>
          </w:tcPr>
          <w:p w14:paraId="68B746AA"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A1ECD82" w14:textId="77777777" w:rsidR="00C106AF" w:rsidRDefault="00644914">
            <w:pPr>
              <w:spacing w:before="0" w:after="0"/>
              <w:jc w:val="left"/>
            </w:pPr>
            <w:r>
              <w:t>Craft and related trade workers</w:t>
            </w:r>
          </w:p>
        </w:tc>
        <w:tc>
          <w:tcPr>
            <w:tcW w:w="1483" w:type="dxa"/>
            <w:tcMar>
              <w:top w:w="60" w:type="dxa"/>
              <w:left w:w="90" w:type="dxa"/>
              <w:bottom w:w="60" w:type="dxa"/>
              <w:right w:w="90" w:type="dxa"/>
            </w:tcMar>
            <w:vAlign w:val="center"/>
          </w:tcPr>
          <w:p w14:paraId="6ABEE7B0" w14:textId="77777777" w:rsidR="00C106AF" w:rsidRDefault="00644914">
            <w:pPr>
              <w:spacing w:before="0" w:after="0"/>
              <w:jc w:val="center"/>
            </w:pPr>
            <w:r>
              <w:t>0.98</w:t>
            </w:r>
          </w:p>
        </w:tc>
      </w:tr>
      <w:tr w:rsidR="00C106AF" w14:paraId="688098BE" w14:textId="77777777">
        <w:trPr>
          <w:jc w:val="center"/>
        </w:trPr>
        <w:tc>
          <w:tcPr>
            <w:tcW w:w="3096" w:type="dxa"/>
            <w:tcMar>
              <w:top w:w="60" w:type="dxa"/>
              <w:left w:w="90" w:type="dxa"/>
              <w:bottom w:w="60" w:type="dxa"/>
              <w:right w:w="90" w:type="dxa"/>
            </w:tcMar>
            <w:vAlign w:val="center"/>
          </w:tcPr>
          <w:p w14:paraId="69875BD3"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08DAAF48" w14:textId="77777777" w:rsidR="00C106AF" w:rsidRDefault="00644914">
            <w:pPr>
              <w:spacing w:before="0" w:after="0"/>
              <w:jc w:val="left"/>
            </w:pPr>
            <w:r>
              <w:t>Skilled agriculture, forest, and fishery workers</w:t>
            </w:r>
          </w:p>
        </w:tc>
        <w:tc>
          <w:tcPr>
            <w:tcW w:w="1483" w:type="dxa"/>
            <w:tcMar>
              <w:top w:w="60" w:type="dxa"/>
              <w:left w:w="90" w:type="dxa"/>
              <w:bottom w:w="60" w:type="dxa"/>
              <w:right w:w="90" w:type="dxa"/>
            </w:tcMar>
            <w:vAlign w:val="center"/>
          </w:tcPr>
          <w:p w14:paraId="488319C6" w14:textId="77777777" w:rsidR="00C106AF" w:rsidRDefault="00644914">
            <w:pPr>
              <w:spacing w:before="0" w:after="0"/>
              <w:jc w:val="center"/>
            </w:pPr>
            <w:r>
              <w:t>0.33</w:t>
            </w:r>
          </w:p>
        </w:tc>
      </w:tr>
      <w:tr w:rsidR="00C106AF" w14:paraId="2FC13591" w14:textId="77777777">
        <w:trPr>
          <w:jc w:val="center"/>
        </w:trPr>
        <w:tc>
          <w:tcPr>
            <w:tcW w:w="3096" w:type="dxa"/>
            <w:tcMar>
              <w:top w:w="60" w:type="dxa"/>
              <w:left w:w="90" w:type="dxa"/>
              <w:bottom w:w="60" w:type="dxa"/>
              <w:right w:w="90" w:type="dxa"/>
            </w:tcMar>
            <w:vAlign w:val="center"/>
          </w:tcPr>
          <w:p w14:paraId="2870ACBB" w14:textId="77777777" w:rsidR="00C106AF" w:rsidRDefault="00644914">
            <w:pPr>
              <w:spacing w:before="0" w:after="0"/>
              <w:jc w:val="left"/>
            </w:pPr>
            <w:r>
              <w:lastRenderedPageBreak/>
              <w:t>Occupation</w:t>
            </w:r>
          </w:p>
        </w:tc>
        <w:tc>
          <w:tcPr>
            <w:tcW w:w="6120" w:type="dxa"/>
            <w:tcMar>
              <w:top w:w="60" w:type="dxa"/>
              <w:left w:w="90" w:type="dxa"/>
              <w:bottom w:w="60" w:type="dxa"/>
              <w:right w:w="90" w:type="dxa"/>
            </w:tcMar>
            <w:vAlign w:val="center"/>
          </w:tcPr>
          <w:p w14:paraId="059F5781" w14:textId="77777777" w:rsidR="00C106AF" w:rsidRDefault="00644914">
            <w:pPr>
              <w:spacing w:before="0" w:after="0"/>
              <w:jc w:val="left"/>
            </w:pPr>
            <w:r>
              <w:t>Armed forces occupations</w:t>
            </w:r>
          </w:p>
        </w:tc>
        <w:tc>
          <w:tcPr>
            <w:tcW w:w="1483" w:type="dxa"/>
            <w:tcMar>
              <w:top w:w="60" w:type="dxa"/>
              <w:left w:w="90" w:type="dxa"/>
              <w:bottom w:w="60" w:type="dxa"/>
              <w:right w:w="90" w:type="dxa"/>
            </w:tcMar>
            <w:vAlign w:val="center"/>
          </w:tcPr>
          <w:p w14:paraId="4CECB3F9" w14:textId="77777777" w:rsidR="00C106AF" w:rsidRDefault="00644914">
            <w:pPr>
              <w:spacing w:before="0" w:after="0"/>
              <w:jc w:val="center"/>
            </w:pPr>
            <w:r>
              <w:t>9.80</w:t>
            </w:r>
          </w:p>
        </w:tc>
      </w:tr>
    </w:tbl>
    <w:p w14:paraId="2230DAE9" w14:textId="77777777" w:rsidR="00C106AF" w:rsidRDefault="00644914">
      <w:pPr>
        <w:pStyle w:val="TableNote"/>
      </w:pPr>
      <w:r>
        <w:t>Note. Occupational totals do not sum to the full sample because unemployed respondents, students, and housewives were excluded in the source tabulation.</w:t>
      </w:r>
    </w:p>
    <w:p w14:paraId="474AF150" w14:textId="0A01BFAE" w:rsidR="00C106AF" w:rsidRDefault="0088560D">
      <w:pPr>
        <w:pStyle w:val="Body"/>
      </w:pPr>
      <w:r w:rsidRPr="0088560D">
        <w:t>The survey appears to cater to the wealthiest and best-educated Sri Lankan banking customers, and the socioeconomic geography of the Sri Lankan banking customers indicates the banking customers of Sri Lanka survey is not fully capturing the diversity of the citizenship banking customers. The bias in the survey sample may be due to the fact that it was conducted in English and targeted formal and digital banking services, thereby capturing fewer responses from the less educated, less wealthy, or people with limited English skills. For these reasons, the limited analytical perspective of the results indicates the respondents represent a small but significant portion of the banking population.</w:t>
      </w:r>
    </w:p>
    <w:p w14:paraId="21186DA5" w14:textId="77777777" w:rsidR="00C106AF" w:rsidRDefault="00644914">
      <w:pPr>
        <w:pStyle w:val="SubHeading"/>
      </w:pPr>
      <w:r>
        <w:t>Financial literacy and banking behaviour</w:t>
      </w:r>
    </w:p>
    <w:p w14:paraId="413315C7" w14:textId="5C4193AF" w:rsidR="00C106AF" w:rsidRDefault="005F2DBF">
      <w:pPr>
        <w:pStyle w:val="Body"/>
      </w:pPr>
      <w:r w:rsidRPr="005F2DBF">
        <w:t>Table 2 shows the patterns of responses regarding their consultations, savings, investments, and use of digital banking. Most respondents relied on their own judgment of the matter, or consulted with family, rather than seeking any professional advice, and the most savings instruments used were still fixed deposits.</w:t>
      </w:r>
    </w:p>
    <w:p w14:paraId="5FD74E08" w14:textId="77777777" w:rsidR="00C106AF" w:rsidRDefault="00644914">
      <w:pPr>
        <w:pStyle w:val="CaptionStyle"/>
      </w:pPr>
      <w:r>
        <w:rPr>
          <w:b/>
        </w:rPr>
        <w:t xml:space="preserve">Table 2. </w:t>
      </w:r>
      <w:r>
        <w:t>Frequency distribution of financial literacy and banking behaviour</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96"/>
        <w:gridCol w:w="6120"/>
        <w:gridCol w:w="1483"/>
      </w:tblGrid>
      <w:tr w:rsidR="00C106AF" w14:paraId="33ED0DE2" w14:textId="77777777">
        <w:trPr>
          <w:tblHeader/>
          <w:jc w:val="center"/>
        </w:trPr>
        <w:tc>
          <w:tcPr>
            <w:tcW w:w="3096" w:type="dxa"/>
            <w:shd w:val="clear" w:color="auto" w:fill="D9D9D9"/>
            <w:tcMar>
              <w:top w:w="60" w:type="dxa"/>
              <w:left w:w="90" w:type="dxa"/>
              <w:bottom w:w="60" w:type="dxa"/>
              <w:right w:w="90" w:type="dxa"/>
            </w:tcMar>
            <w:vAlign w:val="center"/>
          </w:tcPr>
          <w:p w14:paraId="61D96178" w14:textId="77777777" w:rsidR="00C106AF" w:rsidRDefault="00644914">
            <w:pPr>
              <w:spacing w:before="0" w:after="0"/>
              <w:jc w:val="left"/>
            </w:pPr>
            <w:r>
              <w:rPr>
                <w:b/>
              </w:rPr>
              <w:t>Construct</w:t>
            </w:r>
          </w:p>
        </w:tc>
        <w:tc>
          <w:tcPr>
            <w:tcW w:w="6120" w:type="dxa"/>
            <w:shd w:val="clear" w:color="auto" w:fill="D9D9D9"/>
            <w:tcMar>
              <w:top w:w="60" w:type="dxa"/>
              <w:left w:w="90" w:type="dxa"/>
              <w:bottom w:w="60" w:type="dxa"/>
              <w:right w:w="90" w:type="dxa"/>
            </w:tcMar>
            <w:vAlign w:val="center"/>
          </w:tcPr>
          <w:p w14:paraId="6B7D2D41" w14:textId="77777777" w:rsidR="00C106AF" w:rsidRDefault="00644914">
            <w:pPr>
              <w:spacing w:before="0" w:after="0"/>
              <w:jc w:val="left"/>
            </w:pPr>
            <w:r>
              <w:rPr>
                <w:b/>
              </w:rPr>
              <w:t>Category</w:t>
            </w:r>
          </w:p>
        </w:tc>
        <w:tc>
          <w:tcPr>
            <w:tcW w:w="1483" w:type="dxa"/>
            <w:shd w:val="clear" w:color="auto" w:fill="D9D9D9"/>
            <w:tcMar>
              <w:top w:w="60" w:type="dxa"/>
              <w:left w:w="90" w:type="dxa"/>
              <w:bottom w:w="60" w:type="dxa"/>
              <w:right w:w="90" w:type="dxa"/>
            </w:tcMar>
            <w:vAlign w:val="center"/>
          </w:tcPr>
          <w:p w14:paraId="3C3E0FB3" w14:textId="77777777" w:rsidR="00C106AF" w:rsidRDefault="00644914">
            <w:pPr>
              <w:spacing w:before="0" w:after="0"/>
              <w:jc w:val="center"/>
            </w:pPr>
            <w:r>
              <w:rPr>
                <w:b/>
              </w:rPr>
              <w:t>Frequency (%)</w:t>
            </w:r>
          </w:p>
        </w:tc>
      </w:tr>
      <w:tr w:rsidR="00C106AF" w14:paraId="70B3BC61" w14:textId="77777777">
        <w:trPr>
          <w:jc w:val="center"/>
        </w:trPr>
        <w:tc>
          <w:tcPr>
            <w:tcW w:w="3096" w:type="dxa"/>
            <w:tcMar>
              <w:top w:w="60" w:type="dxa"/>
              <w:left w:w="90" w:type="dxa"/>
              <w:bottom w:w="60" w:type="dxa"/>
              <w:right w:w="90" w:type="dxa"/>
            </w:tcMar>
            <w:vAlign w:val="center"/>
          </w:tcPr>
          <w:p w14:paraId="283A785C"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6628326B" w14:textId="77777777" w:rsidR="00C106AF" w:rsidRDefault="00644914">
            <w:pPr>
              <w:spacing w:before="0" w:after="0"/>
              <w:jc w:val="left"/>
            </w:pPr>
            <w:r>
              <w:t>On my own</w:t>
            </w:r>
          </w:p>
        </w:tc>
        <w:tc>
          <w:tcPr>
            <w:tcW w:w="1483" w:type="dxa"/>
            <w:tcMar>
              <w:top w:w="60" w:type="dxa"/>
              <w:left w:w="90" w:type="dxa"/>
              <w:bottom w:w="60" w:type="dxa"/>
              <w:right w:w="90" w:type="dxa"/>
            </w:tcMar>
            <w:vAlign w:val="center"/>
          </w:tcPr>
          <w:p w14:paraId="2F231A46" w14:textId="77777777" w:rsidR="00C106AF" w:rsidRDefault="00644914">
            <w:pPr>
              <w:spacing w:before="0" w:after="0"/>
              <w:jc w:val="center"/>
            </w:pPr>
            <w:r>
              <w:t>58.51</w:t>
            </w:r>
          </w:p>
        </w:tc>
      </w:tr>
      <w:tr w:rsidR="00C106AF" w14:paraId="24B2837F" w14:textId="77777777">
        <w:trPr>
          <w:jc w:val="center"/>
        </w:trPr>
        <w:tc>
          <w:tcPr>
            <w:tcW w:w="3096" w:type="dxa"/>
            <w:tcMar>
              <w:top w:w="60" w:type="dxa"/>
              <w:left w:w="90" w:type="dxa"/>
              <w:bottom w:w="60" w:type="dxa"/>
              <w:right w:w="90" w:type="dxa"/>
            </w:tcMar>
            <w:vAlign w:val="center"/>
          </w:tcPr>
          <w:p w14:paraId="3A4EC3FC"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7AC16001" w14:textId="77777777" w:rsidR="00C106AF" w:rsidRDefault="00644914">
            <w:pPr>
              <w:spacing w:before="0" w:after="0"/>
              <w:jc w:val="left"/>
            </w:pPr>
            <w:r>
              <w:t>Consult family</w:t>
            </w:r>
          </w:p>
        </w:tc>
        <w:tc>
          <w:tcPr>
            <w:tcW w:w="1483" w:type="dxa"/>
            <w:tcMar>
              <w:top w:w="60" w:type="dxa"/>
              <w:left w:w="90" w:type="dxa"/>
              <w:bottom w:w="60" w:type="dxa"/>
              <w:right w:w="90" w:type="dxa"/>
            </w:tcMar>
            <w:vAlign w:val="center"/>
          </w:tcPr>
          <w:p w14:paraId="678CEED0" w14:textId="77777777" w:rsidR="00C106AF" w:rsidRDefault="00644914">
            <w:pPr>
              <w:spacing w:before="0" w:after="0"/>
              <w:jc w:val="center"/>
            </w:pPr>
            <w:r>
              <w:t>45.82</w:t>
            </w:r>
          </w:p>
        </w:tc>
      </w:tr>
      <w:tr w:rsidR="00C106AF" w14:paraId="79EF3A82" w14:textId="77777777">
        <w:trPr>
          <w:jc w:val="center"/>
        </w:trPr>
        <w:tc>
          <w:tcPr>
            <w:tcW w:w="3096" w:type="dxa"/>
            <w:tcMar>
              <w:top w:w="60" w:type="dxa"/>
              <w:left w:w="90" w:type="dxa"/>
              <w:bottom w:w="60" w:type="dxa"/>
              <w:right w:w="90" w:type="dxa"/>
            </w:tcMar>
            <w:vAlign w:val="center"/>
          </w:tcPr>
          <w:p w14:paraId="6F6B621F"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05A027F1" w14:textId="77777777" w:rsidR="00C106AF" w:rsidRDefault="00644914">
            <w:pPr>
              <w:spacing w:before="0" w:after="0"/>
              <w:jc w:val="left"/>
            </w:pPr>
            <w:r>
              <w:t>Consult external experts</w:t>
            </w:r>
          </w:p>
        </w:tc>
        <w:tc>
          <w:tcPr>
            <w:tcW w:w="1483" w:type="dxa"/>
            <w:tcMar>
              <w:top w:w="60" w:type="dxa"/>
              <w:left w:w="90" w:type="dxa"/>
              <w:bottom w:w="60" w:type="dxa"/>
              <w:right w:w="90" w:type="dxa"/>
            </w:tcMar>
            <w:vAlign w:val="center"/>
          </w:tcPr>
          <w:p w14:paraId="6C28F295" w14:textId="77777777" w:rsidR="00C106AF" w:rsidRDefault="00644914">
            <w:pPr>
              <w:spacing w:before="0" w:after="0"/>
              <w:jc w:val="center"/>
            </w:pPr>
            <w:r>
              <w:t>10.22</w:t>
            </w:r>
          </w:p>
        </w:tc>
      </w:tr>
      <w:tr w:rsidR="00C106AF" w14:paraId="7815E729" w14:textId="77777777">
        <w:trPr>
          <w:jc w:val="center"/>
        </w:trPr>
        <w:tc>
          <w:tcPr>
            <w:tcW w:w="3096" w:type="dxa"/>
            <w:tcMar>
              <w:top w:w="60" w:type="dxa"/>
              <w:left w:w="90" w:type="dxa"/>
              <w:bottom w:w="60" w:type="dxa"/>
              <w:right w:w="90" w:type="dxa"/>
            </w:tcMar>
            <w:vAlign w:val="center"/>
          </w:tcPr>
          <w:p w14:paraId="69A47B25"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66152643" w14:textId="77777777" w:rsidR="00C106AF" w:rsidRDefault="00644914">
            <w:pPr>
              <w:spacing w:before="0" w:after="0"/>
              <w:jc w:val="left"/>
            </w:pPr>
            <w:r>
              <w:t>Consider public view</w:t>
            </w:r>
          </w:p>
        </w:tc>
        <w:tc>
          <w:tcPr>
            <w:tcW w:w="1483" w:type="dxa"/>
            <w:tcMar>
              <w:top w:w="60" w:type="dxa"/>
              <w:left w:w="90" w:type="dxa"/>
              <w:bottom w:w="60" w:type="dxa"/>
              <w:right w:w="90" w:type="dxa"/>
            </w:tcMar>
            <w:vAlign w:val="center"/>
          </w:tcPr>
          <w:p w14:paraId="5469C0CA" w14:textId="77777777" w:rsidR="00C106AF" w:rsidRDefault="00644914">
            <w:pPr>
              <w:spacing w:before="0" w:after="0"/>
              <w:jc w:val="center"/>
            </w:pPr>
            <w:r>
              <w:t>5.57</w:t>
            </w:r>
          </w:p>
        </w:tc>
      </w:tr>
      <w:tr w:rsidR="00C106AF" w14:paraId="113B8838" w14:textId="77777777">
        <w:trPr>
          <w:jc w:val="center"/>
        </w:trPr>
        <w:tc>
          <w:tcPr>
            <w:tcW w:w="3096" w:type="dxa"/>
            <w:tcMar>
              <w:top w:w="60" w:type="dxa"/>
              <w:left w:w="90" w:type="dxa"/>
              <w:bottom w:w="60" w:type="dxa"/>
              <w:right w:w="90" w:type="dxa"/>
            </w:tcMar>
            <w:vAlign w:val="center"/>
          </w:tcPr>
          <w:p w14:paraId="7B5211AB"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167CBE0A" w14:textId="77777777" w:rsidR="00C106AF" w:rsidRDefault="00644914">
            <w:pPr>
              <w:spacing w:before="0" w:after="0"/>
              <w:jc w:val="left"/>
            </w:pPr>
            <w:r>
              <w:t>Not interested</w:t>
            </w:r>
          </w:p>
        </w:tc>
        <w:tc>
          <w:tcPr>
            <w:tcW w:w="1483" w:type="dxa"/>
            <w:tcMar>
              <w:top w:w="60" w:type="dxa"/>
              <w:left w:w="90" w:type="dxa"/>
              <w:bottom w:w="60" w:type="dxa"/>
              <w:right w:w="90" w:type="dxa"/>
            </w:tcMar>
            <w:vAlign w:val="center"/>
          </w:tcPr>
          <w:p w14:paraId="4A935548" w14:textId="77777777" w:rsidR="00C106AF" w:rsidRDefault="00644914">
            <w:pPr>
              <w:spacing w:before="0" w:after="0"/>
              <w:jc w:val="center"/>
            </w:pPr>
            <w:r>
              <w:t>13.6</w:t>
            </w:r>
          </w:p>
        </w:tc>
      </w:tr>
      <w:tr w:rsidR="00C106AF" w14:paraId="48D2A8BF" w14:textId="77777777">
        <w:trPr>
          <w:jc w:val="center"/>
        </w:trPr>
        <w:tc>
          <w:tcPr>
            <w:tcW w:w="3096" w:type="dxa"/>
            <w:tcMar>
              <w:top w:w="60" w:type="dxa"/>
              <w:left w:w="90" w:type="dxa"/>
              <w:bottom w:w="60" w:type="dxa"/>
              <w:right w:w="90" w:type="dxa"/>
            </w:tcMar>
            <w:vAlign w:val="center"/>
          </w:tcPr>
          <w:p w14:paraId="33E596C0"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09D50564" w14:textId="77777777" w:rsidR="00C106AF" w:rsidRDefault="00644914">
            <w:pPr>
              <w:spacing w:before="0" w:after="0"/>
              <w:jc w:val="left"/>
            </w:pPr>
            <w:r>
              <w:t>Regular savings</w:t>
            </w:r>
          </w:p>
        </w:tc>
        <w:tc>
          <w:tcPr>
            <w:tcW w:w="1483" w:type="dxa"/>
            <w:tcMar>
              <w:top w:w="60" w:type="dxa"/>
              <w:left w:w="90" w:type="dxa"/>
              <w:bottom w:w="60" w:type="dxa"/>
              <w:right w:w="90" w:type="dxa"/>
            </w:tcMar>
            <w:vAlign w:val="center"/>
          </w:tcPr>
          <w:p w14:paraId="4C3C854D" w14:textId="77777777" w:rsidR="00C106AF" w:rsidRDefault="00644914">
            <w:pPr>
              <w:spacing w:before="0" w:after="0"/>
              <w:jc w:val="center"/>
            </w:pPr>
            <w:r>
              <w:t>50.5</w:t>
            </w:r>
          </w:p>
        </w:tc>
      </w:tr>
      <w:tr w:rsidR="00C106AF" w14:paraId="31F22A1A" w14:textId="77777777">
        <w:trPr>
          <w:jc w:val="center"/>
        </w:trPr>
        <w:tc>
          <w:tcPr>
            <w:tcW w:w="3096" w:type="dxa"/>
            <w:tcMar>
              <w:top w:w="60" w:type="dxa"/>
              <w:left w:w="90" w:type="dxa"/>
              <w:bottom w:w="60" w:type="dxa"/>
              <w:right w:w="90" w:type="dxa"/>
            </w:tcMar>
            <w:vAlign w:val="center"/>
          </w:tcPr>
          <w:p w14:paraId="54A0960E"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2FA97BCA" w14:textId="77777777" w:rsidR="00C106AF" w:rsidRDefault="00644914">
            <w:pPr>
              <w:spacing w:before="0" w:after="0"/>
              <w:jc w:val="left"/>
            </w:pPr>
            <w:r>
              <w:t>FDs with high yield</w:t>
            </w:r>
          </w:p>
        </w:tc>
        <w:tc>
          <w:tcPr>
            <w:tcW w:w="1483" w:type="dxa"/>
            <w:tcMar>
              <w:top w:w="60" w:type="dxa"/>
              <w:left w:w="90" w:type="dxa"/>
              <w:bottom w:w="60" w:type="dxa"/>
              <w:right w:w="90" w:type="dxa"/>
            </w:tcMar>
            <w:vAlign w:val="center"/>
          </w:tcPr>
          <w:p w14:paraId="13FED305" w14:textId="77777777" w:rsidR="00C106AF" w:rsidRDefault="00644914">
            <w:pPr>
              <w:spacing w:before="0" w:after="0"/>
              <w:jc w:val="center"/>
            </w:pPr>
            <w:r>
              <w:t>35.9</w:t>
            </w:r>
          </w:p>
        </w:tc>
      </w:tr>
      <w:tr w:rsidR="00C106AF" w14:paraId="3D0175C9" w14:textId="77777777">
        <w:trPr>
          <w:jc w:val="center"/>
        </w:trPr>
        <w:tc>
          <w:tcPr>
            <w:tcW w:w="3096" w:type="dxa"/>
            <w:tcMar>
              <w:top w:w="60" w:type="dxa"/>
              <w:left w:w="90" w:type="dxa"/>
              <w:bottom w:w="60" w:type="dxa"/>
              <w:right w:w="90" w:type="dxa"/>
            </w:tcMar>
            <w:vAlign w:val="center"/>
          </w:tcPr>
          <w:p w14:paraId="324605A2" w14:textId="77777777" w:rsidR="00C106AF" w:rsidRDefault="00644914">
            <w:pPr>
              <w:spacing w:before="0" w:after="0"/>
              <w:jc w:val="left"/>
            </w:pPr>
            <w:r>
              <w:t>Considers market situation</w:t>
            </w:r>
          </w:p>
        </w:tc>
        <w:tc>
          <w:tcPr>
            <w:tcW w:w="6120" w:type="dxa"/>
            <w:tcMar>
              <w:top w:w="60" w:type="dxa"/>
              <w:left w:w="90" w:type="dxa"/>
              <w:bottom w:w="60" w:type="dxa"/>
              <w:right w:w="90" w:type="dxa"/>
            </w:tcMar>
            <w:vAlign w:val="center"/>
          </w:tcPr>
          <w:p w14:paraId="4352D7B1" w14:textId="77777777" w:rsidR="00C106AF" w:rsidRDefault="00644914">
            <w:pPr>
              <w:spacing w:before="0" w:after="0"/>
              <w:jc w:val="left"/>
            </w:pPr>
            <w:r>
              <w:t>Yes</w:t>
            </w:r>
          </w:p>
        </w:tc>
        <w:tc>
          <w:tcPr>
            <w:tcW w:w="1483" w:type="dxa"/>
            <w:tcMar>
              <w:top w:w="60" w:type="dxa"/>
              <w:left w:w="90" w:type="dxa"/>
              <w:bottom w:w="60" w:type="dxa"/>
              <w:right w:w="90" w:type="dxa"/>
            </w:tcMar>
            <w:vAlign w:val="center"/>
          </w:tcPr>
          <w:p w14:paraId="5C2971D9" w14:textId="77777777" w:rsidR="00C106AF" w:rsidRDefault="00644914">
            <w:pPr>
              <w:spacing w:before="0" w:after="0"/>
              <w:jc w:val="center"/>
            </w:pPr>
            <w:r>
              <w:t>73.68</w:t>
            </w:r>
          </w:p>
        </w:tc>
      </w:tr>
      <w:tr w:rsidR="00C106AF" w14:paraId="6B20FCEF" w14:textId="77777777">
        <w:trPr>
          <w:jc w:val="center"/>
        </w:trPr>
        <w:tc>
          <w:tcPr>
            <w:tcW w:w="3096" w:type="dxa"/>
            <w:tcMar>
              <w:top w:w="60" w:type="dxa"/>
              <w:left w:w="90" w:type="dxa"/>
              <w:bottom w:w="60" w:type="dxa"/>
              <w:right w:w="90" w:type="dxa"/>
            </w:tcMar>
            <w:vAlign w:val="center"/>
          </w:tcPr>
          <w:p w14:paraId="7C1085B2" w14:textId="77777777" w:rsidR="00C106AF" w:rsidRDefault="00644914">
            <w:pPr>
              <w:spacing w:before="0" w:after="0"/>
              <w:jc w:val="left"/>
            </w:pPr>
            <w:r>
              <w:t>Considers market situation</w:t>
            </w:r>
          </w:p>
        </w:tc>
        <w:tc>
          <w:tcPr>
            <w:tcW w:w="6120" w:type="dxa"/>
            <w:tcMar>
              <w:top w:w="60" w:type="dxa"/>
              <w:left w:w="90" w:type="dxa"/>
              <w:bottom w:w="60" w:type="dxa"/>
              <w:right w:w="90" w:type="dxa"/>
            </w:tcMar>
            <w:vAlign w:val="center"/>
          </w:tcPr>
          <w:p w14:paraId="20E5EA2A" w14:textId="77777777" w:rsidR="00C106AF" w:rsidRDefault="00644914">
            <w:pPr>
              <w:spacing w:before="0" w:after="0"/>
              <w:jc w:val="left"/>
            </w:pPr>
            <w:r>
              <w:t>No</w:t>
            </w:r>
          </w:p>
        </w:tc>
        <w:tc>
          <w:tcPr>
            <w:tcW w:w="1483" w:type="dxa"/>
            <w:tcMar>
              <w:top w:w="60" w:type="dxa"/>
              <w:left w:w="90" w:type="dxa"/>
              <w:bottom w:w="60" w:type="dxa"/>
              <w:right w:w="90" w:type="dxa"/>
            </w:tcMar>
            <w:vAlign w:val="center"/>
          </w:tcPr>
          <w:p w14:paraId="2F550156" w14:textId="77777777" w:rsidR="00C106AF" w:rsidRDefault="00644914">
            <w:pPr>
              <w:spacing w:before="0" w:after="0"/>
              <w:jc w:val="center"/>
            </w:pPr>
            <w:r>
              <w:t>26.32</w:t>
            </w:r>
          </w:p>
        </w:tc>
      </w:tr>
      <w:tr w:rsidR="00C106AF" w14:paraId="08DB1411" w14:textId="77777777">
        <w:trPr>
          <w:jc w:val="center"/>
        </w:trPr>
        <w:tc>
          <w:tcPr>
            <w:tcW w:w="3096" w:type="dxa"/>
            <w:tcMar>
              <w:top w:w="60" w:type="dxa"/>
              <w:left w:w="90" w:type="dxa"/>
              <w:bottom w:w="60" w:type="dxa"/>
              <w:right w:w="90" w:type="dxa"/>
            </w:tcMar>
            <w:vAlign w:val="center"/>
          </w:tcPr>
          <w:p w14:paraId="6B943B9B"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30BFA0F8" w14:textId="77777777" w:rsidR="00C106AF" w:rsidRDefault="00644914">
            <w:pPr>
              <w:spacing w:before="0" w:after="0"/>
              <w:jc w:val="left"/>
            </w:pPr>
            <w:r>
              <w:t>FDs</w:t>
            </w:r>
          </w:p>
        </w:tc>
        <w:tc>
          <w:tcPr>
            <w:tcW w:w="1483" w:type="dxa"/>
            <w:tcMar>
              <w:top w:w="60" w:type="dxa"/>
              <w:left w:w="90" w:type="dxa"/>
              <w:bottom w:w="60" w:type="dxa"/>
              <w:right w:w="90" w:type="dxa"/>
            </w:tcMar>
            <w:vAlign w:val="center"/>
          </w:tcPr>
          <w:p w14:paraId="428F2714" w14:textId="77777777" w:rsidR="00C106AF" w:rsidRDefault="00644914">
            <w:pPr>
              <w:spacing w:before="0" w:after="0"/>
              <w:jc w:val="center"/>
            </w:pPr>
            <w:r>
              <w:t>77.09</w:t>
            </w:r>
          </w:p>
        </w:tc>
      </w:tr>
      <w:tr w:rsidR="00C106AF" w14:paraId="167CB757" w14:textId="77777777">
        <w:trPr>
          <w:jc w:val="center"/>
        </w:trPr>
        <w:tc>
          <w:tcPr>
            <w:tcW w:w="3096" w:type="dxa"/>
            <w:tcMar>
              <w:top w:w="60" w:type="dxa"/>
              <w:left w:w="90" w:type="dxa"/>
              <w:bottom w:w="60" w:type="dxa"/>
              <w:right w:w="90" w:type="dxa"/>
            </w:tcMar>
            <w:vAlign w:val="center"/>
          </w:tcPr>
          <w:p w14:paraId="579D95EF"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538DCFC9" w14:textId="77777777" w:rsidR="00C106AF" w:rsidRDefault="00644914">
            <w:pPr>
              <w:spacing w:before="0" w:after="0"/>
              <w:jc w:val="left"/>
            </w:pPr>
            <w:r>
              <w:t>Unit trusts</w:t>
            </w:r>
          </w:p>
        </w:tc>
        <w:tc>
          <w:tcPr>
            <w:tcW w:w="1483" w:type="dxa"/>
            <w:tcMar>
              <w:top w:w="60" w:type="dxa"/>
              <w:left w:w="90" w:type="dxa"/>
              <w:bottom w:w="60" w:type="dxa"/>
              <w:right w:w="90" w:type="dxa"/>
            </w:tcMar>
            <w:vAlign w:val="center"/>
          </w:tcPr>
          <w:p w14:paraId="02692352" w14:textId="77777777" w:rsidR="00C106AF" w:rsidRDefault="00644914">
            <w:pPr>
              <w:spacing w:before="0" w:after="0"/>
              <w:jc w:val="center"/>
            </w:pPr>
            <w:r>
              <w:t>6.19</w:t>
            </w:r>
          </w:p>
        </w:tc>
      </w:tr>
      <w:tr w:rsidR="00C106AF" w14:paraId="015E50C8" w14:textId="77777777">
        <w:trPr>
          <w:jc w:val="center"/>
        </w:trPr>
        <w:tc>
          <w:tcPr>
            <w:tcW w:w="3096" w:type="dxa"/>
            <w:tcMar>
              <w:top w:w="60" w:type="dxa"/>
              <w:left w:w="90" w:type="dxa"/>
              <w:bottom w:w="60" w:type="dxa"/>
              <w:right w:w="90" w:type="dxa"/>
            </w:tcMar>
            <w:vAlign w:val="center"/>
          </w:tcPr>
          <w:p w14:paraId="49924113"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0AD756CA" w14:textId="77777777" w:rsidR="00C106AF" w:rsidRDefault="00644914">
            <w:pPr>
              <w:spacing w:before="0" w:after="0"/>
              <w:jc w:val="left"/>
            </w:pPr>
            <w:r>
              <w:t>Share market</w:t>
            </w:r>
          </w:p>
        </w:tc>
        <w:tc>
          <w:tcPr>
            <w:tcW w:w="1483" w:type="dxa"/>
            <w:tcMar>
              <w:top w:w="60" w:type="dxa"/>
              <w:left w:w="90" w:type="dxa"/>
              <w:bottom w:w="60" w:type="dxa"/>
              <w:right w:w="90" w:type="dxa"/>
            </w:tcMar>
            <w:vAlign w:val="center"/>
          </w:tcPr>
          <w:p w14:paraId="0229318B" w14:textId="77777777" w:rsidR="00C106AF" w:rsidRDefault="00644914">
            <w:pPr>
              <w:spacing w:before="0" w:after="0"/>
              <w:jc w:val="center"/>
            </w:pPr>
            <w:r>
              <w:t>33.13</w:t>
            </w:r>
          </w:p>
        </w:tc>
      </w:tr>
      <w:tr w:rsidR="00C106AF" w14:paraId="68CC47FF" w14:textId="77777777">
        <w:trPr>
          <w:jc w:val="center"/>
        </w:trPr>
        <w:tc>
          <w:tcPr>
            <w:tcW w:w="3096" w:type="dxa"/>
            <w:tcMar>
              <w:top w:w="60" w:type="dxa"/>
              <w:left w:w="90" w:type="dxa"/>
              <w:bottom w:w="60" w:type="dxa"/>
              <w:right w:w="90" w:type="dxa"/>
            </w:tcMar>
            <w:vAlign w:val="center"/>
          </w:tcPr>
          <w:p w14:paraId="1A4DAD60"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31010680" w14:textId="77777777" w:rsidR="00C106AF" w:rsidRDefault="00644914">
            <w:pPr>
              <w:spacing w:before="0" w:after="0"/>
              <w:jc w:val="left"/>
            </w:pPr>
            <w:r>
              <w:t>Government securities</w:t>
            </w:r>
          </w:p>
        </w:tc>
        <w:tc>
          <w:tcPr>
            <w:tcW w:w="1483" w:type="dxa"/>
            <w:tcMar>
              <w:top w:w="60" w:type="dxa"/>
              <w:left w:w="90" w:type="dxa"/>
              <w:bottom w:w="60" w:type="dxa"/>
              <w:right w:w="90" w:type="dxa"/>
            </w:tcMar>
            <w:vAlign w:val="center"/>
          </w:tcPr>
          <w:p w14:paraId="0F631FEC" w14:textId="77777777" w:rsidR="00C106AF" w:rsidRDefault="00644914">
            <w:pPr>
              <w:spacing w:before="0" w:after="0"/>
              <w:jc w:val="center"/>
            </w:pPr>
            <w:r>
              <w:t>15.79</w:t>
            </w:r>
          </w:p>
        </w:tc>
      </w:tr>
      <w:tr w:rsidR="00C106AF" w14:paraId="5E636761" w14:textId="77777777">
        <w:trPr>
          <w:jc w:val="center"/>
        </w:trPr>
        <w:tc>
          <w:tcPr>
            <w:tcW w:w="3096" w:type="dxa"/>
            <w:tcMar>
              <w:top w:w="60" w:type="dxa"/>
              <w:left w:w="90" w:type="dxa"/>
              <w:bottom w:w="60" w:type="dxa"/>
              <w:right w:w="90" w:type="dxa"/>
            </w:tcMar>
            <w:vAlign w:val="center"/>
          </w:tcPr>
          <w:p w14:paraId="7FF2E25E"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23E31D19" w14:textId="77777777" w:rsidR="00C106AF" w:rsidRDefault="00644914">
            <w:pPr>
              <w:spacing w:before="0" w:after="0"/>
              <w:jc w:val="left"/>
            </w:pPr>
            <w:r>
              <w:t>Do not use</w:t>
            </w:r>
          </w:p>
        </w:tc>
        <w:tc>
          <w:tcPr>
            <w:tcW w:w="1483" w:type="dxa"/>
            <w:tcMar>
              <w:top w:w="60" w:type="dxa"/>
              <w:left w:w="90" w:type="dxa"/>
              <w:bottom w:w="60" w:type="dxa"/>
              <w:right w:w="90" w:type="dxa"/>
            </w:tcMar>
            <w:vAlign w:val="center"/>
          </w:tcPr>
          <w:p w14:paraId="5ADFFFC1" w14:textId="77777777" w:rsidR="00C106AF" w:rsidRDefault="00644914">
            <w:pPr>
              <w:spacing w:before="0" w:after="0"/>
              <w:jc w:val="center"/>
            </w:pPr>
            <w:r>
              <w:t>7.43</w:t>
            </w:r>
          </w:p>
        </w:tc>
      </w:tr>
      <w:tr w:rsidR="00C106AF" w14:paraId="1C057F28" w14:textId="77777777">
        <w:trPr>
          <w:jc w:val="center"/>
        </w:trPr>
        <w:tc>
          <w:tcPr>
            <w:tcW w:w="3096" w:type="dxa"/>
            <w:tcMar>
              <w:top w:w="60" w:type="dxa"/>
              <w:left w:w="90" w:type="dxa"/>
              <w:bottom w:w="60" w:type="dxa"/>
              <w:right w:w="90" w:type="dxa"/>
            </w:tcMar>
            <w:vAlign w:val="center"/>
          </w:tcPr>
          <w:p w14:paraId="2681CD08"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5CA368BF" w14:textId="77777777" w:rsidR="00C106AF" w:rsidRDefault="00644914">
            <w:pPr>
              <w:spacing w:before="0" w:after="0"/>
              <w:jc w:val="left"/>
            </w:pPr>
            <w:r>
              <w:t>Use online banking</w:t>
            </w:r>
          </w:p>
        </w:tc>
        <w:tc>
          <w:tcPr>
            <w:tcW w:w="1483" w:type="dxa"/>
            <w:tcMar>
              <w:top w:w="60" w:type="dxa"/>
              <w:left w:w="90" w:type="dxa"/>
              <w:bottom w:w="60" w:type="dxa"/>
              <w:right w:w="90" w:type="dxa"/>
            </w:tcMar>
            <w:vAlign w:val="center"/>
          </w:tcPr>
          <w:p w14:paraId="03F6541D" w14:textId="77777777" w:rsidR="00C106AF" w:rsidRDefault="00644914">
            <w:pPr>
              <w:spacing w:before="0" w:after="0"/>
              <w:jc w:val="center"/>
            </w:pPr>
            <w:r>
              <w:t>84.52</w:t>
            </w:r>
          </w:p>
        </w:tc>
      </w:tr>
      <w:tr w:rsidR="00C106AF" w14:paraId="3452CC20" w14:textId="77777777">
        <w:trPr>
          <w:jc w:val="center"/>
        </w:trPr>
        <w:tc>
          <w:tcPr>
            <w:tcW w:w="3096" w:type="dxa"/>
            <w:tcMar>
              <w:top w:w="60" w:type="dxa"/>
              <w:left w:w="90" w:type="dxa"/>
              <w:bottom w:w="60" w:type="dxa"/>
              <w:right w:w="90" w:type="dxa"/>
            </w:tcMar>
            <w:vAlign w:val="center"/>
          </w:tcPr>
          <w:p w14:paraId="19EBD1DD"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06DEC4D5" w14:textId="77777777" w:rsidR="00C106AF" w:rsidRDefault="00644914">
            <w:pPr>
              <w:spacing w:before="0" w:after="0"/>
              <w:jc w:val="left"/>
            </w:pPr>
            <w:r>
              <w:t>Use for bill payments</w:t>
            </w:r>
          </w:p>
        </w:tc>
        <w:tc>
          <w:tcPr>
            <w:tcW w:w="1483" w:type="dxa"/>
            <w:tcMar>
              <w:top w:w="60" w:type="dxa"/>
              <w:left w:w="90" w:type="dxa"/>
              <w:bottom w:w="60" w:type="dxa"/>
              <w:right w:w="90" w:type="dxa"/>
            </w:tcMar>
            <w:vAlign w:val="center"/>
          </w:tcPr>
          <w:p w14:paraId="2B31E60A" w14:textId="77777777" w:rsidR="00C106AF" w:rsidRDefault="00644914">
            <w:pPr>
              <w:spacing w:before="0" w:after="0"/>
              <w:jc w:val="center"/>
            </w:pPr>
            <w:r>
              <w:t>38.08</w:t>
            </w:r>
          </w:p>
        </w:tc>
      </w:tr>
      <w:tr w:rsidR="00C106AF" w14:paraId="4371E5E0" w14:textId="77777777">
        <w:trPr>
          <w:jc w:val="center"/>
        </w:trPr>
        <w:tc>
          <w:tcPr>
            <w:tcW w:w="3096" w:type="dxa"/>
            <w:tcMar>
              <w:top w:w="60" w:type="dxa"/>
              <w:left w:w="90" w:type="dxa"/>
              <w:bottom w:w="60" w:type="dxa"/>
              <w:right w:w="90" w:type="dxa"/>
            </w:tcMar>
            <w:vAlign w:val="center"/>
          </w:tcPr>
          <w:p w14:paraId="676DADD5"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75B2A5C8" w14:textId="77777777" w:rsidR="00C106AF" w:rsidRDefault="00644914">
            <w:pPr>
              <w:spacing w:before="0" w:after="0"/>
              <w:jc w:val="left"/>
            </w:pPr>
            <w:r>
              <w:t>Use mobile wallets</w:t>
            </w:r>
          </w:p>
        </w:tc>
        <w:tc>
          <w:tcPr>
            <w:tcW w:w="1483" w:type="dxa"/>
            <w:tcMar>
              <w:top w:w="60" w:type="dxa"/>
              <w:left w:w="90" w:type="dxa"/>
              <w:bottom w:w="60" w:type="dxa"/>
              <w:right w:w="90" w:type="dxa"/>
            </w:tcMar>
            <w:vAlign w:val="center"/>
          </w:tcPr>
          <w:p w14:paraId="618EEEF4" w14:textId="77777777" w:rsidR="00C106AF" w:rsidRDefault="00644914">
            <w:pPr>
              <w:spacing w:before="0" w:after="0"/>
              <w:jc w:val="center"/>
            </w:pPr>
            <w:r>
              <w:t>17.34</w:t>
            </w:r>
          </w:p>
        </w:tc>
      </w:tr>
      <w:tr w:rsidR="00C106AF" w14:paraId="33BAA2AF" w14:textId="77777777">
        <w:trPr>
          <w:jc w:val="center"/>
        </w:trPr>
        <w:tc>
          <w:tcPr>
            <w:tcW w:w="3096" w:type="dxa"/>
            <w:tcMar>
              <w:top w:w="60" w:type="dxa"/>
              <w:left w:w="90" w:type="dxa"/>
              <w:bottom w:w="60" w:type="dxa"/>
              <w:right w:w="90" w:type="dxa"/>
            </w:tcMar>
            <w:vAlign w:val="center"/>
          </w:tcPr>
          <w:p w14:paraId="038C970C" w14:textId="77777777" w:rsidR="00C106AF" w:rsidRDefault="00644914">
            <w:pPr>
              <w:spacing w:before="0" w:after="0"/>
              <w:jc w:val="left"/>
            </w:pPr>
            <w:r>
              <w:t>Gain by saving</w:t>
            </w:r>
          </w:p>
        </w:tc>
        <w:tc>
          <w:tcPr>
            <w:tcW w:w="6120" w:type="dxa"/>
            <w:tcMar>
              <w:top w:w="60" w:type="dxa"/>
              <w:left w:w="90" w:type="dxa"/>
              <w:bottom w:w="60" w:type="dxa"/>
              <w:right w:w="90" w:type="dxa"/>
            </w:tcMar>
            <w:vAlign w:val="center"/>
          </w:tcPr>
          <w:p w14:paraId="438B6493" w14:textId="77777777" w:rsidR="00C106AF" w:rsidRDefault="00644914">
            <w:pPr>
              <w:spacing w:before="0" w:after="0"/>
              <w:jc w:val="left"/>
            </w:pPr>
            <w:r>
              <w:t>Never</w:t>
            </w:r>
          </w:p>
        </w:tc>
        <w:tc>
          <w:tcPr>
            <w:tcW w:w="1483" w:type="dxa"/>
            <w:tcMar>
              <w:top w:w="60" w:type="dxa"/>
              <w:left w:w="90" w:type="dxa"/>
              <w:bottom w:w="60" w:type="dxa"/>
              <w:right w:w="90" w:type="dxa"/>
            </w:tcMar>
            <w:vAlign w:val="center"/>
          </w:tcPr>
          <w:p w14:paraId="559E449A" w14:textId="77777777" w:rsidR="00C106AF" w:rsidRDefault="00644914">
            <w:pPr>
              <w:spacing w:before="0" w:after="0"/>
              <w:jc w:val="center"/>
            </w:pPr>
            <w:r>
              <w:t>4.34</w:t>
            </w:r>
          </w:p>
        </w:tc>
      </w:tr>
      <w:tr w:rsidR="00C106AF" w14:paraId="37F45B39" w14:textId="77777777">
        <w:trPr>
          <w:jc w:val="center"/>
        </w:trPr>
        <w:tc>
          <w:tcPr>
            <w:tcW w:w="3096" w:type="dxa"/>
            <w:tcMar>
              <w:top w:w="60" w:type="dxa"/>
              <w:left w:w="90" w:type="dxa"/>
              <w:bottom w:w="60" w:type="dxa"/>
              <w:right w:w="90" w:type="dxa"/>
            </w:tcMar>
            <w:vAlign w:val="center"/>
          </w:tcPr>
          <w:p w14:paraId="19FFEC24" w14:textId="77777777" w:rsidR="00C106AF" w:rsidRDefault="00644914">
            <w:pPr>
              <w:spacing w:before="0" w:after="0"/>
              <w:jc w:val="left"/>
            </w:pPr>
            <w:r>
              <w:t>Gain by saving</w:t>
            </w:r>
          </w:p>
        </w:tc>
        <w:tc>
          <w:tcPr>
            <w:tcW w:w="6120" w:type="dxa"/>
            <w:tcMar>
              <w:top w:w="60" w:type="dxa"/>
              <w:left w:w="90" w:type="dxa"/>
              <w:bottom w:w="60" w:type="dxa"/>
              <w:right w:w="90" w:type="dxa"/>
            </w:tcMar>
            <w:vAlign w:val="center"/>
          </w:tcPr>
          <w:p w14:paraId="0A12EF62" w14:textId="77777777" w:rsidR="00C106AF" w:rsidRDefault="00644914">
            <w:pPr>
              <w:spacing w:before="0" w:after="0"/>
              <w:jc w:val="left"/>
            </w:pPr>
            <w:r>
              <w:t>Rarely</w:t>
            </w:r>
          </w:p>
        </w:tc>
        <w:tc>
          <w:tcPr>
            <w:tcW w:w="1483" w:type="dxa"/>
            <w:tcMar>
              <w:top w:w="60" w:type="dxa"/>
              <w:left w:w="90" w:type="dxa"/>
              <w:bottom w:w="60" w:type="dxa"/>
              <w:right w:w="90" w:type="dxa"/>
            </w:tcMar>
            <w:vAlign w:val="center"/>
          </w:tcPr>
          <w:p w14:paraId="13762EF6" w14:textId="77777777" w:rsidR="00C106AF" w:rsidRDefault="00644914">
            <w:pPr>
              <w:spacing w:before="0" w:after="0"/>
              <w:jc w:val="center"/>
            </w:pPr>
            <w:r>
              <w:t>51.08</w:t>
            </w:r>
          </w:p>
        </w:tc>
      </w:tr>
      <w:tr w:rsidR="00C106AF" w14:paraId="2927E169" w14:textId="77777777">
        <w:trPr>
          <w:jc w:val="center"/>
        </w:trPr>
        <w:tc>
          <w:tcPr>
            <w:tcW w:w="3096" w:type="dxa"/>
            <w:tcMar>
              <w:top w:w="60" w:type="dxa"/>
              <w:left w:w="90" w:type="dxa"/>
              <w:bottom w:w="60" w:type="dxa"/>
              <w:right w:w="90" w:type="dxa"/>
            </w:tcMar>
            <w:vAlign w:val="center"/>
          </w:tcPr>
          <w:p w14:paraId="345C7AF7" w14:textId="77777777" w:rsidR="00C106AF" w:rsidRDefault="00644914">
            <w:pPr>
              <w:spacing w:before="0" w:after="0"/>
              <w:jc w:val="left"/>
            </w:pPr>
            <w:r>
              <w:lastRenderedPageBreak/>
              <w:t>Gain by saving</w:t>
            </w:r>
          </w:p>
        </w:tc>
        <w:tc>
          <w:tcPr>
            <w:tcW w:w="6120" w:type="dxa"/>
            <w:tcMar>
              <w:top w:w="60" w:type="dxa"/>
              <w:left w:w="90" w:type="dxa"/>
              <w:bottom w:w="60" w:type="dxa"/>
              <w:right w:w="90" w:type="dxa"/>
            </w:tcMar>
            <w:vAlign w:val="center"/>
          </w:tcPr>
          <w:p w14:paraId="5AE626BA" w14:textId="77777777" w:rsidR="00C106AF" w:rsidRDefault="00644914">
            <w:pPr>
              <w:spacing w:before="0" w:after="0"/>
              <w:jc w:val="left"/>
            </w:pPr>
            <w:r>
              <w:t>Always</w:t>
            </w:r>
          </w:p>
        </w:tc>
        <w:tc>
          <w:tcPr>
            <w:tcW w:w="1483" w:type="dxa"/>
            <w:tcMar>
              <w:top w:w="60" w:type="dxa"/>
              <w:left w:w="90" w:type="dxa"/>
              <w:bottom w:w="60" w:type="dxa"/>
              <w:right w:w="90" w:type="dxa"/>
            </w:tcMar>
            <w:vAlign w:val="center"/>
          </w:tcPr>
          <w:p w14:paraId="4A6894F9" w14:textId="77777777" w:rsidR="00C106AF" w:rsidRDefault="00644914">
            <w:pPr>
              <w:spacing w:before="0" w:after="0"/>
              <w:jc w:val="center"/>
            </w:pPr>
            <w:r>
              <w:t>44.58</w:t>
            </w:r>
          </w:p>
        </w:tc>
      </w:tr>
    </w:tbl>
    <w:p w14:paraId="79FF4186" w14:textId="77777777" w:rsidR="00C106AF" w:rsidRDefault="00644914">
      <w:pPr>
        <w:pStyle w:val="TableNote"/>
      </w:pPr>
      <w:r>
        <w:t>Note. Some percentages reflect multiple-response items and therefore do not necessarily sum to 100 within a construct.</w:t>
      </w:r>
    </w:p>
    <w:p w14:paraId="50819D5A" w14:textId="62406E87" w:rsidR="00C106AF" w:rsidRDefault="00ED7458">
      <w:pPr>
        <w:pStyle w:val="Body"/>
      </w:pPr>
      <w:r w:rsidRPr="00ED7458">
        <w:t>The pattern suggests a careful, behavior-driven strategy towards money management. Saving regularly was commonplace, but respondents demonstrated a clear inclination towards more predictable, less risky options, and a rather narrow interest in more alternative options like unit trusts or government securities. Although digital banking was adopted highly, practical use remained limited to general online banking and bill payment services rather than more novel or complex offerings.</w:t>
      </w:r>
    </w:p>
    <w:p w14:paraId="177E6049" w14:textId="77777777" w:rsidR="00C106AF" w:rsidRDefault="00644914">
      <w:pPr>
        <w:pStyle w:val="SubHeading"/>
      </w:pPr>
      <w:r>
        <w:t>Distribution of behavioural biases</w:t>
      </w:r>
    </w:p>
    <w:p w14:paraId="66409B25" w14:textId="7B2426F1" w:rsidR="00C106AF" w:rsidRDefault="00356027">
      <w:pPr>
        <w:pStyle w:val="Body"/>
      </w:pPr>
      <w:r w:rsidRPr="00356027">
        <w:t>In Table 3, status quo bias received the highest average value, followed by mental accounting. Present bias, loss aversion, anchoring, and overconfidence were of moderate prevalence.</w:t>
      </w:r>
    </w:p>
    <w:p w14:paraId="578CD759" w14:textId="77777777" w:rsidR="00C106AF" w:rsidRDefault="00644914">
      <w:pPr>
        <w:pStyle w:val="CaptionStyle"/>
      </w:pPr>
      <w:r>
        <w:rPr>
          <w:b/>
        </w:rPr>
        <w:t xml:space="preserve">Table 3. </w:t>
      </w:r>
      <w:r>
        <w:t>Distribution of behavioural biases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44"/>
        <w:gridCol w:w="2376"/>
        <w:gridCol w:w="3096"/>
      </w:tblGrid>
      <w:tr w:rsidR="00C106AF" w14:paraId="41C62E2B" w14:textId="77777777">
        <w:trPr>
          <w:tblHeader/>
          <w:jc w:val="center"/>
        </w:trPr>
        <w:tc>
          <w:tcPr>
            <w:tcW w:w="3744" w:type="dxa"/>
            <w:shd w:val="clear" w:color="auto" w:fill="D9D9D9"/>
            <w:tcMar>
              <w:top w:w="60" w:type="dxa"/>
              <w:left w:w="90" w:type="dxa"/>
              <w:bottom w:w="60" w:type="dxa"/>
              <w:right w:w="90" w:type="dxa"/>
            </w:tcMar>
            <w:vAlign w:val="center"/>
          </w:tcPr>
          <w:p w14:paraId="512E434E" w14:textId="77777777" w:rsidR="00C106AF" w:rsidRDefault="00644914">
            <w:pPr>
              <w:spacing w:before="0" w:after="0"/>
              <w:jc w:val="left"/>
            </w:pPr>
            <w:r>
              <w:rPr>
                <w:b/>
              </w:rPr>
              <w:t>Bias</w:t>
            </w:r>
          </w:p>
        </w:tc>
        <w:tc>
          <w:tcPr>
            <w:tcW w:w="2376" w:type="dxa"/>
            <w:shd w:val="clear" w:color="auto" w:fill="D9D9D9"/>
            <w:tcMar>
              <w:top w:w="60" w:type="dxa"/>
              <w:left w:w="90" w:type="dxa"/>
              <w:bottom w:w="60" w:type="dxa"/>
              <w:right w:w="90" w:type="dxa"/>
            </w:tcMar>
            <w:vAlign w:val="center"/>
          </w:tcPr>
          <w:p w14:paraId="76D8D63B" w14:textId="77777777" w:rsidR="00C106AF" w:rsidRDefault="00644914">
            <w:pPr>
              <w:spacing w:before="0" w:after="0"/>
              <w:jc w:val="center"/>
            </w:pPr>
            <w:r>
              <w:rPr>
                <w:b/>
              </w:rPr>
              <w:t>Mean +/- SD</w:t>
            </w:r>
          </w:p>
        </w:tc>
        <w:tc>
          <w:tcPr>
            <w:tcW w:w="3096" w:type="dxa"/>
            <w:shd w:val="clear" w:color="auto" w:fill="D9D9D9"/>
            <w:tcMar>
              <w:top w:w="60" w:type="dxa"/>
              <w:left w:w="90" w:type="dxa"/>
              <w:bottom w:w="60" w:type="dxa"/>
              <w:right w:w="90" w:type="dxa"/>
            </w:tcMar>
            <w:vAlign w:val="center"/>
          </w:tcPr>
          <w:p w14:paraId="779F9FE6" w14:textId="77777777" w:rsidR="00C106AF" w:rsidRDefault="00644914">
            <w:pPr>
              <w:spacing w:before="0" w:after="0"/>
              <w:jc w:val="center"/>
            </w:pPr>
            <w:r>
              <w:rPr>
                <w:b/>
              </w:rPr>
              <w:t>95% confidence interval</w:t>
            </w:r>
          </w:p>
        </w:tc>
      </w:tr>
      <w:tr w:rsidR="00C106AF" w14:paraId="27D30F09" w14:textId="77777777">
        <w:trPr>
          <w:jc w:val="center"/>
        </w:trPr>
        <w:tc>
          <w:tcPr>
            <w:tcW w:w="3744" w:type="dxa"/>
            <w:tcMar>
              <w:top w:w="60" w:type="dxa"/>
              <w:left w:w="90" w:type="dxa"/>
              <w:bottom w:w="60" w:type="dxa"/>
              <w:right w:w="90" w:type="dxa"/>
            </w:tcMar>
            <w:vAlign w:val="center"/>
          </w:tcPr>
          <w:p w14:paraId="6AE60BF3" w14:textId="77777777" w:rsidR="00C106AF" w:rsidRDefault="00644914">
            <w:pPr>
              <w:spacing w:before="0" w:after="0"/>
              <w:jc w:val="left"/>
            </w:pPr>
            <w:r>
              <w:t>Present bias</w:t>
            </w:r>
          </w:p>
        </w:tc>
        <w:tc>
          <w:tcPr>
            <w:tcW w:w="2376" w:type="dxa"/>
            <w:tcMar>
              <w:top w:w="60" w:type="dxa"/>
              <w:left w:w="90" w:type="dxa"/>
              <w:bottom w:w="60" w:type="dxa"/>
              <w:right w:w="90" w:type="dxa"/>
            </w:tcMar>
            <w:vAlign w:val="center"/>
          </w:tcPr>
          <w:p w14:paraId="16654B70" w14:textId="77777777" w:rsidR="00C106AF" w:rsidRDefault="00644914">
            <w:pPr>
              <w:spacing w:before="0" w:after="0"/>
              <w:jc w:val="center"/>
            </w:pPr>
            <w:r>
              <w:t>5.23 +/- 1.97</w:t>
            </w:r>
          </w:p>
        </w:tc>
        <w:tc>
          <w:tcPr>
            <w:tcW w:w="3096" w:type="dxa"/>
            <w:tcMar>
              <w:top w:w="60" w:type="dxa"/>
              <w:left w:w="90" w:type="dxa"/>
              <w:bottom w:w="60" w:type="dxa"/>
              <w:right w:w="90" w:type="dxa"/>
            </w:tcMar>
            <w:vAlign w:val="center"/>
          </w:tcPr>
          <w:p w14:paraId="470BB95D" w14:textId="77777777" w:rsidR="00C106AF" w:rsidRDefault="00644914">
            <w:pPr>
              <w:spacing w:before="0" w:after="0"/>
              <w:jc w:val="center"/>
            </w:pPr>
            <w:r>
              <w:t>(5.01, 5.44)</w:t>
            </w:r>
          </w:p>
        </w:tc>
      </w:tr>
      <w:tr w:rsidR="00C106AF" w14:paraId="57A0CD22" w14:textId="77777777">
        <w:trPr>
          <w:jc w:val="center"/>
        </w:trPr>
        <w:tc>
          <w:tcPr>
            <w:tcW w:w="3744" w:type="dxa"/>
            <w:tcMar>
              <w:top w:w="60" w:type="dxa"/>
              <w:left w:w="90" w:type="dxa"/>
              <w:bottom w:w="60" w:type="dxa"/>
              <w:right w:w="90" w:type="dxa"/>
            </w:tcMar>
            <w:vAlign w:val="center"/>
          </w:tcPr>
          <w:p w14:paraId="66F49579" w14:textId="77777777" w:rsidR="00C106AF" w:rsidRDefault="00644914">
            <w:pPr>
              <w:spacing w:before="0" w:after="0"/>
              <w:jc w:val="left"/>
            </w:pPr>
            <w:r>
              <w:t>Loss aversion</w:t>
            </w:r>
          </w:p>
        </w:tc>
        <w:tc>
          <w:tcPr>
            <w:tcW w:w="2376" w:type="dxa"/>
            <w:tcMar>
              <w:top w:w="60" w:type="dxa"/>
              <w:left w:w="90" w:type="dxa"/>
              <w:bottom w:w="60" w:type="dxa"/>
              <w:right w:w="90" w:type="dxa"/>
            </w:tcMar>
            <w:vAlign w:val="center"/>
          </w:tcPr>
          <w:p w14:paraId="50172E8E" w14:textId="77777777" w:rsidR="00C106AF" w:rsidRDefault="00644914">
            <w:pPr>
              <w:spacing w:before="0" w:after="0"/>
              <w:jc w:val="center"/>
            </w:pPr>
            <w:r>
              <w:t>6.97 +/- 1.52</w:t>
            </w:r>
          </w:p>
        </w:tc>
        <w:tc>
          <w:tcPr>
            <w:tcW w:w="3096" w:type="dxa"/>
            <w:tcMar>
              <w:top w:w="60" w:type="dxa"/>
              <w:left w:w="90" w:type="dxa"/>
              <w:bottom w:w="60" w:type="dxa"/>
              <w:right w:w="90" w:type="dxa"/>
            </w:tcMar>
            <w:vAlign w:val="center"/>
          </w:tcPr>
          <w:p w14:paraId="2461D122" w14:textId="77777777" w:rsidR="00C106AF" w:rsidRDefault="00644914">
            <w:pPr>
              <w:spacing w:before="0" w:after="0"/>
              <w:jc w:val="center"/>
            </w:pPr>
            <w:r>
              <w:t>(6.80, 7.13)</w:t>
            </w:r>
          </w:p>
        </w:tc>
      </w:tr>
      <w:tr w:rsidR="00C106AF" w14:paraId="3DAC7CC6" w14:textId="77777777">
        <w:trPr>
          <w:jc w:val="center"/>
        </w:trPr>
        <w:tc>
          <w:tcPr>
            <w:tcW w:w="3744" w:type="dxa"/>
            <w:tcMar>
              <w:top w:w="60" w:type="dxa"/>
              <w:left w:w="90" w:type="dxa"/>
              <w:bottom w:w="60" w:type="dxa"/>
              <w:right w:w="90" w:type="dxa"/>
            </w:tcMar>
            <w:vAlign w:val="center"/>
          </w:tcPr>
          <w:p w14:paraId="4EEA6BA4" w14:textId="77777777" w:rsidR="00C106AF" w:rsidRDefault="00644914">
            <w:pPr>
              <w:spacing w:before="0" w:after="0"/>
              <w:jc w:val="left"/>
            </w:pPr>
            <w:r>
              <w:t>Anchoring bias</w:t>
            </w:r>
          </w:p>
        </w:tc>
        <w:tc>
          <w:tcPr>
            <w:tcW w:w="2376" w:type="dxa"/>
            <w:tcMar>
              <w:top w:w="60" w:type="dxa"/>
              <w:left w:w="90" w:type="dxa"/>
              <w:bottom w:w="60" w:type="dxa"/>
              <w:right w:w="90" w:type="dxa"/>
            </w:tcMar>
            <w:vAlign w:val="center"/>
          </w:tcPr>
          <w:p w14:paraId="123047B3" w14:textId="77777777" w:rsidR="00C106AF" w:rsidRDefault="00644914">
            <w:pPr>
              <w:spacing w:before="0" w:after="0"/>
              <w:jc w:val="center"/>
            </w:pPr>
            <w:r>
              <w:t>6.78 +/- 1.67</w:t>
            </w:r>
          </w:p>
        </w:tc>
        <w:tc>
          <w:tcPr>
            <w:tcW w:w="3096" w:type="dxa"/>
            <w:tcMar>
              <w:top w:w="60" w:type="dxa"/>
              <w:left w:w="90" w:type="dxa"/>
              <w:bottom w:w="60" w:type="dxa"/>
              <w:right w:w="90" w:type="dxa"/>
            </w:tcMar>
            <w:vAlign w:val="center"/>
          </w:tcPr>
          <w:p w14:paraId="613B5EB0" w14:textId="77777777" w:rsidR="00C106AF" w:rsidRDefault="00644914">
            <w:pPr>
              <w:spacing w:before="0" w:after="0"/>
              <w:jc w:val="center"/>
            </w:pPr>
            <w:r>
              <w:t>(6.60, 6.97)</w:t>
            </w:r>
          </w:p>
        </w:tc>
      </w:tr>
      <w:tr w:rsidR="00C106AF" w14:paraId="5E1D24F6" w14:textId="77777777">
        <w:trPr>
          <w:jc w:val="center"/>
        </w:trPr>
        <w:tc>
          <w:tcPr>
            <w:tcW w:w="3744" w:type="dxa"/>
            <w:tcMar>
              <w:top w:w="60" w:type="dxa"/>
              <w:left w:w="90" w:type="dxa"/>
              <w:bottom w:w="60" w:type="dxa"/>
              <w:right w:w="90" w:type="dxa"/>
            </w:tcMar>
            <w:vAlign w:val="center"/>
          </w:tcPr>
          <w:p w14:paraId="1D3B94EB" w14:textId="77777777" w:rsidR="00C106AF" w:rsidRDefault="00644914">
            <w:pPr>
              <w:spacing w:before="0" w:after="0"/>
              <w:jc w:val="left"/>
            </w:pPr>
            <w:r>
              <w:t>Mental accounting</w:t>
            </w:r>
          </w:p>
        </w:tc>
        <w:tc>
          <w:tcPr>
            <w:tcW w:w="2376" w:type="dxa"/>
            <w:tcMar>
              <w:top w:w="60" w:type="dxa"/>
              <w:left w:w="90" w:type="dxa"/>
              <w:bottom w:w="60" w:type="dxa"/>
              <w:right w:w="90" w:type="dxa"/>
            </w:tcMar>
            <w:vAlign w:val="center"/>
          </w:tcPr>
          <w:p w14:paraId="11CCBECF" w14:textId="77777777" w:rsidR="00C106AF" w:rsidRDefault="00644914">
            <w:pPr>
              <w:spacing w:before="0" w:after="0"/>
              <w:jc w:val="center"/>
            </w:pPr>
            <w:r>
              <w:t>10.04 +/- 2.02</w:t>
            </w:r>
          </w:p>
        </w:tc>
        <w:tc>
          <w:tcPr>
            <w:tcW w:w="3096" w:type="dxa"/>
            <w:tcMar>
              <w:top w:w="60" w:type="dxa"/>
              <w:left w:w="90" w:type="dxa"/>
              <w:bottom w:w="60" w:type="dxa"/>
              <w:right w:w="90" w:type="dxa"/>
            </w:tcMar>
            <w:vAlign w:val="center"/>
          </w:tcPr>
          <w:p w14:paraId="76C0D0F4" w14:textId="77777777" w:rsidR="00C106AF" w:rsidRDefault="00644914">
            <w:pPr>
              <w:spacing w:before="0" w:after="0"/>
              <w:jc w:val="center"/>
            </w:pPr>
            <w:r>
              <w:t>(9.82, 10.26)</w:t>
            </w:r>
          </w:p>
        </w:tc>
      </w:tr>
      <w:tr w:rsidR="00C106AF" w14:paraId="6879ECBD" w14:textId="77777777">
        <w:trPr>
          <w:jc w:val="center"/>
        </w:trPr>
        <w:tc>
          <w:tcPr>
            <w:tcW w:w="3744" w:type="dxa"/>
            <w:tcMar>
              <w:top w:w="60" w:type="dxa"/>
              <w:left w:w="90" w:type="dxa"/>
              <w:bottom w:w="60" w:type="dxa"/>
              <w:right w:w="90" w:type="dxa"/>
            </w:tcMar>
            <w:vAlign w:val="center"/>
          </w:tcPr>
          <w:p w14:paraId="1F1FE92E" w14:textId="77777777" w:rsidR="00C106AF" w:rsidRDefault="00644914">
            <w:pPr>
              <w:spacing w:before="0" w:after="0"/>
              <w:jc w:val="left"/>
            </w:pPr>
            <w:r>
              <w:t>Overconfidence bias</w:t>
            </w:r>
          </w:p>
        </w:tc>
        <w:tc>
          <w:tcPr>
            <w:tcW w:w="2376" w:type="dxa"/>
            <w:tcMar>
              <w:top w:w="60" w:type="dxa"/>
              <w:left w:w="90" w:type="dxa"/>
              <w:bottom w:w="60" w:type="dxa"/>
              <w:right w:w="90" w:type="dxa"/>
            </w:tcMar>
            <w:vAlign w:val="center"/>
          </w:tcPr>
          <w:p w14:paraId="26414E33" w14:textId="77777777" w:rsidR="00C106AF" w:rsidRDefault="00644914">
            <w:pPr>
              <w:spacing w:before="0" w:after="0"/>
              <w:jc w:val="center"/>
            </w:pPr>
            <w:r>
              <w:t>6.65 +/- 1.45</w:t>
            </w:r>
          </w:p>
        </w:tc>
        <w:tc>
          <w:tcPr>
            <w:tcW w:w="3096" w:type="dxa"/>
            <w:tcMar>
              <w:top w:w="60" w:type="dxa"/>
              <w:left w:w="90" w:type="dxa"/>
              <w:bottom w:w="60" w:type="dxa"/>
              <w:right w:w="90" w:type="dxa"/>
            </w:tcMar>
            <w:vAlign w:val="center"/>
          </w:tcPr>
          <w:p w14:paraId="3261AEC1" w14:textId="77777777" w:rsidR="00C106AF" w:rsidRDefault="00644914">
            <w:pPr>
              <w:spacing w:before="0" w:after="0"/>
              <w:jc w:val="center"/>
            </w:pPr>
            <w:r>
              <w:t>(6.49, 6.81)</w:t>
            </w:r>
          </w:p>
        </w:tc>
      </w:tr>
      <w:tr w:rsidR="00C106AF" w14:paraId="173F64FF" w14:textId="77777777">
        <w:trPr>
          <w:jc w:val="center"/>
        </w:trPr>
        <w:tc>
          <w:tcPr>
            <w:tcW w:w="3744" w:type="dxa"/>
            <w:tcMar>
              <w:top w:w="60" w:type="dxa"/>
              <w:left w:w="90" w:type="dxa"/>
              <w:bottom w:w="60" w:type="dxa"/>
              <w:right w:w="90" w:type="dxa"/>
            </w:tcMar>
            <w:vAlign w:val="center"/>
          </w:tcPr>
          <w:p w14:paraId="287C0B91" w14:textId="77777777" w:rsidR="00C106AF" w:rsidRDefault="00644914">
            <w:pPr>
              <w:spacing w:before="0" w:after="0"/>
              <w:jc w:val="left"/>
            </w:pPr>
            <w:r>
              <w:t>Psychological bias</w:t>
            </w:r>
          </w:p>
        </w:tc>
        <w:tc>
          <w:tcPr>
            <w:tcW w:w="2376" w:type="dxa"/>
            <w:tcMar>
              <w:top w:w="60" w:type="dxa"/>
              <w:left w:w="90" w:type="dxa"/>
              <w:bottom w:w="60" w:type="dxa"/>
              <w:right w:w="90" w:type="dxa"/>
            </w:tcMar>
            <w:vAlign w:val="center"/>
          </w:tcPr>
          <w:p w14:paraId="39D48BA6" w14:textId="77777777" w:rsidR="00C106AF" w:rsidRDefault="00644914">
            <w:pPr>
              <w:spacing w:before="0" w:after="0"/>
              <w:jc w:val="center"/>
            </w:pPr>
            <w:r>
              <w:t>2.18 +/- 0.98</w:t>
            </w:r>
          </w:p>
        </w:tc>
        <w:tc>
          <w:tcPr>
            <w:tcW w:w="3096" w:type="dxa"/>
            <w:tcMar>
              <w:top w:w="60" w:type="dxa"/>
              <w:left w:w="90" w:type="dxa"/>
              <w:bottom w:w="60" w:type="dxa"/>
              <w:right w:w="90" w:type="dxa"/>
            </w:tcMar>
            <w:vAlign w:val="center"/>
          </w:tcPr>
          <w:p w14:paraId="29FE2E35" w14:textId="77777777" w:rsidR="00C106AF" w:rsidRDefault="00644914">
            <w:pPr>
              <w:spacing w:before="0" w:after="0"/>
              <w:jc w:val="center"/>
            </w:pPr>
            <w:r>
              <w:t>(2.08, 2.28)</w:t>
            </w:r>
          </w:p>
        </w:tc>
      </w:tr>
      <w:tr w:rsidR="00C106AF" w14:paraId="61879FA8" w14:textId="77777777">
        <w:trPr>
          <w:jc w:val="center"/>
        </w:trPr>
        <w:tc>
          <w:tcPr>
            <w:tcW w:w="3744" w:type="dxa"/>
            <w:tcMar>
              <w:top w:w="60" w:type="dxa"/>
              <w:left w:w="90" w:type="dxa"/>
              <w:bottom w:w="60" w:type="dxa"/>
              <w:right w:w="90" w:type="dxa"/>
            </w:tcMar>
            <w:vAlign w:val="center"/>
          </w:tcPr>
          <w:p w14:paraId="761257E3" w14:textId="77777777" w:rsidR="00C106AF" w:rsidRDefault="00644914">
            <w:pPr>
              <w:spacing w:before="0" w:after="0"/>
              <w:jc w:val="left"/>
            </w:pPr>
            <w:r>
              <w:t>Herding bias</w:t>
            </w:r>
          </w:p>
        </w:tc>
        <w:tc>
          <w:tcPr>
            <w:tcW w:w="2376" w:type="dxa"/>
            <w:tcMar>
              <w:top w:w="60" w:type="dxa"/>
              <w:left w:w="90" w:type="dxa"/>
              <w:bottom w:w="60" w:type="dxa"/>
              <w:right w:w="90" w:type="dxa"/>
            </w:tcMar>
            <w:vAlign w:val="center"/>
          </w:tcPr>
          <w:p w14:paraId="38C283B8" w14:textId="77777777" w:rsidR="00C106AF" w:rsidRDefault="00644914">
            <w:pPr>
              <w:spacing w:before="0" w:after="0"/>
              <w:jc w:val="center"/>
            </w:pPr>
            <w:r>
              <w:t>2.20 +/- 0.99</w:t>
            </w:r>
          </w:p>
        </w:tc>
        <w:tc>
          <w:tcPr>
            <w:tcW w:w="3096" w:type="dxa"/>
            <w:tcMar>
              <w:top w:w="60" w:type="dxa"/>
              <w:left w:w="90" w:type="dxa"/>
              <w:bottom w:w="60" w:type="dxa"/>
              <w:right w:w="90" w:type="dxa"/>
            </w:tcMar>
            <w:vAlign w:val="center"/>
          </w:tcPr>
          <w:p w14:paraId="1944052F" w14:textId="77777777" w:rsidR="00C106AF" w:rsidRDefault="00644914">
            <w:pPr>
              <w:spacing w:before="0" w:after="0"/>
              <w:jc w:val="center"/>
            </w:pPr>
            <w:r>
              <w:t>(2.09, 2.30)</w:t>
            </w:r>
          </w:p>
        </w:tc>
      </w:tr>
      <w:tr w:rsidR="00C106AF" w14:paraId="4BF71C38" w14:textId="77777777">
        <w:trPr>
          <w:jc w:val="center"/>
        </w:trPr>
        <w:tc>
          <w:tcPr>
            <w:tcW w:w="3744" w:type="dxa"/>
            <w:tcMar>
              <w:top w:w="60" w:type="dxa"/>
              <w:left w:w="90" w:type="dxa"/>
              <w:bottom w:w="60" w:type="dxa"/>
              <w:right w:w="90" w:type="dxa"/>
            </w:tcMar>
            <w:vAlign w:val="center"/>
          </w:tcPr>
          <w:p w14:paraId="2B04EA17" w14:textId="77777777" w:rsidR="00C106AF" w:rsidRDefault="00644914">
            <w:pPr>
              <w:spacing w:before="0" w:after="0"/>
              <w:jc w:val="left"/>
            </w:pPr>
            <w:r>
              <w:t>Status quo bias</w:t>
            </w:r>
          </w:p>
        </w:tc>
        <w:tc>
          <w:tcPr>
            <w:tcW w:w="2376" w:type="dxa"/>
            <w:tcMar>
              <w:top w:w="60" w:type="dxa"/>
              <w:left w:w="90" w:type="dxa"/>
              <w:bottom w:w="60" w:type="dxa"/>
              <w:right w:w="90" w:type="dxa"/>
            </w:tcMar>
            <w:vAlign w:val="center"/>
          </w:tcPr>
          <w:p w14:paraId="76954A12" w14:textId="77777777" w:rsidR="00C106AF" w:rsidRDefault="00644914">
            <w:pPr>
              <w:spacing w:before="0" w:after="0"/>
              <w:jc w:val="center"/>
            </w:pPr>
            <w:r>
              <w:t>16.44 +/- 3.09</w:t>
            </w:r>
          </w:p>
        </w:tc>
        <w:tc>
          <w:tcPr>
            <w:tcW w:w="3096" w:type="dxa"/>
            <w:tcMar>
              <w:top w:w="60" w:type="dxa"/>
              <w:left w:w="90" w:type="dxa"/>
              <w:bottom w:w="60" w:type="dxa"/>
              <w:right w:w="90" w:type="dxa"/>
            </w:tcMar>
            <w:vAlign w:val="center"/>
          </w:tcPr>
          <w:p w14:paraId="58478CF3" w14:textId="77777777" w:rsidR="00C106AF" w:rsidRDefault="00644914">
            <w:pPr>
              <w:spacing w:before="0" w:after="0"/>
              <w:jc w:val="center"/>
            </w:pPr>
            <w:r>
              <w:t>(16.10, 16.78)</w:t>
            </w:r>
          </w:p>
        </w:tc>
      </w:tr>
    </w:tbl>
    <w:p w14:paraId="6202774B" w14:textId="77777777" w:rsidR="00C106AF" w:rsidRDefault="00644914">
      <w:pPr>
        <w:pStyle w:val="TableNote"/>
      </w:pPr>
      <w:r>
        <w:t>Note. The status quo confidence interval contains an obvious formatting error in the source table; it has been standardised here as (16.10, 16.78) for consistency with the reported mean.</w:t>
      </w:r>
    </w:p>
    <w:p w14:paraId="13A7681E" w14:textId="56A8AB7B" w:rsidR="00C106AF" w:rsidRDefault="00FB7C89">
      <w:pPr>
        <w:pStyle w:val="Body"/>
      </w:pPr>
      <w:r w:rsidRPr="00FB7C89">
        <w:t>The data indicates that the participants preferred to keep their financial habits the same, and mentally categorize their money. While the emotion-driven and herding tendencies were below average, they were still present in subsequent comparative and regression analyses as significant concerning perceived savings outcomes.</w:t>
      </w:r>
    </w:p>
    <w:p w14:paraId="185201A5" w14:textId="77777777" w:rsidR="00C106AF" w:rsidRDefault="00644914">
      <w:pPr>
        <w:pStyle w:val="SubHeading"/>
      </w:pPr>
      <w:r>
        <w:t>Savings outcomes and behavioural predictors</w:t>
      </w:r>
    </w:p>
    <w:p w14:paraId="1D15DA01" w14:textId="7A9971C1" w:rsidR="00C106AF" w:rsidRDefault="009D503D">
      <w:pPr>
        <w:pStyle w:val="Body"/>
      </w:pPr>
      <w:r w:rsidRPr="009D503D">
        <w:t>Examining perceived savings success entails considering whether respondents had ever stated that their savings always produced positive returns. The bivariate relationship between some demographic factors and this outcome is shown in Table 4.</w:t>
      </w:r>
    </w:p>
    <w:p w14:paraId="6A5921A4" w14:textId="77777777" w:rsidR="00C106AF" w:rsidRDefault="00644914">
      <w:pPr>
        <w:pStyle w:val="CaptionStyle"/>
      </w:pPr>
      <w:r>
        <w:rPr>
          <w:b/>
        </w:rPr>
        <w:t xml:space="preserve">Table 4. </w:t>
      </w:r>
      <w:r>
        <w:t>Association between demographic factors and savings always generating gains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44"/>
        <w:gridCol w:w="6552"/>
        <w:gridCol w:w="1368"/>
        <w:gridCol w:w="835"/>
      </w:tblGrid>
      <w:tr w:rsidR="00C106AF" w14:paraId="25E0BCB2" w14:textId="77777777">
        <w:trPr>
          <w:tblHeader/>
          <w:jc w:val="center"/>
        </w:trPr>
        <w:tc>
          <w:tcPr>
            <w:tcW w:w="1944" w:type="dxa"/>
            <w:shd w:val="clear" w:color="auto" w:fill="D9D9D9"/>
            <w:tcMar>
              <w:top w:w="60" w:type="dxa"/>
              <w:left w:w="90" w:type="dxa"/>
              <w:bottom w:w="60" w:type="dxa"/>
              <w:right w:w="90" w:type="dxa"/>
            </w:tcMar>
            <w:vAlign w:val="center"/>
          </w:tcPr>
          <w:p w14:paraId="786C8324" w14:textId="77777777" w:rsidR="00C106AF" w:rsidRDefault="00644914">
            <w:pPr>
              <w:spacing w:before="0" w:after="0"/>
              <w:jc w:val="left"/>
            </w:pPr>
            <w:r>
              <w:rPr>
                <w:b/>
              </w:rPr>
              <w:t>Factor</w:t>
            </w:r>
          </w:p>
        </w:tc>
        <w:tc>
          <w:tcPr>
            <w:tcW w:w="6552" w:type="dxa"/>
            <w:shd w:val="clear" w:color="auto" w:fill="D9D9D9"/>
            <w:tcMar>
              <w:top w:w="60" w:type="dxa"/>
              <w:left w:w="90" w:type="dxa"/>
              <w:bottom w:w="60" w:type="dxa"/>
              <w:right w:w="90" w:type="dxa"/>
            </w:tcMar>
            <w:vAlign w:val="center"/>
          </w:tcPr>
          <w:p w14:paraId="75EFF1DD" w14:textId="77777777" w:rsidR="00C106AF" w:rsidRDefault="00644914">
            <w:pPr>
              <w:spacing w:before="0" w:after="0"/>
              <w:jc w:val="left"/>
            </w:pPr>
            <w:r>
              <w:rPr>
                <w:b/>
              </w:rPr>
              <w:t>Categories examined</w:t>
            </w:r>
          </w:p>
        </w:tc>
        <w:tc>
          <w:tcPr>
            <w:tcW w:w="1368" w:type="dxa"/>
            <w:shd w:val="clear" w:color="auto" w:fill="D9D9D9"/>
            <w:tcMar>
              <w:top w:w="60" w:type="dxa"/>
              <w:left w:w="90" w:type="dxa"/>
              <w:bottom w:w="60" w:type="dxa"/>
              <w:right w:w="90" w:type="dxa"/>
            </w:tcMar>
            <w:vAlign w:val="center"/>
          </w:tcPr>
          <w:p w14:paraId="111E99CF" w14:textId="77777777" w:rsidR="00C106AF" w:rsidRDefault="00644914">
            <w:pPr>
              <w:spacing w:before="0" w:after="0"/>
              <w:jc w:val="center"/>
            </w:pPr>
            <w:r>
              <w:rPr>
                <w:b/>
              </w:rPr>
              <w:t>Chi-square</w:t>
            </w:r>
          </w:p>
        </w:tc>
        <w:tc>
          <w:tcPr>
            <w:tcW w:w="835" w:type="dxa"/>
            <w:shd w:val="clear" w:color="auto" w:fill="D9D9D9"/>
            <w:tcMar>
              <w:top w:w="60" w:type="dxa"/>
              <w:left w:w="90" w:type="dxa"/>
              <w:bottom w:w="60" w:type="dxa"/>
              <w:right w:w="90" w:type="dxa"/>
            </w:tcMar>
            <w:vAlign w:val="center"/>
          </w:tcPr>
          <w:p w14:paraId="5DFF4AAD" w14:textId="77777777" w:rsidR="00C106AF" w:rsidRDefault="00644914">
            <w:pPr>
              <w:spacing w:before="0" w:after="0"/>
              <w:jc w:val="center"/>
            </w:pPr>
            <w:r>
              <w:rPr>
                <w:b/>
              </w:rPr>
              <w:t>p-value</w:t>
            </w:r>
          </w:p>
        </w:tc>
      </w:tr>
      <w:tr w:rsidR="00C106AF" w14:paraId="448127F6" w14:textId="77777777">
        <w:trPr>
          <w:jc w:val="center"/>
        </w:trPr>
        <w:tc>
          <w:tcPr>
            <w:tcW w:w="1944" w:type="dxa"/>
            <w:tcMar>
              <w:top w:w="60" w:type="dxa"/>
              <w:left w:w="90" w:type="dxa"/>
              <w:bottom w:w="60" w:type="dxa"/>
              <w:right w:w="90" w:type="dxa"/>
            </w:tcMar>
            <w:vAlign w:val="center"/>
          </w:tcPr>
          <w:p w14:paraId="39B3B714" w14:textId="77777777" w:rsidR="00C106AF" w:rsidRDefault="00644914">
            <w:pPr>
              <w:spacing w:before="0" w:after="0"/>
              <w:jc w:val="left"/>
            </w:pPr>
            <w:r>
              <w:t>Age</w:t>
            </w:r>
          </w:p>
        </w:tc>
        <w:tc>
          <w:tcPr>
            <w:tcW w:w="6552" w:type="dxa"/>
            <w:tcMar>
              <w:top w:w="60" w:type="dxa"/>
              <w:left w:w="90" w:type="dxa"/>
              <w:bottom w:w="60" w:type="dxa"/>
              <w:right w:w="90" w:type="dxa"/>
            </w:tcMar>
            <w:vAlign w:val="center"/>
          </w:tcPr>
          <w:p w14:paraId="3E835FDE" w14:textId="77777777" w:rsidR="00C106AF" w:rsidRDefault="00644914">
            <w:pPr>
              <w:spacing w:before="0" w:after="0"/>
              <w:jc w:val="left"/>
            </w:pPr>
            <w:r>
              <w:t>18-29; 30-39; 40-49; 50-59; 60+</w:t>
            </w:r>
          </w:p>
        </w:tc>
        <w:tc>
          <w:tcPr>
            <w:tcW w:w="1368" w:type="dxa"/>
            <w:tcMar>
              <w:top w:w="60" w:type="dxa"/>
              <w:left w:w="90" w:type="dxa"/>
              <w:bottom w:w="60" w:type="dxa"/>
              <w:right w:w="90" w:type="dxa"/>
            </w:tcMar>
            <w:vAlign w:val="center"/>
          </w:tcPr>
          <w:p w14:paraId="5101AD2D" w14:textId="77777777" w:rsidR="00C106AF" w:rsidRDefault="00644914">
            <w:pPr>
              <w:spacing w:before="0" w:after="0"/>
              <w:jc w:val="center"/>
            </w:pPr>
            <w:r>
              <w:t>27.596</w:t>
            </w:r>
          </w:p>
        </w:tc>
        <w:tc>
          <w:tcPr>
            <w:tcW w:w="835" w:type="dxa"/>
            <w:tcMar>
              <w:top w:w="60" w:type="dxa"/>
              <w:left w:w="90" w:type="dxa"/>
              <w:bottom w:w="60" w:type="dxa"/>
              <w:right w:w="90" w:type="dxa"/>
            </w:tcMar>
            <w:vAlign w:val="center"/>
          </w:tcPr>
          <w:p w14:paraId="485D75E8" w14:textId="77777777" w:rsidR="00C106AF" w:rsidRDefault="00644914">
            <w:pPr>
              <w:spacing w:before="0" w:after="0"/>
              <w:jc w:val="center"/>
            </w:pPr>
            <w:r>
              <w:t>&lt;.001</w:t>
            </w:r>
          </w:p>
        </w:tc>
      </w:tr>
      <w:tr w:rsidR="00C106AF" w14:paraId="00F55FAB" w14:textId="77777777">
        <w:trPr>
          <w:jc w:val="center"/>
        </w:trPr>
        <w:tc>
          <w:tcPr>
            <w:tcW w:w="1944" w:type="dxa"/>
            <w:tcMar>
              <w:top w:w="60" w:type="dxa"/>
              <w:left w:w="90" w:type="dxa"/>
              <w:bottom w:w="60" w:type="dxa"/>
              <w:right w:w="90" w:type="dxa"/>
            </w:tcMar>
            <w:vAlign w:val="center"/>
          </w:tcPr>
          <w:p w14:paraId="29E6EAAD" w14:textId="77777777" w:rsidR="00C106AF" w:rsidRDefault="00644914">
            <w:pPr>
              <w:spacing w:before="0" w:after="0"/>
              <w:jc w:val="left"/>
            </w:pPr>
            <w:r>
              <w:t>Gender</w:t>
            </w:r>
          </w:p>
        </w:tc>
        <w:tc>
          <w:tcPr>
            <w:tcW w:w="6552" w:type="dxa"/>
            <w:tcMar>
              <w:top w:w="60" w:type="dxa"/>
              <w:left w:w="90" w:type="dxa"/>
              <w:bottom w:w="60" w:type="dxa"/>
              <w:right w:w="90" w:type="dxa"/>
            </w:tcMar>
            <w:vAlign w:val="center"/>
          </w:tcPr>
          <w:p w14:paraId="1AC5AE51" w14:textId="77777777" w:rsidR="00C106AF" w:rsidRDefault="00644914">
            <w:pPr>
              <w:spacing w:before="0" w:after="0"/>
              <w:jc w:val="left"/>
            </w:pPr>
            <w:r>
              <w:t>Male; Female</w:t>
            </w:r>
          </w:p>
        </w:tc>
        <w:tc>
          <w:tcPr>
            <w:tcW w:w="1368" w:type="dxa"/>
            <w:tcMar>
              <w:top w:w="60" w:type="dxa"/>
              <w:left w:w="90" w:type="dxa"/>
              <w:bottom w:w="60" w:type="dxa"/>
              <w:right w:w="90" w:type="dxa"/>
            </w:tcMar>
            <w:vAlign w:val="center"/>
          </w:tcPr>
          <w:p w14:paraId="2CBD0722" w14:textId="77777777" w:rsidR="00C106AF" w:rsidRDefault="00644914">
            <w:pPr>
              <w:spacing w:before="0" w:after="0"/>
              <w:jc w:val="center"/>
            </w:pPr>
            <w:r>
              <w:t>0.001</w:t>
            </w:r>
          </w:p>
        </w:tc>
        <w:tc>
          <w:tcPr>
            <w:tcW w:w="835" w:type="dxa"/>
            <w:tcMar>
              <w:top w:w="60" w:type="dxa"/>
              <w:left w:w="90" w:type="dxa"/>
              <w:bottom w:w="60" w:type="dxa"/>
              <w:right w:w="90" w:type="dxa"/>
            </w:tcMar>
            <w:vAlign w:val="center"/>
          </w:tcPr>
          <w:p w14:paraId="6AC7758C" w14:textId="77777777" w:rsidR="00C106AF" w:rsidRDefault="00644914">
            <w:pPr>
              <w:spacing w:before="0" w:after="0"/>
              <w:jc w:val="center"/>
            </w:pPr>
            <w:r>
              <w:t>.982</w:t>
            </w:r>
          </w:p>
        </w:tc>
      </w:tr>
      <w:tr w:rsidR="00C106AF" w14:paraId="23518B4A" w14:textId="77777777">
        <w:trPr>
          <w:jc w:val="center"/>
        </w:trPr>
        <w:tc>
          <w:tcPr>
            <w:tcW w:w="1944" w:type="dxa"/>
            <w:tcMar>
              <w:top w:w="60" w:type="dxa"/>
              <w:left w:w="90" w:type="dxa"/>
              <w:bottom w:w="60" w:type="dxa"/>
              <w:right w:w="90" w:type="dxa"/>
            </w:tcMar>
            <w:vAlign w:val="center"/>
          </w:tcPr>
          <w:p w14:paraId="6063D47F" w14:textId="77777777" w:rsidR="00C106AF" w:rsidRDefault="00644914">
            <w:pPr>
              <w:spacing w:before="0" w:after="0"/>
              <w:jc w:val="left"/>
            </w:pPr>
            <w:r>
              <w:lastRenderedPageBreak/>
              <w:t>Education</w:t>
            </w:r>
          </w:p>
        </w:tc>
        <w:tc>
          <w:tcPr>
            <w:tcW w:w="6552" w:type="dxa"/>
            <w:tcMar>
              <w:top w:w="60" w:type="dxa"/>
              <w:left w:w="90" w:type="dxa"/>
              <w:bottom w:w="60" w:type="dxa"/>
              <w:right w:w="90" w:type="dxa"/>
            </w:tcMar>
            <w:vAlign w:val="center"/>
          </w:tcPr>
          <w:p w14:paraId="70DC00E0" w14:textId="77777777" w:rsidR="00C106AF" w:rsidRDefault="00644914">
            <w:pPr>
              <w:spacing w:before="0" w:after="0"/>
              <w:jc w:val="left"/>
            </w:pPr>
            <w:r>
              <w:t>School; Diploma; Degree; Postgraduate</w:t>
            </w:r>
          </w:p>
        </w:tc>
        <w:tc>
          <w:tcPr>
            <w:tcW w:w="1368" w:type="dxa"/>
            <w:tcMar>
              <w:top w:w="60" w:type="dxa"/>
              <w:left w:w="90" w:type="dxa"/>
              <w:bottom w:w="60" w:type="dxa"/>
              <w:right w:w="90" w:type="dxa"/>
            </w:tcMar>
            <w:vAlign w:val="center"/>
          </w:tcPr>
          <w:p w14:paraId="431A7687" w14:textId="77777777" w:rsidR="00C106AF" w:rsidRDefault="00644914">
            <w:pPr>
              <w:spacing w:before="0" w:after="0"/>
              <w:jc w:val="center"/>
            </w:pPr>
            <w:r>
              <w:t>18.776</w:t>
            </w:r>
          </w:p>
        </w:tc>
        <w:tc>
          <w:tcPr>
            <w:tcW w:w="835" w:type="dxa"/>
            <w:tcMar>
              <w:top w:w="60" w:type="dxa"/>
              <w:left w:w="90" w:type="dxa"/>
              <w:bottom w:w="60" w:type="dxa"/>
              <w:right w:w="90" w:type="dxa"/>
            </w:tcMar>
            <w:vAlign w:val="center"/>
          </w:tcPr>
          <w:p w14:paraId="6941FB46" w14:textId="77777777" w:rsidR="00C106AF" w:rsidRDefault="00644914">
            <w:pPr>
              <w:spacing w:before="0" w:after="0"/>
              <w:jc w:val="center"/>
            </w:pPr>
            <w:r>
              <w:t>&lt;.001</w:t>
            </w:r>
          </w:p>
        </w:tc>
      </w:tr>
      <w:tr w:rsidR="00C106AF" w14:paraId="291971C4" w14:textId="77777777">
        <w:trPr>
          <w:jc w:val="center"/>
        </w:trPr>
        <w:tc>
          <w:tcPr>
            <w:tcW w:w="1944" w:type="dxa"/>
            <w:tcMar>
              <w:top w:w="60" w:type="dxa"/>
              <w:left w:w="90" w:type="dxa"/>
              <w:bottom w:w="60" w:type="dxa"/>
              <w:right w:w="90" w:type="dxa"/>
            </w:tcMar>
            <w:vAlign w:val="center"/>
          </w:tcPr>
          <w:p w14:paraId="0A596E14" w14:textId="77777777" w:rsidR="00C106AF" w:rsidRDefault="00644914">
            <w:pPr>
              <w:spacing w:before="0" w:after="0"/>
              <w:jc w:val="left"/>
            </w:pPr>
            <w:r>
              <w:t>Income</w:t>
            </w:r>
          </w:p>
        </w:tc>
        <w:tc>
          <w:tcPr>
            <w:tcW w:w="6552" w:type="dxa"/>
            <w:tcMar>
              <w:top w:w="60" w:type="dxa"/>
              <w:left w:w="90" w:type="dxa"/>
              <w:bottom w:w="60" w:type="dxa"/>
              <w:right w:w="90" w:type="dxa"/>
            </w:tcMar>
            <w:vAlign w:val="center"/>
          </w:tcPr>
          <w:p w14:paraId="23E0A0BA" w14:textId="77777777" w:rsidR="00C106AF" w:rsidRDefault="00644914">
            <w:pPr>
              <w:spacing w:before="0" w:after="0"/>
              <w:jc w:val="left"/>
            </w:pPr>
            <w:r>
              <w:t>&lt;50,000; 50,000-99,999; 100,000-199,999; 200,000+</w:t>
            </w:r>
          </w:p>
        </w:tc>
        <w:tc>
          <w:tcPr>
            <w:tcW w:w="1368" w:type="dxa"/>
            <w:tcMar>
              <w:top w:w="60" w:type="dxa"/>
              <w:left w:w="90" w:type="dxa"/>
              <w:bottom w:w="60" w:type="dxa"/>
              <w:right w:w="90" w:type="dxa"/>
            </w:tcMar>
            <w:vAlign w:val="center"/>
          </w:tcPr>
          <w:p w14:paraId="7B82C088" w14:textId="77777777" w:rsidR="00C106AF" w:rsidRDefault="00644914">
            <w:pPr>
              <w:spacing w:before="0" w:after="0"/>
              <w:jc w:val="center"/>
            </w:pPr>
            <w:r>
              <w:t>26.516</w:t>
            </w:r>
          </w:p>
        </w:tc>
        <w:tc>
          <w:tcPr>
            <w:tcW w:w="835" w:type="dxa"/>
            <w:tcMar>
              <w:top w:w="60" w:type="dxa"/>
              <w:left w:w="90" w:type="dxa"/>
              <w:bottom w:w="60" w:type="dxa"/>
              <w:right w:w="90" w:type="dxa"/>
            </w:tcMar>
            <w:vAlign w:val="center"/>
          </w:tcPr>
          <w:p w14:paraId="62210DC0" w14:textId="77777777" w:rsidR="00C106AF" w:rsidRDefault="00644914">
            <w:pPr>
              <w:spacing w:before="0" w:after="0"/>
              <w:jc w:val="center"/>
            </w:pPr>
            <w:r>
              <w:t>&lt;.001</w:t>
            </w:r>
          </w:p>
        </w:tc>
      </w:tr>
    </w:tbl>
    <w:p w14:paraId="502E3F13" w14:textId="77777777" w:rsidR="00C106AF" w:rsidRDefault="00644914">
      <w:pPr>
        <w:pStyle w:val="TableNote"/>
      </w:pPr>
      <w:r>
        <w:t>Note. p-values are reported as presented in the source analysis, with values reported as 0.000 standardised to &lt;.001.</w:t>
      </w:r>
    </w:p>
    <w:p w14:paraId="193691B3" w14:textId="6D83E48D" w:rsidR="00C106AF" w:rsidRDefault="008C71C1">
      <w:pPr>
        <w:pStyle w:val="Body"/>
      </w:pPr>
      <w:r w:rsidRPr="008C71C1">
        <w:t>At the bivariate level, age, education, and income were positively associated with perceived savings gains, while the association with gender was not significant. Respondents with stronger socioeconomic resources, particularly older respondents, were more likely to report savings gains.</w:t>
      </w:r>
    </w:p>
    <w:p w14:paraId="5D8032AD" w14:textId="48134F05" w:rsidR="00C106AF" w:rsidRDefault="00CE640C">
      <w:pPr>
        <w:pStyle w:val="Body"/>
      </w:pPr>
      <w:r w:rsidRPr="00CE640C">
        <w:t>Table 5 analyses the average bias scores of participants who indicated that they always benefited from savings and of those that did not.</w:t>
      </w:r>
    </w:p>
    <w:p w14:paraId="1A250EF6" w14:textId="77777777" w:rsidR="00C106AF" w:rsidRDefault="00644914">
      <w:pPr>
        <w:pStyle w:val="CaptionStyle"/>
      </w:pPr>
      <w:r>
        <w:rPr>
          <w:b/>
        </w:rPr>
        <w:t xml:space="preserve">Table 5. </w:t>
      </w:r>
      <w:r>
        <w:t>Comparison of behavioural biases by savings outcome</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84"/>
        <w:gridCol w:w="1728"/>
        <w:gridCol w:w="1728"/>
        <w:gridCol w:w="1440"/>
        <w:gridCol w:w="1411"/>
      </w:tblGrid>
      <w:tr w:rsidR="00C106AF" w14:paraId="452CC7D5" w14:textId="77777777">
        <w:trPr>
          <w:tblHeader/>
          <w:jc w:val="center"/>
        </w:trPr>
        <w:tc>
          <w:tcPr>
            <w:tcW w:w="3384" w:type="dxa"/>
            <w:shd w:val="clear" w:color="auto" w:fill="D9D9D9"/>
            <w:tcMar>
              <w:top w:w="60" w:type="dxa"/>
              <w:left w:w="90" w:type="dxa"/>
              <w:bottom w:w="60" w:type="dxa"/>
              <w:right w:w="90" w:type="dxa"/>
            </w:tcMar>
            <w:vAlign w:val="center"/>
          </w:tcPr>
          <w:p w14:paraId="1ABBAD5D" w14:textId="77777777" w:rsidR="00C106AF" w:rsidRDefault="00644914">
            <w:pPr>
              <w:spacing w:before="0" w:after="0"/>
              <w:jc w:val="left"/>
            </w:pPr>
            <w:r>
              <w:rPr>
                <w:b/>
              </w:rPr>
              <w:t>Bias</w:t>
            </w:r>
          </w:p>
        </w:tc>
        <w:tc>
          <w:tcPr>
            <w:tcW w:w="1728" w:type="dxa"/>
            <w:shd w:val="clear" w:color="auto" w:fill="D9D9D9"/>
            <w:tcMar>
              <w:top w:w="60" w:type="dxa"/>
              <w:left w:w="90" w:type="dxa"/>
              <w:bottom w:w="60" w:type="dxa"/>
              <w:right w:w="90" w:type="dxa"/>
            </w:tcMar>
            <w:vAlign w:val="center"/>
          </w:tcPr>
          <w:p w14:paraId="2CF692E4" w14:textId="77777777" w:rsidR="00C106AF" w:rsidRDefault="00644914">
            <w:pPr>
              <w:spacing w:before="0" w:after="0"/>
              <w:jc w:val="center"/>
            </w:pPr>
            <w:r>
              <w:rPr>
                <w:b/>
              </w:rPr>
              <w:t>Mean (Yes)</w:t>
            </w:r>
          </w:p>
        </w:tc>
        <w:tc>
          <w:tcPr>
            <w:tcW w:w="1728" w:type="dxa"/>
            <w:shd w:val="clear" w:color="auto" w:fill="D9D9D9"/>
            <w:tcMar>
              <w:top w:w="60" w:type="dxa"/>
              <w:left w:w="90" w:type="dxa"/>
              <w:bottom w:w="60" w:type="dxa"/>
              <w:right w:w="90" w:type="dxa"/>
            </w:tcMar>
            <w:vAlign w:val="center"/>
          </w:tcPr>
          <w:p w14:paraId="0A6E00F5" w14:textId="77777777" w:rsidR="00C106AF" w:rsidRDefault="00644914">
            <w:pPr>
              <w:spacing w:before="0" w:after="0"/>
              <w:jc w:val="center"/>
            </w:pPr>
            <w:r>
              <w:rPr>
                <w:b/>
              </w:rPr>
              <w:t>Mean (No)</w:t>
            </w:r>
          </w:p>
        </w:tc>
        <w:tc>
          <w:tcPr>
            <w:tcW w:w="1440" w:type="dxa"/>
            <w:shd w:val="clear" w:color="auto" w:fill="D9D9D9"/>
            <w:tcMar>
              <w:top w:w="60" w:type="dxa"/>
              <w:left w:w="90" w:type="dxa"/>
              <w:bottom w:w="60" w:type="dxa"/>
              <w:right w:w="90" w:type="dxa"/>
            </w:tcMar>
            <w:vAlign w:val="center"/>
          </w:tcPr>
          <w:p w14:paraId="39277F76" w14:textId="77777777" w:rsidR="00C106AF" w:rsidRDefault="00644914">
            <w:pPr>
              <w:spacing w:before="0" w:after="0"/>
              <w:jc w:val="center"/>
            </w:pPr>
            <w:r>
              <w:rPr>
                <w:b/>
              </w:rPr>
              <w:t>|t|</w:t>
            </w:r>
          </w:p>
        </w:tc>
        <w:tc>
          <w:tcPr>
            <w:tcW w:w="1411" w:type="dxa"/>
            <w:shd w:val="clear" w:color="auto" w:fill="D9D9D9"/>
            <w:tcMar>
              <w:top w:w="60" w:type="dxa"/>
              <w:left w:w="90" w:type="dxa"/>
              <w:bottom w:w="60" w:type="dxa"/>
              <w:right w:w="90" w:type="dxa"/>
            </w:tcMar>
            <w:vAlign w:val="center"/>
          </w:tcPr>
          <w:p w14:paraId="3B519E25" w14:textId="77777777" w:rsidR="00C106AF" w:rsidRDefault="00644914">
            <w:pPr>
              <w:spacing w:before="0" w:after="0"/>
              <w:jc w:val="center"/>
            </w:pPr>
            <w:r>
              <w:rPr>
                <w:b/>
              </w:rPr>
              <w:t>p-value</w:t>
            </w:r>
          </w:p>
        </w:tc>
      </w:tr>
      <w:tr w:rsidR="00C106AF" w14:paraId="0D97AEF5" w14:textId="77777777">
        <w:trPr>
          <w:jc w:val="center"/>
        </w:trPr>
        <w:tc>
          <w:tcPr>
            <w:tcW w:w="3384" w:type="dxa"/>
            <w:tcMar>
              <w:top w:w="60" w:type="dxa"/>
              <w:left w:w="90" w:type="dxa"/>
              <w:bottom w:w="60" w:type="dxa"/>
              <w:right w:w="90" w:type="dxa"/>
            </w:tcMar>
            <w:vAlign w:val="center"/>
          </w:tcPr>
          <w:p w14:paraId="61FB20C6" w14:textId="77777777" w:rsidR="00C106AF" w:rsidRDefault="00644914">
            <w:pPr>
              <w:spacing w:before="0" w:after="0"/>
              <w:jc w:val="left"/>
            </w:pPr>
            <w:r>
              <w:t>Present bias</w:t>
            </w:r>
          </w:p>
        </w:tc>
        <w:tc>
          <w:tcPr>
            <w:tcW w:w="1728" w:type="dxa"/>
            <w:tcMar>
              <w:top w:w="60" w:type="dxa"/>
              <w:left w:w="90" w:type="dxa"/>
              <w:bottom w:w="60" w:type="dxa"/>
              <w:right w:w="90" w:type="dxa"/>
            </w:tcMar>
            <w:vAlign w:val="center"/>
          </w:tcPr>
          <w:p w14:paraId="7A25496E" w14:textId="77777777" w:rsidR="00C106AF" w:rsidRDefault="00644914">
            <w:pPr>
              <w:spacing w:before="0" w:after="0"/>
              <w:jc w:val="center"/>
            </w:pPr>
            <w:r>
              <w:t>4.43</w:t>
            </w:r>
          </w:p>
        </w:tc>
        <w:tc>
          <w:tcPr>
            <w:tcW w:w="1728" w:type="dxa"/>
            <w:tcMar>
              <w:top w:w="60" w:type="dxa"/>
              <w:left w:w="90" w:type="dxa"/>
              <w:bottom w:w="60" w:type="dxa"/>
              <w:right w:w="90" w:type="dxa"/>
            </w:tcMar>
            <w:vAlign w:val="center"/>
          </w:tcPr>
          <w:p w14:paraId="037F0AAF" w14:textId="77777777" w:rsidR="00C106AF" w:rsidRDefault="00644914">
            <w:pPr>
              <w:spacing w:before="0" w:after="0"/>
              <w:jc w:val="center"/>
            </w:pPr>
            <w:r>
              <w:t>5.87</w:t>
            </w:r>
          </w:p>
        </w:tc>
        <w:tc>
          <w:tcPr>
            <w:tcW w:w="1440" w:type="dxa"/>
            <w:tcMar>
              <w:top w:w="60" w:type="dxa"/>
              <w:left w:w="90" w:type="dxa"/>
              <w:bottom w:w="60" w:type="dxa"/>
              <w:right w:w="90" w:type="dxa"/>
            </w:tcMar>
            <w:vAlign w:val="center"/>
          </w:tcPr>
          <w:p w14:paraId="3BC989A8" w14:textId="77777777" w:rsidR="00C106AF" w:rsidRDefault="00644914">
            <w:pPr>
              <w:spacing w:before="0" w:after="0"/>
              <w:jc w:val="center"/>
            </w:pPr>
            <w:r>
              <w:t>6.958</w:t>
            </w:r>
          </w:p>
        </w:tc>
        <w:tc>
          <w:tcPr>
            <w:tcW w:w="1411" w:type="dxa"/>
            <w:tcMar>
              <w:top w:w="60" w:type="dxa"/>
              <w:left w:w="90" w:type="dxa"/>
              <w:bottom w:w="60" w:type="dxa"/>
              <w:right w:w="90" w:type="dxa"/>
            </w:tcMar>
            <w:vAlign w:val="center"/>
          </w:tcPr>
          <w:p w14:paraId="3DB2C0B5" w14:textId="77777777" w:rsidR="00C106AF" w:rsidRDefault="00644914">
            <w:pPr>
              <w:spacing w:before="0" w:after="0"/>
              <w:jc w:val="center"/>
            </w:pPr>
            <w:r>
              <w:t>&lt;.001</w:t>
            </w:r>
          </w:p>
        </w:tc>
      </w:tr>
      <w:tr w:rsidR="00C106AF" w14:paraId="0CE51229" w14:textId="77777777">
        <w:trPr>
          <w:jc w:val="center"/>
        </w:trPr>
        <w:tc>
          <w:tcPr>
            <w:tcW w:w="3384" w:type="dxa"/>
            <w:tcMar>
              <w:top w:w="60" w:type="dxa"/>
              <w:left w:w="90" w:type="dxa"/>
              <w:bottom w:w="60" w:type="dxa"/>
              <w:right w:w="90" w:type="dxa"/>
            </w:tcMar>
            <w:vAlign w:val="center"/>
          </w:tcPr>
          <w:p w14:paraId="0F1FA042" w14:textId="77777777" w:rsidR="00C106AF" w:rsidRDefault="00644914">
            <w:pPr>
              <w:spacing w:before="0" w:after="0"/>
              <w:jc w:val="left"/>
            </w:pPr>
            <w:r>
              <w:t>Loss aversion</w:t>
            </w:r>
          </w:p>
        </w:tc>
        <w:tc>
          <w:tcPr>
            <w:tcW w:w="1728" w:type="dxa"/>
            <w:tcMar>
              <w:top w:w="60" w:type="dxa"/>
              <w:left w:w="90" w:type="dxa"/>
              <w:bottom w:w="60" w:type="dxa"/>
              <w:right w:w="90" w:type="dxa"/>
            </w:tcMar>
            <w:vAlign w:val="center"/>
          </w:tcPr>
          <w:p w14:paraId="4B53C0BE" w14:textId="77777777" w:rsidR="00C106AF" w:rsidRDefault="00644914">
            <w:pPr>
              <w:spacing w:before="0" w:after="0"/>
              <w:jc w:val="center"/>
            </w:pPr>
            <w:r>
              <w:t>6.96</w:t>
            </w:r>
          </w:p>
        </w:tc>
        <w:tc>
          <w:tcPr>
            <w:tcW w:w="1728" w:type="dxa"/>
            <w:tcMar>
              <w:top w:w="60" w:type="dxa"/>
              <w:left w:w="90" w:type="dxa"/>
              <w:bottom w:w="60" w:type="dxa"/>
              <w:right w:w="90" w:type="dxa"/>
            </w:tcMar>
            <w:vAlign w:val="center"/>
          </w:tcPr>
          <w:p w14:paraId="67161EC6" w14:textId="77777777" w:rsidR="00C106AF" w:rsidRDefault="00644914">
            <w:pPr>
              <w:spacing w:before="0" w:after="0"/>
              <w:jc w:val="center"/>
            </w:pPr>
            <w:r>
              <w:t>6.97</w:t>
            </w:r>
          </w:p>
        </w:tc>
        <w:tc>
          <w:tcPr>
            <w:tcW w:w="1440" w:type="dxa"/>
            <w:tcMar>
              <w:top w:w="60" w:type="dxa"/>
              <w:left w:w="90" w:type="dxa"/>
              <w:bottom w:w="60" w:type="dxa"/>
              <w:right w:w="90" w:type="dxa"/>
            </w:tcMar>
            <w:vAlign w:val="center"/>
          </w:tcPr>
          <w:p w14:paraId="56A78565" w14:textId="77777777" w:rsidR="00C106AF" w:rsidRDefault="00644914">
            <w:pPr>
              <w:spacing w:before="0" w:after="0"/>
              <w:jc w:val="center"/>
            </w:pPr>
            <w:r>
              <w:t>0.081</w:t>
            </w:r>
          </w:p>
        </w:tc>
        <w:tc>
          <w:tcPr>
            <w:tcW w:w="1411" w:type="dxa"/>
            <w:tcMar>
              <w:top w:w="60" w:type="dxa"/>
              <w:left w:w="90" w:type="dxa"/>
              <w:bottom w:w="60" w:type="dxa"/>
              <w:right w:w="90" w:type="dxa"/>
            </w:tcMar>
            <w:vAlign w:val="center"/>
          </w:tcPr>
          <w:p w14:paraId="73B54A02" w14:textId="77777777" w:rsidR="00C106AF" w:rsidRDefault="00644914">
            <w:pPr>
              <w:spacing w:before="0" w:after="0"/>
              <w:jc w:val="center"/>
            </w:pPr>
            <w:r>
              <w:t>.936</w:t>
            </w:r>
          </w:p>
        </w:tc>
      </w:tr>
      <w:tr w:rsidR="00C106AF" w14:paraId="57420515" w14:textId="77777777">
        <w:trPr>
          <w:jc w:val="center"/>
        </w:trPr>
        <w:tc>
          <w:tcPr>
            <w:tcW w:w="3384" w:type="dxa"/>
            <w:tcMar>
              <w:top w:w="60" w:type="dxa"/>
              <w:left w:w="90" w:type="dxa"/>
              <w:bottom w:w="60" w:type="dxa"/>
              <w:right w:w="90" w:type="dxa"/>
            </w:tcMar>
            <w:vAlign w:val="center"/>
          </w:tcPr>
          <w:p w14:paraId="4AF663DE" w14:textId="77777777" w:rsidR="00C106AF" w:rsidRDefault="00644914">
            <w:pPr>
              <w:spacing w:before="0" w:after="0"/>
              <w:jc w:val="left"/>
            </w:pPr>
            <w:r>
              <w:t>Anchoring bias</w:t>
            </w:r>
          </w:p>
        </w:tc>
        <w:tc>
          <w:tcPr>
            <w:tcW w:w="1728" w:type="dxa"/>
            <w:tcMar>
              <w:top w:w="60" w:type="dxa"/>
              <w:left w:w="90" w:type="dxa"/>
              <w:bottom w:w="60" w:type="dxa"/>
              <w:right w:w="90" w:type="dxa"/>
            </w:tcMar>
            <w:vAlign w:val="center"/>
          </w:tcPr>
          <w:p w14:paraId="69622598" w14:textId="77777777" w:rsidR="00C106AF" w:rsidRDefault="00644914">
            <w:pPr>
              <w:spacing w:before="0" w:after="0"/>
              <w:jc w:val="center"/>
            </w:pPr>
            <w:r>
              <w:t>6.76</w:t>
            </w:r>
          </w:p>
        </w:tc>
        <w:tc>
          <w:tcPr>
            <w:tcW w:w="1728" w:type="dxa"/>
            <w:tcMar>
              <w:top w:w="60" w:type="dxa"/>
              <w:left w:w="90" w:type="dxa"/>
              <w:bottom w:w="60" w:type="dxa"/>
              <w:right w:w="90" w:type="dxa"/>
            </w:tcMar>
            <w:vAlign w:val="center"/>
          </w:tcPr>
          <w:p w14:paraId="75493246" w14:textId="77777777" w:rsidR="00C106AF" w:rsidRDefault="00644914">
            <w:pPr>
              <w:spacing w:before="0" w:after="0"/>
              <w:jc w:val="center"/>
            </w:pPr>
            <w:r>
              <w:t>6.80</w:t>
            </w:r>
          </w:p>
        </w:tc>
        <w:tc>
          <w:tcPr>
            <w:tcW w:w="1440" w:type="dxa"/>
            <w:tcMar>
              <w:top w:w="60" w:type="dxa"/>
              <w:left w:w="90" w:type="dxa"/>
              <w:bottom w:w="60" w:type="dxa"/>
              <w:right w:w="90" w:type="dxa"/>
            </w:tcMar>
            <w:vAlign w:val="center"/>
          </w:tcPr>
          <w:p w14:paraId="141AA384" w14:textId="77777777" w:rsidR="00C106AF" w:rsidRDefault="00644914">
            <w:pPr>
              <w:spacing w:before="0" w:after="0"/>
              <w:jc w:val="center"/>
            </w:pPr>
            <w:r>
              <w:t>0.187</w:t>
            </w:r>
          </w:p>
        </w:tc>
        <w:tc>
          <w:tcPr>
            <w:tcW w:w="1411" w:type="dxa"/>
            <w:tcMar>
              <w:top w:w="60" w:type="dxa"/>
              <w:left w:w="90" w:type="dxa"/>
              <w:bottom w:w="60" w:type="dxa"/>
              <w:right w:w="90" w:type="dxa"/>
            </w:tcMar>
            <w:vAlign w:val="center"/>
          </w:tcPr>
          <w:p w14:paraId="5CFFAAA3" w14:textId="77777777" w:rsidR="00C106AF" w:rsidRDefault="00644914">
            <w:pPr>
              <w:spacing w:before="0" w:after="0"/>
              <w:jc w:val="center"/>
            </w:pPr>
            <w:r>
              <w:t>.851</w:t>
            </w:r>
          </w:p>
        </w:tc>
      </w:tr>
      <w:tr w:rsidR="00C106AF" w14:paraId="399B826D" w14:textId="77777777">
        <w:trPr>
          <w:jc w:val="center"/>
        </w:trPr>
        <w:tc>
          <w:tcPr>
            <w:tcW w:w="3384" w:type="dxa"/>
            <w:tcMar>
              <w:top w:w="60" w:type="dxa"/>
              <w:left w:w="90" w:type="dxa"/>
              <w:bottom w:w="60" w:type="dxa"/>
              <w:right w:w="90" w:type="dxa"/>
            </w:tcMar>
            <w:vAlign w:val="center"/>
          </w:tcPr>
          <w:p w14:paraId="1AC9D69D" w14:textId="77777777" w:rsidR="00C106AF" w:rsidRDefault="00644914">
            <w:pPr>
              <w:spacing w:before="0" w:after="0"/>
              <w:jc w:val="left"/>
            </w:pPr>
            <w:r>
              <w:t>Mental accounting</w:t>
            </w:r>
          </w:p>
        </w:tc>
        <w:tc>
          <w:tcPr>
            <w:tcW w:w="1728" w:type="dxa"/>
            <w:tcMar>
              <w:top w:w="60" w:type="dxa"/>
              <w:left w:w="90" w:type="dxa"/>
              <w:bottom w:w="60" w:type="dxa"/>
              <w:right w:w="90" w:type="dxa"/>
            </w:tcMar>
            <w:vAlign w:val="center"/>
          </w:tcPr>
          <w:p w14:paraId="4C3B12A9" w14:textId="77777777" w:rsidR="00C106AF" w:rsidRDefault="00644914">
            <w:pPr>
              <w:spacing w:before="0" w:after="0"/>
              <w:jc w:val="center"/>
            </w:pPr>
            <w:r>
              <w:t>9.91</w:t>
            </w:r>
          </w:p>
        </w:tc>
        <w:tc>
          <w:tcPr>
            <w:tcW w:w="1728" w:type="dxa"/>
            <w:tcMar>
              <w:top w:w="60" w:type="dxa"/>
              <w:left w:w="90" w:type="dxa"/>
              <w:bottom w:w="60" w:type="dxa"/>
              <w:right w:w="90" w:type="dxa"/>
            </w:tcMar>
            <w:vAlign w:val="center"/>
          </w:tcPr>
          <w:p w14:paraId="1147BE21" w14:textId="77777777" w:rsidR="00C106AF" w:rsidRDefault="00644914">
            <w:pPr>
              <w:spacing w:before="0" w:after="0"/>
              <w:jc w:val="center"/>
            </w:pPr>
            <w:r>
              <w:t>10.15</w:t>
            </w:r>
          </w:p>
        </w:tc>
        <w:tc>
          <w:tcPr>
            <w:tcW w:w="1440" w:type="dxa"/>
            <w:tcMar>
              <w:top w:w="60" w:type="dxa"/>
              <w:left w:w="90" w:type="dxa"/>
              <w:bottom w:w="60" w:type="dxa"/>
              <w:right w:w="90" w:type="dxa"/>
            </w:tcMar>
            <w:vAlign w:val="center"/>
          </w:tcPr>
          <w:p w14:paraId="0855BE93" w14:textId="77777777" w:rsidR="00C106AF" w:rsidRDefault="00644914">
            <w:pPr>
              <w:spacing w:before="0" w:after="0"/>
              <w:jc w:val="center"/>
            </w:pPr>
            <w:r>
              <w:t>1.040</w:t>
            </w:r>
          </w:p>
        </w:tc>
        <w:tc>
          <w:tcPr>
            <w:tcW w:w="1411" w:type="dxa"/>
            <w:tcMar>
              <w:top w:w="60" w:type="dxa"/>
              <w:left w:w="90" w:type="dxa"/>
              <w:bottom w:w="60" w:type="dxa"/>
              <w:right w:w="90" w:type="dxa"/>
            </w:tcMar>
            <w:vAlign w:val="center"/>
          </w:tcPr>
          <w:p w14:paraId="5C7CC4EC" w14:textId="77777777" w:rsidR="00C106AF" w:rsidRDefault="00644914">
            <w:pPr>
              <w:spacing w:before="0" w:after="0"/>
              <w:jc w:val="center"/>
            </w:pPr>
            <w:r>
              <w:t>.299</w:t>
            </w:r>
          </w:p>
        </w:tc>
      </w:tr>
      <w:tr w:rsidR="00C106AF" w14:paraId="3E7FE8B6" w14:textId="77777777">
        <w:trPr>
          <w:jc w:val="center"/>
        </w:trPr>
        <w:tc>
          <w:tcPr>
            <w:tcW w:w="3384" w:type="dxa"/>
            <w:tcMar>
              <w:top w:w="60" w:type="dxa"/>
              <w:left w:w="90" w:type="dxa"/>
              <w:bottom w:w="60" w:type="dxa"/>
              <w:right w:w="90" w:type="dxa"/>
            </w:tcMar>
            <w:vAlign w:val="center"/>
          </w:tcPr>
          <w:p w14:paraId="1DE770A2" w14:textId="77777777" w:rsidR="00C106AF" w:rsidRDefault="00644914">
            <w:pPr>
              <w:spacing w:before="0" w:after="0"/>
              <w:jc w:val="left"/>
            </w:pPr>
            <w:r>
              <w:t>Overconfidence bias</w:t>
            </w:r>
          </w:p>
        </w:tc>
        <w:tc>
          <w:tcPr>
            <w:tcW w:w="1728" w:type="dxa"/>
            <w:tcMar>
              <w:top w:w="60" w:type="dxa"/>
              <w:left w:w="90" w:type="dxa"/>
              <w:bottom w:w="60" w:type="dxa"/>
              <w:right w:w="90" w:type="dxa"/>
            </w:tcMar>
            <w:vAlign w:val="center"/>
          </w:tcPr>
          <w:p w14:paraId="52D8B2F1" w14:textId="77777777" w:rsidR="00C106AF" w:rsidRDefault="00644914">
            <w:pPr>
              <w:spacing w:before="0" w:after="0"/>
              <w:jc w:val="center"/>
            </w:pPr>
            <w:r>
              <w:t>6.94</w:t>
            </w:r>
          </w:p>
        </w:tc>
        <w:tc>
          <w:tcPr>
            <w:tcW w:w="1728" w:type="dxa"/>
            <w:tcMar>
              <w:top w:w="60" w:type="dxa"/>
              <w:left w:w="90" w:type="dxa"/>
              <w:bottom w:w="60" w:type="dxa"/>
              <w:right w:w="90" w:type="dxa"/>
            </w:tcMar>
            <w:vAlign w:val="center"/>
          </w:tcPr>
          <w:p w14:paraId="5E55BB50" w14:textId="77777777" w:rsidR="00C106AF" w:rsidRDefault="00644914">
            <w:pPr>
              <w:spacing w:before="0" w:after="0"/>
              <w:jc w:val="center"/>
            </w:pPr>
            <w:r>
              <w:t>6.41</w:t>
            </w:r>
          </w:p>
        </w:tc>
        <w:tc>
          <w:tcPr>
            <w:tcW w:w="1440" w:type="dxa"/>
            <w:tcMar>
              <w:top w:w="60" w:type="dxa"/>
              <w:left w:w="90" w:type="dxa"/>
              <w:bottom w:w="60" w:type="dxa"/>
              <w:right w:w="90" w:type="dxa"/>
            </w:tcMar>
            <w:vAlign w:val="center"/>
          </w:tcPr>
          <w:p w14:paraId="19FFDE42" w14:textId="77777777" w:rsidR="00C106AF" w:rsidRDefault="00644914">
            <w:pPr>
              <w:spacing w:before="0" w:after="0"/>
              <w:jc w:val="center"/>
            </w:pPr>
            <w:r>
              <w:t>3.356</w:t>
            </w:r>
          </w:p>
        </w:tc>
        <w:tc>
          <w:tcPr>
            <w:tcW w:w="1411" w:type="dxa"/>
            <w:tcMar>
              <w:top w:w="60" w:type="dxa"/>
              <w:left w:w="90" w:type="dxa"/>
              <w:bottom w:w="60" w:type="dxa"/>
              <w:right w:w="90" w:type="dxa"/>
            </w:tcMar>
            <w:vAlign w:val="center"/>
          </w:tcPr>
          <w:p w14:paraId="07FE3690" w14:textId="77777777" w:rsidR="00C106AF" w:rsidRDefault="00644914">
            <w:pPr>
              <w:spacing w:before="0" w:after="0"/>
              <w:jc w:val="center"/>
            </w:pPr>
            <w:r>
              <w:t>.001</w:t>
            </w:r>
          </w:p>
        </w:tc>
      </w:tr>
      <w:tr w:rsidR="00C106AF" w14:paraId="4B1FDEFF" w14:textId="77777777">
        <w:trPr>
          <w:jc w:val="center"/>
        </w:trPr>
        <w:tc>
          <w:tcPr>
            <w:tcW w:w="3384" w:type="dxa"/>
            <w:tcMar>
              <w:top w:w="60" w:type="dxa"/>
              <w:left w:w="90" w:type="dxa"/>
              <w:bottom w:w="60" w:type="dxa"/>
              <w:right w:w="90" w:type="dxa"/>
            </w:tcMar>
            <w:vAlign w:val="center"/>
          </w:tcPr>
          <w:p w14:paraId="4C0F6303" w14:textId="77777777" w:rsidR="00C106AF" w:rsidRDefault="00644914">
            <w:pPr>
              <w:spacing w:before="0" w:after="0"/>
              <w:jc w:val="left"/>
            </w:pPr>
            <w:r>
              <w:t>Psychological bias</w:t>
            </w:r>
          </w:p>
        </w:tc>
        <w:tc>
          <w:tcPr>
            <w:tcW w:w="1728" w:type="dxa"/>
            <w:tcMar>
              <w:top w:w="60" w:type="dxa"/>
              <w:left w:w="90" w:type="dxa"/>
              <w:bottom w:w="60" w:type="dxa"/>
              <w:right w:w="90" w:type="dxa"/>
            </w:tcMar>
            <w:vAlign w:val="center"/>
          </w:tcPr>
          <w:p w14:paraId="05563C37" w14:textId="77777777" w:rsidR="00C106AF" w:rsidRDefault="00644914">
            <w:pPr>
              <w:spacing w:before="0" w:after="0"/>
              <w:jc w:val="center"/>
            </w:pPr>
            <w:r>
              <w:t>1.88</w:t>
            </w:r>
          </w:p>
        </w:tc>
        <w:tc>
          <w:tcPr>
            <w:tcW w:w="1728" w:type="dxa"/>
            <w:tcMar>
              <w:top w:w="60" w:type="dxa"/>
              <w:left w:w="90" w:type="dxa"/>
              <w:bottom w:w="60" w:type="dxa"/>
              <w:right w:w="90" w:type="dxa"/>
            </w:tcMar>
            <w:vAlign w:val="center"/>
          </w:tcPr>
          <w:p w14:paraId="5850C074" w14:textId="77777777" w:rsidR="00C106AF" w:rsidRDefault="00644914">
            <w:pPr>
              <w:spacing w:before="0" w:after="0"/>
              <w:jc w:val="center"/>
            </w:pPr>
            <w:r>
              <w:t>2.43</w:t>
            </w:r>
          </w:p>
        </w:tc>
        <w:tc>
          <w:tcPr>
            <w:tcW w:w="1440" w:type="dxa"/>
            <w:tcMar>
              <w:top w:w="60" w:type="dxa"/>
              <w:left w:w="90" w:type="dxa"/>
              <w:bottom w:w="60" w:type="dxa"/>
              <w:right w:w="90" w:type="dxa"/>
            </w:tcMar>
            <w:vAlign w:val="center"/>
          </w:tcPr>
          <w:p w14:paraId="2CF3FE01" w14:textId="77777777" w:rsidR="00C106AF" w:rsidRDefault="00644914">
            <w:pPr>
              <w:spacing w:before="0" w:after="0"/>
              <w:jc w:val="center"/>
            </w:pPr>
            <w:r>
              <w:t>5.295</w:t>
            </w:r>
          </w:p>
        </w:tc>
        <w:tc>
          <w:tcPr>
            <w:tcW w:w="1411" w:type="dxa"/>
            <w:tcMar>
              <w:top w:w="60" w:type="dxa"/>
              <w:left w:w="90" w:type="dxa"/>
              <w:bottom w:w="60" w:type="dxa"/>
              <w:right w:w="90" w:type="dxa"/>
            </w:tcMar>
            <w:vAlign w:val="center"/>
          </w:tcPr>
          <w:p w14:paraId="27643A5E" w14:textId="77777777" w:rsidR="00C106AF" w:rsidRDefault="00644914">
            <w:pPr>
              <w:spacing w:before="0" w:after="0"/>
              <w:jc w:val="center"/>
            </w:pPr>
            <w:r>
              <w:t>&lt;.001</w:t>
            </w:r>
          </w:p>
        </w:tc>
      </w:tr>
      <w:tr w:rsidR="00C106AF" w14:paraId="212741D3" w14:textId="77777777">
        <w:trPr>
          <w:jc w:val="center"/>
        </w:trPr>
        <w:tc>
          <w:tcPr>
            <w:tcW w:w="3384" w:type="dxa"/>
            <w:tcMar>
              <w:top w:w="60" w:type="dxa"/>
              <w:left w:w="90" w:type="dxa"/>
              <w:bottom w:w="60" w:type="dxa"/>
              <w:right w:w="90" w:type="dxa"/>
            </w:tcMar>
            <w:vAlign w:val="center"/>
          </w:tcPr>
          <w:p w14:paraId="20BAB4FB" w14:textId="77777777" w:rsidR="00C106AF" w:rsidRDefault="00644914">
            <w:pPr>
              <w:spacing w:before="0" w:after="0"/>
              <w:jc w:val="left"/>
            </w:pPr>
            <w:r>
              <w:t>Herding bias</w:t>
            </w:r>
          </w:p>
        </w:tc>
        <w:tc>
          <w:tcPr>
            <w:tcW w:w="1728" w:type="dxa"/>
            <w:tcMar>
              <w:top w:w="60" w:type="dxa"/>
              <w:left w:w="90" w:type="dxa"/>
              <w:bottom w:w="60" w:type="dxa"/>
              <w:right w:w="90" w:type="dxa"/>
            </w:tcMar>
            <w:vAlign w:val="center"/>
          </w:tcPr>
          <w:p w14:paraId="35BDBA94" w14:textId="77777777" w:rsidR="00C106AF" w:rsidRDefault="00644914">
            <w:pPr>
              <w:spacing w:before="0" w:after="0"/>
              <w:jc w:val="center"/>
            </w:pPr>
            <w:r>
              <w:t>2.01</w:t>
            </w:r>
          </w:p>
        </w:tc>
        <w:tc>
          <w:tcPr>
            <w:tcW w:w="1728" w:type="dxa"/>
            <w:tcMar>
              <w:top w:w="60" w:type="dxa"/>
              <w:left w:w="90" w:type="dxa"/>
              <w:bottom w:w="60" w:type="dxa"/>
              <w:right w:w="90" w:type="dxa"/>
            </w:tcMar>
            <w:vAlign w:val="center"/>
          </w:tcPr>
          <w:p w14:paraId="4AAB9ED9" w14:textId="77777777" w:rsidR="00C106AF" w:rsidRDefault="00644914">
            <w:pPr>
              <w:spacing w:before="0" w:after="0"/>
              <w:jc w:val="center"/>
            </w:pPr>
            <w:r>
              <w:t>2.35</w:t>
            </w:r>
          </w:p>
        </w:tc>
        <w:tc>
          <w:tcPr>
            <w:tcW w:w="1440" w:type="dxa"/>
            <w:tcMar>
              <w:top w:w="60" w:type="dxa"/>
              <w:left w:w="90" w:type="dxa"/>
              <w:bottom w:w="60" w:type="dxa"/>
              <w:right w:w="90" w:type="dxa"/>
            </w:tcMar>
            <w:vAlign w:val="center"/>
          </w:tcPr>
          <w:p w14:paraId="34F9D7EE" w14:textId="77777777" w:rsidR="00C106AF" w:rsidRDefault="00644914">
            <w:pPr>
              <w:spacing w:before="0" w:after="0"/>
              <w:jc w:val="center"/>
            </w:pPr>
            <w:r>
              <w:t>3.118</w:t>
            </w:r>
          </w:p>
        </w:tc>
        <w:tc>
          <w:tcPr>
            <w:tcW w:w="1411" w:type="dxa"/>
            <w:tcMar>
              <w:top w:w="60" w:type="dxa"/>
              <w:left w:w="90" w:type="dxa"/>
              <w:bottom w:w="60" w:type="dxa"/>
              <w:right w:w="90" w:type="dxa"/>
            </w:tcMar>
            <w:vAlign w:val="center"/>
          </w:tcPr>
          <w:p w14:paraId="6FDD8AEB" w14:textId="77777777" w:rsidR="00C106AF" w:rsidRDefault="00644914">
            <w:pPr>
              <w:spacing w:before="0" w:after="0"/>
              <w:jc w:val="center"/>
            </w:pPr>
            <w:r>
              <w:t>.002</w:t>
            </w:r>
          </w:p>
        </w:tc>
      </w:tr>
      <w:tr w:rsidR="00C106AF" w14:paraId="3D846CDB" w14:textId="77777777">
        <w:trPr>
          <w:jc w:val="center"/>
        </w:trPr>
        <w:tc>
          <w:tcPr>
            <w:tcW w:w="3384" w:type="dxa"/>
            <w:tcMar>
              <w:top w:w="60" w:type="dxa"/>
              <w:left w:w="90" w:type="dxa"/>
              <w:bottom w:w="60" w:type="dxa"/>
              <w:right w:w="90" w:type="dxa"/>
            </w:tcMar>
            <w:vAlign w:val="center"/>
          </w:tcPr>
          <w:p w14:paraId="7A14F738" w14:textId="77777777" w:rsidR="00C106AF" w:rsidRDefault="00644914">
            <w:pPr>
              <w:spacing w:before="0" w:after="0"/>
              <w:jc w:val="left"/>
            </w:pPr>
            <w:r>
              <w:t>Status quo bias</w:t>
            </w:r>
          </w:p>
        </w:tc>
        <w:tc>
          <w:tcPr>
            <w:tcW w:w="1728" w:type="dxa"/>
            <w:tcMar>
              <w:top w:w="60" w:type="dxa"/>
              <w:left w:w="90" w:type="dxa"/>
              <w:bottom w:w="60" w:type="dxa"/>
              <w:right w:w="90" w:type="dxa"/>
            </w:tcMar>
            <w:vAlign w:val="center"/>
          </w:tcPr>
          <w:p w14:paraId="115D08B2" w14:textId="77777777" w:rsidR="00C106AF" w:rsidRDefault="00644914">
            <w:pPr>
              <w:spacing w:before="0" w:after="0"/>
              <w:jc w:val="center"/>
            </w:pPr>
            <w:r>
              <w:t>16.5</w:t>
            </w:r>
          </w:p>
        </w:tc>
        <w:tc>
          <w:tcPr>
            <w:tcW w:w="1728" w:type="dxa"/>
            <w:tcMar>
              <w:top w:w="60" w:type="dxa"/>
              <w:left w:w="90" w:type="dxa"/>
              <w:bottom w:w="60" w:type="dxa"/>
              <w:right w:w="90" w:type="dxa"/>
            </w:tcMar>
            <w:vAlign w:val="center"/>
          </w:tcPr>
          <w:p w14:paraId="39235720" w14:textId="77777777" w:rsidR="00C106AF" w:rsidRDefault="00644914">
            <w:pPr>
              <w:spacing w:before="0" w:after="0"/>
              <w:jc w:val="center"/>
            </w:pPr>
            <w:r>
              <w:t>16.4</w:t>
            </w:r>
          </w:p>
        </w:tc>
        <w:tc>
          <w:tcPr>
            <w:tcW w:w="1440" w:type="dxa"/>
            <w:tcMar>
              <w:top w:w="60" w:type="dxa"/>
              <w:left w:w="90" w:type="dxa"/>
              <w:bottom w:w="60" w:type="dxa"/>
              <w:right w:w="90" w:type="dxa"/>
            </w:tcMar>
            <w:vAlign w:val="center"/>
          </w:tcPr>
          <w:p w14:paraId="1BD244E3" w14:textId="77777777" w:rsidR="00C106AF" w:rsidRDefault="00644914">
            <w:pPr>
              <w:spacing w:before="0" w:after="0"/>
              <w:jc w:val="center"/>
            </w:pPr>
            <w:r>
              <w:t>0.299</w:t>
            </w:r>
          </w:p>
        </w:tc>
        <w:tc>
          <w:tcPr>
            <w:tcW w:w="1411" w:type="dxa"/>
            <w:tcMar>
              <w:top w:w="60" w:type="dxa"/>
              <w:left w:w="90" w:type="dxa"/>
              <w:bottom w:w="60" w:type="dxa"/>
              <w:right w:w="90" w:type="dxa"/>
            </w:tcMar>
            <w:vAlign w:val="center"/>
          </w:tcPr>
          <w:p w14:paraId="6CA97F45" w14:textId="77777777" w:rsidR="00C106AF" w:rsidRDefault="00644914">
            <w:pPr>
              <w:spacing w:before="0" w:after="0"/>
              <w:jc w:val="center"/>
            </w:pPr>
            <w:r>
              <w:t>.765</w:t>
            </w:r>
          </w:p>
        </w:tc>
      </w:tr>
    </w:tbl>
    <w:p w14:paraId="1C50F1E4" w14:textId="77777777" w:rsidR="00C106AF" w:rsidRDefault="00644914">
      <w:pPr>
        <w:pStyle w:val="TableNote"/>
      </w:pPr>
      <w:r>
        <w:t>Note. Absolute t statistics are reported because the source table contained sign inconsistencies relative to group means.</w:t>
      </w:r>
    </w:p>
    <w:p w14:paraId="685C739E" w14:textId="40F62C6D" w:rsidR="00C106AF" w:rsidRDefault="009277AD">
      <w:pPr>
        <w:pStyle w:val="Body"/>
      </w:pPr>
      <w:r w:rsidRPr="009277AD">
        <w:t>Consistent gainer respondents were found to have lower present bias, psychological bias, herding bias, and higher overconfidence. In the case of loss aversion, and the biases of anchoring, mental accounting, and status quo, the two groups showed no material differences. This response pattern suggests that greater emotional control, and greater independence from the influence of the crowd, are of greater importance to perceived success in saving than are more general fears, preferences, or biases toward caution or the status quo.</w:t>
      </w:r>
    </w:p>
    <w:p w14:paraId="3DCC72A7" w14:textId="72E879B6" w:rsidR="00C106AF" w:rsidRDefault="00AB6283">
      <w:pPr>
        <w:pStyle w:val="Body"/>
      </w:pPr>
      <w:r w:rsidRPr="00AB6283">
        <w:t>Table 6 shows the estimated coefficients of the logistic regression model for the probability of reporting savings always generated gains.</w:t>
      </w:r>
    </w:p>
    <w:p w14:paraId="67574CFA" w14:textId="77777777" w:rsidR="00C106AF" w:rsidRDefault="00644914">
      <w:pPr>
        <w:pStyle w:val="CaptionStyle"/>
      </w:pPr>
      <w:r>
        <w:rPr>
          <w:b/>
        </w:rPr>
        <w:t xml:space="preserve">Table 6. </w:t>
      </w:r>
      <w:r>
        <w:t>Logistic regression model predicting savings always generating gains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31"/>
        <w:gridCol w:w="1655"/>
        <w:gridCol w:w="1440"/>
        <w:gridCol w:w="1512"/>
      </w:tblGrid>
      <w:tr w:rsidR="00C106AF" w14:paraId="1F6E0745" w14:textId="77777777">
        <w:trPr>
          <w:tblHeader/>
          <w:jc w:val="center"/>
        </w:trPr>
        <w:tc>
          <w:tcPr>
            <w:tcW w:w="4031" w:type="dxa"/>
            <w:shd w:val="clear" w:color="auto" w:fill="D9D9D9"/>
            <w:tcMar>
              <w:top w:w="60" w:type="dxa"/>
              <w:left w:w="90" w:type="dxa"/>
              <w:bottom w:w="60" w:type="dxa"/>
              <w:right w:w="90" w:type="dxa"/>
            </w:tcMar>
            <w:vAlign w:val="center"/>
          </w:tcPr>
          <w:p w14:paraId="1B310AA2" w14:textId="77777777" w:rsidR="00C106AF" w:rsidRDefault="00644914">
            <w:pPr>
              <w:spacing w:before="0" w:after="0"/>
              <w:jc w:val="left"/>
            </w:pPr>
            <w:r>
              <w:rPr>
                <w:b/>
              </w:rPr>
              <w:t>Variable</w:t>
            </w:r>
          </w:p>
        </w:tc>
        <w:tc>
          <w:tcPr>
            <w:tcW w:w="1655" w:type="dxa"/>
            <w:shd w:val="clear" w:color="auto" w:fill="D9D9D9"/>
            <w:tcMar>
              <w:top w:w="60" w:type="dxa"/>
              <w:left w:w="90" w:type="dxa"/>
              <w:bottom w:w="60" w:type="dxa"/>
              <w:right w:w="90" w:type="dxa"/>
            </w:tcMar>
            <w:vAlign w:val="center"/>
          </w:tcPr>
          <w:p w14:paraId="4371AD56" w14:textId="77777777" w:rsidR="00C106AF" w:rsidRDefault="00644914">
            <w:pPr>
              <w:spacing w:before="0" w:after="0"/>
              <w:jc w:val="center"/>
            </w:pPr>
            <w:r>
              <w:rPr>
                <w:b/>
              </w:rPr>
              <w:t>Wald statistic</w:t>
            </w:r>
          </w:p>
        </w:tc>
        <w:tc>
          <w:tcPr>
            <w:tcW w:w="1440" w:type="dxa"/>
            <w:shd w:val="clear" w:color="auto" w:fill="D9D9D9"/>
            <w:tcMar>
              <w:top w:w="60" w:type="dxa"/>
              <w:left w:w="90" w:type="dxa"/>
              <w:bottom w:w="60" w:type="dxa"/>
              <w:right w:w="90" w:type="dxa"/>
            </w:tcMar>
            <w:vAlign w:val="center"/>
          </w:tcPr>
          <w:p w14:paraId="7B1396D4" w14:textId="77777777" w:rsidR="00C106AF" w:rsidRDefault="00644914">
            <w:pPr>
              <w:spacing w:before="0" w:after="0"/>
              <w:jc w:val="center"/>
            </w:pPr>
            <w:r>
              <w:rPr>
                <w:b/>
              </w:rPr>
              <w:t>p-value</w:t>
            </w:r>
          </w:p>
        </w:tc>
        <w:tc>
          <w:tcPr>
            <w:tcW w:w="1512" w:type="dxa"/>
            <w:shd w:val="clear" w:color="auto" w:fill="D9D9D9"/>
            <w:tcMar>
              <w:top w:w="60" w:type="dxa"/>
              <w:left w:w="90" w:type="dxa"/>
              <w:bottom w:w="60" w:type="dxa"/>
              <w:right w:w="90" w:type="dxa"/>
            </w:tcMar>
            <w:vAlign w:val="center"/>
          </w:tcPr>
          <w:p w14:paraId="398E3402" w14:textId="77777777" w:rsidR="00C106AF" w:rsidRDefault="00644914">
            <w:pPr>
              <w:spacing w:before="0" w:after="0"/>
              <w:jc w:val="center"/>
            </w:pPr>
            <w:r>
              <w:rPr>
                <w:b/>
              </w:rPr>
              <w:t>Odds ratio</w:t>
            </w:r>
          </w:p>
        </w:tc>
      </w:tr>
      <w:tr w:rsidR="00C106AF" w14:paraId="53F8B95C" w14:textId="77777777">
        <w:trPr>
          <w:jc w:val="center"/>
        </w:trPr>
        <w:tc>
          <w:tcPr>
            <w:tcW w:w="4031" w:type="dxa"/>
            <w:tcMar>
              <w:top w:w="60" w:type="dxa"/>
              <w:left w:w="90" w:type="dxa"/>
              <w:bottom w:w="60" w:type="dxa"/>
              <w:right w:w="90" w:type="dxa"/>
            </w:tcMar>
            <w:vAlign w:val="center"/>
          </w:tcPr>
          <w:p w14:paraId="5B19B409" w14:textId="77777777" w:rsidR="00C106AF" w:rsidRDefault="00644914">
            <w:pPr>
              <w:spacing w:before="0" w:after="0"/>
              <w:jc w:val="left"/>
            </w:pPr>
            <w:r>
              <w:t>Age</w:t>
            </w:r>
          </w:p>
        </w:tc>
        <w:tc>
          <w:tcPr>
            <w:tcW w:w="1655" w:type="dxa"/>
            <w:tcMar>
              <w:top w:w="60" w:type="dxa"/>
              <w:left w:w="90" w:type="dxa"/>
              <w:bottom w:w="60" w:type="dxa"/>
              <w:right w:w="90" w:type="dxa"/>
            </w:tcMar>
            <w:vAlign w:val="center"/>
          </w:tcPr>
          <w:p w14:paraId="041CB289" w14:textId="77777777" w:rsidR="00C106AF" w:rsidRDefault="00644914">
            <w:pPr>
              <w:spacing w:before="0" w:after="0"/>
              <w:jc w:val="center"/>
            </w:pPr>
            <w:r>
              <w:t>4.754</w:t>
            </w:r>
          </w:p>
        </w:tc>
        <w:tc>
          <w:tcPr>
            <w:tcW w:w="1440" w:type="dxa"/>
            <w:tcMar>
              <w:top w:w="60" w:type="dxa"/>
              <w:left w:w="90" w:type="dxa"/>
              <w:bottom w:w="60" w:type="dxa"/>
              <w:right w:w="90" w:type="dxa"/>
            </w:tcMar>
            <w:vAlign w:val="center"/>
          </w:tcPr>
          <w:p w14:paraId="5BF9EF82" w14:textId="77777777" w:rsidR="00C106AF" w:rsidRDefault="00644914">
            <w:pPr>
              <w:spacing w:before="0" w:after="0"/>
              <w:jc w:val="center"/>
            </w:pPr>
            <w:r>
              <w:t>.029</w:t>
            </w:r>
          </w:p>
        </w:tc>
        <w:tc>
          <w:tcPr>
            <w:tcW w:w="1512" w:type="dxa"/>
            <w:tcMar>
              <w:top w:w="60" w:type="dxa"/>
              <w:left w:w="90" w:type="dxa"/>
              <w:bottom w:w="60" w:type="dxa"/>
              <w:right w:w="90" w:type="dxa"/>
            </w:tcMar>
            <w:vAlign w:val="center"/>
          </w:tcPr>
          <w:p w14:paraId="1E6641D8" w14:textId="77777777" w:rsidR="00C106AF" w:rsidRDefault="00644914">
            <w:pPr>
              <w:spacing w:before="0" w:after="0"/>
              <w:jc w:val="center"/>
            </w:pPr>
            <w:r>
              <w:t>1.291</w:t>
            </w:r>
          </w:p>
        </w:tc>
      </w:tr>
      <w:tr w:rsidR="00C106AF" w14:paraId="6514D6E8" w14:textId="77777777">
        <w:trPr>
          <w:jc w:val="center"/>
        </w:trPr>
        <w:tc>
          <w:tcPr>
            <w:tcW w:w="4031" w:type="dxa"/>
            <w:tcMar>
              <w:top w:w="60" w:type="dxa"/>
              <w:left w:w="90" w:type="dxa"/>
              <w:bottom w:w="60" w:type="dxa"/>
              <w:right w:w="90" w:type="dxa"/>
            </w:tcMar>
            <w:vAlign w:val="center"/>
          </w:tcPr>
          <w:p w14:paraId="07EBD99D" w14:textId="77777777" w:rsidR="00C106AF" w:rsidRDefault="00644914">
            <w:pPr>
              <w:spacing w:before="0" w:after="0"/>
              <w:jc w:val="left"/>
            </w:pPr>
            <w:r>
              <w:t>Education</w:t>
            </w:r>
          </w:p>
        </w:tc>
        <w:tc>
          <w:tcPr>
            <w:tcW w:w="1655" w:type="dxa"/>
            <w:tcMar>
              <w:top w:w="60" w:type="dxa"/>
              <w:left w:w="90" w:type="dxa"/>
              <w:bottom w:w="60" w:type="dxa"/>
              <w:right w:w="90" w:type="dxa"/>
            </w:tcMar>
            <w:vAlign w:val="center"/>
          </w:tcPr>
          <w:p w14:paraId="7E0811AE" w14:textId="77777777" w:rsidR="00C106AF" w:rsidRDefault="00644914">
            <w:pPr>
              <w:spacing w:before="0" w:after="0"/>
              <w:jc w:val="center"/>
            </w:pPr>
            <w:r>
              <w:t>1.083</w:t>
            </w:r>
          </w:p>
        </w:tc>
        <w:tc>
          <w:tcPr>
            <w:tcW w:w="1440" w:type="dxa"/>
            <w:tcMar>
              <w:top w:w="60" w:type="dxa"/>
              <w:left w:w="90" w:type="dxa"/>
              <w:bottom w:w="60" w:type="dxa"/>
              <w:right w:w="90" w:type="dxa"/>
            </w:tcMar>
            <w:vAlign w:val="center"/>
          </w:tcPr>
          <w:p w14:paraId="169B4284" w14:textId="77777777" w:rsidR="00C106AF" w:rsidRDefault="00644914">
            <w:pPr>
              <w:spacing w:before="0" w:after="0"/>
              <w:jc w:val="center"/>
            </w:pPr>
            <w:r>
              <w:t>.298</w:t>
            </w:r>
          </w:p>
        </w:tc>
        <w:tc>
          <w:tcPr>
            <w:tcW w:w="1512" w:type="dxa"/>
            <w:tcMar>
              <w:top w:w="60" w:type="dxa"/>
              <w:left w:w="90" w:type="dxa"/>
              <w:bottom w:w="60" w:type="dxa"/>
              <w:right w:w="90" w:type="dxa"/>
            </w:tcMar>
            <w:vAlign w:val="center"/>
          </w:tcPr>
          <w:p w14:paraId="5D5370A2" w14:textId="77777777" w:rsidR="00C106AF" w:rsidRDefault="00644914">
            <w:pPr>
              <w:spacing w:before="0" w:after="0"/>
              <w:jc w:val="center"/>
            </w:pPr>
            <w:r>
              <w:t>1.163</w:t>
            </w:r>
          </w:p>
        </w:tc>
      </w:tr>
      <w:tr w:rsidR="00C106AF" w14:paraId="7D5BB60B" w14:textId="77777777">
        <w:trPr>
          <w:jc w:val="center"/>
        </w:trPr>
        <w:tc>
          <w:tcPr>
            <w:tcW w:w="4031" w:type="dxa"/>
            <w:tcMar>
              <w:top w:w="60" w:type="dxa"/>
              <w:left w:w="90" w:type="dxa"/>
              <w:bottom w:w="60" w:type="dxa"/>
              <w:right w:w="90" w:type="dxa"/>
            </w:tcMar>
            <w:vAlign w:val="center"/>
          </w:tcPr>
          <w:p w14:paraId="6B857D3C" w14:textId="77777777" w:rsidR="00C106AF" w:rsidRDefault="00644914">
            <w:pPr>
              <w:spacing w:before="0" w:after="0"/>
              <w:jc w:val="left"/>
            </w:pPr>
            <w:r>
              <w:t>Income</w:t>
            </w:r>
          </w:p>
        </w:tc>
        <w:tc>
          <w:tcPr>
            <w:tcW w:w="1655" w:type="dxa"/>
            <w:tcMar>
              <w:top w:w="60" w:type="dxa"/>
              <w:left w:w="90" w:type="dxa"/>
              <w:bottom w:w="60" w:type="dxa"/>
              <w:right w:w="90" w:type="dxa"/>
            </w:tcMar>
            <w:vAlign w:val="center"/>
          </w:tcPr>
          <w:p w14:paraId="7B2269C5" w14:textId="77777777" w:rsidR="00C106AF" w:rsidRDefault="00644914">
            <w:pPr>
              <w:spacing w:before="0" w:after="0"/>
              <w:jc w:val="center"/>
            </w:pPr>
            <w:r>
              <w:t>0.311</w:t>
            </w:r>
          </w:p>
        </w:tc>
        <w:tc>
          <w:tcPr>
            <w:tcW w:w="1440" w:type="dxa"/>
            <w:tcMar>
              <w:top w:w="60" w:type="dxa"/>
              <w:left w:w="90" w:type="dxa"/>
              <w:bottom w:w="60" w:type="dxa"/>
              <w:right w:w="90" w:type="dxa"/>
            </w:tcMar>
            <w:vAlign w:val="center"/>
          </w:tcPr>
          <w:p w14:paraId="724097E2" w14:textId="77777777" w:rsidR="00C106AF" w:rsidRDefault="00644914">
            <w:pPr>
              <w:spacing w:before="0" w:after="0"/>
              <w:jc w:val="center"/>
            </w:pPr>
            <w:r>
              <w:t>.577</w:t>
            </w:r>
          </w:p>
        </w:tc>
        <w:tc>
          <w:tcPr>
            <w:tcW w:w="1512" w:type="dxa"/>
            <w:tcMar>
              <w:top w:w="60" w:type="dxa"/>
              <w:left w:w="90" w:type="dxa"/>
              <w:bottom w:w="60" w:type="dxa"/>
              <w:right w:w="90" w:type="dxa"/>
            </w:tcMar>
            <w:vAlign w:val="center"/>
          </w:tcPr>
          <w:p w14:paraId="330FB9E8" w14:textId="77777777" w:rsidR="00C106AF" w:rsidRDefault="00644914">
            <w:pPr>
              <w:spacing w:before="0" w:after="0"/>
              <w:jc w:val="center"/>
            </w:pPr>
            <w:r>
              <w:t>1.085</w:t>
            </w:r>
          </w:p>
        </w:tc>
      </w:tr>
      <w:tr w:rsidR="00C106AF" w14:paraId="0416657D" w14:textId="77777777">
        <w:trPr>
          <w:jc w:val="center"/>
        </w:trPr>
        <w:tc>
          <w:tcPr>
            <w:tcW w:w="4031" w:type="dxa"/>
            <w:tcMar>
              <w:top w:w="60" w:type="dxa"/>
              <w:left w:w="90" w:type="dxa"/>
              <w:bottom w:w="60" w:type="dxa"/>
              <w:right w:w="90" w:type="dxa"/>
            </w:tcMar>
            <w:vAlign w:val="center"/>
          </w:tcPr>
          <w:p w14:paraId="4263D01D" w14:textId="77777777" w:rsidR="00C106AF" w:rsidRDefault="00644914">
            <w:pPr>
              <w:spacing w:before="0" w:after="0"/>
              <w:jc w:val="left"/>
            </w:pPr>
            <w:r>
              <w:t>Consultation for saving</w:t>
            </w:r>
          </w:p>
        </w:tc>
        <w:tc>
          <w:tcPr>
            <w:tcW w:w="1655" w:type="dxa"/>
            <w:tcMar>
              <w:top w:w="60" w:type="dxa"/>
              <w:left w:w="90" w:type="dxa"/>
              <w:bottom w:w="60" w:type="dxa"/>
              <w:right w:w="90" w:type="dxa"/>
            </w:tcMar>
            <w:vAlign w:val="center"/>
          </w:tcPr>
          <w:p w14:paraId="0A33B5CA" w14:textId="77777777" w:rsidR="00C106AF" w:rsidRDefault="00644914">
            <w:pPr>
              <w:spacing w:before="0" w:after="0"/>
              <w:jc w:val="center"/>
            </w:pPr>
            <w:r>
              <w:t>1.725</w:t>
            </w:r>
          </w:p>
        </w:tc>
        <w:tc>
          <w:tcPr>
            <w:tcW w:w="1440" w:type="dxa"/>
            <w:tcMar>
              <w:top w:w="60" w:type="dxa"/>
              <w:left w:w="90" w:type="dxa"/>
              <w:bottom w:w="60" w:type="dxa"/>
              <w:right w:w="90" w:type="dxa"/>
            </w:tcMar>
            <w:vAlign w:val="center"/>
          </w:tcPr>
          <w:p w14:paraId="7CD1C445" w14:textId="77777777" w:rsidR="00C106AF" w:rsidRDefault="00644914">
            <w:pPr>
              <w:spacing w:before="0" w:after="0"/>
              <w:jc w:val="center"/>
            </w:pPr>
            <w:r>
              <w:t>.189</w:t>
            </w:r>
          </w:p>
        </w:tc>
        <w:tc>
          <w:tcPr>
            <w:tcW w:w="1512" w:type="dxa"/>
            <w:tcMar>
              <w:top w:w="60" w:type="dxa"/>
              <w:left w:w="90" w:type="dxa"/>
              <w:bottom w:w="60" w:type="dxa"/>
              <w:right w:w="90" w:type="dxa"/>
            </w:tcMar>
            <w:vAlign w:val="center"/>
          </w:tcPr>
          <w:p w14:paraId="16638C9F" w14:textId="77777777" w:rsidR="00C106AF" w:rsidRDefault="00644914">
            <w:pPr>
              <w:spacing w:before="0" w:after="0"/>
              <w:jc w:val="center"/>
            </w:pPr>
            <w:r>
              <w:t>1.305</w:t>
            </w:r>
          </w:p>
        </w:tc>
      </w:tr>
      <w:tr w:rsidR="00C106AF" w14:paraId="036877C0" w14:textId="77777777">
        <w:trPr>
          <w:jc w:val="center"/>
        </w:trPr>
        <w:tc>
          <w:tcPr>
            <w:tcW w:w="4031" w:type="dxa"/>
            <w:tcMar>
              <w:top w:w="60" w:type="dxa"/>
              <w:left w:w="90" w:type="dxa"/>
              <w:bottom w:w="60" w:type="dxa"/>
              <w:right w:w="90" w:type="dxa"/>
            </w:tcMar>
            <w:vAlign w:val="center"/>
          </w:tcPr>
          <w:p w14:paraId="6A4028F3" w14:textId="77777777" w:rsidR="00C106AF" w:rsidRDefault="00644914">
            <w:pPr>
              <w:spacing w:before="0" w:after="0"/>
              <w:jc w:val="left"/>
            </w:pPr>
            <w:r>
              <w:t>Savings habits</w:t>
            </w:r>
          </w:p>
        </w:tc>
        <w:tc>
          <w:tcPr>
            <w:tcW w:w="1655" w:type="dxa"/>
            <w:tcMar>
              <w:top w:w="60" w:type="dxa"/>
              <w:left w:w="90" w:type="dxa"/>
              <w:bottom w:w="60" w:type="dxa"/>
              <w:right w:w="90" w:type="dxa"/>
            </w:tcMar>
            <w:vAlign w:val="center"/>
          </w:tcPr>
          <w:p w14:paraId="3A6FE97D" w14:textId="77777777" w:rsidR="00C106AF" w:rsidRDefault="00644914">
            <w:pPr>
              <w:spacing w:before="0" w:after="0"/>
              <w:jc w:val="center"/>
            </w:pPr>
            <w:r>
              <w:t>0.003</w:t>
            </w:r>
          </w:p>
        </w:tc>
        <w:tc>
          <w:tcPr>
            <w:tcW w:w="1440" w:type="dxa"/>
            <w:tcMar>
              <w:top w:w="60" w:type="dxa"/>
              <w:left w:w="90" w:type="dxa"/>
              <w:bottom w:w="60" w:type="dxa"/>
              <w:right w:w="90" w:type="dxa"/>
            </w:tcMar>
            <w:vAlign w:val="center"/>
          </w:tcPr>
          <w:p w14:paraId="725D39DF" w14:textId="77777777" w:rsidR="00C106AF" w:rsidRDefault="00644914">
            <w:pPr>
              <w:spacing w:before="0" w:after="0"/>
              <w:jc w:val="center"/>
            </w:pPr>
            <w:r>
              <w:t>.957</w:t>
            </w:r>
          </w:p>
        </w:tc>
        <w:tc>
          <w:tcPr>
            <w:tcW w:w="1512" w:type="dxa"/>
            <w:tcMar>
              <w:top w:w="60" w:type="dxa"/>
              <w:left w:w="90" w:type="dxa"/>
              <w:bottom w:w="60" w:type="dxa"/>
              <w:right w:w="90" w:type="dxa"/>
            </w:tcMar>
            <w:vAlign w:val="center"/>
          </w:tcPr>
          <w:p w14:paraId="7D821B91" w14:textId="77777777" w:rsidR="00C106AF" w:rsidRDefault="00644914">
            <w:pPr>
              <w:spacing w:before="0" w:after="0"/>
              <w:jc w:val="center"/>
            </w:pPr>
            <w:r>
              <w:t>0.987</w:t>
            </w:r>
          </w:p>
        </w:tc>
      </w:tr>
      <w:tr w:rsidR="00C106AF" w14:paraId="38486E51" w14:textId="77777777">
        <w:trPr>
          <w:jc w:val="center"/>
        </w:trPr>
        <w:tc>
          <w:tcPr>
            <w:tcW w:w="4031" w:type="dxa"/>
            <w:tcMar>
              <w:top w:w="60" w:type="dxa"/>
              <w:left w:w="90" w:type="dxa"/>
              <w:bottom w:w="60" w:type="dxa"/>
              <w:right w:w="90" w:type="dxa"/>
            </w:tcMar>
            <w:vAlign w:val="center"/>
          </w:tcPr>
          <w:p w14:paraId="59C6ADC8" w14:textId="77777777" w:rsidR="00C106AF" w:rsidRDefault="00644914">
            <w:pPr>
              <w:spacing w:before="0" w:after="0"/>
              <w:jc w:val="left"/>
            </w:pPr>
            <w:r>
              <w:lastRenderedPageBreak/>
              <w:t>Considers market situation</w:t>
            </w:r>
          </w:p>
        </w:tc>
        <w:tc>
          <w:tcPr>
            <w:tcW w:w="1655" w:type="dxa"/>
            <w:tcMar>
              <w:top w:w="60" w:type="dxa"/>
              <w:left w:w="90" w:type="dxa"/>
              <w:bottom w:w="60" w:type="dxa"/>
              <w:right w:w="90" w:type="dxa"/>
            </w:tcMar>
            <w:vAlign w:val="center"/>
          </w:tcPr>
          <w:p w14:paraId="3605B1DD" w14:textId="77777777" w:rsidR="00C106AF" w:rsidRDefault="00644914">
            <w:pPr>
              <w:spacing w:before="0" w:after="0"/>
              <w:jc w:val="center"/>
            </w:pPr>
            <w:r>
              <w:t>6.826</w:t>
            </w:r>
          </w:p>
        </w:tc>
        <w:tc>
          <w:tcPr>
            <w:tcW w:w="1440" w:type="dxa"/>
            <w:tcMar>
              <w:top w:w="60" w:type="dxa"/>
              <w:left w:w="90" w:type="dxa"/>
              <w:bottom w:w="60" w:type="dxa"/>
              <w:right w:w="90" w:type="dxa"/>
            </w:tcMar>
            <w:vAlign w:val="center"/>
          </w:tcPr>
          <w:p w14:paraId="13854DD2" w14:textId="77777777" w:rsidR="00C106AF" w:rsidRDefault="00644914">
            <w:pPr>
              <w:spacing w:before="0" w:after="0"/>
              <w:jc w:val="center"/>
            </w:pPr>
            <w:r>
              <w:t>.009</w:t>
            </w:r>
          </w:p>
        </w:tc>
        <w:tc>
          <w:tcPr>
            <w:tcW w:w="1512" w:type="dxa"/>
            <w:tcMar>
              <w:top w:w="60" w:type="dxa"/>
              <w:left w:w="90" w:type="dxa"/>
              <w:bottom w:w="60" w:type="dxa"/>
              <w:right w:w="90" w:type="dxa"/>
            </w:tcMar>
            <w:vAlign w:val="center"/>
          </w:tcPr>
          <w:p w14:paraId="7C071F4B" w14:textId="77777777" w:rsidR="00C106AF" w:rsidRDefault="00644914">
            <w:pPr>
              <w:spacing w:before="0" w:after="0"/>
              <w:jc w:val="center"/>
            </w:pPr>
            <w:r>
              <w:t>2.435</w:t>
            </w:r>
          </w:p>
        </w:tc>
      </w:tr>
      <w:tr w:rsidR="00C106AF" w14:paraId="4DEEEB7B" w14:textId="77777777">
        <w:trPr>
          <w:jc w:val="center"/>
        </w:trPr>
        <w:tc>
          <w:tcPr>
            <w:tcW w:w="4031" w:type="dxa"/>
            <w:tcMar>
              <w:top w:w="60" w:type="dxa"/>
              <w:left w:w="90" w:type="dxa"/>
              <w:bottom w:w="60" w:type="dxa"/>
              <w:right w:w="90" w:type="dxa"/>
            </w:tcMar>
            <w:vAlign w:val="center"/>
          </w:tcPr>
          <w:p w14:paraId="4DBCECD2" w14:textId="77777777" w:rsidR="00C106AF" w:rsidRDefault="00644914">
            <w:pPr>
              <w:spacing w:before="0" w:after="0"/>
              <w:jc w:val="left"/>
            </w:pPr>
            <w:r>
              <w:t>Number of savings modes</w:t>
            </w:r>
          </w:p>
        </w:tc>
        <w:tc>
          <w:tcPr>
            <w:tcW w:w="1655" w:type="dxa"/>
            <w:tcMar>
              <w:top w:w="60" w:type="dxa"/>
              <w:left w:w="90" w:type="dxa"/>
              <w:bottom w:w="60" w:type="dxa"/>
              <w:right w:w="90" w:type="dxa"/>
            </w:tcMar>
            <w:vAlign w:val="center"/>
          </w:tcPr>
          <w:p w14:paraId="63D6147F" w14:textId="77777777" w:rsidR="00C106AF" w:rsidRDefault="00644914">
            <w:pPr>
              <w:spacing w:before="0" w:after="0"/>
              <w:jc w:val="center"/>
            </w:pPr>
            <w:r>
              <w:t>1.537</w:t>
            </w:r>
          </w:p>
        </w:tc>
        <w:tc>
          <w:tcPr>
            <w:tcW w:w="1440" w:type="dxa"/>
            <w:tcMar>
              <w:top w:w="60" w:type="dxa"/>
              <w:left w:w="90" w:type="dxa"/>
              <w:bottom w:w="60" w:type="dxa"/>
              <w:right w:w="90" w:type="dxa"/>
            </w:tcMar>
            <w:vAlign w:val="center"/>
          </w:tcPr>
          <w:p w14:paraId="26DD2EAB" w14:textId="77777777" w:rsidR="00C106AF" w:rsidRDefault="00644914">
            <w:pPr>
              <w:spacing w:before="0" w:after="0"/>
              <w:jc w:val="center"/>
            </w:pPr>
            <w:r>
              <w:t>.215</w:t>
            </w:r>
          </w:p>
        </w:tc>
        <w:tc>
          <w:tcPr>
            <w:tcW w:w="1512" w:type="dxa"/>
            <w:tcMar>
              <w:top w:w="60" w:type="dxa"/>
              <w:left w:w="90" w:type="dxa"/>
              <w:bottom w:w="60" w:type="dxa"/>
              <w:right w:w="90" w:type="dxa"/>
            </w:tcMar>
            <w:vAlign w:val="center"/>
          </w:tcPr>
          <w:p w14:paraId="0E542A7E" w14:textId="77777777" w:rsidR="00C106AF" w:rsidRDefault="00644914">
            <w:pPr>
              <w:spacing w:before="0" w:after="0"/>
              <w:jc w:val="center"/>
            </w:pPr>
            <w:r>
              <w:t>1.369</w:t>
            </w:r>
          </w:p>
        </w:tc>
      </w:tr>
      <w:tr w:rsidR="00C106AF" w14:paraId="52E6E2FF" w14:textId="77777777">
        <w:trPr>
          <w:jc w:val="center"/>
        </w:trPr>
        <w:tc>
          <w:tcPr>
            <w:tcW w:w="4031" w:type="dxa"/>
            <w:tcMar>
              <w:top w:w="60" w:type="dxa"/>
              <w:left w:w="90" w:type="dxa"/>
              <w:bottom w:w="60" w:type="dxa"/>
              <w:right w:w="90" w:type="dxa"/>
            </w:tcMar>
            <w:vAlign w:val="center"/>
          </w:tcPr>
          <w:p w14:paraId="61CCA101" w14:textId="77777777" w:rsidR="00C106AF" w:rsidRDefault="00644914">
            <w:pPr>
              <w:spacing w:before="0" w:after="0"/>
              <w:jc w:val="left"/>
            </w:pPr>
            <w:r>
              <w:t>Online banking</w:t>
            </w:r>
          </w:p>
        </w:tc>
        <w:tc>
          <w:tcPr>
            <w:tcW w:w="1655" w:type="dxa"/>
            <w:tcMar>
              <w:top w:w="60" w:type="dxa"/>
              <w:left w:w="90" w:type="dxa"/>
              <w:bottom w:w="60" w:type="dxa"/>
              <w:right w:w="90" w:type="dxa"/>
            </w:tcMar>
            <w:vAlign w:val="center"/>
          </w:tcPr>
          <w:p w14:paraId="02497C9B" w14:textId="77777777" w:rsidR="00C106AF" w:rsidRDefault="00644914">
            <w:pPr>
              <w:spacing w:before="0" w:after="0"/>
              <w:jc w:val="center"/>
            </w:pPr>
            <w:r>
              <w:t>2.683</w:t>
            </w:r>
          </w:p>
        </w:tc>
        <w:tc>
          <w:tcPr>
            <w:tcW w:w="1440" w:type="dxa"/>
            <w:tcMar>
              <w:top w:w="60" w:type="dxa"/>
              <w:left w:w="90" w:type="dxa"/>
              <w:bottom w:w="60" w:type="dxa"/>
              <w:right w:w="90" w:type="dxa"/>
            </w:tcMar>
            <w:vAlign w:val="center"/>
          </w:tcPr>
          <w:p w14:paraId="583E0699" w14:textId="77777777" w:rsidR="00C106AF" w:rsidRDefault="00644914">
            <w:pPr>
              <w:spacing w:before="0" w:after="0"/>
              <w:jc w:val="center"/>
            </w:pPr>
            <w:r>
              <w:t>.101</w:t>
            </w:r>
          </w:p>
        </w:tc>
        <w:tc>
          <w:tcPr>
            <w:tcW w:w="1512" w:type="dxa"/>
            <w:tcMar>
              <w:top w:w="60" w:type="dxa"/>
              <w:left w:w="90" w:type="dxa"/>
              <w:bottom w:w="60" w:type="dxa"/>
              <w:right w:w="90" w:type="dxa"/>
            </w:tcMar>
            <w:vAlign w:val="center"/>
          </w:tcPr>
          <w:p w14:paraId="5E8FEF94" w14:textId="77777777" w:rsidR="00C106AF" w:rsidRDefault="00644914">
            <w:pPr>
              <w:spacing w:before="0" w:after="0"/>
              <w:jc w:val="center"/>
            </w:pPr>
            <w:r>
              <w:t>2.801</w:t>
            </w:r>
          </w:p>
        </w:tc>
      </w:tr>
      <w:tr w:rsidR="00C106AF" w14:paraId="30FBD9EA" w14:textId="77777777">
        <w:trPr>
          <w:jc w:val="center"/>
        </w:trPr>
        <w:tc>
          <w:tcPr>
            <w:tcW w:w="4031" w:type="dxa"/>
            <w:tcMar>
              <w:top w:w="60" w:type="dxa"/>
              <w:left w:w="90" w:type="dxa"/>
              <w:bottom w:w="60" w:type="dxa"/>
              <w:right w:w="90" w:type="dxa"/>
            </w:tcMar>
            <w:vAlign w:val="center"/>
          </w:tcPr>
          <w:p w14:paraId="7E9F2F7E" w14:textId="77777777" w:rsidR="00C106AF" w:rsidRDefault="00644914">
            <w:pPr>
              <w:spacing w:before="0" w:after="0"/>
              <w:jc w:val="left"/>
            </w:pPr>
            <w:r>
              <w:t>Present bias</w:t>
            </w:r>
          </w:p>
        </w:tc>
        <w:tc>
          <w:tcPr>
            <w:tcW w:w="1655" w:type="dxa"/>
            <w:tcMar>
              <w:top w:w="60" w:type="dxa"/>
              <w:left w:w="90" w:type="dxa"/>
              <w:bottom w:w="60" w:type="dxa"/>
              <w:right w:w="90" w:type="dxa"/>
            </w:tcMar>
            <w:vAlign w:val="center"/>
          </w:tcPr>
          <w:p w14:paraId="3BEDF354" w14:textId="77777777" w:rsidR="00C106AF" w:rsidRDefault="00644914">
            <w:pPr>
              <w:spacing w:before="0" w:after="0"/>
              <w:jc w:val="center"/>
            </w:pPr>
            <w:r>
              <w:t>16.480</w:t>
            </w:r>
          </w:p>
        </w:tc>
        <w:tc>
          <w:tcPr>
            <w:tcW w:w="1440" w:type="dxa"/>
            <w:tcMar>
              <w:top w:w="60" w:type="dxa"/>
              <w:left w:w="90" w:type="dxa"/>
              <w:bottom w:w="60" w:type="dxa"/>
              <w:right w:w="90" w:type="dxa"/>
            </w:tcMar>
            <w:vAlign w:val="center"/>
          </w:tcPr>
          <w:p w14:paraId="329CAF6A" w14:textId="77777777" w:rsidR="00C106AF" w:rsidRDefault="00644914">
            <w:pPr>
              <w:spacing w:before="0" w:after="0"/>
              <w:jc w:val="center"/>
            </w:pPr>
            <w:r>
              <w:t>&lt;.001</w:t>
            </w:r>
          </w:p>
        </w:tc>
        <w:tc>
          <w:tcPr>
            <w:tcW w:w="1512" w:type="dxa"/>
            <w:tcMar>
              <w:top w:w="60" w:type="dxa"/>
              <w:left w:w="90" w:type="dxa"/>
              <w:bottom w:w="60" w:type="dxa"/>
              <w:right w:w="90" w:type="dxa"/>
            </w:tcMar>
            <w:vAlign w:val="center"/>
          </w:tcPr>
          <w:p w14:paraId="40023D70" w14:textId="77777777" w:rsidR="00C106AF" w:rsidRDefault="00644914">
            <w:pPr>
              <w:spacing w:before="0" w:after="0"/>
              <w:jc w:val="center"/>
            </w:pPr>
            <w:r>
              <w:t>0.724</w:t>
            </w:r>
          </w:p>
        </w:tc>
      </w:tr>
      <w:tr w:rsidR="00C106AF" w14:paraId="0962B306" w14:textId="77777777">
        <w:trPr>
          <w:jc w:val="center"/>
        </w:trPr>
        <w:tc>
          <w:tcPr>
            <w:tcW w:w="4031" w:type="dxa"/>
            <w:tcMar>
              <w:top w:w="60" w:type="dxa"/>
              <w:left w:w="90" w:type="dxa"/>
              <w:bottom w:w="60" w:type="dxa"/>
              <w:right w:w="90" w:type="dxa"/>
            </w:tcMar>
            <w:vAlign w:val="center"/>
          </w:tcPr>
          <w:p w14:paraId="48E3B2E2" w14:textId="77777777" w:rsidR="00C106AF" w:rsidRDefault="00644914">
            <w:pPr>
              <w:spacing w:before="0" w:after="0"/>
              <w:jc w:val="left"/>
            </w:pPr>
            <w:r>
              <w:t>Overconfidence bias</w:t>
            </w:r>
          </w:p>
        </w:tc>
        <w:tc>
          <w:tcPr>
            <w:tcW w:w="1655" w:type="dxa"/>
            <w:tcMar>
              <w:top w:w="60" w:type="dxa"/>
              <w:left w:w="90" w:type="dxa"/>
              <w:bottom w:w="60" w:type="dxa"/>
              <w:right w:w="90" w:type="dxa"/>
            </w:tcMar>
            <w:vAlign w:val="center"/>
          </w:tcPr>
          <w:p w14:paraId="62526FE0" w14:textId="77777777" w:rsidR="00C106AF" w:rsidRDefault="00644914">
            <w:pPr>
              <w:spacing w:before="0" w:after="0"/>
              <w:jc w:val="center"/>
            </w:pPr>
            <w:r>
              <w:t>9.070</w:t>
            </w:r>
          </w:p>
        </w:tc>
        <w:tc>
          <w:tcPr>
            <w:tcW w:w="1440" w:type="dxa"/>
            <w:tcMar>
              <w:top w:w="60" w:type="dxa"/>
              <w:left w:w="90" w:type="dxa"/>
              <w:bottom w:w="60" w:type="dxa"/>
              <w:right w:w="90" w:type="dxa"/>
            </w:tcMar>
            <w:vAlign w:val="center"/>
          </w:tcPr>
          <w:p w14:paraId="0F9AD42C" w14:textId="77777777" w:rsidR="00C106AF" w:rsidRDefault="00644914">
            <w:pPr>
              <w:spacing w:before="0" w:after="0"/>
              <w:jc w:val="center"/>
            </w:pPr>
            <w:r>
              <w:t>.003</w:t>
            </w:r>
          </w:p>
        </w:tc>
        <w:tc>
          <w:tcPr>
            <w:tcW w:w="1512" w:type="dxa"/>
            <w:tcMar>
              <w:top w:w="60" w:type="dxa"/>
              <w:left w:w="90" w:type="dxa"/>
              <w:bottom w:w="60" w:type="dxa"/>
              <w:right w:w="90" w:type="dxa"/>
            </w:tcMar>
            <w:vAlign w:val="center"/>
          </w:tcPr>
          <w:p w14:paraId="41CA4FC3" w14:textId="77777777" w:rsidR="00C106AF" w:rsidRDefault="00644914">
            <w:pPr>
              <w:spacing w:before="0" w:after="0"/>
              <w:jc w:val="center"/>
            </w:pPr>
            <w:r>
              <w:t>1.358</w:t>
            </w:r>
          </w:p>
        </w:tc>
      </w:tr>
      <w:tr w:rsidR="00C106AF" w14:paraId="35C5AB63" w14:textId="77777777">
        <w:trPr>
          <w:jc w:val="center"/>
        </w:trPr>
        <w:tc>
          <w:tcPr>
            <w:tcW w:w="4031" w:type="dxa"/>
            <w:tcMar>
              <w:top w:w="60" w:type="dxa"/>
              <w:left w:w="90" w:type="dxa"/>
              <w:bottom w:w="60" w:type="dxa"/>
              <w:right w:w="90" w:type="dxa"/>
            </w:tcMar>
            <w:vAlign w:val="center"/>
          </w:tcPr>
          <w:p w14:paraId="2A7AB616" w14:textId="77777777" w:rsidR="00C106AF" w:rsidRDefault="00644914">
            <w:pPr>
              <w:spacing w:before="0" w:after="0"/>
              <w:jc w:val="left"/>
            </w:pPr>
            <w:r>
              <w:t>Psychological bias</w:t>
            </w:r>
          </w:p>
        </w:tc>
        <w:tc>
          <w:tcPr>
            <w:tcW w:w="1655" w:type="dxa"/>
            <w:tcMar>
              <w:top w:w="60" w:type="dxa"/>
              <w:left w:w="90" w:type="dxa"/>
              <w:bottom w:w="60" w:type="dxa"/>
              <w:right w:w="90" w:type="dxa"/>
            </w:tcMar>
            <w:vAlign w:val="center"/>
          </w:tcPr>
          <w:p w14:paraId="40A839B7" w14:textId="77777777" w:rsidR="00C106AF" w:rsidRDefault="00644914">
            <w:pPr>
              <w:spacing w:before="0" w:after="0"/>
              <w:jc w:val="center"/>
            </w:pPr>
            <w:r>
              <w:t>9.151</w:t>
            </w:r>
          </w:p>
        </w:tc>
        <w:tc>
          <w:tcPr>
            <w:tcW w:w="1440" w:type="dxa"/>
            <w:tcMar>
              <w:top w:w="60" w:type="dxa"/>
              <w:left w:w="90" w:type="dxa"/>
              <w:bottom w:w="60" w:type="dxa"/>
              <w:right w:w="90" w:type="dxa"/>
            </w:tcMar>
            <w:vAlign w:val="center"/>
          </w:tcPr>
          <w:p w14:paraId="10BB0583" w14:textId="77777777" w:rsidR="00C106AF" w:rsidRDefault="00644914">
            <w:pPr>
              <w:spacing w:before="0" w:after="0"/>
              <w:jc w:val="center"/>
            </w:pPr>
            <w:r>
              <w:t>.002</w:t>
            </w:r>
          </w:p>
        </w:tc>
        <w:tc>
          <w:tcPr>
            <w:tcW w:w="1512" w:type="dxa"/>
            <w:tcMar>
              <w:top w:w="60" w:type="dxa"/>
              <w:left w:w="90" w:type="dxa"/>
              <w:bottom w:w="60" w:type="dxa"/>
              <w:right w:w="90" w:type="dxa"/>
            </w:tcMar>
            <w:vAlign w:val="center"/>
          </w:tcPr>
          <w:p w14:paraId="71CF38DF" w14:textId="77777777" w:rsidR="00C106AF" w:rsidRDefault="00644914">
            <w:pPr>
              <w:spacing w:before="0" w:after="0"/>
              <w:jc w:val="center"/>
            </w:pPr>
            <w:r>
              <w:t>0.613</w:t>
            </w:r>
          </w:p>
        </w:tc>
      </w:tr>
      <w:tr w:rsidR="00C106AF" w14:paraId="1EC9CE0C" w14:textId="77777777">
        <w:trPr>
          <w:jc w:val="center"/>
        </w:trPr>
        <w:tc>
          <w:tcPr>
            <w:tcW w:w="4031" w:type="dxa"/>
            <w:tcMar>
              <w:top w:w="60" w:type="dxa"/>
              <w:left w:w="90" w:type="dxa"/>
              <w:bottom w:w="60" w:type="dxa"/>
              <w:right w:w="90" w:type="dxa"/>
            </w:tcMar>
            <w:vAlign w:val="center"/>
          </w:tcPr>
          <w:p w14:paraId="7B4CCFD9" w14:textId="77777777" w:rsidR="00C106AF" w:rsidRDefault="00644914">
            <w:pPr>
              <w:spacing w:before="0" w:after="0"/>
              <w:jc w:val="left"/>
            </w:pPr>
            <w:r>
              <w:t>Herding bias</w:t>
            </w:r>
          </w:p>
        </w:tc>
        <w:tc>
          <w:tcPr>
            <w:tcW w:w="1655" w:type="dxa"/>
            <w:tcMar>
              <w:top w:w="60" w:type="dxa"/>
              <w:left w:w="90" w:type="dxa"/>
              <w:bottom w:w="60" w:type="dxa"/>
              <w:right w:w="90" w:type="dxa"/>
            </w:tcMar>
            <w:vAlign w:val="center"/>
          </w:tcPr>
          <w:p w14:paraId="4CCEC4B2" w14:textId="77777777" w:rsidR="00C106AF" w:rsidRDefault="00644914">
            <w:pPr>
              <w:spacing w:before="0" w:after="0"/>
              <w:jc w:val="center"/>
            </w:pPr>
            <w:r>
              <w:t>0.001</w:t>
            </w:r>
          </w:p>
        </w:tc>
        <w:tc>
          <w:tcPr>
            <w:tcW w:w="1440" w:type="dxa"/>
            <w:tcMar>
              <w:top w:w="60" w:type="dxa"/>
              <w:left w:w="90" w:type="dxa"/>
              <w:bottom w:w="60" w:type="dxa"/>
              <w:right w:w="90" w:type="dxa"/>
            </w:tcMar>
            <w:vAlign w:val="center"/>
          </w:tcPr>
          <w:p w14:paraId="335CCD16" w14:textId="77777777" w:rsidR="00C106AF" w:rsidRDefault="00644914">
            <w:pPr>
              <w:spacing w:before="0" w:after="0"/>
              <w:jc w:val="center"/>
            </w:pPr>
            <w:r>
              <w:t>.975</w:t>
            </w:r>
          </w:p>
        </w:tc>
        <w:tc>
          <w:tcPr>
            <w:tcW w:w="1512" w:type="dxa"/>
            <w:tcMar>
              <w:top w:w="60" w:type="dxa"/>
              <w:left w:w="90" w:type="dxa"/>
              <w:bottom w:w="60" w:type="dxa"/>
              <w:right w:w="90" w:type="dxa"/>
            </w:tcMar>
            <w:vAlign w:val="center"/>
          </w:tcPr>
          <w:p w14:paraId="0A349877" w14:textId="77777777" w:rsidR="00C106AF" w:rsidRDefault="00644914">
            <w:pPr>
              <w:spacing w:before="0" w:after="0"/>
              <w:jc w:val="center"/>
            </w:pPr>
            <w:r>
              <w:t>0.995</w:t>
            </w:r>
          </w:p>
        </w:tc>
      </w:tr>
    </w:tbl>
    <w:p w14:paraId="3EF25A68" w14:textId="77777777" w:rsidR="00C106AF" w:rsidRDefault="00644914">
      <w:pPr>
        <w:pStyle w:val="TableNote"/>
      </w:pPr>
      <w:r>
        <w:t>Note. The dependent variable is whether respondents reported that savings always generated gains. Online banking shows a positive but conventionally non-significant association at p = .101.</w:t>
      </w:r>
    </w:p>
    <w:p w14:paraId="72831C86" w14:textId="311A0616" w:rsidR="00C106AF" w:rsidRPr="008B0332" w:rsidRDefault="00DE4564">
      <w:pPr>
        <w:pStyle w:val="Body"/>
        <w:rPr>
          <w:highlight w:val="yellow"/>
        </w:rPr>
      </w:pPr>
      <w:r w:rsidRPr="00DE4564">
        <w:t xml:space="preserve">After adjusting for several covariates, age, and focus on market conditions continued to be positive predictors of the outcome. Present bias and psychological bias decreased the likelihood of consistent gain reports, while overconfidence increased the odds. </w:t>
      </w:r>
      <w:r w:rsidR="00AA7301" w:rsidRPr="00AA7301">
        <w:t>There was a positive relationship, though not statistically significant, between online banking. Education, income, saving behavioral tendencies and herding bias did not play a role in the multivariate framework implying that behavioral traits and situation relevance perhaps explain more of the variation than demographics.</w:t>
      </w:r>
    </w:p>
    <w:p w14:paraId="2AEA2B3B" w14:textId="77777777" w:rsidR="00C106AF" w:rsidRPr="00AA7301" w:rsidRDefault="00644914">
      <w:pPr>
        <w:pStyle w:val="MainHeading"/>
      </w:pPr>
      <w:r w:rsidRPr="00AA7301">
        <w:t>DISCUSSION</w:t>
      </w:r>
    </w:p>
    <w:p w14:paraId="7489354C" w14:textId="6D77CE16" w:rsidR="00C106AF" w:rsidRPr="008B0332" w:rsidRDefault="000842D7">
      <w:pPr>
        <w:pStyle w:val="Body"/>
        <w:rPr>
          <w:highlight w:val="yellow"/>
        </w:rPr>
      </w:pPr>
      <w:r w:rsidRPr="000842D7">
        <w:t>Results show that technical financial reasoning can be a factor in individual banking behavior in Sri Lanka, but the factor is largely affected by a combination of caution, comfort, and selective irrational confidence. The means of mental accounting and status quo bias are high indicating that respondents are likely to mentally separate money and maintain the current financial status quo. That is logical given the recent economic turmoil. Familiar products and routine present some sense of control during periods of uncertainty.</w:t>
      </w:r>
    </w:p>
    <w:p w14:paraId="4ECE8DA9" w14:textId="1728FF3F" w:rsidR="00C106AF" w:rsidRPr="008B0332" w:rsidRDefault="00A12A93">
      <w:pPr>
        <w:pStyle w:val="Body"/>
        <w:rPr>
          <w:highlight w:val="yellow"/>
        </w:rPr>
      </w:pPr>
      <w:r w:rsidRPr="00A12A93">
        <w:t>At the same time, the savings models stress the importance of the short-term orientation and the impactful responses. Increased present bias was correlated with reduced instances of reporting of savings that resulted in positive consequences. This aligns with the premise that the desire to spend now may prevent the capacity to save and plan in the future (Laibson, 1997; Banerjee et al., 2025). Since the psychological-bias measure is important in forecasting the results, it would be reasonable to conclude that emotionally motivated processes of fear and uncertainty still play a crucial role in preventing successful results in a regular fashion.</w:t>
      </w:r>
    </w:p>
    <w:p w14:paraId="651D5958" w14:textId="258EB524" w:rsidR="00C106AF" w:rsidRPr="008B0332" w:rsidRDefault="00A12A93">
      <w:pPr>
        <w:pStyle w:val="Body"/>
        <w:rPr>
          <w:highlight w:val="yellow"/>
        </w:rPr>
      </w:pPr>
      <w:r w:rsidRPr="00A12A93">
        <w:t>Confidence was seen as a favorable predictor of reported financial gains. This requires careful questioning. Compensated respondents are more likely to engage more with savings tools or market figures, yet it can also reflect the tendency to overstate their financial prosperity. This, however, is a chance to banks. Self-confident customers might need directions, explicit product presentation, and purposefully designed knowledge more than make assumptions about the risk involved (Adielyani and Mawardi, 2020; Adkisson, 2008).</w:t>
      </w:r>
    </w:p>
    <w:p w14:paraId="31F973B7" w14:textId="773F8365" w:rsidR="00C106AF" w:rsidRPr="008B0332" w:rsidRDefault="00C2215F">
      <w:pPr>
        <w:pStyle w:val="Body"/>
        <w:rPr>
          <w:highlight w:val="yellow"/>
        </w:rPr>
      </w:pPr>
      <w:r w:rsidRPr="00C2215F">
        <w:t>It is also about digital behavior. Although online banking was not a robust predictor among conventional levels, the association was positive and the descriptive statistics indicated that digital channels were highly used. It means that more frequent monitoring of account balances, occurrence of transactions, and availability of information may occur with the help of the usage of digital channels. Nevertheless, behavioral bias cannot be replaced by the utilization of digital channels. Digital banking ecosystem continues to experience fraud, digital literacy, and trust challenges (Gargouri, 2023).</w:t>
      </w:r>
    </w:p>
    <w:p w14:paraId="49D8F8CA" w14:textId="18314D3B" w:rsidR="00C106AF" w:rsidRDefault="00C2215F" w:rsidP="00671BF1">
      <w:r w:rsidRPr="00C2215F">
        <w:t>Another area of customer experience emphasized in the research is beyond technical financial expertise. The reasons appreciated by respondents are trust, transparency, quality of service and product familiarity.</w:t>
      </w:r>
      <w:r w:rsidR="00671BF1" w:rsidRPr="00671BF1">
        <w:t xml:space="preserve"> These traits are in line with previous findings that the combination of customer orientation with the quality of </w:t>
      </w:r>
      <w:r w:rsidR="00671BF1" w:rsidRPr="00671BF1">
        <w:lastRenderedPageBreak/>
        <w:t>communication boosts satisfaction and involvement in banking (Gonu et al., 2023). From an operational standpoint, banks cannot focus only on the financial return of products or their technical attributes. They must also respond to how customers perceive and experience risk, effort, trust, and ease.</w:t>
      </w:r>
    </w:p>
    <w:p w14:paraId="23CD37E6" w14:textId="77777777" w:rsidR="00C106AF" w:rsidRDefault="00644914">
      <w:pPr>
        <w:pStyle w:val="SubHeading"/>
      </w:pPr>
      <w:r>
        <w:t>Study limitations</w:t>
      </w:r>
    </w:p>
    <w:p w14:paraId="12E63638" w14:textId="62A52693" w:rsidR="00C106AF" w:rsidRDefault="00237E9C">
      <w:pPr>
        <w:pStyle w:val="Body"/>
      </w:pPr>
      <w:r w:rsidRPr="00237E9C">
        <w:t>There are several limitations to be mentioned. The first is that the respondents in the sample were not equally distributed nationally, and respondents who were more educated, affluent, and professionally engaged were overrepresented. Second, the questionnaire was in English, and this likely left out some banking customers whose primary working language is Sinhala or Tamil. Third, in the analysis, self-reported outcomes were used, as well as gain claims from savings, which are self-reported and not verified by any financial records. Survey respondents should have higher precision for psych-bias constructs in the wider framework of surveys. More comprehensive studies have to include more extensive sample bases, financial-outcome measurements that are based on objective criteria, and questionnaires in several languages.</w:t>
      </w:r>
    </w:p>
    <w:p w14:paraId="24BAB6A5" w14:textId="77777777" w:rsidR="00C106AF" w:rsidRDefault="00644914">
      <w:pPr>
        <w:pStyle w:val="MainHeading"/>
      </w:pPr>
      <w:r>
        <w:t>CONCLUSION AND RECOMMENDATIONS</w:t>
      </w:r>
    </w:p>
    <w:p w14:paraId="29FDA98A" w14:textId="576E281B" w:rsidR="00C106AF" w:rsidRDefault="00242724">
      <w:pPr>
        <w:pStyle w:val="Body"/>
      </w:pPr>
      <w:r w:rsidRPr="00242724">
        <w:t>This study reveals how behavioral biases affect decision-making in personal banking amongst customers in Sri Lanka. Biases in present thinking, overconfidence, and psychological thinking were identified as the most significant predictors of perceived savings from present thinking. On average, status quo and mental accounting biases were the most significant. The mixture of habit, emotional shorts, and selective confidence, as opposed to pure rational calculation, describes the mental banking behavior best.</w:t>
      </w:r>
    </w:p>
    <w:p w14:paraId="035DE58F" w14:textId="5F8E28C8" w:rsidR="00C106AF" w:rsidRDefault="00743464">
      <w:pPr>
        <w:pStyle w:val="Body"/>
      </w:pPr>
      <w:r w:rsidRPr="00743464">
        <w:t xml:space="preserve">This consideration provides a framework for the development of banking services. When banks and policymakers account for behavioral biases in the design of their products in the areas of customer communication, savings incentive tools, digital banking services, and financial literacy, they provide the greatest opportunities. </w:t>
      </w:r>
      <w:r w:rsidR="00780BA2" w:rsidRPr="00780BA2">
        <w:t>In this way, behavioral finance becomes the way to build improved customer outcomes and foster banking system resilience.</w:t>
      </w:r>
    </w:p>
    <w:p w14:paraId="443C4AEF" w14:textId="77777777" w:rsidR="00C106AF" w:rsidRDefault="00644914">
      <w:pPr>
        <w:pStyle w:val="SubHeading"/>
      </w:pPr>
      <w:r>
        <w:t>Recommendations</w:t>
      </w:r>
    </w:p>
    <w:p w14:paraId="2EF13D1F" w14:textId="77777777" w:rsidR="00515CB5" w:rsidRPr="00515CB5" w:rsidRDefault="00515CB5" w:rsidP="00515CB5">
      <w:pPr>
        <w:pStyle w:val="NumberedBody"/>
        <w:numPr>
          <w:ilvl w:val="0"/>
          <w:numId w:val="11"/>
        </w:numPr>
      </w:pPr>
      <w:r w:rsidRPr="00515CB5">
        <w:t>Construct savings and investment products that are mindful of behavioral biases and provide customers with the security necessary to eventually develop the behavioral ability to stretch their savings beyond fixed deposits (Gargano and Rossi, 2024).</w:t>
      </w:r>
    </w:p>
    <w:p w14:paraId="77C29B49" w14:textId="4ADD314B" w:rsidR="00515CB5" w:rsidRPr="00515CB5" w:rsidRDefault="00515CB5" w:rsidP="00515CB5">
      <w:pPr>
        <w:pStyle w:val="NumberedBody"/>
        <w:numPr>
          <w:ilvl w:val="0"/>
          <w:numId w:val="11"/>
        </w:numPr>
      </w:pPr>
      <w:r w:rsidRPr="00515CB5">
        <w:t>Apply present bias, self-control savings via simple behavioral nudges, reminders, and goal-setting (Thaler, 1999).</w:t>
      </w:r>
    </w:p>
    <w:p w14:paraId="7FCC353A" w14:textId="77777777" w:rsidR="00515CB5" w:rsidRPr="00515CB5" w:rsidRDefault="00515CB5" w:rsidP="00515CB5">
      <w:pPr>
        <w:pStyle w:val="NumberedBody"/>
        <w:numPr>
          <w:ilvl w:val="0"/>
          <w:numId w:val="11"/>
        </w:numPr>
      </w:pPr>
      <w:r w:rsidRPr="00515CB5">
        <w:t>Improve transparency, and advisory communication especially to confident customers who may be underestimating the complexity of the products, or overestimating their financial literacy (Inghelbrecht &amp; Tedde, 2024).</w:t>
      </w:r>
    </w:p>
    <w:p w14:paraId="400953C9" w14:textId="5823000F" w:rsidR="00C106AF" w:rsidRDefault="00515CB5" w:rsidP="00515CB5">
      <w:pPr>
        <w:pStyle w:val="NumberedBody"/>
        <w:numPr>
          <w:ilvl w:val="0"/>
          <w:numId w:val="11"/>
        </w:numPr>
      </w:pPr>
      <w:r w:rsidRPr="00515CB5">
        <w:t>The scope of innovation in banking should be widened to avoid deepening exclusion, particularly in the case of digitally hesitant, marginalized, and low-income individuals, who should be the target of digital financial literacy and support programs (Jose and Ghosh, 2025).</w:t>
      </w:r>
    </w:p>
    <w:p w14:paraId="40E02D45" w14:textId="77777777" w:rsidR="00C106AF" w:rsidRPr="00B724E9" w:rsidRDefault="00644914">
      <w:pPr>
        <w:pStyle w:val="MainHeading"/>
        <w:rPr>
          <w:color w:val="EE0000"/>
        </w:rPr>
      </w:pPr>
      <w:r w:rsidRPr="00B724E9">
        <w:rPr>
          <w:color w:val="EE0000"/>
        </w:rPr>
        <w:t>ETHICAL CONSIDERATIONS</w:t>
      </w:r>
    </w:p>
    <w:p w14:paraId="73359571" w14:textId="77777777" w:rsidR="00C106AF" w:rsidRPr="00B724E9" w:rsidRDefault="00644914">
      <w:pPr>
        <w:pStyle w:val="SubHeading"/>
        <w:rPr>
          <w:color w:val="EE0000"/>
        </w:rPr>
      </w:pPr>
      <w:r w:rsidRPr="00B724E9">
        <w:rPr>
          <w:color w:val="EE0000"/>
        </w:rPr>
        <w:t>Ethical approval</w:t>
      </w:r>
    </w:p>
    <w:p w14:paraId="69B30709" w14:textId="2E2CD574" w:rsidR="00C106AF" w:rsidRPr="00B724E9" w:rsidRDefault="000725EF">
      <w:pPr>
        <w:pStyle w:val="PlaceholderStyle"/>
        <w:rPr>
          <w:color w:val="EE0000"/>
        </w:rPr>
      </w:pPr>
      <w:r w:rsidRPr="000725EF">
        <w:rPr>
          <w:color w:val="EE0000"/>
        </w:rPr>
        <w:t>Source manuscript does not report particulars of formal ethical approvals. Before submission, provide the name of the approving ethics committee, the approval or waiver number, and state that participation was voluntary and based on informed consent.</w:t>
      </w:r>
    </w:p>
    <w:p w14:paraId="1421CF32" w14:textId="77777777" w:rsidR="00C106AF" w:rsidRPr="00B724E9" w:rsidRDefault="00644914">
      <w:pPr>
        <w:pStyle w:val="SubHeading"/>
        <w:rPr>
          <w:color w:val="EE0000"/>
        </w:rPr>
      </w:pPr>
      <w:r w:rsidRPr="00B724E9">
        <w:rPr>
          <w:color w:val="EE0000"/>
        </w:rPr>
        <w:lastRenderedPageBreak/>
        <w:t>Conflict of interest</w:t>
      </w:r>
    </w:p>
    <w:p w14:paraId="70166C5B" w14:textId="73960439" w:rsidR="00C106AF" w:rsidRPr="00B724E9" w:rsidRDefault="000725EF">
      <w:pPr>
        <w:pStyle w:val="PlaceholderStyle"/>
        <w:rPr>
          <w:color w:val="EE0000"/>
        </w:rPr>
      </w:pPr>
      <w:r w:rsidRPr="000725EF">
        <w:rPr>
          <w:color w:val="EE0000"/>
        </w:rPr>
        <w:t>No conflict of interest statement was provided in the source manuscript. Replace this field with the author-approved statement before submission.</w:t>
      </w:r>
    </w:p>
    <w:p w14:paraId="2747CBEE" w14:textId="77777777" w:rsidR="00C106AF" w:rsidRPr="00B724E9" w:rsidRDefault="00644914">
      <w:pPr>
        <w:pStyle w:val="MainHeading"/>
        <w:rPr>
          <w:color w:val="EE0000"/>
        </w:rPr>
      </w:pPr>
      <w:r w:rsidRPr="00B724E9">
        <w:rPr>
          <w:color w:val="EE0000"/>
        </w:rPr>
        <w:t>DATA AVAILABILITY</w:t>
      </w:r>
    </w:p>
    <w:p w14:paraId="08674075" w14:textId="649E00F0" w:rsidR="00C106AF" w:rsidRPr="00B724E9" w:rsidRDefault="001D497A">
      <w:pPr>
        <w:pStyle w:val="PlaceholderStyle"/>
        <w:rPr>
          <w:color w:val="EE0000"/>
        </w:rPr>
      </w:pPr>
      <w:r w:rsidRPr="001D497A">
        <w:rPr>
          <w:color w:val="EE0000"/>
        </w:rPr>
        <w:t>The source manuscript has no data-availability statements. Prior to submission, please indicate whether the de-identified survey dataset is publicly available, available from the corresponding author upon reasonable request, or is restricted due to confidentiality and privacy obligations.</w:t>
      </w:r>
    </w:p>
    <w:p w14:paraId="7C20778E" w14:textId="77777777" w:rsidR="00C106AF" w:rsidRDefault="00644914">
      <w:pPr>
        <w:pStyle w:val="MainHeading"/>
      </w:pPr>
      <w:r>
        <w:t>REFERENCES</w:t>
      </w:r>
    </w:p>
    <w:p w14:paraId="49E09F1A"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Aboobucker, I., &amp; Bao, Y. (2018). What obstruct customer acceptance of internet banking? Security and privacy, risk, trust and website usability and the role of moderators. </w:t>
      </w:r>
      <w:r w:rsidRPr="007469F8">
        <w:rPr>
          <w:i/>
          <w:iCs/>
        </w:rPr>
        <w:t>The Journal of High Technology Management Research</w:t>
      </w:r>
      <w:r>
        <w:t xml:space="preserve">, </w:t>
      </w:r>
      <w:r w:rsidRPr="007469F8">
        <w:rPr>
          <w:i/>
          <w:iCs/>
        </w:rPr>
        <w:t>29</w:t>
      </w:r>
      <w:r>
        <w:t xml:space="preserve">(1), 109–123. </w:t>
      </w:r>
      <w:hyperlink r:id="rId8" w:history="1">
        <w:r>
          <w:t>https://doi.org/10.1016/j.hitech.2018.04.010</w:t>
        </w:r>
      </w:hyperlink>
    </w:p>
    <w:p w14:paraId="4944965D"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Adielyani, D., &amp; Mawardi, W. (2020). The Influence of Overconfidence, Herding Behavior, and Risk Tolerance on Stock Investment Decisions: The Empirical Study of Millennial Investors in Semarang City. </w:t>
      </w:r>
      <w:r w:rsidRPr="007469F8">
        <w:rPr>
          <w:i/>
          <w:iCs/>
        </w:rPr>
        <w:t>Jurnal Maksipreneur: Manajemen, Koperasi, Dan Entrepreneurship</w:t>
      </w:r>
      <w:r>
        <w:t xml:space="preserve">, </w:t>
      </w:r>
      <w:r w:rsidRPr="007469F8">
        <w:rPr>
          <w:i/>
          <w:iCs/>
        </w:rPr>
        <w:t>10</w:t>
      </w:r>
      <w:r>
        <w:t xml:space="preserve">(1), 89. </w:t>
      </w:r>
      <w:hyperlink r:id="rId9" w:history="1">
        <w:r>
          <w:t>https://doi.org/10.30588/jmp.v10i1.691</w:t>
        </w:r>
      </w:hyperlink>
    </w:p>
    <w:p w14:paraId="67495988"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Adkisson, R. V. (2008). Nudge: Improving Decisions About Health, Wealth and Happiness. </w:t>
      </w:r>
      <w:r w:rsidRPr="007469F8">
        <w:rPr>
          <w:i/>
          <w:iCs/>
        </w:rPr>
        <w:t>The Social Science Journal</w:t>
      </w:r>
      <w:r>
        <w:t xml:space="preserve">, </w:t>
      </w:r>
      <w:r w:rsidRPr="007469F8">
        <w:rPr>
          <w:i/>
          <w:iCs/>
        </w:rPr>
        <w:t>45</w:t>
      </w:r>
      <w:r>
        <w:t xml:space="preserve">(4), 700–701. </w:t>
      </w:r>
      <w:hyperlink r:id="rId10" w:history="1">
        <w:r>
          <w:t>https://doi.org/10.1016/j.soscij.2008.09.003</w:t>
        </w:r>
      </w:hyperlink>
    </w:p>
    <w:p w14:paraId="03FC97E4"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Anuradha, P. A. N. S., Udayangani, T. T., &amp; Jayarathna, G. S. (2024). Financial Planning and Self-control on Retirement Well- being through Financial Behaviour: Evidence from a Developing Country. </w:t>
      </w:r>
      <w:r w:rsidRPr="007469F8">
        <w:rPr>
          <w:i/>
          <w:iCs/>
        </w:rPr>
        <w:t>Colombo Business Journal International Journal of Theory and Practice</w:t>
      </w:r>
      <w:r>
        <w:t xml:space="preserve">, </w:t>
      </w:r>
      <w:r w:rsidRPr="007469F8">
        <w:rPr>
          <w:i/>
          <w:iCs/>
        </w:rPr>
        <w:t>15</w:t>
      </w:r>
      <w:r>
        <w:t xml:space="preserve">(2), 28–53. </w:t>
      </w:r>
      <w:hyperlink r:id="rId11" w:history="1">
        <w:r>
          <w:t>https://doi.org/10.4038/cbj.v15i2.176</w:t>
        </w:r>
      </w:hyperlink>
    </w:p>
    <w:p w14:paraId="0C5BC55F"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Badarinza, C., Balasubramaniam, V., &amp; Ramadorai, T. (2019). The Household Finance Landscape in Emerging Economies. </w:t>
      </w:r>
      <w:r w:rsidRPr="007469F8">
        <w:rPr>
          <w:i/>
          <w:iCs/>
        </w:rPr>
        <w:t>Annual Review of Financial Economics</w:t>
      </w:r>
      <w:r>
        <w:t xml:space="preserve">, </w:t>
      </w:r>
      <w:r w:rsidRPr="007469F8">
        <w:rPr>
          <w:i/>
          <w:iCs/>
        </w:rPr>
        <w:t>11</w:t>
      </w:r>
      <w:r>
        <w:t xml:space="preserve">(1), 109–129. </w:t>
      </w:r>
      <w:hyperlink r:id="rId12" w:history="1">
        <w:r>
          <w:t>https://doi.org/10.1146/annurev-financial-110118-123106</w:t>
        </w:r>
      </w:hyperlink>
    </w:p>
    <w:p w14:paraId="37AF8230"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Banerjee, A., Claudia, M. A., &amp; Puentes, E. (2025). Better strategies for saving more: Evidence from three interventions in Chile. </w:t>
      </w:r>
      <w:r w:rsidRPr="007469F8">
        <w:rPr>
          <w:i/>
          <w:iCs/>
        </w:rPr>
        <w:t>Journal of Development Economics</w:t>
      </w:r>
      <w:r>
        <w:t xml:space="preserve">, </w:t>
      </w:r>
      <w:r w:rsidRPr="007469F8">
        <w:rPr>
          <w:i/>
          <w:iCs/>
        </w:rPr>
        <w:t>173</w:t>
      </w:r>
      <w:r>
        <w:t xml:space="preserve">, 103405. </w:t>
      </w:r>
      <w:hyperlink r:id="rId13" w:history="1">
        <w:r>
          <w:t>https://doi.org/10.1016/j.jdeveco.2024.103405</w:t>
        </w:r>
      </w:hyperlink>
    </w:p>
    <w:p w14:paraId="63223983"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CBSL. (2021). </w:t>
      </w:r>
      <w:r w:rsidRPr="007469F8">
        <w:rPr>
          <w:i/>
          <w:iCs/>
        </w:rPr>
        <w:t>Financial literacy survey Sri Lanka Key Survey Findings</w:t>
      </w:r>
      <w:r>
        <w:t xml:space="preserve">. </w:t>
      </w:r>
      <w:hyperlink r:id="rId14" w:history="1">
        <w:r>
          <w:t>https://www.cbsl.gov.lk/sites/default/files/cbslweb_documents/financial_literacy_servey_sri_lanka_2021_e.pdf</w:t>
        </w:r>
      </w:hyperlink>
    </w:p>
    <w:p w14:paraId="33053AC5"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Dan, K. (2025). The role of mental accounting in risk-taking and spending: a meta-analysis of the house-money effect. </w:t>
      </w:r>
      <w:r w:rsidRPr="007469F8">
        <w:rPr>
          <w:i/>
          <w:iCs/>
        </w:rPr>
        <w:t>Frontiers in Psychology</w:t>
      </w:r>
      <w:r>
        <w:t xml:space="preserve">, </w:t>
      </w:r>
      <w:r w:rsidRPr="007469F8">
        <w:rPr>
          <w:i/>
          <w:iCs/>
        </w:rPr>
        <w:t>16</w:t>
      </w:r>
      <w:r>
        <w:t xml:space="preserve">. </w:t>
      </w:r>
      <w:hyperlink r:id="rId15" w:history="1">
        <w:r>
          <w:t>https://doi.org/10.3389/fpsyg.2025.1549626</w:t>
        </w:r>
      </w:hyperlink>
    </w:p>
    <w:p w14:paraId="6AAC6BC9"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DCS. (2023). </w:t>
      </w:r>
      <w:r w:rsidRPr="007469F8">
        <w:rPr>
          <w:i/>
          <w:iCs/>
        </w:rPr>
        <w:t>Department of Census and Statistics Ministry of Finance, Planning and Economic Development Household Survey on Impact of Economic Crisis -2023 Sri Lanka Final Report</w:t>
      </w:r>
      <w:r>
        <w:t xml:space="preserve">. </w:t>
      </w:r>
      <w:hyperlink r:id="rId16" w:history="1">
        <w:r>
          <w:t>https://www.statistics.gov.lk/Resource/en/OtherCensusandSurveys/SurveyReports/HHImpact_of_Economic_crisis_2023_Final_Report.pdf</w:t>
        </w:r>
      </w:hyperlink>
    </w:p>
    <w:p w14:paraId="73AFDE26"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Gargano, A., &amp; Rossi, A. G. (2024). Goal Setting and Saving in the FinTech Era: Journal of Finance (John Wiley &amp; Sons, Inc.). </w:t>
      </w:r>
      <w:r w:rsidRPr="007469F8">
        <w:rPr>
          <w:i/>
          <w:iCs/>
        </w:rPr>
        <w:t>Journal of Finance (John Wiley &amp; Sons, Inc.)</w:t>
      </w:r>
      <w:r>
        <w:t xml:space="preserve">, </w:t>
      </w:r>
      <w:r w:rsidRPr="007469F8">
        <w:rPr>
          <w:i/>
          <w:iCs/>
        </w:rPr>
        <w:t>79</w:t>
      </w:r>
      <w:r>
        <w:t xml:space="preserve">(3), 1931–1976. </w:t>
      </w:r>
      <w:hyperlink r:id="rId17" w:history="1">
        <w:r>
          <w:t>https://doi.org/10.1111/jofi.13339</w:t>
        </w:r>
      </w:hyperlink>
    </w:p>
    <w:p w14:paraId="3CEA59B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Gargouri, O. (2023). Digital banking services: customers’ pros and cons. a theorical literature review. </w:t>
      </w:r>
      <w:r w:rsidRPr="007469F8">
        <w:rPr>
          <w:i/>
          <w:iCs/>
        </w:rPr>
        <w:t>Business Excellence and Management</w:t>
      </w:r>
      <w:r>
        <w:t xml:space="preserve">, </w:t>
      </w:r>
      <w:r w:rsidRPr="007469F8">
        <w:rPr>
          <w:i/>
          <w:iCs/>
        </w:rPr>
        <w:t>13</w:t>
      </w:r>
      <w:r>
        <w:t xml:space="preserve">(2), 5–13. </w:t>
      </w:r>
      <w:hyperlink r:id="rId18" w:history="1">
        <w:r>
          <w:t>https://doi.org/10.24818/beman/2023.13.2-01</w:t>
        </w:r>
      </w:hyperlink>
    </w:p>
    <w:p w14:paraId="05813394"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Gethe, R. K., Bajaj, A., &amp; Hulage, M. S. (2022). Behavioural finance: understanding impact of human behaviour towards financial decision making. </w:t>
      </w:r>
      <w:r w:rsidRPr="007469F8">
        <w:rPr>
          <w:i/>
          <w:iCs/>
        </w:rPr>
        <w:t>International Journal of Economics and Accounting</w:t>
      </w:r>
      <w:r>
        <w:t xml:space="preserve">, </w:t>
      </w:r>
      <w:r w:rsidRPr="007469F8">
        <w:rPr>
          <w:i/>
          <w:iCs/>
        </w:rPr>
        <w:t>11</w:t>
      </w:r>
      <w:r>
        <w:t xml:space="preserve">(2), 182. </w:t>
      </w:r>
      <w:hyperlink r:id="rId19" w:history="1">
        <w:r>
          <w:t>https://doi.org/10.1504/ijea.2022.124149</w:t>
        </w:r>
      </w:hyperlink>
    </w:p>
    <w:p w14:paraId="48A463AC"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Godefroid, Marie-E., Plattfaut, R., &amp; Niehaves, B. (2022). How to measure the status quo bias? A review of current literature. </w:t>
      </w:r>
      <w:r w:rsidRPr="007469F8">
        <w:rPr>
          <w:i/>
          <w:iCs/>
        </w:rPr>
        <w:t>Management Review Quarterly</w:t>
      </w:r>
      <w:r>
        <w:t xml:space="preserve">, </w:t>
      </w:r>
      <w:r w:rsidRPr="007469F8">
        <w:rPr>
          <w:i/>
          <w:iCs/>
        </w:rPr>
        <w:t>73</w:t>
      </w:r>
      <w:r>
        <w:t xml:space="preserve">. </w:t>
      </w:r>
      <w:hyperlink r:id="rId20" w:history="1">
        <w:r>
          <w:t>https://doi.org/10.1007/s11301-022-00283-8</w:t>
        </w:r>
      </w:hyperlink>
    </w:p>
    <w:p w14:paraId="65908C15"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Gomes, F., Haliassos, M., &amp; Ramadorai, T. (2021). Household Finance. </w:t>
      </w:r>
      <w:r w:rsidRPr="007469F8">
        <w:rPr>
          <w:i/>
          <w:iCs/>
        </w:rPr>
        <w:t>Journal of Economic Literature</w:t>
      </w:r>
      <w:r>
        <w:t xml:space="preserve">, </w:t>
      </w:r>
      <w:r w:rsidRPr="007469F8">
        <w:rPr>
          <w:i/>
          <w:iCs/>
        </w:rPr>
        <w:t>59</w:t>
      </w:r>
      <w:r>
        <w:t xml:space="preserve">(3), 919–1000. </w:t>
      </w:r>
      <w:hyperlink r:id="rId21" w:history="1">
        <w:r>
          <w:t>https://doi.org/10.1257/jel.20201461</w:t>
        </w:r>
      </w:hyperlink>
    </w:p>
    <w:p w14:paraId="755AF038"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Gonu, E., Agyei, P. M., Richard, O. K., &amp; Asare-Larbi, M. (2023). Customer orientation, service quality and customer satisfaction interplay in the banking sector: An emerging market perspective. </w:t>
      </w:r>
      <w:r w:rsidRPr="007469F8">
        <w:rPr>
          <w:i/>
          <w:iCs/>
        </w:rPr>
        <w:t>Cogent Business &amp; Management</w:t>
      </w:r>
      <w:r>
        <w:t xml:space="preserve">, </w:t>
      </w:r>
      <w:r w:rsidRPr="007469F8">
        <w:rPr>
          <w:i/>
          <w:iCs/>
        </w:rPr>
        <w:t>10</w:t>
      </w:r>
      <w:r>
        <w:t>(1).</w:t>
      </w:r>
    </w:p>
    <w:p w14:paraId="3CBE9871"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Hwang, I. D. (2024). Behavioral aspects of household portfolio choice: Effects of loss aversion on life insurance uptake and savings. </w:t>
      </w:r>
      <w:r w:rsidRPr="007469F8">
        <w:rPr>
          <w:i/>
          <w:iCs/>
        </w:rPr>
        <w:t>International Review of Economics &amp; Finance</w:t>
      </w:r>
      <w:r>
        <w:t xml:space="preserve">, </w:t>
      </w:r>
      <w:r w:rsidRPr="007469F8">
        <w:rPr>
          <w:i/>
          <w:iCs/>
        </w:rPr>
        <w:t>89</w:t>
      </w:r>
      <w:r>
        <w:t xml:space="preserve">, 1029–1053. </w:t>
      </w:r>
      <w:hyperlink r:id="rId22" w:history="1">
        <w:r>
          <w:t>https://doi.org/10.1016/j.iref.2023.07.027</w:t>
        </w:r>
      </w:hyperlink>
    </w:p>
    <w:p w14:paraId="76EB09E1" w14:textId="77777777" w:rsidR="006076B0" w:rsidRDefault="006076B0" w:rsidP="007469F8">
      <w:pPr>
        <w:pStyle w:val="ListParagraph"/>
        <w:widowControl w:val="0"/>
        <w:numPr>
          <w:ilvl w:val="0"/>
          <w:numId w:val="12"/>
        </w:numPr>
        <w:autoSpaceDE w:val="0"/>
        <w:autoSpaceDN w:val="0"/>
        <w:adjustRightInd w:val="0"/>
        <w:spacing w:after="0" w:line="480" w:lineRule="auto"/>
      </w:pPr>
      <w:r>
        <w:lastRenderedPageBreak/>
        <w:t xml:space="preserve">Inghelbrecht, K., &amp; Tedde, M. (2024). Overconfidence, financial literacy and excessive trading. </w:t>
      </w:r>
      <w:r w:rsidRPr="007469F8">
        <w:rPr>
          <w:i/>
          <w:iCs/>
        </w:rPr>
        <w:t>Journal of Economic Behavior &amp; Organization</w:t>
      </w:r>
      <w:r>
        <w:t xml:space="preserve">, </w:t>
      </w:r>
      <w:r w:rsidRPr="007469F8">
        <w:rPr>
          <w:i/>
          <w:iCs/>
        </w:rPr>
        <w:t>219</w:t>
      </w:r>
      <w:r>
        <w:t xml:space="preserve">, 152–195. </w:t>
      </w:r>
      <w:hyperlink r:id="rId23" w:history="1">
        <w:r>
          <w:t>https://doi.org/10.1016/j.jebo.2024.01.010</w:t>
        </w:r>
      </w:hyperlink>
    </w:p>
    <w:p w14:paraId="31E6ECF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Jose, J., &amp; Ghosh, N. (2025). Digital financial literacy and financial inclusion in the global south for a sustainable future: A scoping review. </w:t>
      </w:r>
      <w:r w:rsidRPr="007469F8">
        <w:rPr>
          <w:i/>
          <w:iCs/>
        </w:rPr>
        <w:t>DECISION</w:t>
      </w:r>
      <w:r>
        <w:t xml:space="preserve">. </w:t>
      </w:r>
      <w:hyperlink r:id="rId24" w:history="1">
        <w:r>
          <w:t>https://doi.org/10.1007/s40622-025-00426-2</w:t>
        </w:r>
      </w:hyperlink>
    </w:p>
    <w:p w14:paraId="031E36EC"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Kahneman, D., &amp; Tversky, A. (1979). Prospect theory: an Analysis of Decision Under Risk. </w:t>
      </w:r>
      <w:r w:rsidRPr="007469F8">
        <w:rPr>
          <w:i/>
          <w:iCs/>
        </w:rPr>
        <w:t>Econometrica</w:t>
      </w:r>
      <w:r>
        <w:t xml:space="preserve">, </w:t>
      </w:r>
      <w:r w:rsidRPr="007469F8">
        <w:rPr>
          <w:i/>
          <w:iCs/>
        </w:rPr>
        <w:t>47</w:t>
      </w:r>
      <w:r>
        <w:t xml:space="preserve">(2), 263–292. </w:t>
      </w:r>
      <w:hyperlink r:id="rId25" w:history="1">
        <w:r>
          <w:t>https://doi.org/10.2307/1914185</w:t>
        </w:r>
      </w:hyperlink>
    </w:p>
    <w:p w14:paraId="392DB821"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Kaustia, M., Conlin, A., &amp; Luotonen, N. (2023). What drives stock market participation? The role of institutional, traditional, and behavioral factors. </w:t>
      </w:r>
      <w:r w:rsidRPr="007469F8">
        <w:rPr>
          <w:i/>
          <w:iCs/>
        </w:rPr>
        <w:t>Journal of Banking &amp; Finance</w:t>
      </w:r>
      <w:r>
        <w:t xml:space="preserve">, </w:t>
      </w:r>
      <w:r w:rsidRPr="007469F8">
        <w:rPr>
          <w:i/>
          <w:iCs/>
        </w:rPr>
        <w:t>148</w:t>
      </w:r>
      <w:r>
        <w:t xml:space="preserve">, 106743. </w:t>
      </w:r>
      <w:hyperlink r:id="rId26" w:history="1">
        <w:r>
          <w:t>https://doi.org/10.1016/j.jbankfin.2022.106743</w:t>
        </w:r>
      </w:hyperlink>
    </w:p>
    <w:p w14:paraId="29FD8CE7"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Laibson, D. (1997). Golden Eggs and Hyperbolic Discounting. </w:t>
      </w:r>
      <w:r w:rsidRPr="007469F8">
        <w:rPr>
          <w:i/>
          <w:iCs/>
        </w:rPr>
        <w:t>The Quarterly Journal of Economics</w:t>
      </w:r>
      <w:r>
        <w:t xml:space="preserve">, </w:t>
      </w:r>
      <w:r w:rsidRPr="007469F8">
        <w:rPr>
          <w:i/>
          <w:iCs/>
        </w:rPr>
        <w:t>112</w:t>
      </w:r>
      <w:r>
        <w:t xml:space="preserve">(2), 443–478. </w:t>
      </w:r>
      <w:hyperlink r:id="rId27" w:history="1">
        <w:r>
          <w:t>https://doi.org/10.1162/003355397555253</w:t>
        </w:r>
      </w:hyperlink>
    </w:p>
    <w:p w14:paraId="7F134C43"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Maji, S. K., &amp; Prasad, S. (2024). Present bias and its influence on financial behaviours amongst Indians. </w:t>
      </w:r>
      <w:r w:rsidRPr="007469F8">
        <w:rPr>
          <w:i/>
          <w:iCs/>
        </w:rPr>
        <w:t>IIM Ranchi Journal of Management Studies</w:t>
      </w:r>
      <w:r>
        <w:t xml:space="preserve">. </w:t>
      </w:r>
      <w:hyperlink r:id="rId28" w:history="1">
        <w:r>
          <w:t>https://doi.org/10.1108/irjms-02-2024-0009</w:t>
        </w:r>
      </w:hyperlink>
    </w:p>
    <w:p w14:paraId="22619815"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Pompian, M. (2012). </w:t>
      </w:r>
      <w:r w:rsidRPr="007469F8">
        <w:rPr>
          <w:i/>
          <w:iCs/>
        </w:rPr>
        <w:t>What Is Behavioral Finance?</w:t>
      </w:r>
      <w:r>
        <w:t xml:space="preserve"> 3–21. </w:t>
      </w:r>
      <w:hyperlink r:id="rId29" w:history="1">
        <w:r>
          <w:t>https://doi.org/10.1002/9781119202400.ch1</w:t>
        </w:r>
      </w:hyperlink>
    </w:p>
    <w:p w14:paraId="15142D48"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Rau, D., &amp; Bromiley, P. (2025). A review of cognitive biases in strategic decision making. </w:t>
      </w:r>
      <w:r w:rsidRPr="007469F8">
        <w:rPr>
          <w:i/>
          <w:iCs/>
        </w:rPr>
        <w:t>Long Range Planning</w:t>
      </w:r>
      <w:r>
        <w:t xml:space="preserve">, </w:t>
      </w:r>
      <w:r w:rsidRPr="007469F8">
        <w:rPr>
          <w:i/>
          <w:iCs/>
        </w:rPr>
        <w:t>58</w:t>
      </w:r>
      <w:r>
        <w:t xml:space="preserve">(3), 102529. </w:t>
      </w:r>
      <w:hyperlink r:id="rId30" w:history="1">
        <w:r>
          <w:t>https://doi.org/10.1016/j.lrp.2025.102529</w:t>
        </w:r>
      </w:hyperlink>
    </w:p>
    <w:p w14:paraId="4219D9D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Ricciardi, V., &amp; Simon, H. K. (2000). </w:t>
      </w:r>
      <w:r w:rsidRPr="007469F8">
        <w:rPr>
          <w:i/>
          <w:iCs/>
        </w:rPr>
        <w:t>(PDF) What Is Behavioral Finance?</w:t>
      </w:r>
      <w:r>
        <w:t xml:space="preserve"> ResearchGate. </w:t>
      </w:r>
      <w:hyperlink r:id="rId31" w:history="1">
        <w:r>
          <w:t>https://www.researchgate.net/publication/234163799_What_Is_Behavioral_Finance</w:t>
        </w:r>
      </w:hyperlink>
    </w:p>
    <w:p w14:paraId="74C770F6"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Samarakoon, L. P. (2024). What broke the pearl of the Indian ocean? The causes of the Sri Lankan economic crisis and its policy implications. </w:t>
      </w:r>
      <w:r w:rsidRPr="007469F8">
        <w:rPr>
          <w:i/>
          <w:iCs/>
        </w:rPr>
        <w:t>Journal of Financial Stability</w:t>
      </w:r>
      <w:r>
        <w:t xml:space="preserve">, </w:t>
      </w:r>
      <w:r w:rsidRPr="007469F8">
        <w:rPr>
          <w:i/>
          <w:iCs/>
        </w:rPr>
        <w:t>70</w:t>
      </w:r>
      <w:r>
        <w:t xml:space="preserve">, 101213. </w:t>
      </w:r>
      <w:hyperlink r:id="rId32" w:history="1">
        <w:r>
          <w:t>https://doi.org/10.1016/j.jfs.2023.101213</w:t>
        </w:r>
      </w:hyperlink>
    </w:p>
    <w:p w14:paraId="2245755F"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Samuelson, W., &amp; Zeckhauser, R. (1988). Status Quo Bias in Decision Making. </w:t>
      </w:r>
      <w:r w:rsidRPr="007469F8">
        <w:rPr>
          <w:i/>
          <w:iCs/>
        </w:rPr>
        <w:t>Journal of Risk and Uncertainty</w:t>
      </w:r>
      <w:r>
        <w:t xml:space="preserve">, </w:t>
      </w:r>
      <w:r w:rsidRPr="007469F8">
        <w:rPr>
          <w:i/>
          <w:iCs/>
        </w:rPr>
        <w:t>1</w:t>
      </w:r>
      <w:r>
        <w:t xml:space="preserve">(1), 7–59. </w:t>
      </w:r>
      <w:hyperlink r:id="rId33" w:history="1">
        <w:r>
          <w:t>https://doi.org/10.1007/bf00055564</w:t>
        </w:r>
      </w:hyperlink>
    </w:p>
    <w:p w14:paraId="5DB4757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Thaler, R. H. (1999). Mental Accounting Matters. </w:t>
      </w:r>
      <w:r w:rsidRPr="007469F8">
        <w:rPr>
          <w:i/>
          <w:iCs/>
        </w:rPr>
        <w:t>Journal of Behavioral Decision Making</w:t>
      </w:r>
      <w:r>
        <w:t xml:space="preserve">, </w:t>
      </w:r>
      <w:r w:rsidRPr="007469F8">
        <w:rPr>
          <w:i/>
          <w:iCs/>
        </w:rPr>
        <w:t>12</w:t>
      </w:r>
      <w:r>
        <w:t xml:space="preserve">(3), 183–206. </w:t>
      </w:r>
      <w:hyperlink r:id="rId34" w:history="1">
        <w:r>
          <w:t>https://doi.org/10.1002/(SICI)1099-0771(199909)12:3%3C183::AID-BDM318%3E3.0.CO;2-F</w:t>
        </w:r>
      </w:hyperlink>
    </w:p>
    <w:p w14:paraId="6F0BE3D2"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Tversky, A., &amp; Kahneman, D. (1974). Judgment under uncertainty: Heuristics and Biases. </w:t>
      </w:r>
      <w:r w:rsidRPr="007469F8">
        <w:rPr>
          <w:i/>
          <w:iCs/>
        </w:rPr>
        <w:t>Science</w:t>
      </w:r>
      <w:r>
        <w:t xml:space="preserve">, </w:t>
      </w:r>
      <w:r w:rsidRPr="007469F8">
        <w:rPr>
          <w:i/>
          <w:iCs/>
        </w:rPr>
        <w:lastRenderedPageBreak/>
        <w:t>185</w:t>
      </w:r>
      <w:r>
        <w:t>(4157), 1124–1131.</w:t>
      </w:r>
    </w:p>
    <w:p w14:paraId="57FB0F7B" w14:textId="039D700F" w:rsidR="00C106AF" w:rsidRDefault="00C106AF" w:rsidP="006076B0">
      <w:pPr>
        <w:pStyle w:val="ReferenceStyle"/>
      </w:pPr>
    </w:p>
    <w:sectPr w:rsidR="00C106AF" w:rsidSect="00034616">
      <w:footerReference w:type="default" r:id="rId35"/>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4070" w14:textId="77777777" w:rsidR="009D1813" w:rsidRDefault="009D1813">
      <w:pPr>
        <w:spacing w:before="0" w:after="0"/>
      </w:pPr>
      <w:r>
        <w:separator/>
      </w:r>
    </w:p>
  </w:endnote>
  <w:endnote w:type="continuationSeparator" w:id="0">
    <w:p w14:paraId="057CD933" w14:textId="77777777" w:rsidR="009D1813" w:rsidRDefault="009D18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D41" w14:textId="1B03070C" w:rsidR="00C106AF" w:rsidRDefault="00644914">
    <w:pPr>
      <w:pStyle w:val="Footer"/>
      <w:jc w:val="center"/>
    </w:pPr>
    <w:r>
      <w:fldChar w:fldCharType="begin"/>
    </w:r>
    <w:r>
      <w:instrText xml:space="preserve"> PAGE </w:instrText>
    </w:r>
    <w:r>
      <w:fldChar w:fldCharType="separate"/>
    </w:r>
    <w:r w:rsidR="004E6A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A829" w14:textId="77777777" w:rsidR="009D1813" w:rsidRDefault="009D1813">
      <w:pPr>
        <w:spacing w:before="0" w:after="0"/>
      </w:pPr>
      <w:r>
        <w:separator/>
      </w:r>
    </w:p>
  </w:footnote>
  <w:footnote w:type="continuationSeparator" w:id="0">
    <w:p w14:paraId="4537D2C4" w14:textId="77777777" w:rsidR="009D1813" w:rsidRDefault="009D18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290CEF"/>
    <w:multiLevelType w:val="hybridMultilevel"/>
    <w:tmpl w:val="2FDE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53711"/>
    <w:multiLevelType w:val="hybridMultilevel"/>
    <w:tmpl w:val="A62ED4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1C17C2"/>
    <w:multiLevelType w:val="hybridMultilevel"/>
    <w:tmpl w:val="69BA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986059">
    <w:abstractNumId w:val="8"/>
  </w:num>
  <w:num w:numId="2" w16cid:durableId="2089644046">
    <w:abstractNumId w:val="6"/>
  </w:num>
  <w:num w:numId="3" w16cid:durableId="1860509967">
    <w:abstractNumId w:val="5"/>
  </w:num>
  <w:num w:numId="4" w16cid:durableId="1757559231">
    <w:abstractNumId w:val="4"/>
  </w:num>
  <w:num w:numId="5" w16cid:durableId="1778866773">
    <w:abstractNumId w:val="7"/>
  </w:num>
  <w:num w:numId="6" w16cid:durableId="1513716831">
    <w:abstractNumId w:val="3"/>
  </w:num>
  <w:num w:numId="7" w16cid:durableId="636373610">
    <w:abstractNumId w:val="2"/>
  </w:num>
  <w:num w:numId="8" w16cid:durableId="278025190">
    <w:abstractNumId w:val="1"/>
  </w:num>
  <w:num w:numId="9" w16cid:durableId="1064639414">
    <w:abstractNumId w:val="0"/>
  </w:num>
  <w:num w:numId="10" w16cid:durableId="1019703674">
    <w:abstractNumId w:val="10"/>
  </w:num>
  <w:num w:numId="11" w16cid:durableId="991711884">
    <w:abstractNumId w:val="9"/>
  </w:num>
  <w:num w:numId="12" w16cid:durableId="37513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06D"/>
    <w:rsid w:val="000725EF"/>
    <w:rsid w:val="000842D7"/>
    <w:rsid w:val="000B7636"/>
    <w:rsid w:val="000C1D0E"/>
    <w:rsid w:val="00133DA0"/>
    <w:rsid w:val="0015074B"/>
    <w:rsid w:val="001D3217"/>
    <w:rsid w:val="001D497A"/>
    <w:rsid w:val="001D7095"/>
    <w:rsid w:val="00237E9C"/>
    <w:rsid w:val="00242724"/>
    <w:rsid w:val="0029639D"/>
    <w:rsid w:val="002B14F5"/>
    <w:rsid w:val="002B2936"/>
    <w:rsid w:val="002D57E3"/>
    <w:rsid w:val="002F236F"/>
    <w:rsid w:val="002F4F7E"/>
    <w:rsid w:val="00326F90"/>
    <w:rsid w:val="00330D10"/>
    <w:rsid w:val="003517CC"/>
    <w:rsid w:val="003524EC"/>
    <w:rsid w:val="00356027"/>
    <w:rsid w:val="00361339"/>
    <w:rsid w:val="0038719A"/>
    <w:rsid w:val="003C4991"/>
    <w:rsid w:val="0044354D"/>
    <w:rsid w:val="00471DC2"/>
    <w:rsid w:val="004E6A01"/>
    <w:rsid w:val="00515CB5"/>
    <w:rsid w:val="005406F9"/>
    <w:rsid w:val="005F2DBF"/>
    <w:rsid w:val="005F4C58"/>
    <w:rsid w:val="006037F9"/>
    <w:rsid w:val="006076B0"/>
    <w:rsid w:val="00644914"/>
    <w:rsid w:val="00671BF1"/>
    <w:rsid w:val="0070122E"/>
    <w:rsid w:val="00721708"/>
    <w:rsid w:val="00743464"/>
    <w:rsid w:val="007469F8"/>
    <w:rsid w:val="00756FFB"/>
    <w:rsid w:val="00780BA2"/>
    <w:rsid w:val="007812E4"/>
    <w:rsid w:val="00792A8D"/>
    <w:rsid w:val="007A5873"/>
    <w:rsid w:val="007C1111"/>
    <w:rsid w:val="0088560D"/>
    <w:rsid w:val="008B0332"/>
    <w:rsid w:val="008C71C1"/>
    <w:rsid w:val="009277AD"/>
    <w:rsid w:val="00943CD5"/>
    <w:rsid w:val="009A0D6D"/>
    <w:rsid w:val="009A3453"/>
    <w:rsid w:val="009C73EF"/>
    <w:rsid w:val="009D1813"/>
    <w:rsid w:val="009D503D"/>
    <w:rsid w:val="009F2B72"/>
    <w:rsid w:val="00A12A93"/>
    <w:rsid w:val="00AA1D8D"/>
    <w:rsid w:val="00AA7301"/>
    <w:rsid w:val="00AB6283"/>
    <w:rsid w:val="00B3723F"/>
    <w:rsid w:val="00B41E40"/>
    <w:rsid w:val="00B47730"/>
    <w:rsid w:val="00B724E9"/>
    <w:rsid w:val="00BC3612"/>
    <w:rsid w:val="00C106AF"/>
    <w:rsid w:val="00C2215F"/>
    <w:rsid w:val="00C45234"/>
    <w:rsid w:val="00C75674"/>
    <w:rsid w:val="00CB0664"/>
    <w:rsid w:val="00CE1DE3"/>
    <w:rsid w:val="00CE640C"/>
    <w:rsid w:val="00DE4564"/>
    <w:rsid w:val="00E33125"/>
    <w:rsid w:val="00E34727"/>
    <w:rsid w:val="00ED7458"/>
    <w:rsid w:val="00F2024E"/>
    <w:rsid w:val="00F46B3E"/>
    <w:rsid w:val="00F6269A"/>
    <w:rsid w:val="00FB7C89"/>
    <w:rsid w:val="00FC693F"/>
    <w:rsid w:val="00FD6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8EB3014-6F5E-40C3-BCBE-F381D100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basedOn w:val="Normal"/>
    <w:pPr>
      <w:spacing w:before="0"/>
      <w:jc w:val="center"/>
    </w:pPr>
    <w:rPr>
      <w:b/>
      <w:sz w:val="36"/>
    </w:rPr>
  </w:style>
  <w:style w:type="paragraph" w:customStyle="1" w:styleId="AuthorStyle">
    <w:name w:val="AuthorStyle"/>
    <w:basedOn w:val="Normal"/>
    <w:pPr>
      <w:spacing w:before="0" w:after="120"/>
      <w:jc w:val="center"/>
    </w:pPr>
    <w:rPr>
      <w:b/>
    </w:rPr>
  </w:style>
  <w:style w:type="paragraph" w:customStyle="1" w:styleId="Body">
    <w:name w:val="Body"/>
    <w:basedOn w:val="Normal"/>
  </w:style>
  <w:style w:type="paragraph" w:customStyle="1" w:styleId="MainHeading">
    <w:name w:val="MainHeading"/>
    <w:basedOn w:val="Normal"/>
    <w:pPr>
      <w:keepNext/>
      <w:spacing w:before="360" w:after="120"/>
      <w:jc w:val="left"/>
    </w:pPr>
    <w:rPr>
      <w:b/>
      <w:sz w:val="28"/>
    </w:rPr>
  </w:style>
  <w:style w:type="paragraph" w:customStyle="1" w:styleId="SubHeading">
    <w:name w:val="SubHeading"/>
    <w:basedOn w:val="Normal"/>
    <w:pPr>
      <w:keepNext/>
      <w:spacing w:after="60"/>
      <w:jc w:val="left"/>
    </w:pPr>
    <w:rPr>
      <w:b/>
    </w:rPr>
  </w:style>
  <w:style w:type="paragraph" w:customStyle="1" w:styleId="CaptionStyle">
    <w:name w:val="CaptionStyle"/>
    <w:basedOn w:val="Normal"/>
    <w:pPr>
      <w:keepNext/>
      <w:spacing w:after="120"/>
      <w:jc w:val="left"/>
    </w:pPr>
  </w:style>
  <w:style w:type="paragraph" w:customStyle="1" w:styleId="TableNote">
    <w:name w:val="TableNote"/>
    <w:basedOn w:val="Normal"/>
    <w:pPr>
      <w:spacing w:before="60"/>
      <w:jc w:val="left"/>
    </w:pPr>
    <w:rPr>
      <w:i/>
    </w:rPr>
  </w:style>
  <w:style w:type="paragraph" w:customStyle="1" w:styleId="ReferenceStyle">
    <w:name w:val="ReferenceStyle"/>
    <w:basedOn w:val="Normal"/>
    <w:pPr>
      <w:ind w:left="504" w:hanging="504"/>
      <w:jc w:val="left"/>
    </w:pPr>
  </w:style>
  <w:style w:type="paragraph" w:customStyle="1" w:styleId="PlaceholderStyle">
    <w:name w:val="PlaceholderStyle"/>
    <w:basedOn w:val="Normal"/>
    <w:pPr>
      <w:jc w:val="left"/>
    </w:pPr>
    <w:rPr>
      <w:i/>
    </w:rPr>
  </w:style>
  <w:style w:type="paragraph" w:customStyle="1" w:styleId="NumberedBody">
    <w:name w:val="NumberedBody"/>
    <w:basedOn w:val="Normal"/>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deveco.2024.103405" TargetMode="External"/><Relationship Id="rId18" Type="http://schemas.openxmlformats.org/officeDocument/2006/relationships/hyperlink" Target="https://doi.org/10.24818/beman/2023.13.2-01" TargetMode="External"/><Relationship Id="rId26" Type="http://schemas.openxmlformats.org/officeDocument/2006/relationships/hyperlink" Target="https://doi.org/10.1016/j.jbankfin.2022.106743" TargetMode="External"/><Relationship Id="rId21" Type="http://schemas.openxmlformats.org/officeDocument/2006/relationships/hyperlink" Target="https://doi.org/10.1257/jel.20201461" TargetMode="External"/><Relationship Id="rId34" Type="http://schemas.openxmlformats.org/officeDocument/2006/relationships/hyperlink" Target="https://doi.org/10.1002/(SICI)1099-0771(199909)12:3%3C183::AID-BDM318%3E3.0.CO;2-F" TargetMode="External"/><Relationship Id="rId7" Type="http://schemas.openxmlformats.org/officeDocument/2006/relationships/endnotes" Target="endnotes.xml"/><Relationship Id="rId12" Type="http://schemas.openxmlformats.org/officeDocument/2006/relationships/hyperlink" Target="https://doi.org/10.1146/annurev-financial-110118-123106" TargetMode="External"/><Relationship Id="rId17" Type="http://schemas.openxmlformats.org/officeDocument/2006/relationships/hyperlink" Target="https://doi.org/10.1111/jofi.13339" TargetMode="External"/><Relationship Id="rId25" Type="http://schemas.openxmlformats.org/officeDocument/2006/relationships/hyperlink" Target="https://doi.org/10.2307/1914185" TargetMode="External"/><Relationship Id="rId33" Type="http://schemas.openxmlformats.org/officeDocument/2006/relationships/hyperlink" Target="https://doi.org/10.1007/bf00055564" TargetMode="External"/><Relationship Id="rId2" Type="http://schemas.openxmlformats.org/officeDocument/2006/relationships/numbering" Target="numbering.xml"/><Relationship Id="rId16" Type="http://schemas.openxmlformats.org/officeDocument/2006/relationships/hyperlink" Target="https://www.statistics.gov.lk/Resource/en/OtherCensusandSurveys/SurveyReports/HHImpact_of_Economic_crisis_2023_Final_Report.pdf" TargetMode="External"/><Relationship Id="rId20" Type="http://schemas.openxmlformats.org/officeDocument/2006/relationships/hyperlink" Target="https://doi.org/10.1007/s11301-022-00283-8" TargetMode="External"/><Relationship Id="rId29" Type="http://schemas.openxmlformats.org/officeDocument/2006/relationships/hyperlink" Target="https://doi.org/10.1002/9781119202400.ch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38/cbj.v15i2.176" TargetMode="External"/><Relationship Id="rId24" Type="http://schemas.openxmlformats.org/officeDocument/2006/relationships/hyperlink" Target="https://doi.org/10.1007/s40622-025-00426-2" TargetMode="External"/><Relationship Id="rId32" Type="http://schemas.openxmlformats.org/officeDocument/2006/relationships/hyperlink" Target="https://doi.org/10.1016/j.jfs.2023.1012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5.1549626" TargetMode="External"/><Relationship Id="rId23" Type="http://schemas.openxmlformats.org/officeDocument/2006/relationships/hyperlink" Target="https://doi.org/10.1016/j.jebo.2024.01.010" TargetMode="External"/><Relationship Id="rId28" Type="http://schemas.openxmlformats.org/officeDocument/2006/relationships/hyperlink" Target="https://doi.org/10.1108/irjms-02-2024-0009" TargetMode="External"/><Relationship Id="rId36" Type="http://schemas.openxmlformats.org/officeDocument/2006/relationships/fontTable" Target="fontTable.xml"/><Relationship Id="rId10" Type="http://schemas.openxmlformats.org/officeDocument/2006/relationships/hyperlink" Target="https://doi.org/10.1016/j.soscij.2008.09.003" TargetMode="External"/><Relationship Id="rId19" Type="http://schemas.openxmlformats.org/officeDocument/2006/relationships/hyperlink" Target="https://doi.org/10.1504/ijea.2022.124149" TargetMode="External"/><Relationship Id="rId31" Type="http://schemas.openxmlformats.org/officeDocument/2006/relationships/hyperlink" Target="https://www.researchgate.net/publication/234163799_What_Is_Behavioral_Finance" TargetMode="External"/><Relationship Id="rId4" Type="http://schemas.openxmlformats.org/officeDocument/2006/relationships/settings" Target="settings.xml"/><Relationship Id="rId9" Type="http://schemas.openxmlformats.org/officeDocument/2006/relationships/hyperlink" Target="https://doi.org/10.30588/jmp.v10i1.691" TargetMode="External"/><Relationship Id="rId14" Type="http://schemas.openxmlformats.org/officeDocument/2006/relationships/hyperlink" Target="https://www.cbsl.gov.lk/sites/default/files/cbslweb_documents/financial_literacy_servey_sri_lanka_2021_e.pdf" TargetMode="External"/><Relationship Id="rId22" Type="http://schemas.openxmlformats.org/officeDocument/2006/relationships/hyperlink" Target="https://doi.org/10.1016/j.iref.2023.07.027" TargetMode="External"/><Relationship Id="rId27" Type="http://schemas.openxmlformats.org/officeDocument/2006/relationships/hyperlink" Target="https://doi.org/10.1162/003355397555253" TargetMode="External"/><Relationship Id="rId30" Type="http://schemas.openxmlformats.org/officeDocument/2006/relationships/hyperlink" Target="https://doi.org/10.1016/j.lrp.2025.102529" TargetMode="External"/><Relationship Id="rId35" Type="http://schemas.openxmlformats.org/officeDocument/2006/relationships/footer" Target="footer1.xml"/><Relationship Id="rId8" Type="http://schemas.openxmlformats.org/officeDocument/2006/relationships/hyperlink" Target="https://doi.org/10.1016/j.hitech.2018.04.0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Behavioural Biases in Personal Banking: A Study on Sri Lankan Customers</dc:title>
  <dc:subject>Reformatted manuscript for journal submission</dc:subject>
  <dc:creator>Virajinie Dilhani Bandara</dc:creator>
  <cp:keywords/>
  <dc:description>generated by python-docx</dc:description>
  <cp:lastModifiedBy>theaisha1707@gmail.com</cp:lastModifiedBy>
  <cp:revision>73</cp:revision>
  <dcterms:created xsi:type="dcterms:W3CDTF">2013-12-23T23:15:00Z</dcterms:created>
  <dcterms:modified xsi:type="dcterms:W3CDTF">2026-03-16T06:17:00Z</dcterms:modified>
  <cp:category/>
</cp:coreProperties>
</file>