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FA425A" w14:textId="77777777" w:rsidR="005F74F9" w:rsidRDefault="00130F1A">
      <w:pPr>
        <w:spacing w:line="24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Title: The Indo-Portuguese Synthesis: An Architectural Study of the Miranda House, </w:t>
      </w:r>
      <w:proofErr w:type="spellStart"/>
      <w:r>
        <w:rPr>
          <w:rFonts w:ascii="Times New Roman" w:eastAsia="Times New Roman" w:hAnsi="Times New Roman" w:cs="Times New Roman"/>
          <w:b/>
          <w:bCs/>
          <w:sz w:val="36"/>
          <w:szCs w:val="36"/>
        </w:rPr>
        <w:t>Margao</w:t>
      </w:r>
      <w:proofErr w:type="spellEnd"/>
    </w:p>
    <w:p w14:paraId="6D2306D1" w14:textId="77777777" w:rsidR="005F74F9" w:rsidRDefault="00130F1A">
      <w:pPr>
        <w:spacing w:line="240" w:lineRule="auto"/>
        <w:rPr>
          <w:rFonts w:ascii="Times New Roman" w:eastAsia="Times New Roman" w:hAnsi="Times New Roman" w:cs="Times New Roman"/>
          <w:b/>
          <w:bCs/>
          <w:sz w:val="28"/>
          <w:szCs w:val="28"/>
        </w:rPr>
      </w:pPr>
      <w:bookmarkStart w:id="0" w:name="_GoBack"/>
      <w:bookmarkEnd w:id="0"/>
      <w:r>
        <w:rPr>
          <w:rFonts w:ascii="Times New Roman" w:eastAsia="Times New Roman" w:hAnsi="Times New Roman" w:cs="Times New Roman"/>
          <w:b/>
          <w:bCs/>
          <w:sz w:val="28"/>
          <w:szCs w:val="28"/>
        </w:rPr>
        <w:t>ABSTRACT</w:t>
      </w:r>
    </w:p>
    <w:p w14:paraId="73C976D6" w14:textId="77777777" w:rsidR="005F74F9" w:rsidRDefault="00130F1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Miranda House in </w:t>
      </w:r>
      <w:proofErr w:type="spellStart"/>
      <w:r>
        <w:rPr>
          <w:rFonts w:ascii="Times New Roman" w:eastAsia="Times New Roman" w:hAnsi="Times New Roman" w:cs="Times New Roman"/>
          <w:sz w:val="24"/>
          <w:szCs w:val="24"/>
        </w:rPr>
        <w:t>Margao</w:t>
      </w:r>
      <w:proofErr w:type="spellEnd"/>
      <w:r>
        <w:rPr>
          <w:rFonts w:ascii="Times New Roman" w:eastAsia="Times New Roman" w:hAnsi="Times New Roman" w:cs="Times New Roman"/>
          <w:sz w:val="24"/>
          <w:szCs w:val="24"/>
        </w:rPr>
        <w:t xml:space="preserve"> stands as a pivotal architectural artifact, epitomizing the profound synthesis of Iberian colonial design paradigms and indigenous Konkan climatic resilience. Constructed in the mid-17th century, this double-storied estate serve</w:t>
      </w:r>
      <w:r>
        <w:rPr>
          <w:rFonts w:ascii="Times New Roman" w:eastAsia="Times New Roman" w:hAnsi="Times New Roman" w:cs="Times New Roman"/>
          <w:sz w:val="24"/>
          <w:szCs w:val="24"/>
        </w:rPr>
        <w:t>s as a primary text for decoding the Indo-Portuguese vernacular. This paper critically examines the architectural syntax, material culture, and socio-spatial dynamics of the residence to understand how it functioned simultaneously as a private domestic san</w:t>
      </w:r>
      <w:r>
        <w:rPr>
          <w:rFonts w:ascii="Times New Roman" w:eastAsia="Times New Roman" w:hAnsi="Times New Roman" w:cs="Times New Roman"/>
          <w:sz w:val="24"/>
          <w:szCs w:val="24"/>
        </w:rPr>
        <w:t>ctuary and an orchestrated stage for social performance. Employing a qualitative, case-study-based methodology, the research integrates visual documentation, spatial analysis of sectional elevations and floor plans, and formal stylistic review of decorativ</w:t>
      </w:r>
      <w:r>
        <w:rPr>
          <w:rFonts w:ascii="Times New Roman" w:eastAsia="Times New Roman" w:hAnsi="Times New Roman" w:cs="Times New Roman"/>
          <w:sz w:val="24"/>
          <w:szCs w:val="24"/>
        </w:rPr>
        <w:t>e elements.</w:t>
      </w:r>
    </w:p>
    <w:p w14:paraId="12E0D3C6" w14:textId="77777777" w:rsidR="005F74F9" w:rsidRDefault="00130F1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demonstrate how structural features such as high-pitched terracotta roofs, permeable </w:t>
      </w:r>
      <w:proofErr w:type="spellStart"/>
      <w:r>
        <w:rPr>
          <w:rFonts w:ascii="Times New Roman" w:eastAsia="Times New Roman" w:hAnsi="Times New Roman" w:cs="Times New Roman"/>
          <w:i/>
          <w:iCs/>
          <w:sz w:val="24"/>
          <w:szCs w:val="24"/>
        </w:rPr>
        <w:t>jali</w:t>
      </w:r>
      <w:proofErr w:type="spellEnd"/>
      <w:r>
        <w:rPr>
          <w:rFonts w:ascii="Times New Roman" w:eastAsia="Times New Roman" w:hAnsi="Times New Roman" w:cs="Times New Roman"/>
          <w:sz w:val="24"/>
          <w:szCs w:val="24"/>
        </w:rPr>
        <w:t xml:space="preserve"> (lattice) fenestrations, and the central </w:t>
      </w:r>
      <w:proofErr w:type="spellStart"/>
      <w:r>
        <w:rPr>
          <w:rFonts w:ascii="Times New Roman" w:eastAsia="Times New Roman" w:hAnsi="Times New Roman" w:cs="Times New Roman"/>
          <w:i/>
          <w:iCs/>
          <w:sz w:val="24"/>
          <w:szCs w:val="24"/>
        </w:rPr>
        <w:t>rajangan</w:t>
      </w:r>
      <w:proofErr w:type="spellEnd"/>
      <w:r>
        <w:rPr>
          <w:rFonts w:ascii="Times New Roman" w:eastAsia="Times New Roman" w:hAnsi="Times New Roman" w:cs="Times New Roman"/>
          <w:sz w:val="24"/>
          <w:szCs w:val="24"/>
        </w:rPr>
        <w:t xml:space="preserve"> (courtyard) operate as sophisticated passive cooling mechanisms, </w:t>
      </w:r>
      <w:proofErr w:type="gramStart"/>
      <w:r>
        <w:rPr>
          <w:rFonts w:ascii="Times New Roman" w:eastAsia="Times New Roman" w:hAnsi="Times New Roman" w:cs="Times New Roman"/>
          <w:sz w:val="24"/>
          <w:szCs w:val="24"/>
        </w:rPr>
        <w:t>reflecting</w:t>
      </w:r>
      <w:proofErr w:type="gramEnd"/>
      <w:r>
        <w:rPr>
          <w:rFonts w:ascii="Times New Roman" w:eastAsia="Times New Roman" w:hAnsi="Times New Roman" w:cs="Times New Roman"/>
          <w:sz w:val="24"/>
          <w:szCs w:val="24"/>
        </w:rPr>
        <w:t xml:space="preserve"> a deep pragmati</w:t>
      </w:r>
      <w:r>
        <w:rPr>
          <w:rFonts w:ascii="Times New Roman" w:eastAsia="Times New Roman" w:hAnsi="Times New Roman" w:cs="Times New Roman"/>
          <w:sz w:val="24"/>
          <w:szCs w:val="24"/>
        </w:rPr>
        <w:t>sm toward the demanding tropical monsoon climate. Concurrently, the study investigates the interior spatial hierarchy and the curation of highly ornate, hybridized rosewood furniture. These elements illustrate the Goan elite's continuous negotiation of a L</w:t>
      </w:r>
      <w:r>
        <w:rPr>
          <w:rFonts w:ascii="Times New Roman" w:eastAsia="Times New Roman" w:hAnsi="Times New Roman" w:cs="Times New Roman"/>
          <w:sz w:val="24"/>
          <w:szCs w:val="24"/>
        </w:rPr>
        <w:t>uso-Indian identity, effectively balancing European aesthetic aspirations and aristocratic prestige with localized craftsmanship. Ultimately, this paper argues that the Miranda House transcends its utilitarian function, serving instead as a materialized ar</w:t>
      </w:r>
      <w:r>
        <w:rPr>
          <w:rFonts w:ascii="Times New Roman" w:eastAsia="Times New Roman" w:hAnsi="Times New Roman" w:cs="Times New Roman"/>
          <w:sz w:val="24"/>
          <w:szCs w:val="24"/>
        </w:rPr>
        <w:t>chive of colonial acculturation and a historical blueprint for sustainable, climate-responsive tropical design.</w:t>
      </w:r>
    </w:p>
    <w:p w14:paraId="01BBF4DE" w14:textId="6ADFBAF2" w:rsidR="005F74F9" w:rsidRDefault="005F74F9">
      <w:pPr>
        <w:spacing w:line="240" w:lineRule="auto"/>
        <w:jc w:val="both"/>
        <w:rPr>
          <w:rFonts w:ascii="Times New Roman" w:eastAsia="Times New Roman" w:hAnsi="Times New Roman" w:cs="Times New Roman"/>
          <w:sz w:val="24"/>
          <w:szCs w:val="24"/>
        </w:rPr>
      </w:pPr>
    </w:p>
    <w:p w14:paraId="22AD98FB" w14:textId="77777777" w:rsidR="005F74F9" w:rsidRDefault="00130F1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Indo-Portuguese Architecture, Spatial Organization, Goan Vernacular, Colonial Influence, Sustainable Design.</w:t>
      </w:r>
    </w:p>
    <w:p w14:paraId="78D28EBA" w14:textId="77777777" w:rsidR="005F74F9" w:rsidRDefault="00130F1A">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INTRODUCTION</w:t>
      </w:r>
    </w:p>
    <w:p w14:paraId="40BA7998" w14:textId="77777777" w:rsidR="005F74F9" w:rsidRDefault="00130F1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architectural landscape of Goa is a unique palimpsest of 450 years of Portuguese rule interwoven with local Konkani traditions. Among the most distinguished of these structures are the "Grand Mansions" of </w:t>
      </w:r>
      <w:proofErr w:type="spellStart"/>
      <w:r>
        <w:rPr>
          <w:rFonts w:ascii="Times New Roman" w:eastAsia="Times New Roman" w:hAnsi="Times New Roman" w:cs="Times New Roman"/>
          <w:sz w:val="24"/>
          <w:szCs w:val="24"/>
        </w:rPr>
        <w:t>Margao</w:t>
      </w:r>
      <w:proofErr w:type="spellEnd"/>
      <w:r>
        <w:rPr>
          <w:rFonts w:ascii="Times New Roman" w:eastAsia="Times New Roman" w:hAnsi="Times New Roman" w:cs="Times New Roman"/>
          <w:sz w:val="24"/>
          <w:szCs w:val="24"/>
        </w:rPr>
        <w:t xml:space="preserve"> city. The Miranda House, situated near t</w:t>
      </w:r>
      <w:r>
        <w:rPr>
          <w:rFonts w:ascii="Times New Roman" w:eastAsia="Times New Roman" w:hAnsi="Times New Roman" w:cs="Times New Roman"/>
          <w:sz w:val="24"/>
          <w:szCs w:val="24"/>
        </w:rPr>
        <w:t>he Holy Spirit Church, is a double storied terracotta coloured residence that serves as a living museum of 17th to 19th century design.</w:t>
      </w:r>
    </w:p>
    <w:p w14:paraId="4CD79828" w14:textId="77777777" w:rsidR="005F74F9" w:rsidRDefault="00130F1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an architectural specimen, it represents more than just shelter; it is an expression of the </w:t>
      </w:r>
      <w:r>
        <w:rPr>
          <w:rFonts w:ascii="Times New Roman" w:eastAsia="Times New Roman" w:hAnsi="Times New Roman" w:cs="Times New Roman"/>
          <w:i/>
          <w:iCs/>
          <w:sz w:val="24"/>
          <w:szCs w:val="24"/>
        </w:rPr>
        <w:t>Luso Indian</w:t>
      </w:r>
      <w:r>
        <w:rPr>
          <w:rFonts w:ascii="Times New Roman" w:eastAsia="Times New Roman" w:hAnsi="Times New Roman" w:cs="Times New Roman"/>
          <w:sz w:val="24"/>
          <w:szCs w:val="24"/>
        </w:rPr>
        <w:t xml:space="preserve"> identity. The</w:t>
      </w:r>
      <w:r>
        <w:rPr>
          <w:rFonts w:ascii="Times New Roman" w:eastAsia="Times New Roman" w:hAnsi="Times New Roman" w:cs="Times New Roman"/>
          <w:sz w:val="24"/>
          <w:szCs w:val="24"/>
        </w:rPr>
        <w:t xml:space="preserve"> facade's rhythmic arches and the interior’s high-pitched roofs are not merely aesthetic choices but are responses to the socio-cultural shifts of the era and the demanding monsoon climate of the Konkan coast.</w:t>
      </w:r>
    </w:p>
    <w:p w14:paraId="05F50B81" w14:textId="77777777" w:rsidR="005F74F9" w:rsidRDefault="00130F1A">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GEOGRAPHY, TOPOGRAPHY AND WEATHER</w:t>
      </w:r>
    </w:p>
    <w:p w14:paraId="24C70697" w14:textId="77777777" w:rsidR="005F74F9" w:rsidRDefault="00130F1A">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Geography</w:t>
      </w:r>
    </w:p>
    <w:p w14:paraId="0254A793" w14:textId="77777777" w:rsidR="005F74F9" w:rsidRDefault="00130F1A">
      <w:p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w:t>
      </w:r>
      <w:r>
        <w:rPr>
          <w:rFonts w:ascii="Times New Roman" w:eastAsia="Times New Roman" w:hAnsi="Times New Roman" w:cs="Times New Roman"/>
          <w:sz w:val="24"/>
          <w:szCs w:val="24"/>
        </w:rPr>
        <w:t>rgao</w:t>
      </w:r>
      <w:proofErr w:type="spellEnd"/>
      <w:r>
        <w:rPr>
          <w:rFonts w:ascii="Times New Roman" w:eastAsia="Times New Roman" w:hAnsi="Times New Roman" w:cs="Times New Roman"/>
          <w:sz w:val="24"/>
          <w:szCs w:val="24"/>
        </w:rPr>
        <w:t xml:space="preserve"> is the commercial and cultural capital of South Goa. The Miranda House is located in a high-density heritage precinct. Its proximity to the Holy Spirit Church the focal point of the city's Catholic history places it within the "</w:t>
      </w:r>
      <w:proofErr w:type="spellStart"/>
      <w:r>
        <w:rPr>
          <w:rFonts w:ascii="Times New Roman" w:eastAsia="Times New Roman" w:hAnsi="Times New Roman" w:cs="Times New Roman"/>
          <w:sz w:val="24"/>
          <w:szCs w:val="24"/>
        </w:rPr>
        <w:t>Bairro</w:t>
      </w:r>
      <w:proofErr w:type="spellEnd"/>
      <w:r>
        <w:rPr>
          <w:rFonts w:ascii="Times New Roman" w:eastAsia="Times New Roman" w:hAnsi="Times New Roman" w:cs="Times New Roman"/>
          <w:sz w:val="24"/>
          <w:szCs w:val="24"/>
        </w:rPr>
        <w:t xml:space="preserve"> do </w:t>
      </w:r>
      <w:proofErr w:type="spellStart"/>
      <w:r>
        <w:rPr>
          <w:rFonts w:ascii="Times New Roman" w:eastAsia="Times New Roman" w:hAnsi="Times New Roman" w:cs="Times New Roman"/>
          <w:sz w:val="24"/>
          <w:szCs w:val="24"/>
        </w:rPr>
        <w:t>Igreja</w:t>
      </w:r>
      <w:proofErr w:type="spellEnd"/>
      <w:r>
        <w:rPr>
          <w:rFonts w:ascii="Times New Roman" w:eastAsia="Times New Roman" w:hAnsi="Times New Roman" w:cs="Times New Roman"/>
          <w:sz w:val="24"/>
          <w:szCs w:val="24"/>
        </w:rPr>
        <w:t>" (Chur</w:t>
      </w:r>
      <w:r>
        <w:rPr>
          <w:rFonts w:ascii="Times New Roman" w:eastAsia="Times New Roman" w:hAnsi="Times New Roman" w:cs="Times New Roman"/>
          <w:sz w:val="24"/>
          <w:szCs w:val="24"/>
        </w:rPr>
        <w:t>ch Ward), where the most prominent families built their estates.</w:t>
      </w:r>
    </w:p>
    <w:p w14:paraId="04AD6848" w14:textId="77777777" w:rsidR="005F74F9" w:rsidRDefault="00130F1A">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Topography and Site Response</w:t>
      </w:r>
    </w:p>
    <w:p w14:paraId="0B863647" w14:textId="77777777" w:rsidR="005F74F9" w:rsidRDefault="00130F1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house is strategically situated on an upward slope. The facade is positioned at the lower level of the street, while the living spaces are elevated. This topo</w:t>
      </w:r>
      <w:r>
        <w:rPr>
          <w:rFonts w:ascii="Times New Roman" w:eastAsia="Times New Roman" w:hAnsi="Times New Roman" w:cs="Times New Roman"/>
          <w:sz w:val="24"/>
          <w:szCs w:val="24"/>
        </w:rPr>
        <w:t>graphic response serves two purposes:</w:t>
      </w:r>
    </w:p>
    <w:p w14:paraId="36DCFB08" w14:textId="77777777" w:rsidR="005F74F9" w:rsidRDefault="00130F1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Drainage:</w:t>
      </w:r>
      <w:r>
        <w:rPr>
          <w:rFonts w:ascii="Times New Roman" w:eastAsia="Times New Roman" w:hAnsi="Times New Roman" w:cs="Times New Roman"/>
          <w:sz w:val="24"/>
          <w:szCs w:val="24"/>
        </w:rPr>
        <w:t xml:space="preserve"> Essential for the heavy precipitation of the region.</w:t>
      </w:r>
    </w:p>
    <w:p w14:paraId="569723CC" w14:textId="77777777" w:rsidR="005F74F9" w:rsidRDefault="00130F1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Privacy:</w:t>
      </w:r>
      <w:r>
        <w:rPr>
          <w:rFonts w:ascii="Times New Roman" w:eastAsia="Times New Roman" w:hAnsi="Times New Roman" w:cs="Times New Roman"/>
          <w:sz w:val="24"/>
          <w:szCs w:val="24"/>
        </w:rPr>
        <w:t xml:space="preserve"> Elevating the primary living quarters creates a visual barrier between the public street and the private domain.</w:t>
      </w:r>
    </w:p>
    <w:p w14:paraId="7F451D66" w14:textId="77777777" w:rsidR="005F74F9" w:rsidRDefault="00130F1A">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Weather and Climate Adaptation</w:t>
      </w:r>
    </w:p>
    <w:p w14:paraId="1985DF86" w14:textId="77777777" w:rsidR="005F74F9" w:rsidRDefault="00130F1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w:t>
      </w:r>
      <w:r>
        <w:rPr>
          <w:rFonts w:ascii="Times New Roman" w:eastAsia="Times New Roman" w:hAnsi="Times New Roman" w:cs="Times New Roman"/>
          <w:sz w:val="24"/>
          <w:szCs w:val="24"/>
        </w:rPr>
        <w:t>a experiences a tropical monsoon climate. The Miranda House addresses this through:</w:t>
      </w:r>
    </w:p>
    <w:p w14:paraId="3FDCC8C2" w14:textId="77777777" w:rsidR="005F74F9" w:rsidRDefault="00130F1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High Ceilings:</w:t>
      </w:r>
      <w:r>
        <w:rPr>
          <w:rFonts w:ascii="Times New Roman" w:eastAsia="Times New Roman" w:hAnsi="Times New Roman" w:cs="Times New Roman"/>
          <w:sz w:val="24"/>
          <w:szCs w:val="24"/>
        </w:rPr>
        <w:t xml:space="preserve"> Facilitating the stack effect where hot air rises and escapes.</w:t>
      </w:r>
    </w:p>
    <w:p w14:paraId="140E9358" w14:textId="77777777" w:rsidR="005F74F9" w:rsidRDefault="00130F1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Sloping Roofs:</w:t>
      </w:r>
      <w:r>
        <w:rPr>
          <w:rFonts w:ascii="Times New Roman" w:eastAsia="Times New Roman" w:hAnsi="Times New Roman" w:cs="Times New Roman"/>
          <w:sz w:val="24"/>
          <w:szCs w:val="24"/>
        </w:rPr>
        <w:t xml:space="preserve"> Utilizing Mangalore tiles over wooden rafters to shed rainwater rapidly.</w:t>
      </w:r>
    </w:p>
    <w:p w14:paraId="0E375AC8" w14:textId="77777777" w:rsidR="005F74F9" w:rsidRDefault="00130F1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Thick </w:t>
      </w:r>
      <w:r>
        <w:rPr>
          <w:rFonts w:ascii="Times New Roman" w:eastAsia="Times New Roman" w:hAnsi="Times New Roman" w:cs="Times New Roman"/>
          <w:b/>
          <w:bCs/>
          <w:sz w:val="24"/>
          <w:szCs w:val="24"/>
        </w:rPr>
        <w:t>Laterite Walls:</w:t>
      </w:r>
      <w:r>
        <w:rPr>
          <w:rFonts w:ascii="Times New Roman" w:eastAsia="Times New Roman" w:hAnsi="Times New Roman" w:cs="Times New Roman"/>
          <w:sz w:val="24"/>
          <w:szCs w:val="24"/>
        </w:rPr>
        <w:t xml:space="preserve"> Providing high thermal mass to keep interiors cool during humid afternoons.</w:t>
      </w:r>
    </w:p>
    <w:p w14:paraId="7CA26CE4" w14:textId="77777777" w:rsidR="005F74F9" w:rsidRDefault="00130F1A">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HISTORY AND CULTURE</w:t>
      </w:r>
    </w:p>
    <w:p w14:paraId="7E38568B" w14:textId="77777777" w:rsidR="005F74F9" w:rsidRDefault="00130F1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Miranda House was built in the </w:t>
      </w:r>
      <w:proofErr w:type="spellStart"/>
      <w:r>
        <w:rPr>
          <w:rFonts w:ascii="Times New Roman" w:eastAsia="Times New Roman" w:hAnsi="Times New Roman" w:cs="Times New Roman"/>
          <w:sz w:val="24"/>
          <w:szCs w:val="24"/>
        </w:rPr>
        <w:t>mid 17th</w:t>
      </w:r>
      <w:proofErr w:type="spellEnd"/>
      <w:r>
        <w:rPr>
          <w:rFonts w:ascii="Times New Roman" w:eastAsia="Times New Roman" w:hAnsi="Times New Roman" w:cs="Times New Roman"/>
          <w:sz w:val="24"/>
          <w:szCs w:val="24"/>
        </w:rPr>
        <w:t xml:space="preserve"> century. During this period, the conversion to Christianity and the adoption of Portuguese lifestyle led to a transformation in domestic architecture.</w:t>
      </w:r>
    </w:p>
    <w:p w14:paraId="525D0C1B" w14:textId="77777777" w:rsidR="005F74F9" w:rsidRDefault="00130F1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Culturally, the house was designed for a family that played a role in the local administration and the c</w:t>
      </w:r>
      <w:r>
        <w:rPr>
          <w:rFonts w:ascii="Times New Roman" w:eastAsia="Times New Roman" w:hAnsi="Times New Roman" w:cs="Times New Roman"/>
          <w:sz w:val="24"/>
          <w:szCs w:val="24"/>
        </w:rPr>
        <w:t xml:space="preserve">hurch. The presence of a </w:t>
      </w:r>
      <w:r>
        <w:rPr>
          <w:rFonts w:ascii="Times New Roman" w:eastAsia="Times New Roman" w:hAnsi="Times New Roman" w:cs="Times New Roman"/>
          <w:i/>
          <w:iCs/>
          <w:sz w:val="24"/>
          <w:szCs w:val="24"/>
        </w:rPr>
        <w:t>Casaro</w:t>
      </w:r>
      <w:r>
        <w:rPr>
          <w:rFonts w:ascii="Times New Roman" w:eastAsia="Times New Roman" w:hAnsi="Times New Roman" w:cs="Times New Roman"/>
          <w:sz w:val="24"/>
          <w:szCs w:val="24"/>
        </w:rPr>
        <w:t xml:space="preserve"> (large storage room) and an expansive </w:t>
      </w:r>
      <w:r>
        <w:rPr>
          <w:rFonts w:ascii="Times New Roman" w:eastAsia="Times New Roman" w:hAnsi="Times New Roman" w:cs="Times New Roman"/>
          <w:i/>
          <w:iCs/>
          <w:sz w:val="24"/>
          <w:szCs w:val="24"/>
        </w:rPr>
        <w:t>Sala</w:t>
      </w:r>
      <w:r>
        <w:rPr>
          <w:rFonts w:ascii="Times New Roman" w:eastAsia="Times New Roman" w:hAnsi="Times New Roman" w:cs="Times New Roman"/>
          <w:sz w:val="24"/>
          <w:szCs w:val="24"/>
        </w:rPr>
        <w:t xml:space="preserve"> (hall) reflects a culture of hospitality and large scale social gatherings. The use of "Mother of Pearl" (oyster shells) in windows instead of glass is a distinct Goan cultural mark</w:t>
      </w:r>
      <w:r>
        <w:rPr>
          <w:rFonts w:ascii="Times New Roman" w:eastAsia="Times New Roman" w:hAnsi="Times New Roman" w:cs="Times New Roman"/>
          <w:sz w:val="24"/>
          <w:szCs w:val="24"/>
        </w:rPr>
        <w:t>er, allowing soft, filtered light while maintaining privacy and keeping out the glare of the tropical sun.</w:t>
      </w:r>
    </w:p>
    <w:p w14:paraId="56A63A27" w14:textId="77777777" w:rsidR="005F74F9" w:rsidRDefault="00130F1A">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RESEARCH METHODOLOGY</w:t>
      </w:r>
    </w:p>
    <w:p w14:paraId="4211DBE9" w14:textId="77777777" w:rsidR="005F74F9" w:rsidRDefault="00130F1A">
      <w:pPr>
        <w:pBdr>
          <w:top w:val="nil"/>
          <w:left w:val="nil"/>
          <w:bottom w:val="nil"/>
          <w:right w:val="nil"/>
          <w:between w:val="nil"/>
        </w:pBdr>
        <w:spacing w:before="28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Methodological framework</w:t>
      </w:r>
      <w:r>
        <w:rPr>
          <w:rFonts w:ascii="Times New Roman" w:eastAsia="Times New Roman" w:hAnsi="Times New Roman" w:cs="Times New Roman"/>
          <w:color w:val="000000"/>
          <w:sz w:val="24"/>
          <w:szCs w:val="24"/>
        </w:rPr>
        <w:t xml:space="preserve"> </w:t>
      </w:r>
    </w:p>
    <w:p w14:paraId="422E4925" w14:textId="77777777" w:rsidR="005F74F9" w:rsidRDefault="00130F1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systematically investigate the architectural and socio-cultural dimensions of the Miranda House, </w:t>
      </w:r>
      <w:r>
        <w:rPr>
          <w:rFonts w:ascii="Times New Roman" w:eastAsia="Times New Roman" w:hAnsi="Times New Roman" w:cs="Times New Roman"/>
          <w:color w:val="000000"/>
          <w:sz w:val="24"/>
          <w:szCs w:val="24"/>
        </w:rPr>
        <w:t>this study employs a qualitative, case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study</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based research design. The investigation is grounded in a Descriptive and Analytical Methodology, which allows for a comprehensive decoding of the physical built environment while simultaneously situating it wit</w:t>
      </w:r>
      <w:r>
        <w:rPr>
          <w:rFonts w:ascii="Times New Roman" w:eastAsia="Times New Roman" w:hAnsi="Times New Roman" w:cs="Times New Roman"/>
          <w:color w:val="000000"/>
          <w:sz w:val="24"/>
          <w:szCs w:val="24"/>
        </w:rPr>
        <w:t>hin its broader colonial and regional context. This multi</w:t>
      </w:r>
      <w:r>
        <w:rPr>
          <w:rFonts w:ascii="Times New Roman" w:eastAsia="Times New Roman" w:hAnsi="Times New Roman" w:cs="Times New Roman"/>
          <w:sz w:val="24"/>
          <w:szCs w:val="24"/>
        </w:rPr>
        <w:t xml:space="preserve"> l</w:t>
      </w:r>
      <w:r>
        <w:rPr>
          <w:rFonts w:ascii="Times New Roman" w:eastAsia="Times New Roman" w:hAnsi="Times New Roman" w:cs="Times New Roman"/>
          <w:color w:val="000000"/>
          <w:sz w:val="24"/>
          <w:szCs w:val="24"/>
        </w:rPr>
        <w:t>ayered approach is executed through three primary research strategies:</w:t>
      </w:r>
    </w:p>
    <w:p w14:paraId="04B8DF92" w14:textId="77777777" w:rsidR="005F74F9" w:rsidRDefault="005F74F9">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43659052" w14:textId="77777777" w:rsidR="005F74F9" w:rsidRDefault="00130F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Visual Documentation and Spatial Analysis</w:t>
      </w:r>
      <w:r>
        <w:rPr>
          <w:rFonts w:ascii="Times New Roman" w:eastAsia="Times New Roman" w:hAnsi="Times New Roman" w:cs="Times New Roman"/>
          <w:color w:val="000000"/>
          <w:sz w:val="24"/>
          <w:szCs w:val="24"/>
        </w:rPr>
        <w:t xml:space="preserve"> </w:t>
      </w:r>
    </w:p>
    <w:p w14:paraId="2A5E810B" w14:textId="77777777" w:rsidR="005F74F9" w:rsidRDefault="00130F1A">
      <w:pPr>
        <w:pBdr>
          <w:top w:val="nil"/>
          <w:left w:val="nil"/>
          <w:bottom w:val="nil"/>
          <w:right w:val="nil"/>
          <w:between w:val="nil"/>
        </w:pBdr>
        <w:spacing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foundational layer of this research relies on rigorous visual and </w:t>
      </w:r>
      <w:r>
        <w:rPr>
          <w:rFonts w:ascii="Times New Roman" w:eastAsia="Times New Roman" w:hAnsi="Times New Roman" w:cs="Times New Roman"/>
          <w:color w:val="000000"/>
          <w:sz w:val="24"/>
          <w:szCs w:val="24"/>
        </w:rPr>
        <w:t>architectural documentation. By utilizing and analysing detailed orthographic projections specifically sectional elevations and floor plans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the study decodes the structural and spatial syntax of the residence.</w:t>
      </w:r>
    </w:p>
    <w:p w14:paraId="06894204" w14:textId="77777777" w:rsidR="005F74F9" w:rsidRDefault="00130F1A">
      <w:pPr>
        <w:numPr>
          <w:ilvl w:val="0"/>
          <w:numId w:val="7"/>
        </w:numPr>
        <w:spacing w:before="280" w:after="0" w:line="240" w:lineRule="auto"/>
        <w:ind w:left="709" w:hanging="283"/>
        <w:jc w:val="both"/>
      </w:pPr>
      <w:r>
        <w:rPr>
          <w:rFonts w:ascii="Times New Roman" w:eastAsia="Times New Roman" w:hAnsi="Times New Roman" w:cs="Times New Roman"/>
          <w:b/>
          <w:bCs/>
          <w:sz w:val="24"/>
          <w:szCs w:val="24"/>
        </w:rPr>
        <w:t>Vertical and Horizontal Distribution:</w:t>
      </w:r>
      <w:r>
        <w:rPr>
          <w:rFonts w:ascii="Times New Roman" w:eastAsia="Times New Roman" w:hAnsi="Times New Roman" w:cs="Times New Roman"/>
          <w:sz w:val="24"/>
          <w:szCs w:val="24"/>
        </w:rPr>
        <w:t xml:space="preserve"> The sect</w:t>
      </w:r>
      <w:r>
        <w:rPr>
          <w:rFonts w:ascii="Times New Roman" w:eastAsia="Times New Roman" w:hAnsi="Times New Roman" w:cs="Times New Roman"/>
          <w:sz w:val="24"/>
          <w:szCs w:val="24"/>
        </w:rPr>
        <w:t>ional analysis is utilized to understand the topographical adaptation of the structure, specifically the vertical stratification that separates the utilitarian street level entrance from the elevated, private domestic sphere.</w:t>
      </w:r>
    </w:p>
    <w:p w14:paraId="5AB63DB6" w14:textId="77777777" w:rsidR="005F74F9" w:rsidRDefault="00130F1A">
      <w:pPr>
        <w:numPr>
          <w:ilvl w:val="0"/>
          <w:numId w:val="7"/>
        </w:numPr>
        <w:spacing w:after="280" w:line="240" w:lineRule="auto"/>
        <w:ind w:left="709" w:hanging="283"/>
        <w:jc w:val="both"/>
      </w:pPr>
      <w:r>
        <w:rPr>
          <w:rFonts w:ascii="Times New Roman" w:eastAsia="Times New Roman" w:hAnsi="Times New Roman" w:cs="Times New Roman"/>
          <w:b/>
          <w:bCs/>
          <w:sz w:val="24"/>
          <w:szCs w:val="24"/>
        </w:rPr>
        <w:t>Volumetric Proportions:</w:t>
      </w:r>
      <w:r>
        <w:rPr>
          <w:rFonts w:ascii="Times New Roman" w:eastAsia="Times New Roman" w:hAnsi="Times New Roman" w:cs="Times New Roman"/>
          <w:sz w:val="24"/>
          <w:szCs w:val="24"/>
        </w:rPr>
        <w:t xml:space="preserve"> Planar</w:t>
      </w:r>
      <w:r>
        <w:rPr>
          <w:rFonts w:ascii="Times New Roman" w:eastAsia="Times New Roman" w:hAnsi="Times New Roman" w:cs="Times New Roman"/>
          <w:sz w:val="24"/>
          <w:szCs w:val="24"/>
        </w:rPr>
        <w:t xml:space="preserve"> analysis evaluates the horizontal spatial flow, examining the connectivity of internal spaces, the volumetric hierarchy of distinct zones (such as public reception areas versus private living quarters), and the function of the central courtyard (</w:t>
      </w:r>
      <w:proofErr w:type="spellStart"/>
      <w:r>
        <w:rPr>
          <w:rFonts w:ascii="Times New Roman" w:eastAsia="Times New Roman" w:hAnsi="Times New Roman" w:cs="Times New Roman"/>
          <w:i/>
          <w:iCs/>
          <w:sz w:val="24"/>
          <w:szCs w:val="24"/>
        </w:rPr>
        <w:t>rajangan</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 a vital climatic core for passive cooling.</w:t>
      </w:r>
    </w:p>
    <w:p w14:paraId="1C6A5A0B" w14:textId="77777777" w:rsidR="005F74F9" w:rsidRDefault="00130F1A">
      <w:pPr>
        <w:pBdr>
          <w:top w:val="nil"/>
          <w:left w:val="nil"/>
          <w:bottom w:val="nil"/>
          <w:right w:val="nil"/>
          <w:between w:val="nil"/>
        </w:pBdr>
        <w:spacing w:before="28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Formal and Morphological Analysis</w:t>
      </w:r>
      <w:r>
        <w:rPr>
          <w:rFonts w:ascii="Times New Roman" w:eastAsia="Times New Roman" w:hAnsi="Times New Roman" w:cs="Times New Roman"/>
          <w:color w:val="000000"/>
          <w:sz w:val="24"/>
          <w:szCs w:val="24"/>
        </w:rPr>
        <w:t xml:space="preserve"> </w:t>
      </w:r>
    </w:p>
    <w:p w14:paraId="370D1331" w14:textId="77777777" w:rsidR="005F74F9" w:rsidRDefault="00130F1A">
      <w:pPr>
        <w:pBdr>
          <w:top w:val="nil"/>
          <w:left w:val="nil"/>
          <w:bottom w:val="nil"/>
          <w:right w:val="nil"/>
          <w:between w:val="nil"/>
        </w:pBdr>
        <w:spacing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Building upon the spatial documentation, the study conducts a formal analysis of the building's exterior morphology and interior detailing. This phase involves a granular rev</w:t>
      </w:r>
      <w:r>
        <w:rPr>
          <w:rFonts w:ascii="Times New Roman" w:eastAsia="Times New Roman" w:hAnsi="Times New Roman" w:cs="Times New Roman"/>
          <w:color w:val="000000"/>
          <w:sz w:val="24"/>
          <w:szCs w:val="24"/>
        </w:rPr>
        <w:t>iew of the façade's articulation and the residence's decorative elements to identify specific stylistic origins and syncretic influences.</w:t>
      </w:r>
    </w:p>
    <w:p w14:paraId="0BA60550" w14:textId="77777777" w:rsidR="005F74F9" w:rsidRDefault="00130F1A">
      <w:pPr>
        <w:numPr>
          <w:ilvl w:val="0"/>
          <w:numId w:val="8"/>
        </w:numPr>
        <w:spacing w:before="280" w:after="0" w:line="240" w:lineRule="auto"/>
        <w:ind w:left="709" w:hanging="283"/>
        <w:jc w:val="both"/>
      </w:pPr>
      <w:r>
        <w:rPr>
          <w:rFonts w:ascii="Times New Roman" w:eastAsia="Times New Roman" w:hAnsi="Times New Roman" w:cs="Times New Roman"/>
          <w:b/>
          <w:bCs/>
          <w:sz w:val="24"/>
          <w:szCs w:val="24"/>
        </w:rPr>
        <w:t>Architectural Vocabulary:</w:t>
      </w:r>
      <w:r>
        <w:rPr>
          <w:rFonts w:ascii="Times New Roman" w:eastAsia="Times New Roman" w:hAnsi="Times New Roman" w:cs="Times New Roman"/>
          <w:sz w:val="24"/>
          <w:szCs w:val="24"/>
        </w:rPr>
        <w:t xml:space="preserve"> The analysis isolates specific Luso-Indian elements, such as the rhythmic application of </w:t>
      </w:r>
      <w:proofErr w:type="spellStart"/>
      <w:r>
        <w:rPr>
          <w:rFonts w:ascii="Times New Roman" w:eastAsia="Times New Roman" w:hAnsi="Times New Roman" w:cs="Times New Roman"/>
          <w:sz w:val="24"/>
          <w:szCs w:val="24"/>
        </w:rPr>
        <w:t>sem</w:t>
      </w:r>
      <w:r>
        <w:rPr>
          <w:rFonts w:ascii="Times New Roman" w:eastAsia="Times New Roman" w:hAnsi="Times New Roman" w:cs="Times New Roman"/>
          <w:sz w:val="24"/>
          <w:szCs w:val="24"/>
        </w:rPr>
        <w:t>i circular</w:t>
      </w:r>
      <w:proofErr w:type="spellEnd"/>
      <w:r>
        <w:rPr>
          <w:rFonts w:ascii="Times New Roman" w:eastAsia="Times New Roman" w:hAnsi="Times New Roman" w:cs="Times New Roman"/>
          <w:sz w:val="24"/>
          <w:szCs w:val="24"/>
        </w:rPr>
        <w:t xml:space="preserve"> arches, prominent upper level balustrades, and deeply overhanging eaves.</w:t>
      </w:r>
    </w:p>
    <w:p w14:paraId="7B267E9D" w14:textId="77777777" w:rsidR="005F74F9" w:rsidRDefault="00130F1A">
      <w:pPr>
        <w:numPr>
          <w:ilvl w:val="0"/>
          <w:numId w:val="8"/>
        </w:numPr>
        <w:spacing w:after="280" w:line="240" w:lineRule="auto"/>
        <w:ind w:left="709" w:hanging="283"/>
        <w:jc w:val="both"/>
      </w:pPr>
      <w:r>
        <w:rPr>
          <w:rFonts w:ascii="Times New Roman" w:eastAsia="Times New Roman" w:hAnsi="Times New Roman" w:cs="Times New Roman"/>
          <w:b/>
          <w:bCs/>
          <w:sz w:val="24"/>
          <w:szCs w:val="24"/>
        </w:rPr>
        <w:t>Material and Decorative Detailing:</w:t>
      </w:r>
      <w:r>
        <w:rPr>
          <w:rFonts w:ascii="Times New Roman" w:eastAsia="Times New Roman" w:hAnsi="Times New Roman" w:cs="Times New Roman"/>
          <w:sz w:val="24"/>
          <w:szCs w:val="24"/>
        </w:rPr>
        <w:t xml:space="preserve"> The study critically examines micro-architectural features, including fenestration typologies (such as the use of traditional </w:t>
      </w:r>
      <w:proofErr w:type="spellStart"/>
      <w:r>
        <w:rPr>
          <w:rFonts w:ascii="Times New Roman" w:eastAsia="Times New Roman" w:hAnsi="Times New Roman" w:cs="Times New Roman"/>
          <w:i/>
          <w:iCs/>
          <w:sz w:val="24"/>
          <w:szCs w:val="24"/>
        </w:rPr>
        <w:t>jali</w:t>
      </w:r>
      <w:proofErr w:type="spellEnd"/>
      <w:r>
        <w:rPr>
          <w:rFonts w:ascii="Times New Roman" w:eastAsia="Times New Roman" w:hAnsi="Times New Roman" w:cs="Times New Roman"/>
          <w:sz w:val="24"/>
          <w:szCs w:val="24"/>
        </w:rPr>
        <w:t xml:space="preserve"> lattic</w:t>
      </w:r>
      <w:r>
        <w:rPr>
          <w:rFonts w:ascii="Times New Roman" w:eastAsia="Times New Roman" w:hAnsi="Times New Roman" w:cs="Times New Roman"/>
          <w:sz w:val="24"/>
          <w:szCs w:val="24"/>
        </w:rPr>
        <w:t>ework and shell windows), doorway mouldings, and period-specific furniture. These elements are read as primary historical texts that reveal the translation of European aesthetic preferences by indigenous Goan craftsmen.</w:t>
      </w:r>
    </w:p>
    <w:p w14:paraId="0ED441DA" w14:textId="77777777" w:rsidR="005F74F9" w:rsidRDefault="00130F1A">
      <w:pPr>
        <w:pBdr>
          <w:top w:val="nil"/>
          <w:left w:val="nil"/>
          <w:bottom w:val="nil"/>
          <w:right w:val="nil"/>
          <w:between w:val="nil"/>
        </w:pBdr>
        <w:spacing w:before="28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Comparative Typological Study</w:t>
      </w:r>
      <w:r>
        <w:rPr>
          <w:rFonts w:ascii="Times New Roman" w:eastAsia="Times New Roman" w:hAnsi="Times New Roman" w:cs="Times New Roman"/>
          <w:color w:val="000000"/>
          <w:sz w:val="24"/>
          <w:szCs w:val="24"/>
        </w:rPr>
        <w:t xml:space="preserve"> </w:t>
      </w:r>
    </w:p>
    <w:p w14:paraId="7FEF0290" w14:textId="77777777" w:rsidR="005F74F9" w:rsidRDefault="00130F1A">
      <w:pPr>
        <w:pBdr>
          <w:top w:val="nil"/>
          <w:left w:val="nil"/>
          <w:bottom w:val="nil"/>
          <w:right w:val="nil"/>
          <w:between w:val="nil"/>
        </w:pBdr>
        <w:spacing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w:t>
      </w:r>
      <w:r>
        <w:rPr>
          <w:rFonts w:ascii="Times New Roman" w:eastAsia="Times New Roman" w:hAnsi="Times New Roman" w:cs="Times New Roman"/>
          <w:color w:val="000000"/>
          <w:sz w:val="24"/>
          <w:szCs w:val="24"/>
        </w:rPr>
        <w:t>contextualize the Miranda House within the broader architectural landscape of the Konkan coast, a comparative framework is integrated into the methodology.</w:t>
      </w:r>
    </w:p>
    <w:p w14:paraId="0F423B43" w14:textId="77777777" w:rsidR="005F74F9" w:rsidRDefault="00130F1A">
      <w:pPr>
        <w:numPr>
          <w:ilvl w:val="0"/>
          <w:numId w:val="9"/>
        </w:numPr>
        <w:spacing w:before="280" w:after="0" w:line="240" w:lineRule="auto"/>
        <w:ind w:left="709" w:hanging="283"/>
        <w:jc w:val="both"/>
      </w:pPr>
      <w:r>
        <w:rPr>
          <w:rFonts w:ascii="Times New Roman" w:eastAsia="Times New Roman" w:hAnsi="Times New Roman" w:cs="Times New Roman"/>
          <w:b/>
          <w:bCs/>
          <w:sz w:val="24"/>
          <w:szCs w:val="24"/>
        </w:rPr>
        <w:lastRenderedPageBreak/>
        <w:t>Establishing a Typological Baseline:</w:t>
      </w:r>
      <w:r>
        <w:rPr>
          <w:rFonts w:ascii="Times New Roman" w:eastAsia="Times New Roman" w:hAnsi="Times New Roman" w:cs="Times New Roman"/>
          <w:sz w:val="24"/>
          <w:szCs w:val="24"/>
        </w:rPr>
        <w:t xml:space="preserve"> The spatial layout, material application, and façade organization of the Miranda House are cross-referenced against established typologies of standard Goan "Manor Houses" (historically referred to as </w:t>
      </w:r>
      <w:r>
        <w:rPr>
          <w:rFonts w:ascii="Times New Roman" w:eastAsia="Times New Roman" w:hAnsi="Times New Roman" w:cs="Times New Roman"/>
          <w:i/>
          <w:iCs/>
          <w:sz w:val="24"/>
          <w:szCs w:val="24"/>
        </w:rPr>
        <w:t>Casas de Sobrado</w:t>
      </w:r>
      <w:r>
        <w:rPr>
          <w:rFonts w:ascii="Times New Roman" w:eastAsia="Times New Roman" w:hAnsi="Times New Roman" w:cs="Times New Roman"/>
          <w:sz w:val="24"/>
          <w:szCs w:val="24"/>
        </w:rPr>
        <w:t>).</w:t>
      </w:r>
    </w:p>
    <w:p w14:paraId="7AE83102" w14:textId="77777777" w:rsidR="005F74F9" w:rsidRDefault="00130F1A">
      <w:pPr>
        <w:numPr>
          <w:ilvl w:val="0"/>
          <w:numId w:val="9"/>
        </w:numPr>
        <w:spacing w:after="280" w:line="240" w:lineRule="auto"/>
        <w:ind w:left="709" w:hanging="283"/>
        <w:jc w:val="both"/>
      </w:pPr>
      <w:r>
        <w:rPr>
          <w:rFonts w:ascii="Times New Roman" w:eastAsia="Times New Roman" w:hAnsi="Times New Roman" w:cs="Times New Roman"/>
          <w:b/>
          <w:bCs/>
          <w:sz w:val="24"/>
          <w:szCs w:val="24"/>
        </w:rPr>
        <w:t>Identifying Deviations and Norms:</w:t>
      </w:r>
      <w:r>
        <w:rPr>
          <w:rFonts w:ascii="Times New Roman" w:eastAsia="Times New Roman" w:hAnsi="Times New Roman" w:cs="Times New Roman"/>
          <w:sz w:val="24"/>
          <w:szCs w:val="24"/>
        </w:rPr>
        <w:t xml:space="preserve"> By</w:t>
      </w:r>
      <w:r>
        <w:rPr>
          <w:rFonts w:ascii="Times New Roman" w:eastAsia="Times New Roman" w:hAnsi="Times New Roman" w:cs="Times New Roman"/>
          <w:sz w:val="24"/>
          <w:szCs w:val="24"/>
        </w:rPr>
        <w:t xml:space="preserve"> comparing this specific case study with regional benchmarks, the research identifies which elements of the Miranda House represent standardized Indo-Portuguese vernacular norms and which reflect localized adaptations, specific site topography, or the uniq</w:t>
      </w:r>
      <w:r>
        <w:rPr>
          <w:rFonts w:ascii="Times New Roman" w:eastAsia="Times New Roman" w:hAnsi="Times New Roman" w:cs="Times New Roman"/>
          <w:sz w:val="24"/>
          <w:szCs w:val="24"/>
        </w:rPr>
        <w:t>ue socio-economic status of its original inhabitants.</w:t>
      </w:r>
    </w:p>
    <w:p w14:paraId="38AD185B" w14:textId="77777777" w:rsidR="005F74F9" w:rsidRDefault="00130F1A">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8"/>
          <w:szCs w:val="28"/>
        </w:rPr>
        <w:t>ARCHITECTURAL ELEMENTS AND INFLUENCE</w:t>
      </w:r>
    </w:p>
    <w:p w14:paraId="638C33FF" w14:textId="77777777" w:rsidR="005F74F9" w:rsidRDefault="00130F1A">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Urban Topography and Structural Hierarchy </w:t>
      </w:r>
    </w:p>
    <w:p w14:paraId="14B3AEC8" w14:textId="77777777" w:rsidR="005F74F9" w:rsidRDefault="00130F1A">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architectural section and accompanying text highlight the building's topographical integration.</w:t>
      </w:r>
    </w:p>
    <w:p w14:paraId="4C44ECC5" w14:textId="77777777" w:rsidR="005F74F9" w:rsidRDefault="00130F1A">
      <w:pPr>
        <w:numPr>
          <w:ilvl w:val="0"/>
          <w:numId w:val="3"/>
        </w:numPr>
        <w:spacing w:line="240" w:lineRule="auto"/>
        <w:ind w:hanging="294"/>
        <w:jc w:val="both"/>
      </w:pPr>
      <w:r>
        <w:rPr>
          <w:rFonts w:ascii="Times New Roman" w:eastAsia="Times New Roman" w:hAnsi="Times New Roman" w:cs="Times New Roman"/>
          <w:b/>
          <w:bCs/>
          <w:sz w:val="24"/>
          <w:szCs w:val="24"/>
        </w:rPr>
        <w:t xml:space="preserve">Topographical </w:t>
      </w:r>
      <w:r>
        <w:rPr>
          <w:rFonts w:ascii="Times New Roman" w:eastAsia="Times New Roman" w:hAnsi="Times New Roman" w:cs="Times New Roman"/>
          <w:b/>
          <w:bCs/>
          <w:sz w:val="24"/>
          <w:szCs w:val="24"/>
        </w:rPr>
        <w:t>Adaptation:</w:t>
      </w:r>
      <w:r>
        <w:rPr>
          <w:rFonts w:ascii="Times New Roman" w:eastAsia="Times New Roman" w:hAnsi="Times New Roman" w:cs="Times New Roman"/>
          <w:sz w:val="24"/>
          <w:szCs w:val="24"/>
        </w:rPr>
        <w:t xml:space="preserve"> The house is situated on an "upward slope from the road level." This elevated plinth strategy is a direct response to Goa’s heavy monsoon climate, mitigating waterlogging risks while simultaneously elevating the structure to establish visual do</w:t>
      </w:r>
      <w:r>
        <w:rPr>
          <w:rFonts w:ascii="Times New Roman" w:eastAsia="Times New Roman" w:hAnsi="Times New Roman" w:cs="Times New Roman"/>
          <w:sz w:val="24"/>
          <w:szCs w:val="24"/>
        </w:rPr>
        <w:t>minance along the streetscape.</w:t>
      </w:r>
    </w:p>
    <w:p w14:paraId="0B3C31AA" w14:textId="77777777" w:rsidR="005F74F9" w:rsidRDefault="00130F1A">
      <w:pPr>
        <w:numPr>
          <w:ilvl w:val="0"/>
          <w:numId w:val="3"/>
        </w:numPr>
        <w:spacing w:line="240" w:lineRule="auto"/>
        <w:ind w:hanging="294"/>
        <w:jc w:val="both"/>
        <w:rPr>
          <w:b/>
          <w:bCs/>
        </w:rPr>
      </w:pPr>
      <w:r>
        <w:rPr>
          <w:rFonts w:ascii="Times New Roman" w:eastAsia="Times New Roman" w:hAnsi="Times New Roman" w:cs="Times New Roman"/>
          <w:b/>
          <w:bCs/>
          <w:sz w:val="24"/>
          <w:szCs w:val="24"/>
        </w:rPr>
        <w:t>Vertical Stratification:</w:t>
      </w:r>
      <w:r>
        <w:rPr>
          <w:rFonts w:ascii="Times New Roman" w:eastAsia="Times New Roman" w:hAnsi="Times New Roman" w:cs="Times New Roman"/>
          <w:sz w:val="24"/>
          <w:szCs w:val="24"/>
        </w:rPr>
        <w:t xml:space="preserve"> A distinct socio-spatial hierarchy is established through verticality. The entrance is rooted at the lower street level, functioning as a transitional zone, while the primary "entire house" and living</w:t>
      </w:r>
      <w:r>
        <w:rPr>
          <w:rFonts w:ascii="Times New Roman" w:eastAsia="Times New Roman" w:hAnsi="Times New Roman" w:cs="Times New Roman"/>
          <w:sz w:val="24"/>
          <w:szCs w:val="24"/>
        </w:rPr>
        <w:t xml:space="preserve"> spaces are elevated to the upper level. This separation effectively delineates public utility from private domesticity.</w:t>
      </w:r>
    </w:p>
    <w:p w14:paraId="1F49F00C" w14:textId="77777777" w:rsidR="005F74F9" w:rsidRDefault="00130F1A">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Façade Articulation and Portuguese Morphology </w:t>
      </w:r>
    </w:p>
    <w:p w14:paraId="728AB30E" w14:textId="77777777" w:rsidR="005F74F9" w:rsidRDefault="00130F1A">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elevation drawing and photograph detail a highly rhythmic and stylized façade that h</w:t>
      </w:r>
      <w:r>
        <w:rPr>
          <w:rFonts w:ascii="Times New Roman" w:eastAsia="Times New Roman" w:hAnsi="Times New Roman" w:cs="Times New Roman"/>
          <w:color w:val="000000"/>
          <w:sz w:val="24"/>
          <w:szCs w:val="24"/>
        </w:rPr>
        <w:t>eavily borrows from Portuguese colonial aesthetics.</w:t>
      </w:r>
    </w:p>
    <w:p w14:paraId="4E0410DA" w14:textId="77777777" w:rsidR="005F74F9" w:rsidRDefault="00130F1A">
      <w:pPr>
        <w:numPr>
          <w:ilvl w:val="0"/>
          <w:numId w:val="4"/>
        </w:numPr>
        <w:spacing w:line="240" w:lineRule="auto"/>
        <w:jc w:val="both"/>
      </w:pPr>
      <w:r>
        <w:rPr>
          <w:rFonts w:ascii="Times New Roman" w:eastAsia="Times New Roman" w:hAnsi="Times New Roman" w:cs="Times New Roman"/>
          <w:b/>
          <w:bCs/>
          <w:sz w:val="24"/>
          <w:szCs w:val="24"/>
        </w:rPr>
        <w:t>Colour and Materiality:</w:t>
      </w:r>
      <w:r>
        <w:rPr>
          <w:rFonts w:ascii="Times New Roman" w:eastAsia="Times New Roman" w:hAnsi="Times New Roman" w:cs="Times New Roman"/>
          <w:sz w:val="24"/>
          <w:szCs w:val="24"/>
        </w:rPr>
        <w:t xml:space="preserve"> The text identifies the residence as "terracotta </w:t>
      </w:r>
      <w:proofErr w:type="spellStart"/>
      <w:r>
        <w:rPr>
          <w:rFonts w:ascii="Times New Roman" w:eastAsia="Times New Roman" w:hAnsi="Times New Roman" w:cs="Times New Roman"/>
          <w:sz w:val="24"/>
          <w:szCs w:val="24"/>
        </w:rPr>
        <w:t>colored</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Goan</w:t>
      </w:r>
      <w:proofErr w:type="spellEnd"/>
      <w:r>
        <w:rPr>
          <w:rFonts w:ascii="Times New Roman" w:eastAsia="Times New Roman" w:hAnsi="Times New Roman" w:cs="Times New Roman"/>
          <w:sz w:val="24"/>
          <w:szCs w:val="24"/>
        </w:rPr>
        <w:t xml:space="preserve"> architecture, rich laterite-derived red or ochre washes were typically contrasted with thick white lime-plaster b</w:t>
      </w:r>
      <w:r>
        <w:rPr>
          <w:rFonts w:ascii="Times New Roman" w:eastAsia="Times New Roman" w:hAnsi="Times New Roman" w:cs="Times New Roman"/>
          <w:sz w:val="24"/>
          <w:szCs w:val="24"/>
        </w:rPr>
        <w:t>ands highlighting structural and decorative elements.</w:t>
      </w:r>
    </w:p>
    <w:p w14:paraId="0D076346" w14:textId="77777777" w:rsidR="005F74F9" w:rsidRDefault="00130F1A">
      <w:pPr>
        <w:numPr>
          <w:ilvl w:val="0"/>
          <w:numId w:val="4"/>
        </w:numPr>
        <w:spacing w:line="240" w:lineRule="auto"/>
        <w:jc w:val="both"/>
      </w:pPr>
      <w:r>
        <w:rPr>
          <w:rFonts w:ascii="Times New Roman" w:eastAsia="Times New Roman" w:hAnsi="Times New Roman" w:cs="Times New Roman"/>
          <w:b/>
          <w:bCs/>
          <w:sz w:val="24"/>
          <w:szCs w:val="24"/>
        </w:rPr>
        <w:t>Arched Fenestration:</w:t>
      </w:r>
      <w:r>
        <w:rPr>
          <w:rFonts w:ascii="Times New Roman" w:eastAsia="Times New Roman" w:hAnsi="Times New Roman" w:cs="Times New Roman"/>
          <w:sz w:val="24"/>
          <w:szCs w:val="24"/>
        </w:rPr>
        <w:t xml:space="preserve"> The façade is punctuated by prominent semi-circular arched windows and a primary entrance portal. The upper-level windows feature intricate, grid-like tracery which diffuses harsh t</w:t>
      </w:r>
      <w:r>
        <w:rPr>
          <w:rFonts w:ascii="Times New Roman" w:eastAsia="Times New Roman" w:hAnsi="Times New Roman" w:cs="Times New Roman"/>
          <w:sz w:val="24"/>
          <w:szCs w:val="24"/>
        </w:rPr>
        <w:t>ropical sunlight while allowing air circulation.</w:t>
      </w:r>
    </w:p>
    <w:p w14:paraId="6F78335E" w14:textId="77777777" w:rsidR="005F74F9" w:rsidRDefault="00130F1A">
      <w:pPr>
        <w:numPr>
          <w:ilvl w:val="0"/>
          <w:numId w:val="4"/>
        </w:numPr>
        <w:spacing w:line="240" w:lineRule="auto"/>
        <w:jc w:val="both"/>
      </w:pPr>
      <w:r>
        <w:rPr>
          <w:rFonts w:ascii="Times New Roman" w:eastAsia="Times New Roman" w:hAnsi="Times New Roman" w:cs="Times New Roman"/>
          <w:b/>
          <w:bCs/>
          <w:sz w:val="24"/>
          <w:szCs w:val="24"/>
        </w:rPr>
        <w:t xml:space="preserve">The </w:t>
      </w:r>
      <w:proofErr w:type="spellStart"/>
      <w:r>
        <w:rPr>
          <w:rFonts w:ascii="Times New Roman" w:eastAsia="Times New Roman" w:hAnsi="Times New Roman" w:cs="Times New Roman"/>
          <w:b/>
          <w:bCs/>
          <w:i/>
          <w:iCs/>
          <w:sz w:val="24"/>
          <w:szCs w:val="24"/>
        </w:rPr>
        <w:t>Balcão</w:t>
      </w:r>
      <w:proofErr w:type="spellEnd"/>
      <w:r>
        <w:rPr>
          <w:rFonts w:ascii="Times New Roman" w:eastAsia="Times New Roman" w:hAnsi="Times New Roman" w:cs="Times New Roman"/>
          <w:b/>
          <w:bCs/>
          <w:sz w:val="24"/>
          <w:szCs w:val="24"/>
        </w:rPr>
        <w:t xml:space="preserve"> Element:</w:t>
      </w:r>
      <w:r>
        <w:rPr>
          <w:rFonts w:ascii="Times New Roman" w:eastAsia="Times New Roman" w:hAnsi="Times New Roman" w:cs="Times New Roman"/>
          <w:sz w:val="24"/>
          <w:szCs w:val="24"/>
        </w:rPr>
        <w:t xml:space="preserve"> The presence of open balconies with ornamental balustrades is highlighted as representing "Portuguese elements." These balconies project the living space outward, serving as both an aesthetic beautification of the residence and a functional vantage point </w:t>
      </w:r>
      <w:r>
        <w:rPr>
          <w:rFonts w:ascii="Times New Roman" w:eastAsia="Times New Roman" w:hAnsi="Times New Roman" w:cs="Times New Roman"/>
          <w:sz w:val="24"/>
          <w:szCs w:val="24"/>
        </w:rPr>
        <w:t>for street observation.</w:t>
      </w:r>
    </w:p>
    <w:p w14:paraId="0EE53C53" w14:textId="237054CF" w:rsidR="005F74F9" w:rsidRDefault="005F74F9">
      <w:pPr>
        <w:spacing w:line="240" w:lineRule="auto"/>
        <w:ind w:left="360"/>
        <w:jc w:val="both"/>
        <w:rPr>
          <w:rFonts w:ascii="Times New Roman" w:eastAsia="Times New Roman" w:hAnsi="Times New Roman" w:cs="Times New Roman"/>
          <w:sz w:val="24"/>
          <w:szCs w:val="24"/>
        </w:rPr>
      </w:pPr>
    </w:p>
    <w:p w14:paraId="0B47FD91" w14:textId="77777777" w:rsidR="005F74F9" w:rsidRDefault="00130F1A">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The socio-spatial threshold</w:t>
      </w:r>
    </w:p>
    <w:p w14:paraId="63D76D1B" w14:textId="77777777" w:rsidR="005F74F9" w:rsidRDefault="00130F1A">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i/>
          <w:iCs/>
          <w:color w:val="000000"/>
          <w:sz w:val="24"/>
          <w:szCs w:val="24"/>
        </w:rPr>
        <w:t>Jali</w:t>
      </w:r>
      <w:r>
        <w:rPr>
          <w:rFonts w:ascii="Times New Roman" w:eastAsia="Times New Roman" w:hAnsi="Times New Roman" w:cs="Times New Roman"/>
          <w:color w:val="000000"/>
          <w:sz w:val="24"/>
          <w:szCs w:val="24"/>
        </w:rPr>
        <w:t xml:space="preserve"> Interface A defining sociological feature noted in the documentation is the use of a wrought-iron or wooden </w:t>
      </w:r>
      <w:proofErr w:type="spellStart"/>
      <w:r>
        <w:rPr>
          <w:rFonts w:ascii="Times New Roman" w:eastAsia="Times New Roman" w:hAnsi="Times New Roman" w:cs="Times New Roman"/>
          <w:color w:val="000000"/>
          <w:sz w:val="24"/>
          <w:szCs w:val="24"/>
        </w:rPr>
        <w:t>jali</w:t>
      </w:r>
      <w:proofErr w:type="spellEnd"/>
      <w:r>
        <w:rPr>
          <w:rFonts w:ascii="Times New Roman" w:eastAsia="Times New Roman" w:hAnsi="Times New Roman" w:cs="Times New Roman"/>
          <w:color w:val="000000"/>
          <w:sz w:val="24"/>
          <w:szCs w:val="24"/>
        </w:rPr>
        <w:t xml:space="preserve"> (lattice) door at the main entrance.</w:t>
      </w:r>
    </w:p>
    <w:p w14:paraId="5A817EF2" w14:textId="77777777" w:rsidR="005F74F9" w:rsidRDefault="00130F1A">
      <w:pPr>
        <w:numPr>
          <w:ilvl w:val="0"/>
          <w:numId w:val="5"/>
        </w:numPr>
        <w:spacing w:line="240" w:lineRule="auto"/>
        <w:jc w:val="both"/>
        <w:rPr>
          <w:b/>
          <w:bCs/>
        </w:rPr>
      </w:pPr>
      <w:r>
        <w:rPr>
          <w:rFonts w:ascii="Times New Roman" w:eastAsia="Times New Roman" w:hAnsi="Times New Roman" w:cs="Times New Roman"/>
          <w:b/>
          <w:bCs/>
          <w:sz w:val="24"/>
          <w:szCs w:val="24"/>
        </w:rPr>
        <w:t>Permeable Boundary:</w:t>
      </w:r>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jali</w:t>
      </w:r>
      <w:proofErr w:type="spellEnd"/>
      <w:r>
        <w:rPr>
          <w:rFonts w:ascii="Times New Roman" w:eastAsia="Times New Roman" w:hAnsi="Times New Roman" w:cs="Times New Roman"/>
          <w:sz w:val="24"/>
          <w:szCs w:val="24"/>
        </w:rPr>
        <w:t xml:space="preserve"> door helps the </w:t>
      </w:r>
      <w:r>
        <w:rPr>
          <w:rFonts w:ascii="Times New Roman" w:eastAsia="Times New Roman" w:hAnsi="Times New Roman" w:cs="Times New Roman"/>
          <w:sz w:val="24"/>
          <w:szCs w:val="24"/>
        </w:rPr>
        <w:t>visitors and the residents to connect with the street and house. Architecturally, it acts as a permeable membrane. It provides security and privacy for the inhabitants while fostering a continuous visual and acoustic connection with the public realm, a hal</w:t>
      </w:r>
      <w:r>
        <w:rPr>
          <w:rFonts w:ascii="Times New Roman" w:eastAsia="Times New Roman" w:hAnsi="Times New Roman" w:cs="Times New Roman"/>
          <w:sz w:val="24"/>
          <w:szCs w:val="24"/>
        </w:rPr>
        <w:t>lmark of Goan community living.</w:t>
      </w:r>
    </w:p>
    <w:p w14:paraId="34EFF776" w14:textId="77777777" w:rsidR="005F74F9" w:rsidRDefault="00130F1A">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Passive Climate Control and Environmental Design </w:t>
      </w:r>
    </w:p>
    <w:p w14:paraId="74F532C5" w14:textId="77777777" w:rsidR="005F74F9" w:rsidRDefault="00130F1A">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cross-sectional diagram reveals an internal layout engineered for tropical resilience.</w:t>
      </w:r>
    </w:p>
    <w:p w14:paraId="7DA9A5A6" w14:textId="77777777" w:rsidR="005F74F9" w:rsidRDefault="00130F1A">
      <w:pPr>
        <w:numPr>
          <w:ilvl w:val="0"/>
          <w:numId w:val="6"/>
        </w:numPr>
        <w:spacing w:line="240" w:lineRule="auto"/>
        <w:jc w:val="both"/>
      </w:pPr>
      <w:r>
        <w:rPr>
          <w:rFonts w:ascii="Times New Roman" w:eastAsia="Times New Roman" w:hAnsi="Times New Roman" w:cs="Times New Roman"/>
          <w:b/>
          <w:bCs/>
          <w:sz w:val="24"/>
          <w:szCs w:val="24"/>
        </w:rPr>
        <w:t>The Central Courtyard:</w:t>
      </w:r>
      <w:r>
        <w:rPr>
          <w:rFonts w:ascii="Times New Roman" w:eastAsia="Times New Roman" w:hAnsi="Times New Roman" w:cs="Times New Roman"/>
          <w:sz w:val="24"/>
          <w:szCs w:val="24"/>
        </w:rPr>
        <w:t xml:space="preserve"> A central courtyard plays a great role in light and ventilating the residence. Operating as a thermal chimney, the courtyard facilitates the stack effect drawing hot air up and out, while pulling cooler air through the peripheral rooms.</w:t>
      </w:r>
    </w:p>
    <w:p w14:paraId="7044DBB2" w14:textId="77777777" w:rsidR="005F74F9" w:rsidRDefault="00130F1A">
      <w:pPr>
        <w:numPr>
          <w:ilvl w:val="0"/>
          <w:numId w:val="6"/>
        </w:numPr>
        <w:spacing w:line="240" w:lineRule="auto"/>
        <w:jc w:val="both"/>
        <w:rPr>
          <w:b/>
          <w:bCs/>
        </w:rPr>
      </w:pPr>
      <w:r>
        <w:rPr>
          <w:rFonts w:ascii="Times New Roman" w:eastAsia="Times New Roman" w:hAnsi="Times New Roman" w:cs="Times New Roman"/>
          <w:b/>
          <w:bCs/>
          <w:sz w:val="24"/>
          <w:szCs w:val="24"/>
        </w:rPr>
        <w:t>Spatial Connectivi</w:t>
      </w:r>
      <w:r>
        <w:rPr>
          <w:rFonts w:ascii="Times New Roman" w:eastAsia="Times New Roman" w:hAnsi="Times New Roman" w:cs="Times New Roman"/>
          <w:b/>
          <w:bCs/>
          <w:sz w:val="24"/>
          <w:szCs w:val="24"/>
        </w:rPr>
        <w:t>ty:</w:t>
      </w:r>
      <w:r>
        <w:rPr>
          <w:rFonts w:ascii="Times New Roman" w:eastAsia="Times New Roman" w:hAnsi="Times New Roman" w:cs="Times New Roman"/>
          <w:sz w:val="24"/>
          <w:szCs w:val="24"/>
        </w:rPr>
        <w:t xml:space="preserve"> Internal spaces have connectivity with the other spaces. This open plan fluidity, clustered around the central courtyard, ensures unimpeded cross ventilation, which is critical for maintaining thermal comfort in Goa's humid coastal climate.</w:t>
      </w:r>
    </w:p>
    <w:p w14:paraId="1CAD2863" w14:textId="77777777" w:rsidR="005F74F9" w:rsidRDefault="00130F1A">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Doors and W</w:t>
      </w:r>
      <w:r>
        <w:rPr>
          <w:rFonts w:ascii="Times New Roman" w:eastAsia="Times New Roman" w:hAnsi="Times New Roman" w:cs="Times New Roman"/>
          <w:b/>
          <w:bCs/>
          <w:sz w:val="24"/>
          <w:szCs w:val="24"/>
        </w:rPr>
        <w:t>indows</w:t>
      </w:r>
    </w:p>
    <w:p w14:paraId="39F32705" w14:textId="77777777" w:rsidR="005F74F9" w:rsidRDefault="00130F1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 reveals intricate detailing in the fenestrations:</w:t>
      </w:r>
    </w:p>
    <w:p w14:paraId="402CC87A" w14:textId="77777777" w:rsidR="005F74F9" w:rsidRDefault="00130F1A">
      <w:pPr>
        <w:numPr>
          <w:ilvl w:val="0"/>
          <w:numId w:val="16"/>
        </w:numPr>
        <w:spacing w:line="240" w:lineRule="auto"/>
        <w:jc w:val="both"/>
      </w:pPr>
      <w:r>
        <w:rPr>
          <w:rFonts w:ascii="Times New Roman" w:eastAsia="Times New Roman" w:hAnsi="Times New Roman" w:cs="Times New Roman"/>
          <w:b/>
          <w:bCs/>
          <w:sz w:val="24"/>
          <w:szCs w:val="24"/>
        </w:rPr>
        <w:t>Fanlights</w:t>
      </w:r>
      <w:r>
        <w:rPr>
          <w:rFonts w:ascii="Times New Roman" w:eastAsia="Times New Roman" w:hAnsi="Times New Roman" w:cs="Times New Roman"/>
          <w:sz w:val="24"/>
          <w:szCs w:val="24"/>
        </w:rPr>
        <w:t xml:space="preserve">: </w:t>
      </w:r>
    </w:p>
    <w:p w14:paraId="1113CC1C" w14:textId="77777777" w:rsidR="005F74F9" w:rsidRDefault="00130F1A">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Semi-circular arched fanlights above doors allow for light penetration even when doors are closed for security.</w:t>
      </w:r>
    </w:p>
    <w:p w14:paraId="2F5C4D39" w14:textId="66DF2E59" w:rsidR="005F74F9" w:rsidRDefault="00130F1A">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30B5BAD" w14:textId="77777777" w:rsidR="005F74F9" w:rsidRDefault="00130F1A">
      <w:pPr>
        <w:numPr>
          <w:ilvl w:val="0"/>
          <w:numId w:val="16"/>
        </w:numPr>
        <w:spacing w:line="240" w:lineRule="auto"/>
        <w:jc w:val="both"/>
      </w:pPr>
      <w:r>
        <w:rPr>
          <w:rFonts w:ascii="Times New Roman" w:eastAsia="Times New Roman" w:hAnsi="Times New Roman" w:cs="Times New Roman"/>
          <w:b/>
          <w:bCs/>
          <w:sz w:val="24"/>
          <w:szCs w:val="24"/>
        </w:rPr>
        <w:t>The "Ouro" Window Style</w:t>
      </w:r>
      <w:r>
        <w:rPr>
          <w:rFonts w:ascii="Times New Roman" w:eastAsia="Times New Roman" w:hAnsi="Times New Roman" w:cs="Times New Roman"/>
          <w:sz w:val="24"/>
          <w:szCs w:val="24"/>
        </w:rPr>
        <w:t xml:space="preserve">: </w:t>
      </w:r>
    </w:p>
    <w:p w14:paraId="65C8B8C3" w14:textId="77777777" w:rsidR="005F74F9" w:rsidRDefault="00130F1A">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Traditional windows utilize small</w:t>
      </w:r>
      <w:r>
        <w:rPr>
          <w:rFonts w:ascii="Times New Roman" w:eastAsia="Times New Roman" w:hAnsi="Times New Roman" w:cs="Times New Roman"/>
          <w:sz w:val="24"/>
          <w:szCs w:val="24"/>
        </w:rPr>
        <w:t xml:space="preserve"> panes of oyster shells set in wooden grids. These are sustainable, locally sourced, and provide a unique "warm" ambiance to the rooms.</w:t>
      </w:r>
    </w:p>
    <w:p w14:paraId="1E6BB145" w14:textId="4CD5FB94" w:rsidR="005F74F9" w:rsidRDefault="00130F1A">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47C7212" w14:textId="77777777" w:rsidR="005F74F9" w:rsidRDefault="00130F1A">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Material Culture and Indo-Portuguese Furniture Design</w:t>
      </w:r>
    </w:p>
    <w:p w14:paraId="5530D363" w14:textId="77777777" w:rsidR="005F74F9" w:rsidRDefault="00130F1A">
      <w:pPr>
        <w:numPr>
          <w:ilvl w:val="0"/>
          <w:numId w:val="12"/>
        </w:numPr>
        <w:pBdr>
          <w:top w:val="nil"/>
          <w:left w:val="nil"/>
          <w:bottom w:val="nil"/>
          <w:right w:val="nil"/>
          <w:between w:val="nil"/>
        </w:pBdr>
        <w:spacing w:before="280" w:after="0" w:line="240" w:lineRule="auto"/>
        <w:jc w:val="both"/>
        <w:rPr>
          <w:color w:val="000000"/>
          <w:sz w:val="24"/>
          <w:szCs w:val="24"/>
        </w:rPr>
      </w:pPr>
      <w:r>
        <w:rPr>
          <w:rFonts w:ascii="Times New Roman" w:eastAsia="Times New Roman" w:hAnsi="Times New Roman" w:cs="Times New Roman"/>
          <w:b/>
          <w:bCs/>
          <w:color w:val="000000"/>
          <w:sz w:val="24"/>
          <w:szCs w:val="24"/>
        </w:rPr>
        <w:t>Materiality and Indigenous Craftsmanship</w:t>
      </w:r>
      <w:r>
        <w:rPr>
          <w:rFonts w:ascii="Times New Roman" w:eastAsia="Times New Roman" w:hAnsi="Times New Roman" w:cs="Times New Roman"/>
          <w:color w:val="000000"/>
          <w:sz w:val="24"/>
          <w:szCs w:val="24"/>
        </w:rPr>
        <w:t xml:space="preserve"> </w:t>
      </w:r>
    </w:p>
    <w:p w14:paraId="4D2A554E" w14:textId="77777777" w:rsidR="005F74F9" w:rsidRDefault="00130F1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interior spatial </w:t>
      </w:r>
      <w:r>
        <w:rPr>
          <w:rFonts w:ascii="Times New Roman" w:eastAsia="Times New Roman" w:hAnsi="Times New Roman" w:cs="Times New Roman"/>
          <w:color w:val="000000"/>
          <w:sz w:val="24"/>
          <w:szCs w:val="24"/>
        </w:rPr>
        <w:t xml:space="preserve">quality of the Miranda House is heavily defined by its collection of heritage furniture, which serves as a primary text for understanding the domestic lifestyle of the Goan elite between the 16th and 19th centuries. The documented pieces are predominantly </w:t>
      </w:r>
      <w:r>
        <w:rPr>
          <w:rFonts w:ascii="Times New Roman" w:eastAsia="Times New Roman" w:hAnsi="Times New Roman" w:cs="Times New Roman"/>
          <w:color w:val="000000"/>
          <w:sz w:val="24"/>
          <w:szCs w:val="24"/>
        </w:rPr>
        <w:t>crafted from indigenous Rosewood (</w:t>
      </w:r>
      <w:r>
        <w:rPr>
          <w:rFonts w:ascii="Times New Roman" w:eastAsia="Times New Roman" w:hAnsi="Times New Roman" w:cs="Times New Roman"/>
          <w:i/>
          <w:iCs/>
          <w:color w:val="000000"/>
          <w:sz w:val="24"/>
          <w:szCs w:val="24"/>
        </w:rPr>
        <w:t>Dalbergia latifolia</w:t>
      </w:r>
      <w:r>
        <w:rPr>
          <w:rFonts w:ascii="Times New Roman" w:eastAsia="Times New Roman" w:hAnsi="Times New Roman" w:cs="Times New Roman"/>
          <w:color w:val="000000"/>
          <w:sz w:val="24"/>
          <w:szCs w:val="24"/>
        </w:rPr>
        <w:t xml:space="preserve">). This timber was highly prized in colonial furniture-making for its extreme density, resistance to tropical pests, and deep, rich chromatic profile. The documentation notes the use of a "mild polish," </w:t>
      </w:r>
      <w:r>
        <w:rPr>
          <w:rFonts w:ascii="Times New Roman" w:eastAsia="Times New Roman" w:hAnsi="Times New Roman" w:cs="Times New Roman"/>
          <w:color w:val="000000"/>
          <w:sz w:val="24"/>
          <w:szCs w:val="24"/>
        </w:rPr>
        <w:t xml:space="preserve">which likely refers to traditional shellac or early French polishing techniques. This finishing method was deliberately chosen to seal the wood against humidity while accentuating the natural grain and the depth of the intricate carvings without obscuring </w:t>
      </w:r>
      <w:r>
        <w:rPr>
          <w:rFonts w:ascii="Times New Roman" w:eastAsia="Times New Roman" w:hAnsi="Times New Roman" w:cs="Times New Roman"/>
          <w:color w:val="000000"/>
          <w:sz w:val="24"/>
          <w:szCs w:val="24"/>
        </w:rPr>
        <w:t>their sharp details.</w:t>
      </w:r>
    </w:p>
    <w:p w14:paraId="6C177118" w14:textId="77777777" w:rsidR="005F74F9" w:rsidRDefault="00130F1A">
      <w:pPr>
        <w:numPr>
          <w:ilvl w:val="0"/>
          <w:numId w:val="12"/>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b/>
          <w:bCs/>
          <w:color w:val="000000"/>
          <w:sz w:val="24"/>
          <w:szCs w:val="24"/>
        </w:rPr>
        <w:t>Stylistic Syncretism: European Typologies and Indian Motifs</w:t>
      </w:r>
      <w:r>
        <w:rPr>
          <w:rFonts w:ascii="Times New Roman" w:eastAsia="Times New Roman" w:hAnsi="Times New Roman" w:cs="Times New Roman"/>
          <w:color w:val="000000"/>
          <w:sz w:val="24"/>
          <w:szCs w:val="24"/>
        </w:rPr>
        <w:t xml:space="preserve"> </w:t>
      </w:r>
    </w:p>
    <w:p w14:paraId="5A5A84CD" w14:textId="77777777" w:rsidR="005F74F9" w:rsidRDefault="00130F1A">
      <w:pPr>
        <w:pBdr>
          <w:top w:val="nil"/>
          <w:left w:val="nil"/>
          <w:bottom w:val="nil"/>
          <w:right w:val="nil"/>
          <w:between w:val="nil"/>
        </w:pBdr>
        <w:spacing w:after="28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furniture collection exemplifies the apex of Indo-Portuguese decorative arts, characterized by a profound stylistic syncretism.</w:t>
      </w:r>
    </w:p>
    <w:p w14:paraId="5DA599A4" w14:textId="77777777" w:rsidR="005F74F9" w:rsidRDefault="00130F1A">
      <w:pPr>
        <w:numPr>
          <w:ilvl w:val="0"/>
          <w:numId w:val="10"/>
        </w:numPr>
        <w:spacing w:before="280" w:after="280" w:line="240" w:lineRule="auto"/>
        <w:jc w:val="both"/>
      </w:pPr>
      <w:r>
        <w:rPr>
          <w:rFonts w:ascii="Times New Roman" w:eastAsia="Times New Roman" w:hAnsi="Times New Roman" w:cs="Times New Roman"/>
          <w:b/>
          <w:bCs/>
          <w:sz w:val="24"/>
          <w:szCs w:val="24"/>
        </w:rPr>
        <w:t>Structural Forms</w:t>
      </w:r>
      <w:r>
        <w:rPr>
          <w:rFonts w:ascii="Times New Roman" w:eastAsia="Times New Roman" w:hAnsi="Times New Roman" w:cs="Times New Roman"/>
          <w:sz w:val="24"/>
          <w:szCs w:val="24"/>
        </w:rPr>
        <w:t xml:space="preserve"> </w:t>
      </w:r>
    </w:p>
    <w:p w14:paraId="35041B5F" w14:textId="77777777" w:rsidR="005F74F9" w:rsidRDefault="00130F1A">
      <w:pPr>
        <w:spacing w:before="280" w:after="28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line drawings (orthographic projections) reveal the adoption of distinctly European structural typologies such as the chest of drawers, tables with cabriole style legs, and the </w:t>
      </w:r>
      <w:proofErr w:type="spellStart"/>
      <w:r>
        <w:rPr>
          <w:rFonts w:ascii="Times New Roman" w:eastAsia="Times New Roman" w:hAnsi="Times New Roman" w:cs="Times New Roman"/>
          <w:i/>
          <w:iCs/>
          <w:sz w:val="24"/>
          <w:szCs w:val="24"/>
        </w:rPr>
        <w:t>cadeira</w:t>
      </w:r>
      <w:proofErr w:type="spellEnd"/>
      <w:r>
        <w:rPr>
          <w:rFonts w:ascii="Times New Roman" w:eastAsia="Times New Roman" w:hAnsi="Times New Roman" w:cs="Times New Roman"/>
          <w:i/>
          <w:iCs/>
          <w:sz w:val="24"/>
          <w:szCs w:val="24"/>
        </w:rPr>
        <w:t xml:space="preserve"> de </w:t>
      </w:r>
      <w:proofErr w:type="spellStart"/>
      <w:r>
        <w:rPr>
          <w:rFonts w:ascii="Times New Roman" w:eastAsia="Times New Roman" w:hAnsi="Times New Roman" w:cs="Times New Roman"/>
          <w:i/>
          <w:iCs/>
          <w:sz w:val="24"/>
          <w:szCs w:val="24"/>
        </w:rPr>
        <w:t>preguiceiro</w:t>
      </w:r>
      <w:proofErr w:type="spellEnd"/>
      <w:r>
        <w:rPr>
          <w:rFonts w:ascii="Times New Roman" w:eastAsia="Times New Roman" w:hAnsi="Times New Roman" w:cs="Times New Roman"/>
          <w:sz w:val="24"/>
          <w:szCs w:val="24"/>
        </w:rPr>
        <w:t xml:space="preserve"> (the traditional planter’s chair featuring extended </w:t>
      </w:r>
      <w:r>
        <w:rPr>
          <w:rFonts w:ascii="Times New Roman" w:eastAsia="Times New Roman" w:hAnsi="Times New Roman" w:cs="Times New Roman"/>
          <w:sz w:val="24"/>
          <w:szCs w:val="24"/>
        </w:rPr>
        <w:t>armrests for resting the legs). These forms were introduced by the Portuguese but executed by local Indian guild artisans (</w:t>
      </w:r>
      <w:proofErr w:type="spellStart"/>
      <w:r>
        <w:rPr>
          <w:rFonts w:ascii="Times New Roman" w:eastAsia="Times New Roman" w:hAnsi="Times New Roman" w:cs="Times New Roman"/>
          <w:i/>
          <w:iCs/>
          <w:sz w:val="24"/>
          <w:szCs w:val="24"/>
        </w:rPr>
        <w:t>marceneiros</w:t>
      </w:r>
      <w:proofErr w:type="spellEnd"/>
      <w:r>
        <w:rPr>
          <w:rFonts w:ascii="Times New Roman" w:eastAsia="Times New Roman" w:hAnsi="Times New Roman" w:cs="Times New Roman"/>
          <w:sz w:val="24"/>
          <w:szCs w:val="24"/>
        </w:rPr>
        <w:t>).</w:t>
      </w:r>
    </w:p>
    <w:p w14:paraId="799AC979" w14:textId="77777777" w:rsidR="005F74F9" w:rsidRDefault="00130F1A">
      <w:pPr>
        <w:numPr>
          <w:ilvl w:val="0"/>
          <w:numId w:val="10"/>
        </w:numPr>
        <w:spacing w:before="280" w:after="280" w:line="240" w:lineRule="auto"/>
        <w:jc w:val="both"/>
      </w:pPr>
      <w:r>
        <w:rPr>
          <w:rFonts w:ascii="Times New Roman" w:eastAsia="Times New Roman" w:hAnsi="Times New Roman" w:cs="Times New Roman"/>
          <w:b/>
          <w:bCs/>
          <w:sz w:val="24"/>
          <w:szCs w:val="24"/>
        </w:rPr>
        <w:t>Decorative Vocabulary:</w:t>
      </w:r>
      <w:r>
        <w:rPr>
          <w:rFonts w:ascii="Times New Roman" w:eastAsia="Times New Roman" w:hAnsi="Times New Roman" w:cs="Times New Roman"/>
          <w:sz w:val="24"/>
          <w:szCs w:val="24"/>
        </w:rPr>
        <w:t xml:space="preserve"> </w:t>
      </w:r>
    </w:p>
    <w:p w14:paraId="42302F7A" w14:textId="77777777" w:rsidR="005F74F9" w:rsidRDefault="00130F1A">
      <w:pPr>
        <w:spacing w:before="280" w:after="28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the skeletal forms of the furniture are European, the decorative articulation is </w:t>
      </w:r>
      <w:r>
        <w:rPr>
          <w:rFonts w:ascii="Times New Roman" w:eastAsia="Times New Roman" w:hAnsi="Times New Roman" w:cs="Times New Roman"/>
          <w:sz w:val="24"/>
          <w:szCs w:val="24"/>
        </w:rPr>
        <w:t>resolutely Indian. The photographs highlight heavy, high relief "organic carving," featuring dense, undulating floral and vegetal motifs. The pierced (open work) carving visible on the octagonal side table and the deeply articulated backrests of the seatin</w:t>
      </w:r>
      <w:r>
        <w:rPr>
          <w:rFonts w:ascii="Times New Roman" w:eastAsia="Times New Roman" w:hAnsi="Times New Roman" w:cs="Times New Roman"/>
          <w:sz w:val="24"/>
          <w:szCs w:val="24"/>
        </w:rPr>
        <w:t>g furniture demonstrate traditional Hindu-Islamic woodcarving techniques. This fusion creates a unique aesthetic where European silhouettes are enveloped in indigenous Indian ornamentation.</w:t>
      </w:r>
    </w:p>
    <w:p w14:paraId="4D9A335C" w14:textId="77777777" w:rsidR="005F74F9" w:rsidRDefault="00130F1A">
      <w:pPr>
        <w:numPr>
          <w:ilvl w:val="0"/>
          <w:numId w:val="10"/>
        </w:numPr>
        <w:pBdr>
          <w:top w:val="nil"/>
          <w:left w:val="nil"/>
          <w:bottom w:val="nil"/>
          <w:right w:val="nil"/>
          <w:between w:val="nil"/>
        </w:pBdr>
        <w:spacing w:before="280" w:after="0" w:line="240" w:lineRule="auto"/>
        <w:jc w:val="both"/>
        <w:rPr>
          <w:color w:val="000000"/>
        </w:rPr>
      </w:pPr>
      <w:r>
        <w:rPr>
          <w:rFonts w:ascii="Times New Roman" w:eastAsia="Times New Roman" w:hAnsi="Times New Roman" w:cs="Times New Roman"/>
          <w:b/>
          <w:bCs/>
          <w:color w:val="000000"/>
          <w:sz w:val="24"/>
          <w:szCs w:val="24"/>
        </w:rPr>
        <w:t>Socio-Cultural Signification and Domestic Display</w:t>
      </w:r>
      <w:r>
        <w:rPr>
          <w:rFonts w:ascii="Times New Roman" w:eastAsia="Times New Roman" w:hAnsi="Times New Roman" w:cs="Times New Roman"/>
          <w:color w:val="000000"/>
          <w:sz w:val="24"/>
          <w:szCs w:val="24"/>
        </w:rPr>
        <w:t xml:space="preserve"> </w:t>
      </w:r>
    </w:p>
    <w:p w14:paraId="2FB13AAC" w14:textId="77777777" w:rsidR="005F74F9" w:rsidRDefault="00130F1A">
      <w:pPr>
        <w:pBdr>
          <w:top w:val="nil"/>
          <w:left w:val="nil"/>
          <w:bottom w:val="nil"/>
          <w:right w:val="nil"/>
          <w:between w:val="nil"/>
        </w:pBdr>
        <w:spacing w:after="28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documentati</w:t>
      </w:r>
      <w:r>
        <w:rPr>
          <w:rFonts w:ascii="Times New Roman" w:eastAsia="Times New Roman" w:hAnsi="Times New Roman" w:cs="Times New Roman"/>
          <w:color w:val="000000"/>
          <w:sz w:val="24"/>
          <w:szCs w:val="24"/>
        </w:rPr>
        <w:t>on states that the furniture depicts the "royalty and culture of the family." In the context of architectural anthropology, these pieces functioned as vital semiotic tools within the household.</w:t>
      </w:r>
    </w:p>
    <w:p w14:paraId="3D24A1B1" w14:textId="77777777" w:rsidR="005F74F9" w:rsidRDefault="00130F1A">
      <w:pPr>
        <w:numPr>
          <w:ilvl w:val="0"/>
          <w:numId w:val="11"/>
        </w:numPr>
        <w:spacing w:before="280" w:after="280" w:line="240" w:lineRule="auto"/>
        <w:jc w:val="both"/>
      </w:pPr>
      <w:r>
        <w:rPr>
          <w:rFonts w:ascii="Times New Roman" w:eastAsia="Times New Roman" w:hAnsi="Times New Roman" w:cs="Times New Roman"/>
          <w:b/>
          <w:bCs/>
          <w:sz w:val="24"/>
          <w:szCs w:val="24"/>
        </w:rPr>
        <w:t>The Performance of Prestige</w:t>
      </w:r>
    </w:p>
    <w:p w14:paraId="415BC889" w14:textId="77777777" w:rsidR="005F74F9" w:rsidRDefault="00130F1A">
      <w:pPr>
        <w:spacing w:before="280" w:after="28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For an elite family like the Miran</w:t>
      </w:r>
      <w:r>
        <w:rPr>
          <w:rFonts w:ascii="Times New Roman" w:eastAsia="Times New Roman" w:hAnsi="Times New Roman" w:cs="Times New Roman"/>
          <w:sz w:val="24"/>
          <w:szCs w:val="24"/>
        </w:rPr>
        <w:t xml:space="preserve">das, the commissioning and display of such elaborately carved, hybrid furniture in public-facing rooms (like the </w:t>
      </w:r>
      <w:r>
        <w:rPr>
          <w:rFonts w:ascii="Times New Roman" w:eastAsia="Times New Roman" w:hAnsi="Times New Roman" w:cs="Times New Roman"/>
          <w:i/>
          <w:iCs/>
          <w:sz w:val="24"/>
          <w:szCs w:val="24"/>
        </w:rPr>
        <w:t>Sala</w:t>
      </w:r>
      <w:r>
        <w:rPr>
          <w:rFonts w:ascii="Times New Roman" w:eastAsia="Times New Roman" w:hAnsi="Times New Roman" w:cs="Times New Roman"/>
          <w:sz w:val="24"/>
          <w:szCs w:val="24"/>
        </w:rPr>
        <w:t>) was a deliberate performance of socio-economic dominance.</w:t>
      </w:r>
    </w:p>
    <w:p w14:paraId="79290350" w14:textId="77777777" w:rsidR="005F74F9" w:rsidRDefault="00130F1A">
      <w:pPr>
        <w:numPr>
          <w:ilvl w:val="0"/>
          <w:numId w:val="11"/>
        </w:numPr>
        <w:spacing w:before="280" w:after="280" w:line="240" w:lineRule="auto"/>
        <w:jc w:val="both"/>
      </w:pPr>
      <w:r>
        <w:rPr>
          <w:rFonts w:ascii="Times New Roman" w:eastAsia="Times New Roman" w:hAnsi="Times New Roman" w:cs="Times New Roman"/>
          <w:b/>
          <w:bCs/>
          <w:sz w:val="24"/>
          <w:szCs w:val="24"/>
        </w:rPr>
        <w:t>Cultural Assimilation</w:t>
      </w:r>
    </w:p>
    <w:p w14:paraId="35710235" w14:textId="77777777" w:rsidR="005F74F9" w:rsidRDefault="00130F1A">
      <w:pPr>
        <w:spacing w:before="280" w:after="28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visually communicated their successful assimilation </w:t>
      </w:r>
      <w:r>
        <w:rPr>
          <w:rFonts w:ascii="Times New Roman" w:eastAsia="Times New Roman" w:hAnsi="Times New Roman" w:cs="Times New Roman"/>
          <w:sz w:val="24"/>
          <w:szCs w:val="24"/>
        </w:rPr>
        <w:t>into the Luso-Indian administrative and cultural hierarchy. The grand, heavily carved sofa sets and ornate display cabinets were not merely functional objects; they were symbols of cosmopolitanism, illustrating the family's wealth, their alignment with Eur</w:t>
      </w:r>
      <w:r>
        <w:rPr>
          <w:rFonts w:ascii="Times New Roman" w:eastAsia="Times New Roman" w:hAnsi="Times New Roman" w:cs="Times New Roman"/>
          <w:sz w:val="24"/>
          <w:szCs w:val="24"/>
        </w:rPr>
        <w:t>opean domestic customs, and their patronage of high level local craftsmanship.</w:t>
      </w:r>
    </w:p>
    <w:p w14:paraId="6A0BBA5B" w14:textId="4088A3D4" w:rsidR="005F74F9" w:rsidRDefault="00130F1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EF913D7" w14:textId="77777777" w:rsidR="005F74F9" w:rsidRDefault="00130F1A">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SPATIAL ORGANIZATION</w:t>
      </w:r>
    </w:p>
    <w:p w14:paraId="147B16B2" w14:textId="77777777" w:rsidR="005F74F9" w:rsidRDefault="00130F1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Miranda House follows a hierarchy of spaces that moves from the public to the deeply private.</w:t>
      </w:r>
    </w:p>
    <w:p w14:paraId="2DECE37A" w14:textId="5501E151" w:rsidR="005F74F9" w:rsidRDefault="005F74F9">
      <w:pPr>
        <w:spacing w:line="240" w:lineRule="auto"/>
        <w:jc w:val="both"/>
        <w:rPr>
          <w:rFonts w:ascii="Times New Roman" w:eastAsia="Times New Roman" w:hAnsi="Times New Roman" w:cs="Times New Roman"/>
          <w:sz w:val="24"/>
          <w:szCs w:val="24"/>
        </w:rPr>
      </w:pPr>
    </w:p>
    <w:p w14:paraId="73DF88D2" w14:textId="77777777" w:rsidR="005F74F9" w:rsidRDefault="00130F1A">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Entrance and Passage</w:t>
      </w:r>
    </w:p>
    <w:p w14:paraId="6190E7C2" w14:textId="77777777" w:rsidR="005F74F9" w:rsidRDefault="00130F1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one climbs the staircase, </w:t>
      </w:r>
      <w:r>
        <w:rPr>
          <w:rFonts w:ascii="Times New Roman" w:eastAsia="Times New Roman" w:hAnsi="Times New Roman" w:cs="Times New Roman"/>
          <w:sz w:val="24"/>
          <w:szCs w:val="24"/>
        </w:rPr>
        <w:t>the entrance leads into a passage that functions as a buffer. This space is designed to connect guests with the residence's history, often lined with frames and religious artifacts.</w:t>
      </w:r>
    </w:p>
    <w:p w14:paraId="2301F533" w14:textId="442DD072" w:rsidR="005F74F9" w:rsidRDefault="005F74F9">
      <w:pPr>
        <w:spacing w:line="240" w:lineRule="auto"/>
        <w:jc w:val="both"/>
        <w:rPr>
          <w:rFonts w:ascii="Times New Roman" w:eastAsia="Times New Roman" w:hAnsi="Times New Roman" w:cs="Times New Roman"/>
          <w:sz w:val="24"/>
          <w:szCs w:val="24"/>
        </w:rPr>
      </w:pPr>
    </w:p>
    <w:p w14:paraId="1D2871BB" w14:textId="77777777" w:rsidR="005F74F9" w:rsidRDefault="00130F1A">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Courtyard (The Heart of the Home)</w:t>
      </w:r>
    </w:p>
    <w:p w14:paraId="339FE25C" w14:textId="77777777" w:rsidR="005F74F9" w:rsidRDefault="00130F1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central courtyard is the primar</w:t>
      </w:r>
      <w:r>
        <w:rPr>
          <w:rFonts w:ascii="Times New Roman" w:eastAsia="Times New Roman" w:hAnsi="Times New Roman" w:cs="Times New Roman"/>
          <w:sz w:val="24"/>
          <w:szCs w:val="24"/>
        </w:rPr>
        <w:t xml:space="preserve">y ventilation and light source. It acts as an "outdoor room," connecting the informal gathering spaces with the private living quarters. This feature is a direct adaptation of the Indian </w:t>
      </w:r>
      <w:proofErr w:type="spellStart"/>
      <w:r>
        <w:rPr>
          <w:rFonts w:ascii="Times New Roman" w:eastAsia="Times New Roman" w:hAnsi="Times New Roman" w:cs="Times New Roman"/>
          <w:i/>
          <w:iCs/>
          <w:sz w:val="24"/>
          <w:szCs w:val="24"/>
        </w:rPr>
        <w:t>Chowk</w:t>
      </w:r>
      <w:proofErr w:type="spellEnd"/>
      <w:r>
        <w:rPr>
          <w:rFonts w:ascii="Times New Roman" w:eastAsia="Times New Roman" w:hAnsi="Times New Roman" w:cs="Times New Roman"/>
          <w:sz w:val="24"/>
          <w:szCs w:val="24"/>
        </w:rPr>
        <w:t xml:space="preserve"> or Portuguese </w:t>
      </w:r>
      <w:proofErr w:type="spellStart"/>
      <w:r>
        <w:rPr>
          <w:rFonts w:ascii="Times New Roman" w:eastAsia="Times New Roman" w:hAnsi="Times New Roman" w:cs="Times New Roman"/>
          <w:i/>
          <w:iCs/>
          <w:sz w:val="24"/>
          <w:szCs w:val="24"/>
        </w:rPr>
        <w:t>Pátio</w:t>
      </w:r>
      <w:proofErr w:type="spellEnd"/>
      <w:r>
        <w:rPr>
          <w:rFonts w:ascii="Times New Roman" w:eastAsia="Times New Roman" w:hAnsi="Times New Roman" w:cs="Times New Roman"/>
          <w:sz w:val="24"/>
          <w:szCs w:val="24"/>
        </w:rPr>
        <w:t>.</w:t>
      </w:r>
    </w:p>
    <w:p w14:paraId="15B22389" w14:textId="2CA26E19" w:rsidR="005F74F9" w:rsidRDefault="005F74F9">
      <w:pPr>
        <w:spacing w:line="240" w:lineRule="auto"/>
        <w:jc w:val="both"/>
        <w:rPr>
          <w:rFonts w:ascii="Times New Roman" w:eastAsia="Times New Roman" w:hAnsi="Times New Roman" w:cs="Times New Roman"/>
          <w:sz w:val="24"/>
          <w:szCs w:val="24"/>
        </w:rPr>
      </w:pPr>
    </w:p>
    <w:p w14:paraId="6E09FF48" w14:textId="77777777" w:rsidR="005F74F9" w:rsidRDefault="00130F1A">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living space (the sala)</w:t>
      </w:r>
    </w:p>
    <w:p w14:paraId="1093560F" w14:textId="19BC05DD" w:rsidR="005F74F9" w:rsidRDefault="00130F1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living sp</w:t>
      </w:r>
      <w:r>
        <w:rPr>
          <w:rFonts w:ascii="Times New Roman" w:eastAsia="Times New Roman" w:hAnsi="Times New Roman" w:cs="Times New Roman"/>
          <w:sz w:val="24"/>
          <w:szCs w:val="24"/>
        </w:rPr>
        <w:t xml:space="preserve">ace is </w:t>
      </w:r>
      <w:proofErr w:type="gramStart"/>
      <w:r>
        <w:rPr>
          <w:rFonts w:ascii="Times New Roman" w:eastAsia="Times New Roman" w:hAnsi="Times New Roman" w:cs="Times New Roman"/>
          <w:sz w:val="24"/>
          <w:szCs w:val="24"/>
        </w:rPr>
        <w:t>double</w:t>
      </w:r>
      <w:proofErr w:type="gramEnd"/>
      <w:r>
        <w:rPr>
          <w:rFonts w:ascii="Times New Roman" w:eastAsia="Times New Roman" w:hAnsi="Times New Roman" w:cs="Times New Roman"/>
          <w:sz w:val="24"/>
          <w:szCs w:val="24"/>
        </w:rPr>
        <w:t xml:space="preserve"> heighted with a sloping roof. The documentation highlights a "clerestory" effect where small skylights or </w:t>
      </w:r>
      <w:r w:rsidR="00DD7F78">
        <w:rPr>
          <w:rFonts w:ascii="Times New Roman" w:eastAsia="Times New Roman" w:hAnsi="Times New Roman" w:cs="Times New Roman"/>
          <w:sz w:val="24"/>
          <w:szCs w:val="24"/>
        </w:rPr>
        <w:t>high level</w:t>
      </w:r>
      <w:r>
        <w:rPr>
          <w:rFonts w:ascii="Times New Roman" w:eastAsia="Times New Roman" w:hAnsi="Times New Roman" w:cs="Times New Roman"/>
          <w:sz w:val="24"/>
          <w:szCs w:val="24"/>
        </w:rPr>
        <w:t xml:space="preserve"> windows allow light to penetrate deep into the room. This space is characterized by:</w:t>
      </w:r>
    </w:p>
    <w:p w14:paraId="7F593C4F" w14:textId="77777777" w:rsidR="005F74F9" w:rsidRDefault="00130F1A">
      <w:pPr>
        <w:numPr>
          <w:ilvl w:val="0"/>
          <w:numId w:val="1"/>
        </w:numPr>
        <w:spacing w:line="240" w:lineRule="auto"/>
        <w:jc w:val="both"/>
      </w:pPr>
      <w:r>
        <w:rPr>
          <w:rFonts w:ascii="Times New Roman" w:eastAsia="Times New Roman" w:hAnsi="Times New Roman" w:cs="Times New Roman"/>
          <w:sz w:val="24"/>
          <w:szCs w:val="24"/>
        </w:rPr>
        <w:t>Open Balconies: Providing a direct visua</w:t>
      </w:r>
      <w:r>
        <w:rPr>
          <w:rFonts w:ascii="Times New Roman" w:eastAsia="Times New Roman" w:hAnsi="Times New Roman" w:cs="Times New Roman"/>
          <w:sz w:val="24"/>
          <w:szCs w:val="24"/>
        </w:rPr>
        <w:t>l connection to the street and the church.</w:t>
      </w:r>
    </w:p>
    <w:p w14:paraId="1D6BB21D" w14:textId="77777777" w:rsidR="005F74F9" w:rsidRDefault="00130F1A">
      <w:pPr>
        <w:numPr>
          <w:ilvl w:val="0"/>
          <w:numId w:val="1"/>
        </w:numPr>
        <w:spacing w:line="240" w:lineRule="auto"/>
        <w:jc w:val="both"/>
      </w:pPr>
      <w:r>
        <w:rPr>
          <w:rFonts w:ascii="Times New Roman" w:eastAsia="Times New Roman" w:hAnsi="Times New Roman" w:cs="Times New Roman"/>
          <w:sz w:val="24"/>
          <w:szCs w:val="24"/>
        </w:rPr>
        <w:t>Selective Access: Multiple doors allow for controlled movement, differentiating this space from the more restricted family quarters.</w:t>
      </w:r>
    </w:p>
    <w:p w14:paraId="479CCF7D" w14:textId="77777777" w:rsidR="005F74F9" w:rsidRDefault="00130F1A">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MATERIALITY AND SUSTAINABLE DESIGN</w:t>
      </w:r>
    </w:p>
    <w:p w14:paraId="65D0B6CA" w14:textId="77777777" w:rsidR="005F74F9" w:rsidRDefault="00130F1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Miranda House is an early example of "Cli</w:t>
      </w:r>
      <w:r>
        <w:rPr>
          <w:rFonts w:ascii="Times New Roman" w:eastAsia="Times New Roman" w:hAnsi="Times New Roman" w:cs="Times New Roman"/>
          <w:sz w:val="24"/>
          <w:szCs w:val="24"/>
        </w:rPr>
        <w:t>mate-Responsive Architecture."</w:t>
      </w:r>
    </w:p>
    <w:p w14:paraId="13014F0F" w14:textId="77777777" w:rsidR="005F74F9" w:rsidRDefault="00130F1A">
      <w:pPr>
        <w:numPr>
          <w:ilvl w:val="0"/>
          <w:numId w:val="2"/>
        </w:numPr>
        <w:spacing w:line="240" w:lineRule="auto"/>
        <w:jc w:val="both"/>
      </w:pPr>
      <w:r>
        <w:rPr>
          <w:rFonts w:ascii="Times New Roman" w:eastAsia="Times New Roman" w:hAnsi="Times New Roman" w:cs="Times New Roman"/>
          <w:sz w:val="24"/>
          <w:szCs w:val="24"/>
        </w:rPr>
        <w:t>Laterite Stone: The primary building block, sourced from local quarries, is porous and allows the building to "breathe."</w:t>
      </w:r>
    </w:p>
    <w:p w14:paraId="3442A69A" w14:textId="77777777" w:rsidR="005F74F9" w:rsidRDefault="00130F1A">
      <w:pPr>
        <w:numPr>
          <w:ilvl w:val="0"/>
          <w:numId w:val="2"/>
        </w:numPr>
        <w:spacing w:line="240" w:lineRule="auto"/>
        <w:jc w:val="both"/>
      </w:pPr>
      <w:r>
        <w:rPr>
          <w:rFonts w:ascii="Times New Roman" w:eastAsia="Times New Roman" w:hAnsi="Times New Roman" w:cs="Times New Roman"/>
          <w:sz w:val="24"/>
          <w:szCs w:val="24"/>
        </w:rPr>
        <w:t>Lime Plaster: Used for the walls to prevent dampness and provide a smooth, white or ochre finish.</w:t>
      </w:r>
    </w:p>
    <w:p w14:paraId="7BFE259A" w14:textId="77777777" w:rsidR="005F74F9" w:rsidRDefault="00130F1A">
      <w:pPr>
        <w:numPr>
          <w:ilvl w:val="0"/>
          <w:numId w:val="2"/>
        </w:numPr>
        <w:spacing w:line="240" w:lineRule="auto"/>
        <w:jc w:val="both"/>
      </w:pPr>
      <w:r>
        <w:rPr>
          <w:rFonts w:ascii="Times New Roman" w:eastAsia="Times New Roman" w:hAnsi="Times New Roman" w:cs="Times New Roman"/>
          <w:sz w:val="24"/>
          <w:szCs w:val="24"/>
        </w:rPr>
        <w:t xml:space="preserve">Wood: </w:t>
      </w:r>
      <w:r>
        <w:rPr>
          <w:rFonts w:ascii="Times New Roman" w:eastAsia="Times New Roman" w:hAnsi="Times New Roman" w:cs="Times New Roman"/>
          <w:sz w:val="24"/>
          <w:szCs w:val="24"/>
        </w:rPr>
        <w:t>Teak and Rosewood are used for structural rafters and furniture, chosen for their resistance to termites and rot.</w:t>
      </w:r>
    </w:p>
    <w:p w14:paraId="5FF585F8" w14:textId="77777777" w:rsidR="005F74F9" w:rsidRDefault="00130F1A">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SOCIOLOGICAL PERSPECTIVES AND THE ARCHITECTURE OF PERFORMANCE</w:t>
      </w:r>
    </w:p>
    <w:p w14:paraId="69217334" w14:textId="77777777" w:rsidR="005F74F9" w:rsidRDefault="00130F1A">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The Domestic Sphere as a Theatrical Stage </w:t>
      </w:r>
    </w:p>
    <w:p w14:paraId="434D7240" w14:textId="19E7F8C7" w:rsidR="005F74F9" w:rsidRDefault="00130F1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Within the context of historical Goan</w:t>
      </w:r>
      <w:r>
        <w:rPr>
          <w:rFonts w:ascii="Times New Roman" w:eastAsia="Times New Roman" w:hAnsi="Times New Roman" w:cs="Times New Roman"/>
          <w:sz w:val="24"/>
          <w:szCs w:val="24"/>
        </w:rPr>
        <w:t xml:space="preserve"> sociology, the Miranda House transcends its function as a private domestic refuge, operating instead as a highly orchestrated stage for "Social Performance." During the colonial era, the spatial layout of elite Indo-Portuguese residences was meticulously </w:t>
      </w:r>
      <w:r>
        <w:rPr>
          <w:rFonts w:ascii="Times New Roman" w:eastAsia="Times New Roman" w:hAnsi="Times New Roman" w:cs="Times New Roman"/>
          <w:sz w:val="24"/>
          <w:szCs w:val="24"/>
        </w:rPr>
        <w:t xml:space="preserve">designed to facilitate the projection of power, cultural assimilation, and socio-economic dominance. The architecture itself actively dictated social </w:t>
      </w:r>
      <w:r w:rsidR="00DD7F78">
        <w:rPr>
          <w:rFonts w:ascii="Times New Roman" w:eastAsia="Times New Roman" w:hAnsi="Times New Roman" w:cs="Times New Roman"/>
          <w:sz w:val="24"/>
          <w:szCs w:val="24"/>
        </w:rPr>
        <w:t>behaviour</w:t>
      </w:r>
      <w:r>
        <w:rPr>
          <w:rFonts w:ascii="Times New Roman" w:eastAsia="Times New Roman" w:hAnsi="Times New Roman" w:cs="Times New Roman"/>
          <w:sz w:val="24"/>
          <w:szCs w:val="24"/>
        </w:rPr>
        <w:t xml:space="preserve">, creating formalized environments where the Goan elite could perform their Luso-Indian identity </w:t>
      </w:r>
      <w:r>
        <w:rPr>
          <w:rFonts w:ascii="Times New Roman" w:eastAsia="Times New Roman" w:hAnsi="Times New Roman" w:cs="Times New Roman"/>
          <w:sz w:val="24"/>
          <w:szCs w:val="24"/>
        </w:rPr>
        <w:t>to both their peers and the colonial administration.</w:t>
      </w:r>
    </w:p>
    <w:p w14:paraId="0D24CB5C" w14:textId="77777777" w:rsidR="005F74F9" w:rsidRDefault="00130F1A">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The </w:t>
      </w:r>
      <w:r>
        <w:rPr>
          <w:rFonts w:ascii="Times New Roman" w:eastAsia="Times New Roman" w:hAnsi="Times New Roman" w:cs="Times New Roman"/>
          <w:b/>
          <w:bCs/>
          <w:i/>
          <w:iCs/>
          <w:sz w:val="24"/>
          <w:szCs w:val="24"/>
        </w:rPr>
        <w:t>Sala</w:t>
      </w:r>
      <w:r>
        <w:rPr>
          <w:rFonts w:ascii="Times New Roman" w:eastAsia="Times New Roman" w:hAnsi="Times New Roman" w:cs="Times New Roman"/>
          <w:b/>
          <w:bCs/>
          <w:sz w:val="24"/>
          <w:szCs w:val="24"/>
        </w:rPr>
        <w:t xml:space="preserve"> and Dining Hall</w:t>
      </w:r>
    </w:p>
    <w:p w14:paraId="579A2E2F" w14:textId="77777777" w:rsidR="005F74F9" w:rsidRDefault="00130F1A">
      <w:pPr>
        <w:spacing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Arenas of Social Cohesion The volumetric allocation of the house heavily prioritizes</w:t>
      </w:r>
      <w:proofErr w:type="gramEnd"/>
      <w:r>
        <w:rPr>
          <w:rFonts w:ascii="Times New Roman" w:eastAsia="Times New Roman" w:hAnsi="Times New Roman" w:cs="Times New Roman"/>
          <w:sz w:val="24"/>
          <w:szCs w:val="24"/>
        </w:rPr>
        <w:t xml:space="preserve"> communal and performative spaces.</w:t>
      </w:r>
    </w:p>
    <w:p w14:paraId="50EAAFE4" w14:textId="77777777" w:rsidR="005F74F9" w:rsidRDefault="00130F1A">
      <w:pPr>
        <w:numPr>
          <w:ilvl w:val="0"/>
          <w:numId w:val="13"/>
        </w:numPr>
        <w:spacing w:line="240" w:lineRule="auto"/>
        <w:jc w:val="both"/>
      </w:pPr>
      <w:r>
        <w:rPr>
          <w:rFonts w:ascii="Times New Roman" w:eastAsia="Times New Roman" w:hAnsi="Times New Roman" w:cs="Times New Roman"/>
          <w:b/>
          <w:bCs/>
          <w:sz w:val="24"/>
          <w:szCs w:val="24"/>
        </w:rPr>
        <w:t xml:space="preserve">The </w:t>
      </w:r>
      <w:r>
        <w:rPr>
          <w:rFonts w:ascii="Times New Roman" w:eastAsia="Times New Roman" w:hAnsi="Times New Roman" w:cs="Times New Roman"/>
          <w:b/>
          <w:bCs/>
          <w:i/>
          <w:iCs/>
          <w:sz w:val="24"/>
          <w:szCs w:val="24"/>
        </w:rPr>
        <w:t>Sala</w:t>
      </w:r>
      <w:r>
        <w:rPr>
          <w:rFonts w:ascii="Times New Roman" w:eastAsia="Times New Roman" w:hAnsi="Times New Roman" w:cs="Times New Roman"/>
          <w:b/>
          <w:bCs/>
          <w:sz w:val="24"/>
          <w:szCs w:val="24"/>
        </w:rPr>
        <w:t xml:space="preserve"> (Grand Hall):</w:t>
      </w:r>
      <w:r>
        <w:rPr>
          <w:rFonts w:ascii="Times New Roman" w:eastAsia="Times New Roman" w:hAnsi="Times New Roman" w:cs="Times New Roman"/>
          <w:sz w:val="24"/>
          <w:szCs w:val="24"/>
        </w:rPr>
        <w:t xml:space="preserve"> Situated prominently within the upper-level spatial hierarchy, the </w:t>
      </w:r>
      <w:r>
        <w:rPr>
          <w:rFonts w:ascii="Times New Roman" w:eastAsia="Times New Roman" w:hAnsi="Times New Roman" w:cs="Times New Roman"/>
          <w:i/>
          <w:iCs/>
          <w:sz w:val="24"/>
          <w:szCs w:val="24"/>
        </w:rPr>
        <w:t>Sala</w:t>
      </w:r>
      <w:r>
        <w:rPr>
          <w:rFonts w:ascii="Times New Roman" w:eastAsia="Times New Roman" w:hAnsi="Times New Roman" w:cs="Times New Roman"/>
          <w:sz w:val="24"/>
          <w:szCs w:val="24"/>
        </w:rPr>
        <w:t xml:space="preserve"> functioned as the primary arena for grand balls, formal receptions, and evening dinners. Its expansive scale and ornate decoration were intended to awe visitors, reflecting European t</w:t>
      </w:r>
      <w:r>
        <w:rPr>
          <w:rFonts w:ascii="Times New Roman" w:eastAsia="Times New Roman" w:hAnsi="Times New Roman" w:cs="Times New Roman"/>
          <w:sz w:val="24"/>
          <w:szCs w:val="24"/>
        </w:rPr>
        <w:t>raditions of aristocratic hospitality.</w:t>
      </w:r>
    </w:p>
    <w:p w14:paraId="566AB078" w14:textId="77777777" w:rsidR="005F74F9" w:rsidRDefault="00130F1A">
      <w:pPr>
        <w:numPr>
          <w:ilvl w:val="0"/>
          <w:numId w:val="13"/>
        </w:numPr>
        <w:spacing w:line="240" w:lineRule="auto"/>
        <w:jc w:val="both"/>
      </w:pPr>
      <w:r>
        <w:rPr>
          <w:rFonts w:ascii="Times New Roman" w:eastAsia="Times New Roman" w:hAnsi="Times New Roman" w:cs="Times New Roman"/>
          <w:b/>
          <w:bCs/>
          <w:sz w:val="24"/>
          <w:szCs w:val="24"/>
        </w:rPr>
        <w:t>The Dining Room:</w:t>
      </w:r>
      <w:r>
        <w:rPr>
          <w:rFonts w:ascii="Times New Roman" w:eastAsia="Times New Roman" w:hAnsi="Times New Roman" w:cs="Times New Roman"/>
          <w:sz w:val="24"/>
          <w:szCs w:val="24"/>
        </w:rPr>
        <w:t xml:space="preserve"> Often scaled to accommodate up to 100 guests, the dining room was not merely a functional space for sustenance but a vital sociological tool. In Goan Catholic culture, large-scale communal dining was </w:t>
      </w:r>
      <w:r>
        <w:rPr>
          <w:rFonts w:ascii="Times New Roman" w:eastAsia="Times New Roman" w:hAnsi="Times New Roman" w:cs="Times New Roman"/>
          <w:sz w:val="24"/>
          <w:szCs w:val="24"/>
        </w:rPr>
        <w:t>intrinsically linked to religious festivals (</w:t>
      </w:r>
      <w:r>
        <w:rPr>
          <w:rFonts w:ascii="Times New Roman" w:eastAsia="Times New Roman" w:hAnsi="Times New Roman" w:cs="Times New Roman"/>
          <w:i/>
          <w:iCs/>
          <w:sz w:val="24"/>
          <w:szCs w:val="24"/>
        </w:rPr>
        <w:t>festas</w:t>
      </w:r>
      <w:r>
        <w:rPr>
          <w:rFonts w:ascii="Times New Roman" w:eastAsia="Times New Roman" w:hAnsi="Times New Roman" w:cs="Times New Roman"/>
          <w:sz w:val="24"/>
          <w:szCs w:val="24"/>
        </w:rPr>
        <w:t xml:space="preserve">), political networking, and the maintenance of extended familial alliances. The capacity to host such vast gatherings underscored the family's central role in the socio-religious fabric of </w:t>
      </w:r>
      <w:proofErr w:type="spellStart"/>
      <w:r>
        <w:rPr>
          <w:rFonts w:ascii="Times New Roman" w:eastAsia="Times New Roman" w:hAnsi="Times New Roman" w:cs="Times New Roman"/>
          <w:sz w:val="24"/>
          <w:szCs w:val="24"/>
        </w:rPr>
        <w:t>Margao</w:t>
      </w:r>
      <w:proofErr w:type="spellEnd"/>
      <w:r>
        <w:rPr>
          <w:rFonts w:ascii="Times New Roman" w:eastAsia="Times New Roman" w:hAnsi="Times New Roman" w:cs="Times New Roman"/>
          <w:sz w:val="24"/>
          <w:szCs w:val="24"/>
        </w:rPr>
        <w:t>.</w:t>
      </w:r>
    </w:p>
    <w:p w14:paraId="5600C1FC" w14:textId="77777777" w:rsidR="005F74F9" w:rsidRDefault="00130F1A">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Spatial</w:t>
      </w:r>
      <w:r>
        <w:rPr>
          <w:rFonts w:ascii="Times New Roman" w:eastAsia="Times New Roman" w:hAnsi="Times New Roman" w:cs="Times New Roman"/>
          <w:b/>
          <w:bCs/>
          <w:sz w:val="24"/>
          <w:szCs w:val="24"/>
        </w:rPr>
        <w:t xml:space="preserve"> dichotomy</w:t>
      </w:r>
    </w:p>
    <w:p w14:paraId="761ECAF1" w14:textId="77777777" w:rsidR="005F74F9" w:rsidRDefault="00130F1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Visibility of Leisure and the Invisibility of Labor Perhaps the most critical sociological feature of the Miranda House's floor plan is its rigid spatial segregation, which physically manifests the era's class hierarchies.</w:t>
      </w:r>
    </w:p>
    <w:p w14:paraId="165C7D0F" w14:textId="77777777" w:rsidR="005F74F9" w:rsidRDefault="00130F1A">
      <w:pPr>
        <w:numPr>
          <w:ilvl w:val="0"/>
          <w:numId w:val="14"/>
        </w:numPr>
        <w:spacing w:line="240" w:lineRule="auto"/>
        <w:jc w:val="both"/>
      </w:pPr>
      <w:r>
        <w:rPr>
          <w:rFonts w:ascii="Times New Roman" w:eastAsia="Times New Roman" w:hAnsi="Times New Roman" w:cs="Times New Roman"/>
          <w:b/>
          <w:bCs/>
          <w:sz w:val="24"/>
          <w:szCs w:val="24"/>
        </w:rPr>
        <w:t>Front-Stage vs. Ba</w:t>
      </w:r>
      <w:r>
        <w:rPr>
          <w:rFonts w:ascii="Times New Roman" w:eastAsia="Times New Roman" w:hAnsi="Times New Roman" w:cs="Times New Roman"/>
          <w:b/>
          <w:bCs/>
          <w:sz w:val="24"/>
          <w:szCs w:val="24"/>
        </w:rPr>
        <w:t>ck-Stage:</w:t>
      </w:r>
      <w:r>
        <w:rPr>
          <w:rFonts w:ascii="Times New Roman" w:eastAsia="Times New Roman" w:hAnsi="Times New Roman" w:cs="Times New Roman"/>
          <w:sz w:val="24"/>
          <w:szCs w:val="24"/>
        </w:rPr>
        <w:t xml:space="preserve"> The layout establishes a stark dichotomy between the "social" aspects of the house (the highly decorated, public-facing reception rooms) and the "service" aspects (the kitchen, utilitarian courtyards, and storage rooms like the </w:t>
      </w:r>
      <w:r>
        <w:rPr>
          <w:rFonts w:ascii="Times New Roman" w:eastAsia="Times New Roman" w:hAnsi="Times New Roman" w:cs="Times New Roman"/>
          <w:i/>
          <w:iCs/>
          <w:sz w:val="24"/>
          <w:szCs w:val="24"/>
        </w:rPr>
        <w:t>Casaro</w:t>
      </w:r>
      <w:r>
        <w:rPr>
          <w:rFonts w:ascii="Times New Roman" w:eastAsia="Times New Roman" w:hAnsi="Times New Roman" w:cs="Times New Roman"/>
          <w:sz w:val="24"/>
          <w:szCs w:val="24"/>
        </w:rPr>
        <w:t>).</w:t>
      </w:r>
    </w:p>
    <w:p w14:paraId="42E15437" w14:textId="5EEA3AE5" w:rsidR="005F74F9" w:rsidRPr="00DD7F78" w:rsidRDefault="00130F1A" w:rsidP="00DD7F78">
      <w:pPr>
        <w:numPr>
          <w:ilvl w:val="0"/>
          <w:numId w:val="14"/>
        </w:numPr>
        <w:spacing w:line="240" w:lineRule="auto"/>
        <w:jc w:val="both"/>
      </w:pPr>
      <w:r>
        <w:rPr>
          <w:rFonts w:ascii="Times New Roman" w:eastAsia="Times New Roman" w:hAnsi="Times New Roman" w:cs="Times New Roman"/>
          <w:b/>
          <w:bCs/>
          <w:sz w:val="24"/>
          <w:szCs w:val="24"/>
        </w:rPr>
        <w:t>The Illus</w:t>
      </w:r>
      <w:r>
        <w:rPr>
          <w:rFonts w:ascii="Times New Roman" w:eastAsia="Times New Roman" w:hAnsi="Times New Roman" w:cs="Times New Roman"/>
          <w:b/>
          <w:bCs/>
          <w:sz w:val="24"/>
          <w:szCs w:val="24"/>
        </w:rPr>
        <w:t>ion of Effortless Hospitality:</w:t>
      </w:r>
      <w:r>
        <w:rPr>
          <w:rFonts w:ascii="Times New Roman" w:eastAsia="Times New Roman" w:hAnsi="Times New Roman" w:cs="Times New Roman"/>
          <w:sz w:val="24"/>
          <w:szCs w:val="24"/>
        </w:rPr>
        <w:t xml:space="preserve"> By relegating the kitchen and domestic workspaces to the deep rear or lower levels of the property, the architecture ensured that the intense physical labour required to maintain the household and execute grand social events </w:t>
      </w:r>
      <w:r>
        <w:rPr>
          <w:rFonts w:ascii="Times New Roman" w:eastAsia="Times New Roman" w:hAnsi="Times New Roman" w:cs="Times New Roman"/>
          <w:sz w:val="24"/>
          <w:szCs w:val="24"/>
        </w:rPr>
        <w:t>remained entirely invisible to guests. This spatial marginalization of domestic staff and labour reinforced the social stratification of the period, allowing the elite inhabitants to present an illusion of effortless luxury and refined colonial gentility.</w:t>
      </w:r>
    </w:p>
    <w:p w14:paraId="5968A51C" w14:textId="77777777" w:rsidR="005F74F9" w:rsidRDefault="00130F1A">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CONCLUSION: THE LEGACY OF INDO-PORTUGUESE SPATIAL SYNTHESIS</w:t>
      </w:r>
    </w:p>
    <w:p w14:paraId="1E9308ED" w14:textId="77777777" w:rsidR="005F74F9" w:rsidRDefault="00130F1A">
      <w:pPr>
        <w:pBdr>
          <w:top w:val="nil"/>
          <w:left w:val="nil"/>
          <w:bottom w:val="nil"/>
          <w:right w:val="nil"/>
          <w:between w:val="nil"/>
        </w:pBdr>
        <w:spacing w:before="28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The Culmination of Syncretic Design</w:t>
      </w:r>
      <w:r>
        <w:rPr>
          <w:rFonts w:ascii="Times New Roman" w:eastAsia="Times New Roman" w:hAnsi="Times New Roman" w:cs="Times New Roman"/>
          <w:color w:val="000000"/>
          <w:sz w:val="24"/>
          <w:szCs w:val="24"/>
        </w:rPr>
        <w:t xml:space="preserve"> </w:t>
      </w:r>
    </w:p>
    <w:p w14:paraId="09CA3934" w14:textId="77777777" w:rsidR="005F74F9" w:rsidRDefault="00130F1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Miranda House in </w:t>
      </w:r>
      <w:proofErr w:type="spellStart"/>
      <w:r>
        <w:rPr>
          <w:rFonts w:ascii="Times New Roman" w:eastAsia="Times New Roman" w:hAnsi="Times New Roman" w:cs="Times New Roman"/>
          <w:color w:val="000000"/>
          <w:sz w:val="24"/>
          <w:szCs w:val="24"/>
        </w:rPr>
        <w:t>Margao</w:t>
      </w:r>
      <w:proofErr w:type="spellEnd"/>
      <w:r>
        <w:rPr>
          <w:rFonts w:ascii="Times New Roman" w:eastAsia="Times New Roman" w:hAnsi="Times New Roman" w:cs="Times New Roman"/>
          <w:color w:val="000000"/>
          <w:sz w:val="24"/>
          <w:szCs w:val="24"/>
        </w:rPr>
        <w:t xml:space="preserve"> stands as a profound testament to the endurance and ingenuity of Indo-Portuguese architectural design. Far from being a mere colonial imposition, the structure represents a highly successful, hybridized translation of space. It masterfully marries the out</w:t>
      </w:r>
      <w:r>
        <w:rPr>
          <w:rFonts w:ascii="Times New Roman" w:eastAsia="Times New Roman" w:hAnsi="Times New Roman" w:cs="Times New Roman"/>
          <w:color w:val="000000"/>
          <w:sz w:val="24"/>
          <w:szCs w:val="24"/>
        </w:rPr>
        <w:t>ward</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facing grandeur and rhythmic symmetry of European baroque and neoclassical façades with the rigorous functional necessities dictated by the Indian tropical climate. This synthesis demonstrates how colonial aesthetic aspirations were continually negoti</w:t>
      </w:r>
      <w:r>
        <w:rPr>
          <w:rFonts w:ascii="Times New Roman" w:eastAsia="Times New Roman" w:hAnsi="Times New Roman" w:cs="Times New Roman"/>
          <w:color w:val="000000"/>
          <w:sz w:val="24"/>
          <w:szCs w:val="24"/>
        </w:rPr>
        <w:t>ated and refined by indigenous craftsmen, resulting in a localized vernacular that is both visually commanding and environmentally resilient.</w:t>
      </w:r>
    </w:p>
    <w:p w14:paraId="2E012FD9" w14:textId="77777777" w:rsidR="005F74F9" w:rsidRDefault="00130F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 Historical Blueprint for Sustainable Tropical Living</w:t>
      </w:r>
      <w:r>
        <w:rPr>
          <w:rFonts w:ascii="Times New Roman" w:eastAsia="Times New Roman" w:hAnsi="Times New Roman" w:cs="Times New Roman"/>
          <w:color w:val="000000"/>
          <w:sz w:val="24"/>
          <w:szCs w:val="24"/>
        </w:rPr>
        <w:t xml:space="preserve"> </w:t>
      </w:r>
    </w:p>
    <w:p w14:paraId="7E9554E5" w14:textId="77777777" w:rsidR="005F74F9" w:rsidRDefault="00130F1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architectural success of the Miranda House lies heavily in its internal spatial organization, which is meticulously </w:t>
      </w:r>
      <w:proofErr w:type="spellStart"/>
      <w:r>
        <w:rPr>
          <w:rFonts w:ascii="Times New Roman" w:eastAsia="Times New Roman" w:hAnsi="Times New Roman" w:cs="Times New Roman"/>
          <w:color w:val="000000"/>
          <w:sz w:val="24"/>
          <w:szCs w:val="24"/>
        </w:rPr>
        <w:t>centered</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around</w:t>
      </w:r>
      <w:proofErr w:type="gramEnd"/>
      <w:r>
        <w:rPr>
          <w:rFonts w:ascii="Times New Roman" w:eastAsia="Times New Roman" w:hAnsi="Times New Roman" w:cs="Times New Roman"/>
          <w:color w:val="000000"/>
          <w:sz w:val="24"/>
          <w:szCs w:val="24"/>
        </w:rPr>
        <w:t xml:space="preserve"> the management of light, natural ventilation, and the articulation of social hierarchy. By employing passive cooling str</w:t>
      </w:r>
      <w:r>
        <w:rPr>
          <w:rFonts w:ascii="Times New Roman" w:eastAsia="Times New Roman" w:hAnsi="Times New Roman" w:cs="Times New Roman"/>
          <w:color w:val="000000"/>
          <w:sz w:val="24"/>
          <w:szCs w:val="24"/>
        </w:rPr>
        <w:t>ategies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such as the thermal regulation of the central courtyard (</w:t>
      </w:r>
      <w:proofErr w:type="spellStart"/>
      <w:r>
        <w:rPr>
          <w:rFonts w:ascii="Times New Roman" w:eastAsia="Times New Roman" w:hAnsi="Times New Roman" w:cs="Times New Roman"/>
          <w:i/>
          <w:iCs/>
          <w:color w:val="000000"/>
          <w:sz w:val="24"/>
          <w:szCs w:val="24"/>
        </w:rPr>
        <w:t>rajangan</w:t>
      </w:r>
      <w:proofErr w:type="spellEnd"/>
      <w:r>
        <w:rPr>
          <w:rFonts w:ascii="Times New Roman" w:eastAsia="Times New Roman" w:hAnsi="Times New Roman" w:cs="Times New Roman"/>
          <w:color w:val="000000"/>
          <w:sz w:val="24"/>
          <w:szCs w:val="24"/>
        </w:rPr>
        <w:t xml:space="preserve">), deeply recessed fenestrations, and permeable </w:t>
      </w:r>
      <w:proofErr w:type="spellStart"/>
      <w:r>
        <w:rPr>
          <w:rFonts w:ascii="Times New Roman" w:eastAsia="Times New Roman" w:hAnsi="Times New Roman" w:cs="Times New Roman"/>
          <w:i/>
          <w:iCs/>
          <w:color w:val="000000"/>
          <w:sz w:val="24"/>
          <w:szCs w:val="24"/>
        </w:rPr>
        <w:t>jali</w:t>
      </w:r>
      <w:proofErr w:type="spellEnd"/>
      <w:r>
        <w:rPr>
          <w:rFonts w:ascii="Times New Roman" w:eastAsia="Times New Roman" w:hAnsi="Times New Roman" w:cs="Times New Roman"/>
          <w:color w:val="000000"/>
          <w:sz w:val="24"/>
          <w:szCs w:val="24"/>
        </w:rPr>
        <w:t xml:space="preserve"> (lattice) interfaces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the residence achieved a high degree of climatic comfort long before the advent of mechanical cooling. Conseq</w:t>
      </w:r>
      <w:r>
        <w:rPr>
          <w:rFonts w:ascii="Times New Roman" w:eastAsia="Times New Roman" w:hAnsi="Times New Roman" w:cs="Times New Roman"/>
          <w:color w:val="000000"/>
          <w:sz w:val="24"/>
          <w:szCs w:val="24"/>
        </w:rPr>
        <w:t>uently, the spatial syntax of the house does not merely reflect the socio-economic prestige of its 17th-century inhabitants; it provides a historical blueprint for sustainable, climate-responsive luxury that remains highly relevant to contemporary architec</w:t>
      </w:r>
      <w:r>
        <w:rPr>
          <w:rFonts w:ascii="Times New Roman" w:eastAsia="Times New Roman" w:hAnsi="Times New Roman" w:cs="Times New Roman"/>
          <w:color w:val="000000"/>
          <w:sz w:val="24"/>
          <w:szCs w:val="24"/>
        </w:rPr>
        <w:t>tural discourse.</w:t>
      </w:r>
    </w:p>
    <w:p w14:paraId="41E6D6D1" w14:textId="77777777" w:rsidR="005F74F9" w:rsidRDefault="00130F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The Imperative of Heritage Conservation</w:t>
      </w:r>
      <w:r>
        <w:rPr>
          <w:rFonts w:ascii="Times New Roman" w:eastAsia="Times New Roman" w:hAnsi="Times New Roman" w:cs="Times New Roman"/>
          <w:color w:val="000000"/>
          <w:sz w:val="24"/>
          <w:szCs w:val="24"/>
        </w:rPr>
        <w:t xml:space="preserve"> </w:t>
      </w:r>
    </w:p>
    <w:p w14:paraId="4FCBF30E" w14:textId="77777777" w:rsidR="005F74F9" w:rsidRDefault="00130F1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preservation of such structures extends far beyond the nostalgic cataloguing of architectural history. Conserving the Miranda House is an academic and cultural imperative. It serves as a vital p</w:t>
      </w:r>
      <w:r>
        <w:rPr>
          <w:rFonts w:ascii="Times New Roman" w:eastAsia="Times New Roman" w:hAnsi="Times New Roman" w:cs="Times New Roman"/>
          <w:color w:val="000000"/>
          <w:sz w:val="24"/>
          <w:szCs w:val="24"/>
        </w:rPr>
        <w:t>edagogical tool for understanding how built environments can successfully adapt to hyper-local geographies and cultural paradigms without sacrificing their distinct stylistic identities. In an era increasingly dominated by homogenous, globalized architectu</w:t>
      </w:r>
      <w:r>
        <w:rPr>
          <w:rFonts w:ascii="Times New Roman" w:eastAsia="Times New Roman" w:hAnsi="Times New Roman" w:cs="Times New Roman"/>
          <w:color w:val="000000"/>
          <w:sz w:val="24"/>
          <w:szCs w:val="24"/>
        </w:rPr>
        <w:t>re, this residence offers critical lessons in contextual, site</w:t>
      </w:r>
      <w:r>
        <w:rPr>
          <w:rFonts w:ascii="Times New Roman" w:eastAsia="Times New Roman" w:hAnsi="Times New Roman" w:cs="Times New Roman"/>
          <w:sz w:val="24"/>
          <w:szCs w:val="24"/>
        </w:rPr>
        <w:t xml:space="preserve"> s</w:t>
      </w:r>
      <w:r>
        <w:rPr>
          <w:rFonts w:ascii="Times New Roman" w:eastAsia="Times New Roman" w:hAnsi="Times New Roman" w:cs="Times New Roman"/>
          <w:color w:val="000000"/>
          <w:sz w:val="24"/>
          <w:szCs w:val="24"/>
        </w:rPr>
        <w:t>pecific design and material sustainability.</w:t>
      </w:r>
    </w:p>
    <w:p w14:paraId="5E3845D6" w14:textId="77777777" w:rsidR="005F74F9" w:rsidRDefault="00130F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Material Culture and Synthesized Identity</w:t>
      </w:r>
      <w:r>
        <w:rPr>
          <w:rFonts w:ascii="Times New Roman" w:eastAsia="Times New Roman" w:hAnsi="Times New Roman" w:cs="Times New Roman"/>
          <w:color w:val="000000"/>
          <w:sz w:val="24"/>
          <w:szCs w:val="24"/>
        </w:rPr>
        <w:t xml:space="preserve"> </w:t>
      </w:r>
    </w:p>
    <w:p w14:paraId="2FDC1635" w14:textId="41F19FD6" w:rsidR="005F74F9" w:rsidRDefault="00130F1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Ultimately, the Miranda House remains a pinnacle of Goan built heritage. It operates as a three-dimension</w:t>
      </w:r>
      <w:r>
        <w:rPr>
          <w:rFonts w:ascii="Times New Roman" w:eastAsia="Times New Roman" w:hAnsi="Times New Roman" w:cs="Times New Roman"/>
          <w:color w:val="000000"/>
          <w:sz w:val="24"/>
          <w:szCs w:val="24"/>
        </w:rPr>
        <w:t xml:space="preserve">al archive where the macro-scale of its </w:t>
      </w:r>
      <w:r w:rsidR="00DD7F78">
        <w:rPr>
          <w:rFonts w:ascii="Times New Roman" w:eastAsia="Times New Roman" w:hAnsi="Times New Roman" w:cs="Times New Roman"/>
          <w:color w:val="000000"/>
          <w:sz w:val="24"/>
          <w:szCs w:val="24"/>
        </w:rPr>
        <w:t>high</w:t>
      </w:r>
      <w:r w:rsidR="00DD7F78">
        <w:rPr>
          <w:rFonts w:ascii="Times New Roman" w:eastAsia="Times New Roman" w:hAnsi="Times New Roman" w:cs="Times New Roman"/>
          <w:sz w:val="24"/>
          <w:szCs w:val="24"/>
        </w:rPr>
        <w:t>-pitched</w:t>
      </w:r>
      <w:r>
        <w:rPr>
          <w:rFonts w:ascii="Times New Roman" w:eastAsia="Times New Roman" w:hAnsi="Times New Roman" w:cs="Times New Roman"/>
          <w:color w:val="000000"/>
          <w:sz w:val="24"/>
          <w:szCs w:val="24"/>
        </w:rPr>
        <w:t xml:space="preserve"> terracotta roofs and the micro</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scale of its </w:t>
      </w:r>
      <w:proofErr w:type="spellStart"/>
      <w:r>
        <w:rPr>
          <w:rFonts w:ascii="Times New Roman" w:eastAsia="Times New Roman" w:hAnsi="Times New Roman" w:cs="Times New Roman"/>
          <w:i/>
          <w:iCs/>
          <w:color w:val="000000"/>
          <w:sz w:val="24"/>
          <w:szCs w:val="24"/>
        </w:rPr>
        <w:t>Placuna</w:t>
      </w:r>
      <w:proofErr w:type="spellEnd"/>
      <w:r>
        <w:rPr>
          <w:rFonts w:ascii="Times New Roman" w:eastAsia="Times New Roman" w:hAnsi="Times New Roman" w:cs="Times New Roman"/>
          <w:i/>
          <w:iCs/>
          <w:color w:val="000000"/>
          <w:sz w:val="24"/>
          <w:szCs w:val="24"/>
        </w:rPr>
        <w:t xml:space="preserve"> placenta</w:t>
      </w:r>
      <w:r>
        <w:rPr>
          <w:rFonts w:ascii="Times New Roman" w:eastAsia="Times New Roman" w:hAnsi="Times New Roman" w:cs="Times New Roman"/>
          <w:color w:val="000000"/>
          <w:sz w:val="24"/>
          <w:szCs w:val="24"/>
        </w:rPr>
        <w:t xml:space="preserve"> (mother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pearl) windows, intricately carved doorways, and period-specific furniture coalesce. Every structural and decorative element within</w:t>
      </w:r>
      <w:r>
        <w:rPr>
          <w:rFonts w:ascii="Times New Roman" w:eastAsia="Times New Roman" w:hAnsi="Times New Roman" w:cs="Times New Roman"/>
          <w:color w:val="000000"/>
          <w:sz w:val="24"/>
          <w:szCs w:val="24"/>
        </w:rPr>
        <w:t xml:space="preserve"> its walls articulates the complex narrative of a synthesized Luso-Indian civilization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 civilization that forged a distinct, enduring identity at the vibrant intersection of the East and the West.</w:t>
      </w:r>
    </w:p>
    <w:p w14:paraId="01445579" w14:textId="6E666FE6" w:rsidR="005F74F9" w:rsidRDefault="005F74F9">
      <w:pPr>
        <w:pBdr>
          <w:top w:val="nil"/>
          <w:left w:val="nil"/>
          <w:bottom w:val="nil"/>
          <w:right w:val="nil"/>
          <w:between w:val="nil"/>
        </w:pBdr>
        <w:spacing w:after="280" w:line="240" w:lineRule="auto"/>
        <w:jc w:val="both"/>
        <w:rPr>
          <w:rFonts w:ascii="Times New Roman" w:eastAsia="Times New Roman" w:hAnsi="Times New Roman" w:cs="Times New Roman"/>
          <w:color w:val="000000"/>
          <w:sz w:val="24"/>
          <w:szCs w:val="24"/>
        </w:rPr>
      </w:pPr>
    </w:p>
    <w:p w14:paraId="358FB7DB" w14:textId="77777777" w:rsidR="005F74F9" w:rsidRDefault="00130F1A">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658D2F8A" w14:textId="77777777" w:rsidR="005F74F9" w:rsidRDefault="00130F1A">
      <w:pPr>
        <w:numPr>
          <w:ilvl w:val="0"/>
          <w:numId w:val="1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Fernandes, A.</w:t>
      </w:r>
      <w:r>
        <w:rPr>
          <w:rFonts w:ascii="Times New Roman" w:eastAsia="Times New Roman" w:hAnsi="Times New Roman" w:cs="Times New Roman"/>
          <w:sz w:val="24"/>
          <w:szCs w:val="24"/>
        </w:rPr>
        <w:t xml:space="preserve"> (2011). </w:t>
      </w:r>
      <w:r>
        <w:rPr>
          <w:rFonts w:ascii="Times New Roman" w:eastAsia="Times New Roman" w:hAnsi="Times New Roman" w:cs="Times New Roman"/>
          <w:i/>
          <w:iCs/>
          <w:sz w:val="24"/>
          <w:szCs w:val="24"/>
        </w:rPr>
        <w:t xml:space="preserve">The Heritage Houses of </w:t>
      </w:r>
      <w:r>
        <w:rPr>
          <w:rFonts w:ascii="Times New Roman" w:eastAsia="Times New Roman" w:hAnsi="Times New Roman" w:cs="Times New Roman"/>
          <w:i/>
          <w:iCs/>
          <w:sz w:val="24"/>
          <w:szCs w:val="24"/>
        </w:rPr>
        <w:t>Goa</w:t>
      </w:r>
      <w:r>
        <w:rPr>
          <w:rFonts w:ascii="Times New Roman" w:eastAsia="Times New Roman" w:hAnsi="Times New Roman" w:cs="Times New Roman"/>
          <w:sz w:val="24"/>
          <w:szCs w:val="24"/>
        </w:rPr>
        <w:t>. Deccan Books.</w:t>
      </w:r>
    </w:p>
    <w:p w14:paraId="7465A469" w14:textId="77777777" w:rsidR="005F74F9" w:rsidRDefault="00130F1A">
      <w:pPr>
        <w:numPr>
          <w:ilvl w:val="0"/>
          <w:numId w:val="1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Gomes, P. P.</w:t>
      </w:r>
      <w:r>
        <w:rPr>
          <w:rFonts w:ascii="Times New Roman" w:eastAsia="Times New Roman" w:hAnsi="Times New Roman" w:cs="Times New Roman"/>
          <w:sz w:val="24"/>
          <w:szCs w:val="24"/>
        </w:rPr>
        <w:t xml:space="preserve"> (2016). </w:t>
      </w:r>
      <w:r>
        <w:rPr>
          <w:rFonts w:ascii="Times New Roman" w:eastAsia="Times New Roman" w:hAnsi="Times New Roman" w:cs="Times New Roman"/>
          <w:i/>
          <w:iCs/>
          <w:sz w:val="24"/>
          <w:szCs w:val="24"/>
        </w:rPr>
        <w:t>Portuguese Architecture in the East: Goa and Macau</w:t>
      </w:r>
      <w:r>
        <w:rPr>
          <w:rFonts w:ascii="Times New Roman" w:eastAsia="Times New Roman" w:hAnsi="Times New Roman" w:cs="Times New Roman"/>
          <w:sz w:val="24"/>
          <w:szCs w:val="24"/>
        </w:rPr>
        <w:t>. University of Coimbra Press.</w:t>
      </w:r>
    </w:p>
    <w:p w14:paraId="7A6143D5" w14:textId="77777777" w:rsidR="005F74F9" w:rsidRDefault="00130F1A">
      <w:pPr>
        <w:numPr>
          <w:ilvl w:val="0"/>
          <w:numId w:val="1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Mascarenhas, A.</w:t>
      </w:r>
      <w:r>
        <w:rPr>
          <w:rFonts w:ascii="Times New Roman" w:eastAsia="Times New Roman" w:hAnsi="Times New Roman" w:cs="Times New Roman"/>
          <w:sz w:val="24"/>
          <w:szCs w:val="24"/>
        </w:rPr>
        <w:t xml:space="preserve"> (2004). </w:t>
      </w:r>
      <w:r>
        <w:rPr>
          <w:rFonts w:ascii="Times New Roman" w:eastAsia="Times New Roman" w:hAnsi="Times New Roman" w:cs="Times New Roman"/>
          <w:i/>
          <w:iCs/>
          <w:sz w:val="24"/>
          <w:szCs w:val="24"/>
        </w:rPr>
        <w:t>Goa: Resilience and Renaissance</w:t>
      </w:r>
      <w:r>
        <w:rPr>
          <w:rFonts w:ascii="Times New Roman" w:eastAsia="Times New Roman" w:hAnsi="Times New Roman" w:cs="Times New Roman"/>
          <w:sz w:val="24"/>
          <w:szCs w:val="24"/>
        </w:rPr>
        <w:t>. Architecture + Design Magazine.</w:t>
      </w:r>
    </w:p>
    <w:p w14:paraId="00742D9B" w14:textId="77777777" w:rsidR="005F74F9" w:rsidRDefault="00130F1A">
      <w:pPr>
        <w:numPr>
          <w:ilvl w:val="0"/>
          <w:numId w:val="1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Osswald, M. C.</w:t>
      </w:r>
      <w:r>
        <w:rPr>
          <w:rFonts w:ascii="Times New Roman" w:eastAsia="Times New Roman" w:hAnsi="Times New Roman" w:cs="Times New Roman"/>
          <w:sz w:val="24"/>
          <w:szCs w:val="24"/>
        </w:rPr>
        <w:t xml:space="preserve"> (2010). </w:t>
      </w:r>
      <w:r>
        <w:rPr>
          <w:rFonts w:ascii="Times New Roman" w:eastAsia="Times New Roman" w:hAnsi="Times New Roman" w:cs="Times New Roman"/>
          <w:i/>
          <w:iCs/>
          <w:sz w:val="24"/>
          <w:szCs w:val="24"/>
        </w:rPr>
        <w:t>Art and Architecture in</w:t>
      </w:r>
      <w:r>
        <w:rPr>
          <w:rFonts w:ascii="Times New Roman" w:eastAsia="Times New Roman" w:hAnsi="Times New Roman" w:cs="Times New Roman"/>
          <w:i/>
          <w:iCs/>
          <w:sz w:val="24"/>
          <w:szCs w:val="24"/>
        </w:rPr>
        <w:t xml:space="preserve"> Early Modern Goa</w:t>
      </w:r>
      <w:r>
        <w:rPr>
          <w:rFonts w:ascii="Times New Roman" w:eastAsia="Times New Roman" w:hAnsi="Times New Roman" w:cs="Times New Roman"/>
          <w:sz w:val="24"/>
          <w:szCs w:val="24"/>
        </w:rPr>
        <w:t>. Journal of Art History.</w:t>
      </w:r>
    </w:p>
    <w:p w14:paraId="04064417" w14:textId="77777777" w:rsidR="005F74F9" w:rsidRDefault="00130F1A">
      <w:pPr>
        <w:numPr>
          <w:ilvl w:val="0"/>
          <w:numId w:val="1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Rangel, J.</w:t>
      </w:r>
      <w:r>
        <w:rPr>
          <w:rFonts w:ascii="Times New Roman" w:eastAsia="Times New Roman" w:hAnsi="Times New Roman" w:cs="Times New Roman"/>
          <w:sz w:val="24"/>
          <w:szCs w:val="24"/>
        </w:rPr>
        <w:t xml:space="preserve"> (2018). </w:t>
      </w:r>
      <w:r>
        <w:rPr>
          <w:rFonts w:ascii="Times New Roman" w:eastAsia="Times New Roman" w:hAnsi="Times New Roman" w:cs="Times New Roman"/>
          <w:i/>
          <w:iCs/>
          <w:sz w:val="24"/>
          <w:szCs w:val="24"/>
        </w:rPr>
        <w:t xml:space="preserve">The Indo-Portuguese House: A Study of </w:t>
      </w:r>
      <w:proofErr w:type="spellStart"/>
      <w:r>
        <w:rPr>
          <w:rFonts w:ascii="Times New Roman" w:eastAsia="Times New Roman" w:hAnsi="Times New Roman" w:cs="Times New Roman"/>
          <w:i/>
          <w:iCs/>
          <w:sz w:val="24"/>
          <w:szCs w:val="24"/>
        </w:rPr>
        <w:t>Margao’s</w:t>
      </w:r>
      <w:proofErr w:type="spellEnd"/>
      <w:r>
        <w:rPr>
          <w:rFonts w:ascii="Times New Roman" w:eastAsia="Times New Roman" w:hAnsi="Times New Roman" w:cs="Times New Roman"/>
          <w:i/>
          <w:iCs/>
          <w:sz w:val="24"/>
          <w:szCs w:val="24"/>
        </w:rPr>
        <w:t xml:space="preserve"> Urban Fabric</w:t>
      </w:r>
      <w:r>
        <w:rPr>
          <w:rFonts w:ascii="Times New Roman" w:eastAsia="Times New Roman" w:hAnsi="Times New Roman" w:cs="Times New Roman"/>
          <w:sz w:val="24"/>
          <w:szCs w:val="24"/>
        </w:rPr>
        <w:t>. Indian Institute of Architects Journal.</w:t>
      </w:r>
    </w:p>
    <w:p w14:paraId="7F6EE358" w14:textId="77777777" w:rsidR="005F74F9" w:rsidRDefault="00130F1A">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THANKS TO DEPARTMENT OF INTERIOR DESIGN, VEER NARMAD SOUTH GUJARAT UNIVERSITY, SURAT.</w:t>
      </w:r>
    </w:p>
    <w:sectPr w:rsidR="005F74F9">
      <w:pgSz w:w="11906" w:h="16838"/>
      <w:pgMar w:top="1080" w:right="605" w:bottom="605" w:left="605" w:header="346" w:footer="403"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1" w:fontKey="{E4CA2400-366C-4CA8-8639-44E7580CEAEB}"/>
    <w:embedBold r:id="rId2" w:fontKey="{B2652510-0FD0-4905-87F7-88B54745FC1D}"/>
    <w:embedItalic r:id="rId3" w:fontKey="{6481D82E-1337-4531-9A15-1A0FA1D2F930}"/>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A958717C-8D30-4F44-BB02-A2CD0D7C41EE}"/>
  </w:font>
  <w:font w:name="Shruti">
    <w:panose1 w:val="02000500000000000000"/>
    <w:charset w:val="01"/>
    <w:family w:val="roman"/>
    <w:notTrueType/>
    <w:pitch w:val="variable"/>
  </w:font>
  <w:font w:name="Cambria">
    <w:panose1 w:val="02040503050406030204"/>
    <w:charset w:val="00"/>
    <w:family w:val="roman"/>
    <w:pitch w:val="variable"/>
    <w:sig w:usb0="E00006FF" w:usb1="420024FF" w:usb2="02000000" w:usb3="00000000" w:csb0="0000019F" w:csb1="00000000"/>
    <w:embedRegular r:id="rId5" w:fontKey="{43C40545-41B0-4729-9E78-D040A7D5861B}"/>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42733"/>
    <w:multiLevelType w:val="multilevel"/>
    <w:tmpl w:val="047EC3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12A5701E"/>
    <w:multiLevelType w:val="multilevel"/>
    <w:tmpl w:val="DB90D5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147E4D7F"/>
    <w:multiLevelType w:val="multilevel"/>
    <w:tmpl w:val="9C1436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1A1C5265"/>
    <w:multiLevelType w:val="multilevel"/>
    <w:tmpl w:val="837824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2FB563D8"/>
    <w:multiLevelType w:val="multilevel"/>
    <w:tmpl w:val="3CA607BA"/>
    <w:lvl w:ilvl="0">
      <w:start w:val="1"/>
      <w:numFmt w:val="decimal"/>
      <w:lvlText w:val="%1."/>
      <w:lvlJc w:val="left"/>
      <w:pPr>
        <w:ind w:left="1080" w:hanging="360"/>
      </w:p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5">
    <w:nsid w:val="34556E1B"/>
    <w:multiLevelType w:val="multilevel"/>
    <w:tmpl w:val="B41AFF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35FC2FCA"/>
    <w:multiLevelType w:val="multilevel"/>
    <w:tmpl w:val="ADCAC4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3A935696"/>
    <w:multiLevelType w:val="multilevel"/>
    <w:tmpl w:val="24CAD5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47B9501C"/>
    <w:multiLevelType w:val="multilevel"/>
    <w:tmpl w:val="1E8092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50D77F61"/>
    <w:multiLevelType w:val="multilevel"/>
    <w:tmpl w:val="E8BC1E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525F4205"/>
    <w:multiLevelType w:val="multilevel"/>
    <w:tmpl w:val="E75A1E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52B6661E"/>
    <w:multiLevelType w:val="multilevel"/>
    <w:tmpl w:val="958CAC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nsid w:val="5415686F"/>
    <w:multiLevelType w:val="multilevel"/>
    <w:tmpl w:val="524E04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nsid w:val="54BD0DA8"/>
    <w:multiLevelType w:val="multilevel"/>
    <w:tmpl w:val="3A00A5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nsid w:val="57B514D1"/>
    <w:multiLevelType w:val="multilevel"/>
    <w:tmpl w:val="9B048B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62E54837"/>
    <w:multiLevelType w:val="multilevel"/>
    <w:tmpl w:val="762AC2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6"/>
  </w:num>
  <w:num w:numId="2">
    <w:abstractNumId w:val="13"/>
  </w:num>
  <w:num w:numId="3">
    <w:abstractNumId w:val="2"/>
  </w:num>
  <w:num w:numId="4">
    <w:abstractNumId w:val="11"/>
  </w:num>
  <w:num w:numId="5">
    <w:abstractNumId w:val="14"/>
  </w:num>
  <w:num w:numId="6">
    <w:abstractNumId w:val="3"/>
  </w:num>
  <w:num w:numId="7">
    <w:abstractNumId w:val="15"/>
  </w:num>
  <w:num w:numId="8">
    <w:abstractNumId w:val="7"/>
  </w:num>
  <w:num w:numId="9">
    <w:abstractNumId w:val="12"/>
  </w:num>
  <w:num w:numId="10">
    <w:abstractNumId w:val="10"/>
  </w:num>
  <w:num w:numId="11">
    <w:abstractNumId w:val="1"/>
  </w:num>
  <w:num w:numId="12">
    <w:abstractNumId w:val="8"/>
  </w:num>
  <w:num w:numId="13">
    <w:abstractNumId w:val="5"/>
  </w:num>
  <w:num w:numId="14">
    <w:abstractNumId w:val="0"/>
  </w:num>
  <w:num w:numId="15">
    <w:abstractNumId w:val="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4F9"/>
    <w:rsid w:val="00130F1A"/>
    <w:rsid w:val="005F74F9"/>
    <w:rsid w:val="00A22E0C"/>
    <w:rsid w:val="00DD7F78"/>
    <w:rsid w:val="00EB78AC"/>
    <w:rsid w:val="00FB1410"/>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9E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ptos" w:eastAsia="Aptos" w:hAnsi="Aptos" w:cs="Aptos"/>
        <w:sz w:val="22"/>
        <w:szCs w:val="22"/>
        <w:lang w:val="en-IN" w:eastAsia="en-IN" w:bidi="gu-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ptos" w:eastAsia="Aptos" w:hAnsi="Aptos" w:cs="Aptos"/>
        <w:sz w:val="22"/>
        <w:szCs w:val="22"/>
        <w:lang w:val="en-IN" w:eastAsia="en-IN" w:bidi="gu-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3231</Words>
  <Characters>18422</Characters>
  <Application>Microsoft Office Word</Application>
  <DocSecurity>0</DocSecurity>
  <Lines>153</Lines>
  <Paragraphs>43</Paragraphs>
  <ScaleCrop>false</ScaleCrop>
  <Company/>
  <LinksUpToDate>false</LinksUpToDate>
  <CharactersWithSpaces>21610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5</cp:revision>
  <dcterms:created xsi:type="dcterms:W3CDTF">2026-03-15T09:17:00Z</dcterms:created>
  <dcterms:modified xsi:type="dcterms:W3CDTF">2026-03-16T07:50:00Z</dcterms:modified>
</cp:coreProperties>
</file>