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AE957" w14:textId="3ADE4D05" w:rsidR="00A735F8" w:rsidRDefault="000D1C99" w:rsidP="00600812">
      <w:pPr>
        <w:jc w:val="center"/>
        <w:rPr>
          <w:rFonts w:ascii="Times New Roman" w:hAnsi="Times New Roman" w:cs="Times New Roman"/>
          <w:b/>
          <w:bCs/>
          <w:sz w:val="24"/>
          <w:szCs w:val="24"/>
        </w:rPr>
      </w:pPr>
      <w:r w:rsidRPr="005379BE">
        <w:rPr>
          <w:rFonts w:ascii="Times New Roman" w:hAnsi="Times New Roman" w:cs="Times New Roman"/>
          <w:b/>
          <w:bCs/>
          <w:sz w:val="24"/>
          <w:szCs w:val="24"/>
        </w:rPr>
        <w:t xml:space="preserve">ARTIFICIAL INTELLIGENCE-DRIVEN </w:t>
      </w:r>
      <w:r w:rsidR="00B677C8">
        <w:rPr>
          <w:rFonts w:ascii="Times New Roman" w:hAnsi="Times New Roman" w:cs="Times New Roman"/>
          <w:b/>
          <w:bCs/>
          <w:sz w:val="24"/>
          <w:szCs w:val="24"/>
        </w:rPr>
        <w:t xml:space="preserve">AND </w:t>
      </w:r>
      <w:r w:rsidRPr="005379BE">
        <w:rPr>
          <w:rFonts w:ascii="Times New Roman" w:hAnsi="Times New Roman" w:cs="Times New Roman"/>
          <w:b/>
          <w:bCs/>
          <w:sz w:val="24"/>
          <w:szCs w:val="24"/>
        </w:rPr>
        <w:t xml:space="preserve">CREDIT MANAGEMENT ON FINANCIAL PERFORMANCE OF DMB IN </w:t>
      </w:r>
      <w:r w:rsidR="0026613C">
        <w:rPr>
          <w:rFonts w:ascii="Times New Roman" w:hAnsi="Times New Roman" w:cs="Times New Roman"/>
          <w:b/>
          <w:bCs/>
          <w:sz w:val="24"/>
          <w:szCs w:val="24"/>
        </w:rPr>
        <w:t xml:space="preserve">ABUJA, </w:t>
      </w:r>
      <w:r w:rsidRPr="005379BE">
        <w:rPr>
          <w:rFonts w:ascii="Times New Roman" w:hAnsi="Times New Roman" w:cs="Times New Roman"/>
          <w:b/>
          <w:bCs/>
          <w:sz w:val="24"/>
          <w:szCs w:val="24"/>
        </w:rPr>
        <w:t>NIGER</w:t>
      </w:r>
      <w:r w:rsidR="00530D1B" w:rsidRPr="005379BE">
        <w:rPr>
          <w:rFonts w:ascii="Times New Roman" w:hAnsi="Times New Roman" w:cs="Times New Roman"/>
          <w:b/>
          <w:bCs/>
          <w:sz w:val="24"/>
          <w:szCs w:val="24"/>
        </w:rPr>
        <w:t>I</w:t>
      </w:r>
      <w:r w:rsidR="00A735F8" w:rsidRPr="005379BE">
        <w:rPr>
          <w:rFonts w:ascii="Times New Roman" w:hAnsi="Times New Roman" w:cs="Times New Roman"/>
          <w:b/>
          <w:bCs/>
          <w:sz w:val="24"/>
          <w:szCs w:val="24"/>
        </w:rPr>
        <w:t>A</w:t>
      </w:r>
    </w:p>
    <w:p w14:paraId="4AC6981E" w14:textId="56BA0401" w:rsidR="00A735F8" w:rsidRPr="005379BE" w:rsidRDefault="00A735F8" w:rsidP="00600812">
      <w:pPr>
        <w:jc w:val="both"/>
        <w:rPr>
          <w:rFonts w:ascii="Times New Roman" w:hAnsi="Times New Roman" w:cs="Times New Roman"/>
          <w:b/>
          <w:bCs/>
          <w:sz w:val="24"/>
          <w:szCs w:val="24"/>
        </w:rPr>
      </w:pPr>
      <w:bookmarkStart w:id="0" w:name="_GoBack"/>
      <w:bookmarkEnd w:id="0"/>
      <w:r w:rsidRPr="005379BE">
        <w:rPr>
          <w:rFonts w:ascii="Times New Roman" w:hAnsi="Times New Roman" w:cs="Times New Roman"/>
          <w:b/>
          <w:bCs/>
          <w:sz w:val="24"/>
          <w:szCs w:val="24"/>
        </w:rPr>
        <w:t>Abstract</w:t>
      </w:r>
    </w:p>
    <w:p w14:paraId="0A610247" w14:textId="4E2D6522" w:rsidR="00BE1C7A" w:rsidRPr="005379BE" w:rsidRDefault="00530D1B" w:rsidP="00BE1C7A">
      <w:pPr>
        <w:spacing w:before="100" w:beforeAutospacing="1" w:after="100" w:afterAutospacing="1" w:line="240" w:lineRule="auto"/>
        <w:jc w:val="both"/>
        <w:rPr>
          <w:rFonts w:ascii="Times New Roman" w:eastAsia="Times New Roman" w:hAnsi="Times New Roman" w:cs="Times New Roman"/>
          <w:i/>
          <w:iCs/>
          <w:sz w:val="24"/>
          <w:szCs w:val="24"/>
        </w:rPr>
      </w:pPr>
      <w:r w:rsidRPr="001307D1">
        <w:rPr>
          <w:rFonts w:ascii="Times New Roman" w:eastAsia="Times New Roman" w:hAnsi="Times New Roman" w:cs="Times New Roman"/>
          <w:i/>
          <w:iCs/>
          <w:sz w:val="24"/>
          <w:szCs w:val="24"/>
        </w:rPr>
        <w:t xml:space="preserve">This study examined Artificial Intelligence–Driven </w:t>
      </w:r>
      <w:r w:rsidR="00B677C8">
        <w:rPr>
          <w:rFonts w:ascii="Times New Roman" w:eastAsia="Times New Roman" w:hAnsi="Times New Roman" w:cs="Times New Roman"/>
          <w:i/>
          <w:iCs/>
          <w:sz w:val="24"/>
          <w:szCs w:val="24"/>
        </w:rPr>
        <w:t xml:space="preserve">and </w:t>
      </w:r>
      <w:r w:rsidRPr="001307D1">
        <w:rPr>
          <w:rFonts w:ascii="Times New Roman" w:eastAsia="Times New Roman" w:hAnsi="Times New Roman" w:cs="Times New Roman"/>
          <w:i/>
          <w:iCs/>
          <w:sz w:val="24"/>
          <w:szCs w:val="24"/>
        </w:rPr>
        <w:t>Credit Management (AICM) on the financial performance of selected Deposit Money Banks (DMBs) in Abuja, Nigeria. Specifically, the research focused on two key AICM indicators</w:t>
      </w:r>
      <w:r w:rsidRPr="005379BE">
        <w:rPr>
          <w:rFonts w:ascii="Times New Roman" w:eastAsia="Times New Roman" w:hAnsi="Times New Roman" w:cs="Times New Roman"/>
          <w:i/>
          <w:iCs/>
          <w:sz w:val="24"/>
          <w:szCs w:val="24"/>
        </w:rPr>
        <w:t xml:space="preserve"> </w:t>
      </w:r>
      <w:r w:rsidRPr="001307D1">
        <w:rPr>
          <w:rFonts w:ascii="Times New Roman" w:eastAsia="Times New Roman" w:hAnsi="Times New Roman" w:cs="Times New Roman"/>
          <w:i/>
          <w:iCs/>
          <w:sz w:val="24"/>
          <w:szCs w:val="24"/>
        </w:rPr>
        <w:t>Automated Credit Scoring Systems and Predictive Risk Analytics</w:t>
      </w:r>
      <w:r w:rsidR="00B677C8">
        <w:rPr>
          <w:rFonts w:ascii="Times New Roman" w:eastAsia="Times New Roman" w:hAnsi="Times New Roman" w:cs="Times New Roman"/>
          <w:i/>
          <w:iCs/>
          <w:sz w:val="24"/>
          <w:szCs w:val="24"/>
        </w:rPr>
        <w:t xml:space="preserve"> </w:t>
      </w:r>
      <w:r w:rsidRPr="001307D1">
        <w:rPr>
          <w:rFonts w:ascii="Times New Roman" w:eastAsia="Times New Roman" w:hAnsi="Times New Roman" w:cs="Times New Roman"/>
          <w:i/>
          <w:iCs/>
          <w:sz w:val="24"/>
          <w:szCs w:val="24"/>
        </w:rPr>
        <w:t>and their influence on profitability, asset quality, and overall financial stability. The study was motivated by the increasing integration of intelligent technologies in banking operations and the need to evaluate their measurable performance outcomes within Nigeria’s financial sector.</w:t>
      </w:r>
      <w:r w:rsidRPr="005379BE">
        <w:rPr>
          <w:rFonts w:ascii="Times New Roman" w:eastAsia="Times New Roman" w:hAnsi="Times New Roman" w:cs="Times New Roman"/>
          <w:i/>
          <w:iCs/>
          <w:sz w:val="24"/>
          <w:szCs w:val="24"/>
        </w:rPr>
        <w:t xml:space="preserve"> </w:t>
      </w:r>
      <w:r w:rsidRPr="001307D1">
        <w:rPr>
          <w:rFonts w:ascii="Times New Roman" w:eastAsia="Times New Roman" w:hAnsi="Times New Roman" w:cs="Times New Roman"/>
          <w:i/>
          <w:iCs/>
          <w:sz w:val="24"/>
          <w:szCs w:val="24"/>
        </w:rPr>
        <w:t>The population comprised 652 management staff and employees of selected DMBs in Abuja, from which a sample size of 248 respondents was determined using an appropriate sampling technique. Primary data were collected through structured questionnaires designed to capture perceptions and operational realities of AI-driven credit tools. Data analysis was conducted using the Statistical Package for Social Sciences (SPSS Version 27.0). Multiple linear regression, correlation analysis, and Analysis of Variance (ANOVA) were employed to test the study hypotheses and determine the strength, direction, and significance of relationships among variables.</w:t>
      </w:r>
      <w:r w:rsidRPr="005379BE">
        <w:rPr>
          <w:rFonts w:ascii="Times New Roman" w:eastAsia="Times New Roman" w:hAnsi="Times New Roman" w:cs="Times New Roman"/>
          <w:i/>
          <w:iCs/>
          <w:sz w:val="24"/>
          <w:szCs w:val="24"/>
        </w:rPr>
        <w:t xml:space="preserve"> </w:t>
      </w:r>
      <w:r w:rsidRPr="001307D1">
        <w:rPr>
          <w:rFonts w:ascii="Times New Roman" w:eastAsia="Times New Roman" w:hAnsi="Times New Roman" w:cs="Times New Roman"/>
          <w:i/>
          <w:iCs/>
          <w:sz w:val="24"/>
          <w:szCs w:val="24"/>
        </w:rPr>
        <w:t>The findings revealed that Automated Credit Scoring Systems significantly enhance financial performance by improving credit appraisal efficiency, reducing default rates, and strengthening loan portfolio quality</w:t>
      </w:r>
      <w:r w:rsidR="00415B04">
        <w:rPr>
          <w:rFonts w:ascii="Times New Roman" w:eastAsia="Times New Roman" w:hAnsi="Times New Roman" w:cs="Times New Roman"/>
          <w:i/>
          <w:iCs/>
          <w:sz w:val="24"/>
          <w:szCs w:val="24"/>
        </w:rPr>
        <w:t xml:space="preserve"> among the selected </w:t>
      </w:r>
      <w:r w:rsidR="00415B04" w:rsidRPr="001307D1">
        <w:rPr>
          <w:rFonts w:ascii="Times New Roman" w:eastAsia="Times New Roman" w:hAnsi="Times New Roman" w:cs="Times New Roman"/>
          <w:i/>
          <w:iCs/>
          <w:sz w:val="24"/>
          <w:szCs w:val="24"/>
        </w:rPr>
        <w:t>DMBs</w:t>
      </w:r>
      <w:r w:rsidR="00415B04">
        <w:rPr>
          <w:rFonts w:ascii="Times New Roman" w:eastAsia="Times New Roman" w:hAnsi="Times New Roman" w:cs="Times New Roman"/>
          <w:i/>
          <w:iCs/>
          <w:sz w:val="24"/>
          <w:szCs w:val="24"/>
        </w:rPr>
        <w:t xml:space="preserve"> in Abuja, Nigeria</w:t>
      </w:r>
      <w:r w:rsidRPr="001307D1">
        <w:rPr>
          <w:rFonts w:ascii="Times New Roman" w:eastAsia="Times New Roman" w:hAnsi="Times New Roman" w:cs="Times New Roman"/>
          <w:i/>
          <w:iCs/>
          <w:sz w:val="24"/>
          <w:szCs w:val="24"/>
        </w:rPr>
        <w:t>. Similarly, Predictive Risk Analytics demonstrated a strong positive effect on financial performance through early risk detection, improved decision accuracy, and proactive credit monitoring. The regression results indicated that both variables jointly explain a substantial proportion of variations in financial performance among the selected banks</w:t>
      </w:r>
      <w:r w:rsidR="00415B04">
        <w:rPr>
          <w:rFonts w:ascii="Times New Roman" w:eastAsia="Times New Roman" w:hAnsi="Times New Roman" w:cs="Times New Roman"/>
          <w:i/>
          <w:iCs/>
          <w:sz w:val="24"/>
          <w:szCs w:val="24"/>
        </w:rPr>
        <w:t xml:space="preserve"> in Abuja</w:t>
      </w:r>
      <w:r w:rsidRPr="001307D1">
        <w:rPr>
          <w:rFonts w:ascii="Times New Roman" w:eastAsia="Times New Roman" w:hAnsi="Times New Roman" w:cs="Times New Roman"/>
          <w:i/>
          <w:iCs/>
          <w:sz w:val="24"/>
          <w:szCs w:val="24"/>
        </w:rPr>
        <w:t>.</w:t>
      </w:r>
      <w:r w:rsidRPr="005379BE">
        <w:rPr>
          <w:rFonts w:ascii="Times New Roman" w:eastAsia="Times New Roman" w:hAnsi="Times New Roman" w:cs="Times New Roman"/>
          <w:i/>
          <w:iCs/>
          <w:sz w:val="24"/>
          <w:szCs w:val="24"/>
        </w:rPr>
        <w:t xml:space="preserve"> </w:t>
      </w:r>
      <w:r w:rsidRPr="001307D1">
        <w:rPr>
          <w:rFonts w:ascii="Times New Roman" w:eastAsia="Times New Roman" w:hAnsi="Times New Roman" w:cs="Times New Roman"/>
          <w:i/>
          <w:iCs/>
          <w:sz w:val="24"/>
          <w:szCs w:val="24"/>
        </w:rPr>
        <w:t xml:space="preserve">The study concludes that AI-driven credit management serves as a strategic enabler of operational efficiency and financial sustainability </w:t>
      </w:r>
      <w:r w:rsidR="00415B04">
        <w:rPr>
          <w:rFonts w:ascii="Times New Roman" w:eastAsia="Times New Roman" w:hAnsi="Times New Roman" w:cs="Times New Roman"/>
          <w:i/>
          <w:iCs/>
          <w:sz w:val="24"/>
          <w:szCs w:val="24"/>
        </w:rPr>
        <w:t>of</w:t>
      </w:r>
      <w:r w:rsidRPr="001307D1">
        <w:rPr>
          <w:rFonts w:ascii="Times New Roman" w:eastAsia="Times New Roman" w:hAnsi="Times New Roman" w:cs="Times New Roman"/>
          <w:i/>
          <w:iCs/>
          <w:sz w:val="24"/>
          <w:szCs w:val="24"/>
        </w:rPr>
        <w:t xml:space="preserve"> DMBs</w:t>
      </w:r>
      <w:r w:rsidR="00415B04">
        <w:rPr>
          <w:rFonts w:ascii="Times New Roman" w:eastAsia="Times New Roman" w:hAnsi="Times New Roman" w:cs="Times New Roman"/>
          <w:i/>
          <w:iCs/>
          <w:sz w:val="24"/>
          <w:szCs w:val="24"/>
        </w:rPr>
        <w:t xml:space="preserve"> in Abuja, Nigeria</w:t>
      </w:r>
      <w:r w:rsidRPr="001307D1">
        <w:rPr>
          <w:rFonts w:ascii="Times New Roman" w:eastAsia="Times New Roman" w:hAnsi="Times New Roman" w:cs="Times New Roman"/>
          <w:i/>
          <w:iCs/>
          <w:sz w:val="24"/>
          <w:szCs w:val="24"/>
        </w:rPr>
        <w:t>. It recommends increased investment in intelligent credit technologies, continuous staff training, and the development of robust data governance frameworks to maximize the benefits of AI integration in Nigeria’s banking sector.</w:t>
      </w:r>
    </w:p>
    <w:p w14:paraId="30C21785" w14:textId="5A4242E4" w:rsidR="00BE1C7A" w:rsidRPr="005379BE" w:rsidRDefault="00BE1C7A" w:rsidP="00BE1C7A">
      <w:pPr>
        <w:spacing w:before="100" w:beforeAutospacing="1" w:after="100" w:afterAutospacing="1" w:line="240" w:lineRule="auto"/>
        <w:jc w:val="both"/>
        <w:rPr>
          <w:rFonts w:ascii="Times New Roman" w:eastAsia="Times New Roman" w:hAnsi="Times New Roman" w:cs="Times New Roman"/>
          <w:b/>
          <w:bCs/>
          <w:i/>
          <w:iCs/>
          <w:sz w:val="24"/>
          <w:szCs w:val="24"/>
        </w:rPr>
      </w:pPr>
      <w:r w:rsidRPr="005379BE">
        <w:rPr>
          <w:rFonts w:ascii="Times New Roman" w:eastAsia="Times New Roman" w:hAnsi="Times New Roman" w:cs="Times New Roman"/>
          <w:b/>
          <w:bCs/>
          <w:sz w:val="24"/>
          <w:szCs w:val="24"/>
        </w:rPr>
        <w:t>Key words:</w:t>
      </w:r>
      <w:r w:rsidRPr="005379BE">
        <w:rPr>
          <w:rFonts w:ascii="Times New Roman" w:eastAsia="Times New Roman" w:hAnsi="Times New Roman" w:cs="Times New Roman"/>
          <w:sz w:val="24"/>
          <w:szCs w:val="24"/>
        </w:rPr>
        <w:t xml:space="preserve"> </w:t>
      </w:r>
      <w:r w:rsidRPr="001307D1">
        <w:rPr>
          <w:rFonts w:ascii="Times New Roman" w:eastAsia="Times New Roman" w:hAnsi="Times New Roman" w:cs="Times New Roman"/>
          <w:b/>
          <w:bCs/>
          <w:i/>
          <w:iCs/>
          <w:sz w:val="24"/>
          <w:szCs w:val="24"/>
        </w:rPr>
        <w:t>Artificial Intelligence</w:t>
      </w:r>
      <w:r w:rsidRPr="005379BE">
        <w:rPr>
          <w:rFonts w:ascii="Times New Roman" w:eastAsia="Times New Roman" w:hAnsi="Times New Roman" w:cs="Times New Roman"/>
          <w:b/>
          <w:bCs/>
          <w:i/>
          <w:iCs/>
          <w:sz w:val="24"/>
          <w:szCs w:val="24"/>
        </w:rPr>
        <w:t>–</w:t>
      </w:r>
      <w:r w:rsidRPr="001307D1">
        <w:rPr>
          <w:rFonts w:ascii="Times New Roman" w:eastAsia="Times New Roman" w:hAnsi="Times New Roman" w:cs="Times New Roman"/>
          <w:b/>
          <w:bCs/>
          <w:i/>
          <w:iCs/>
          <w:sz w:val="24"/>
          <w:szCs w:val="24"/>
        </w:rPr>
        <w:t>Driven Credit Management</w:t>
      </w:r>
      <w:r w:rsidRPr="005379BE">
        <w:rPr>
          <w:rFonts w:ascii="Times New Roman" w:eastAsia="Times New Roman" w:hAnsi="Times New Roman" w:cs="Times New Roman"/>
          <w:b/>
          <w:bCs/>
          <w:i/>
          <w:iCs/>
          <w:sz w:val="24"/>
          <w:szCs w:val="24"/>
        </w:rPr>
        <w:t xml:space="preserve">, </w:t>
      </w:r>
      <w:r w:rsidRPr="005379BE">
        <w:rPr>
          <w:rFonts w:ascii="Times New Roman" w:hAnsi="Times New Roman" w:cs="Times New Roman"/>
          <w:b/>
          <w:bCs/>
          <w:i/>
          <w:iCs/>
          <w:sz w:val="24"/>
          <w:szCs w:val="24"/>
        </w:rPr>
        <w:t xml:space="preserve">Automated Credit Scoring Systems, Predictive Risk Analytics, Financial Performance </w:t>
      </w:r>
    </w:p>
    <w:p w14:paraId="350A7A68" w14:textId="7084C68E" w:rsidR="00A735F8" w:rsidRPr="005379BE" w:rsidRDefault="00A735F8" w:rsidP="00BE1C7A">
      <w:pPr>
        <w:spacing w:before="100" w:beforeAutospacing="1" w:after="100" w:afterAutospacing="1" w:line="240" w:lineRule="auto"/>
        <w:jc w:val="both"/>
        <w:rPr>
          <w:rFonts w:ascii="Times New Roman" w:eastAsia="Times New Roman" w:hAnsi="Times New Roman" w:cs="Times New Roman"/>
          <w:i/>
          <w:iCs/>
          <w:sz w:val="24"/>
          <w:szCs w:val="24"/>
        </w:rPr>
      </w:pPr>
      <w:r w:rsidRPr="005379BE">
        <w:rPr>
          <w:rFonts w:ascii="Times New Roman" w:hAnsi="Times New Roman" w:cs="Times New Roman"/>
          <w:b/>
          <w:bCs/>
          <w:sz w:val="24"/>
          <w:szCs w:val="24"/>
        </w:rPr>
        <w:t xml:space="preserve">INTRODUCTION </w:t>
      </w:r>
    </w:p>
    <w:p w14:paraId="0A1C48DB" w14:textId="77777777" w:rsidR="0026613C" w:rsidRPr="0026613C" w:rsidRDefault="0026613C" w:rsidP="0026613C">
      <w:pPr>
        <w:spacing w:before="100" w:beforeAutospacing="1" w:after="100" w:afterAutospacing="1" w:line="240" w:lineRule="auto"/>
        <w:jc w:val="both"/>
        <w:rPr>
          <w:rFonts w:ascii="Times New Roman" w:eastAsia="Times New Roman" w:hAnsi="Times New Roman" w:cs="Times New Roman"/>
          <w:sz w:val="24"/>
          <w:szCs w:val="24"/>
        </w:rPr>
      </w:pPr>
      <w:r w:rsidRPr="0026613C">
        <w:rPr>
          <w:rFonts w:ascii="Times New Roman" w:eastAsia="Times New Roman" w:hAnsi="Times New Roman" w:cs="Times New Roman"/>
          <w:sz w:val="24"/>
          <w:szCs w:val="24"/>
        </w:rPr>
        <w:t xml:space="preserve">The accelerated advancement of Artificial Intelligence (AI) is significantly transforming operational frameworks within global financial systems. In Nigeria, Deposit Money Banks (DMBs) are progressively incorporating AI-driven credit management systems as a strategic tool to enhance operational efficiency, strengthen risk management, and improve overall financial performance (Husaeni, 2026). Historically, Nigeria’s banking sector has faced persistent challenges such as high levels of non-performing loans, information asymmetry between lenders and borrowers, and inefficient credit appraisal mechanisms. These issues have often resulted in suboptimal lending decisions and weakened asset quality. AI introduces a paradigm shift by moving banking practices away from traditional, judgment-based lending toward more objective, predictive, and data-driven decision-making processes (Wahyuni, 2026). Through the application of machine learning algorithms, predictive analytics, and automated credit scoring models, </w:t>
      </w:r>
      <w:r w:rsidRPr="0026613C">
        <w:rPr>
          <w:rFonts w:ascii="Times New Roman" w:eastAsia="Times New Roman" w:hAnsi="Times New Roman" w:cs="Times New Roman"/>
          <w:sz w:val="24"/>
          <w:szCs w:val="24"/>
        </w:rPr>
        <w:lastRenderedPageBreak/>
        <w:t>Nigerian DMBs are now capable of processing and analysing large volumes of both structured and unstructured customer data in real time (Akinwunmi, 2025).</w:t>
      </w:r>
    </w:p>
    <w:p w14:paraId="7A23B460" w14:textId="12368D02" w:rsidR="0026613C" w:rsidRPr="0026613C" w:rsidRDefault="0026613C" w:rsidP="0026613C">
      <w:pPr>
        <w:spacing w:before="100" w:beforeAutospacing="1" w:after="100" w:afterAutospacing="1" w:line="240" w:lineRule="auto"/>
        <w:jc w:val="both"/>
        <w:rPr>
          <w:rFonts w:ascii="Times New Roman" w:eastAsia="Times New Roman" w:hAnsi="Times New Roman" w:cs="Times New Roman"/>
          <w:sz w:val="24"/>
          <w:szCs w:val="24"/>
        </w:rPr>
      </w:pPr>
      <w:r w:rsidRPr="0026613C">
        <w:rPr>
          <w:rFonts w:ascii="Times New Roman" w:eastAsia="Times New Roman" w:hAnsi="Times New Roman" w:cs="Times New Roman"/>
          <w:sz w:val="24"/>
          <w:szCs w:val="24"/>
        </w:rPr>
        <w:t>This technological capability allows banks to generate more accurate borrower risk profiles, design more responsive loan pricing mechanisms, and accelerate credit approval timelines. In addition to improving the speed of credit delivery, AI-enabled credit management strengthens portfolio surveillance by incorporating intelligent early-warning systems that identify emerging default patterns before they become critical. Such proactive detection enables financial institutions to initiate timely interventions, including loan restructuring, revised repayment arrangements, or targeted recovery measures, thereby protecting asset quality and minimizing credit losses. Within Nigeria’s highly competitive banking environment</w:t>
      </w:r>
      <w:r>
        <w:rPr>
          <w:rFonts w:ascii="Times New Roman" w:eastAsia="Times New Roman" w:hAnsi="Times New Roman" w:cs="Times New Roman"/>
          <w:sz w:val="24"/>
          <w:szCs w:val="24"/>
        </w:rPr>
        <w:t xml:space="preserve"> </w:t>
      </w:r>
      <w:r w:rsidRPr="0026613C">
        <w:rPr>
          <w:rFonts w:ascii="Times New Roman" w:eastAsia="Times New Roman" w:hAnsi="Times New Roman" w:cs="Times New Roman"/>
          <w:sz w:val="24"/>
          <w:szCs w:val="24"/>
        </w:rPr>
        <w:t>characterized by strict regulatory oversight and recurring macroeconomic volatility</w:t>
      </w:r>
      <w:r>
        <w:rPr>
          <w:rFonts w:ascii="Times New Roman" w:eastAsia="Times New Roman" w:hAnsi="Times New Roman" w:cs="Times New Roman"/>
          <w:sz w:val="24"/>
          <w:szCs w:val="24"/>
        </w:rPr>
        <w:t xml:space="preserve"> </w:t>
      </w:r>
      <w:r w:rsidRPr="0026613C">
        <w:rPr>
          <w:rFonts w:ascii="Times New Roman" w:eastAsia="Times New Roman" w:hAnsi="Times New Roman" w:cs="Times New Roman"/>
          <w:sz w:val="24"/>
          <w:szCs w:val="24"/>
        </w:rPr>
        <w:t>the adoption of AI-based credit management systems is no longer merely an innovation but a strategic imperative. Consequently, AI integration has become an essential pathway through which banks can maintain resilience, strengthen risk governance, and sustain long-term growth (Nwachukwu et al., 2026).</w:t>
      </w:r>
    </w:p>
    <w:p w14:paraId="46CBB744" w14:textId="77777777" w:rsidR="0026613C" w:rsidRPr="0026613C" w:rsidRDefault="0026613C" w:rsidP="0026613C">
      <w:pPr>
        <w:spacing w:before="100" w:beforeAutospacing="1" w:after="100" w:afterAutospacing="1" w:line="240" w:lineRule="auto"/>
        <w:jc w:val="both"/>
        <w:rPr>
          <w:rFonts w:ascii="Times New Roman" w:eastAsia="Times New Roman" w:hAnsi="Times New Roman" w:cs="Times New Roman"/>
          <w:sz w:val="24"/>
          <w:szCs w:val="24"/>
        </w:rPr>
      </w:pPr>
      <w:r w:rsidRPr="0026613C">
        <w:rPr>
          <w:rFonts w:ascii="Times New Roman" w:eastAsia="Times New Roman" w:hAnsi="Times New Roman" w:cs="Times New Roman"/>
          <w:sz w:val="24"/>
          <w:szCs w:val="24"/>
        </w:rPr>
        <w:t>The implications of AI-driven credit management for the financial performance of Nigerian DMBs are both extensive and multidimensional (Onoja et al., 2026; Husaeni, 2026). One of the most immediate benefits is the enhancement of credit risk evaluation, which reduces the probability of loan defaults and improves the quality of lending portfolios. Lower default rates translate directly into reduced impairment provisions and stronger net interest margins, thereby contributing positively to bank profitability. In addition, the automation of credit assessment and monitoring processes significantly reduces operational costs that traditionally arise from manual loan underwriting, documentation inconsistencies, and lengthy approval procedures. These efficiencies improve key financial performance indicators, including return on assets (ROA) and return on equity (ROE).</w:t>
      </w:r>
    </w:p>
    <w:p w14:paraId="1042973A" w14:textId="51CC4E55" w:rsidR="0026613C" w:rsidRPr="0026613C" w:rsidRDefault="0026613C" w:rsidP="0026613C">
      <w:pPr>
        <w:spacing w:before="100" w:beforeAutospacing="1" w:after="100" w:afterAutospacing="1" w:line="240" w:lineRule="auto"/>
        <w:jc w:val="both"/>
        <w:rPr>
          <w:rFonts w:ascii="Times New Roman" w:eastAsia="Times New Roman" w:hAnsi="Times New Roman" w:cs="Times New Roman"/>
          <w:sz w:val="24"/>
          <w:szCs w:val="24"/>
        </w:rPr>
      </w:pPr>
      <w:r w:rsidRPr="0026613C">
        <w:rPr>
          <w:rFonts w:ascii="Times New Roman" w:eastAsia="Times New Roman" w:hAnsi="Times New Roman" w:cs="Times New Roman"/>
          <w:sz w:val="24"/>
          <w:szCs w:val="24"/>
        </w:rPr>
        <w:t>Beyond cost reduction, AI technologies also enable advanced customer segmentation and the development of personalized credit products tailored to diverse borrower needs. This capability supports financial inclusion by enabling banks to extend credit to previously underserved individuals and small enterprises through the analysis of alternative data sources. By expanding access to credit while simultaneously maintaining rigorous risk assessment standards, banks can diversify their lending portfolios and reduce exposure to sector-specific concentration risks. Furthermore, AI-based systems strengthen regulatory compliance by generating accurate documentation, maintaining transparent audit trails, and ensuring adherence to prudential guidelines established by monetary authorities (Alsobai, &amp; Aassouli, 2026). Despite these advantages, effective deployment of AI-driven credit systems requires strong data governance frameworks, advanced cybersecurity measures, and continuous human oversight. Without these safeguards, risks such as algorithmic bias, data misuse, and systemic vulnerabilities could undermine the reliability of AI applications. Overall, the integration of AI into credit management represents a critical determinant of financial resilience, operational efficiency, and competitive positioning for Deposit Money Banks within Nigeria’s rapidly evolving financial ecosystem (Leonelli, et al., 2026).</w:t>
      </w:r>
    </w:p>
    <w:p w14:paraId="65B058A5" w14:textId="474A020E" w:rsidR="0026613C" w:rsidRPr="0026613C" w:rsidRDefault="0026613C" w:rsidP="0026613C">
      <w:pPr>
        <w:spacing w:before="100" w:beforeAutospacing="1" w:after="100" w:afterAutospacing="1" w:line="240" w:lineRule="auto"/>
        <w:jc w:val="both"/>
        <w:rPr>
          <w:rFonts w:ascii="Times New Roman" w:eastAsia="Times New Roman" w:hAnsi="Times New Roman" w:cs="Times New Roman"/>
          <w:sz w:val="24"/>
          <w:szCs w:val="24"/>
        </w:rPr>
      </w:pPr>
      <w:r w:rsidRPr="0026613C">
        <w:rPr>
          <w:rFonts w:ascii="Times New Roman" w:eastAsia="Times New Roman" w:hAnsi="Times New Roman" w:cs="Times New Roman"/>
          <w:sz w:val="24"/>
          <w:szCs w:val="24"/>
        </w:rPr>
        <w:t xml:space="preserve">Deposit Money Banks in Nigeria operate within a complex and volatile credit environment characterized by elevated default risks, limited transparency in borrower information, and </w:t>
      </w:r>
      <w:r w:rsidRPr="0026613C">
        <w:rPr>
          <w:rFonts w:ascii="Times New Roman" w:eastAsia="Times New Roman" w:hAnsi="Times New Roman" w:cs="Times New Roman"/>
          <w:sz w:val="24"/>
          <w:szCs w:val="24"/>
        </w:rPr>
        <w:lastRenderedPageBreak/>
        <w:t>macroeconomic instability. Although AI-driven credit management systems offer promising solutions such as enhanced risk prediction, automated loan monitoring, and sophisticated fraud detection mechanisms</w:t>
      </w:r>
      <w:r>
        <w:rPr>
          <w:rFonts w:ascii="Times New Roman" w:eastAsia="Times New Roman" w:hAnsi="Times New Roman" w:cs="Times New Roman"/>
          <w:sz w:val="24"/>
          <w:szCs w:val="24"/>
        </w:rPr>
        <w:t xml:space="preserve"> that </w:t>
      </w:r>
      <w:r w:rsidRPr="0026613C">
        <w:rPr>
          <w:rFonts w:ascii="Times New Roman" w:eastAsia="Times New Roman" w:hAnsi="Times New Roman" w:cs="Times New Roman"/>
          <w:sz w:val="24"/>
          <w:szCs w:val="24"/>
        </w:rPr>
        <w:t>their actual impact on the financial performance of Nigerian banks remains insufficiently explored. Much of the existing scholarship tends to focus broadly on financial technology adoption or digital transformation within banking, without specifically isolating AI-driven credit management tools as distinct strategic resources capable of influencing financial outcomes (Sarkar, 2026; Khan et al., 2026).</w:t>
      </w:r>
    </w:p>
    <w:p w14:paraId="3945A435" w14:textId="6B2B2745" w:rsidR="0026613C" w:rsidRPr="0026613C" w:rsidRDefault="0026613C" w:rsidP="0026613C">
      <w:pPr>
        <w:spacing w:before="100" w:beforeAutospacing="1" w:after="100" w:afterAutospacing="1" w:line="240" w:lineRule="auto"/>
        <w:jc w:val="both"/>
        <w:rPr>
          <w:rFonts w:ascii="Times New Roman" w:eastAsia="Times New Roman" w:hAnsi="Times New Roman" w:cs="Times New Roman"/>
          <w:sz w:val="24"/>
          <w:szCs w:val="24"/>
        </w:rPr>
      </w:pPr>
      <w:r w:rsidRPr="0026613C">
        <w:rPr>
          <w:rFonts w:ascii="Times New Roman" w:eastAsia="Times New Roman" w:hAnsi="Times New Roman" w:cs="Times New Roman"/>
          <w:sz w:val="24"/>
          <w:szCs w:val="24"/>
        </w:rPr>
        <w:t>Furthermore, empirical evidence that directly links AI-enabled credit scoring, loan recovery optimization, and fraud detection capabilities to measurable financial performance indicators such as return on assets, return on equity, and cost-to-income ratios—within Nigerian DMBs remains limited and fragmented (Stefanelli &amp; Cotugno, 2026; Dubey et al., 2026; Rizinski &amp; Trajanov, 2026). Existing studies also tend to overlook contextual factors specific to Nigeria’s banking environment. Issues such as regulatory complexities, inconsistent data quality, technological infrastructure limitations, and digital skill gaps may significantly influence the effectiveness and outcomes of AI adoption (Eberi-Kalu, 2026; Akutson &amp; Sani, 2026). In addition, there is a notable absence of comprehensive longitudinal research capable of determining whether AI integration leads to sustained improvements in financial performance or merely produces short-term operational efficiencies. Consequently, a significant research gap persists regarding the mechanisms through which AI-driven credit management translates into measurable financial performance within Nigeria’s banking sector. Addressing this gap is essential for advancing academic knowledge and providing evidence-based insights that can guide strategic decision-making and policy development in Nigeria’s evolving financial landscape.</w:t>
      </w:r>
    </w:p>
    <w:p w14:paraId="769BCB8A" w14:textId="6FC73C47" w:rsidR="009539B7" w:rsidRPr="005379BE" w:rsidRDefault="009539B7" w:rsidP="00600812">
      <w:pPr>
        <w:pStyle w:val="NormalWeb"/>
        <w:jc w:val="both"/>
        <w:rPr>
          <w:lang w:val="en-GB"/>
        </w:rPr>
      </w:pPr>
      <w:r w:rsidRPr="005379BE">
        <w:rPr>
          <w:b/>
          <w:bCs/>
          <w:color w:val="000000" w:themeColor="text1"/>
          <w:lang w:val="en-GB"/>
        </w:rPr>
        <w:t>Statement of Hypotheses</w:t>
      </w:r>
    </w:p>
    <w:p w14:paraId="51DC7580" w14:textId="2AE48361" w:rsidR="009539B7" w:rsidRPr="005379BE" w:rsidRDefault="0026613C" w:rsidP="00600812">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w:t>
      </w:r>
      <w:r w:rsidR="009539B7" w:rsidRPr="005379BE">
        <w:rPr>
          <w:rFonts w:ascii="Times New Roman" w:hAnsi="Times New Roman" w:cs="Times New Roman"/>
          <w:color w:val="000000" w:themeColor="text1"/>
          <w:sz w:val="24"/>
          <w:szCs w:val="24"/>
        </w:rPr>
        <w:t>he following hypotheses were set up to guide the study:</w:t>
      </w:r>
    </w:p>
    <w:p w14:paraId="11949FD2" w14:textId="1D75D8B7" w:rsidR="009539B7" w:rsidRPr="005379BE" w:rsidRDefault="009539B7" w:rsidP="00600812">
      <w:pPr>
        <w:spacing w:line="240" w:lineRule="auto"/>
        <w:jc w:val="both"/>
        <w:rPr>
          <w:rFonts w:ascii="Times New Roman" w:hAnsi="Times New Roman" w:cs="Times New Roman"/>
          <w:sz w:val="24"/>
          <w:szCs w:val="24"/>
        </w:rPr>
      </w:pPr>
      <w:r w:rsidRPr="005379BE">
        <w:rPr>
          <w:rFonts w:ascii="Times New Roman" w:hAnsi="Times New Roman" w:cs="Times New Roman"/>
          <w:b/>
          <w:bCs/>
          <w:color w:val="000000" w:themeColor="text1"/>
          <w:sz w:val="24"/>
          <w:szCs w:val="24"/>
        </w:rPr>
        <w:t>HO</w:t>
      </w:r>
      <w:r w:rsidRPr="005379BE">
        <w:rPr>
          <w:rFonts w:ascii="Times New Roman" w:hAnsi="Times New Roman" w:cs="Times New Roman"/>
          <w:b/>
          <w:bCs/>
          <w:color w:val="000000" w:themeColor="text1"/>
          <w:sz w:val="24"/>
          <w:szCs w:val="24"/>
          <w:vertAlign w:val="subscript"/>
        </w:rPr>
        <w:t>1</w:t>
      </w:r>
      <w:r w:rsidRPr="005379BE">
        <w:rPr>
          <w:rFonts w:ascii="Times New Roman" w:hAnsi="Times New Roman" w:cs="Times New Roman"/>
          <w:b/>
          <w:bCs/>
          <w:color w:val="000000" w:themeColor="text1"/>
          <w:sz w:val="24"/>
          <w:szCs w:val="24"/>
        </w:rPr>
        <w:t>:</w:t>
      </w:r>
      <w:r w:rsidRPr="005379BE">
        <w:rPr>
          <w:rFonts w:ascii="Times New Roman" w:hAnsi="Times New Roman" w:cs="Times New Roman"/>
          <w:color w:val="000000" w:themeColor="text1"/>
          <w:sz w:val="24"/>
          <w:szCs w:val="24"/>
        </w:rPr>
        <w:t xml:space="preserve"> </w:t>
      </w:r>
      <w:bookmarkStart w:id="1" w:name="_Hlk223563338"/>
      <w:r w:rsidR="00C67304" w:rsidRPr="005379BE">
        <w:rPr>
          <w:rFonts w:ascii="Times New Roman" w:hAnsi="Times New Roman" w:cs="Times New Roman"/>
          <w:sz w:val="24"/>
          <w:szCs w:val="24"/>
        </w:rPr>
        <w:t xml:space="preserve">Automated Credit Scoring Systems </w:t>
      </w:r>
      <w:bookmarkEnd w:id="1"/>
      <w:r w:rsidRPr="005379BE">
        <w:rPr>
          <w:rFonts w:ascii="Times New Roman" w:hAnsi="Times New Roman" w:cs="Times New Roman"/>
          <w:sz w:val="24"/>
          <w:szCs w:val="24"/>
        </w:rPr>
        <w:t xml:space="preserve">has no significant effect on </w:t>
      </w:r>
      <w:r w:rsidR="00C67304" w:rsidRPr="005379BE">
        <w:rPr>
          <w:rFonts w:ascii="Times New Roman" w:hAnsi="Times New Roman" w:cs="Times New Roman"/>
          <w:sz w:val="24"/>
          <w:szCs w:val="24"/>
        </w:rPr>
        <w:t>financial</w:t>
      </w:r>
      <w:r w:rsidRPr="005379BE">
        <w:rPr>
          <w:rFonts w:ascii="Times New Roman" w:hAnsi="Times New Roman" w:cs="Times New Roman"/>
          <w:sz w:val="24"/>
          <w:szCs w:val="24"/>
        </w:rPr>
        <w:t xml:space="preserve"> performance of</w:t>
      </w:r>
      <w:r w:rsidR="00C67304" w:rsidRPr="005379BE">
        <w:rPr>
          <w:rFonts w:ascii="Times New Roman" w:hAnsi="Times New Roman" w:cs="Times New Roman"/>
          <w:sz w:val="24"/>
          <w:szCs w:val="24"/>
        </w:rPr>
        <w:t xml:space="preserve"> DMB</w:t>
      </w:r>
      <w:r w:rsidRPr="005379BE">
        <w:rPr>
          <w:rFonts w:ascii="Times New Roman" w:hAnsi="Times New Roman" w:cs="Times New Roman"/>
          <w:sz w:val="24"/>
          <w:szCs w:val="24"/>
        </w:rPr>
        <w:t xml:space="preserve"> in </w:t>
      </w:r>
      <w:r w:rsidR="00415B04">
        <w:rPr>
          <w:rFonts w:ascii="Times New Roman" w:hAnsi="Times New Roman" w:cs="Times New Roman"/>
          <w:sz w:val="24"/>
          <w:szCs w:val="24"/>
        </w:rPr>
        <w:t xml:space="preserve">Abuja, </w:t>
      </w:r>
      <w:r w:rsidR="00C67304" w:rsidRPr="005379BE">
        <w:rPr>
          <w:rFonts w:ascii="Times New Roman" w:hAnsi="Times New Roman" w:cs="Times New Roman"/>
          <w:sz w:val="24"/>
          <w:szCs w:val="24"/>
        </w:rPr>
        <w:t>Nigeria</w:t>
      </w:r>
      <w:r w:rsidRPr="005379BE">
        <w:rPr>
          <w:rFonts w:ascii="Times New Roman" w:hAnsi="Times New Roman" w:cs="Times New Roman"/>
          <w:sz w:val="24"/>
          <w:szCs w:val="24"/>
        </w:rPr>
        <w:t>.</w:t>
      </w:r>
    </w:p>
    <w:p w14:paraId="0DC3F97C" w14:textId="2E64C630" w:rsidR="009539B7" w:rsidRPr="005379BE" w:rsidRDefault="009539B7" w:rsidP="00600812">
      <w:pPr>
        <w:pStyle w:val="Heading3"/>
        <w:jc w:val="both"/>
        <w:rPr>
          <w:color w:val="000000" w:themeColor="text1"/>
          <w:sz w:val="24"/>
          <w:szCs w:val="24"/>
          <w:lang w:val="en-GB"/>
        </w:rPr>
      </w:pPr>
      <w:r w:rsidRPr="005379BE">
        <w:rPr>
          <w:color w:val="000000" w:themeColor="text1"/>
          <w:sz w:val="24"/>
          <w:szCs w:val="24"/>
          <w:lang w:val="en-GB"/>
        </w:rPr>
        <w:t>HO</w:t>
      </w:r>
      <w:r w:rsidRPr="005379BE">
        <w:rPr>
          <w:color w:val="000000" w:themeColor="text1"/>
          <w:sz w:val="24"/>
          <w:szCs w:val="24"/>
          <w:vertAlign w:val="subscript"/>
          <w:lang w:val="en-GB"/>
        </w:rPr>
        <w:t>2</w:t>
      </w:r>
      <w:r w:rsidRPr="005379BE">
        <w:rPr>
          <w:color w:val="000000" w:themeColor="text1"/>
          <w:sz w:val="24"/>
          <w:szCs w:val="24"/>
          <w:lang w:val="en-GB"/>
        </w:rPr>
        <w:t xml:space="preserve">: </w:t>
      </w:r>
      <w:bookmarkStart w:id="2" w:name="_Hlk223563354"/>
      <w:r w:rsidR="00C67304" w:rsidRPr="005379BE">
        <w:rPr>
          <w:b w:val="0"/>
          <w:bCs w:val="0"/>
          <w:sz w:val="24"/>
          <w:szCs w:val="24"/>
          <w:lang w:val="en-GB"/>
        </w:rPr>
        <w:t xml:space="preserve">Predictive risk analytics </w:t>
      </w:r>
      <w:bookmarkEnd w:id="2"/>
      <w:r w:rsidRPr="005379BE">
        <w:rPr>
          <w:b w:val="0"/>
          <w:bCs w:val="0"/>
          <w:sz w:val="24"/>
          <w:szCs w:val="24"/>
          <w:lang w:val="en-GB"/>
        </w:rPr>
        <w:t xml:space="preserve">has no effect on </w:t>
      </w:r>
      <w:r w:rsidR="00C67304" w:rsidRPr="005379BE">
        <w:rPr>
          <w:b w:val="0"/>
          <w:bCs w:val="0"/>
          <w:sz w:val="24"/>
          <w:szCs w:val="24"/>
          <w:lang w:val="en-GB"/>
        </w:rPr>
        <w:t xml:space="preserve">financial performance </w:t>
      </w:r>
      <w:r w:rsidRPr="005379BE">
        <w:rPr>
          <w:b w:val="0"/>
          <w:bCs w:val="0"/>
          <w:sz w:val="24"/>
          <w:szCs w:val="24"/>
          <w:lang w:val="en-GB"/>
        </w:rPr>
        <w:t xml:space="preserve">of </w:t>
      </w:r>
      <w:r w:rsidR="00C67304" w:rsidRPr="005379BE">
        <w:rPr>
          <w:b w:val="0"/>
          <w:bCs w:val="0"/>
          <w:sz w:val="24"/>
          <w:szCs w:val="24"/>
          <w:lang w:val="en-GB"/>
        </w:rPr>
        <w:t xml:space="preserve">DMB in </w:t>
      </w:r>
      <w:r w:rsidR="00415B04">
        <w:rPr>
          <w:b w:val="0"/>
          <w:bCs w:val="0"/>
          <w:sz w:val="24"/>
          <w:szCs w:val="24"/>
          <w:lang w:val="en-GB"/>
        </w:rPr>
        <w:t xml:space="preserve">Abuja, </w:t>
      </w:r>
      <w:r w:rsidR="00C67304" w:rsidRPr="005379BE">
        <w:rPr>
          <w:b w:val="0"/>
          <w:bCs w:val="0"/>
          <w:sz w:val="24"/>
          <w:szCs w:val="24"/>
          <w:lang w:val="en-GB"/>
        </w:rPr>
        <w:t>Nigeria</w:t>
      </w:r>
      <w:r w:rsidRPr="005379BE">
        <w:rPr>
          <w:b w:val="0"/>
          <w:bCs w:val="0"/>
          <w:color w:val="000000" w:themeColor="text1"/>
          <w:sz w:val="24"/>
          <w:szCs w:val="24"/>
          <w:lang w:val="en-GB"/>
        </w:rPr>
        <w:t>.</w:t>
      </w:r>
      <w:r w:rsidRPr="005379BE">
        <w:rPr>
          <w:color w:val="000000" w:themeColor="text1"/>
          <w:sz w:val="24"/>
          <w:szCs w:val="24"/>
          <w:lang w:val="en-GB"/>
        </w:rPr>
        <w:t xml:space="preserve"> </w:t>
      </w:r>
    </w:p>
    <w:p w14:paraId="4F6E615B" w14:textId="706FCD24" w:rsidR="00C67304" w:rsidRPr="005379BE" w:rsidRDefault="00C67304" w:rsidP="00600812">
      <w:pPr>
        <w:pStyle w:val="Heading3"/>
        <w:jc w:val="both"/>
        <w:rPr>
          <w:color w:val="000000" w:themeColor="text1"/>
          <w:sz w:val="24"/>
          <w:szCs w:val="24"/>
          <w:lang w:val="en-GB"/>
        </w:rPr>
      </w:pPr>
      <w:r w:rsidRPr="005379BE">
        <w:rPr>
          <w:color w:val="000000" w:themeColor="text1"/>
          <w:sz w:val="24"/>
          <w:szCs w:val="24"/>
          <w:lang w:val="en-GB"/>
        </w:rPr>
        <w:t>LITERATURE REVIEW</w:t>
      </w:r>
    </w:p>
    <w:p w14:paraId="081071EC" w14:textId="1C0065EB" w:rsidR="00A735F8" w:rsidRPr="005379BE" w:rsidRDefault="00C67304" w:rsidP="00600812">
      <w:pPr>
        <w:jc w:val="both"/>
        <w:rPr>
          <w:rFonts w:ascii="Times New Roman" w:hAnsi="Times New Roman" w:cs="Times New Roman"/>
          <w:b/>
          <w:bCs/>
          <w:sz w:val="24"/>
          <w:szCs w:val="24"/>
        </w:rPr>
      </w:pPr>
      <w:r w:rsidRPr="005379BE">
        <w:rPr>
          <w:rFonts w:ascii="Times New Roman" w:hAnsi="Times New Roman" w:cs="Times New Roman"/>
          <w:b/>
          <w:bCs/>
          <w:sz w:val="24"/>
          <w:szCs w:val="24"/>
        </w:rPr>
        <w:t>AI-Driven Credit Management</w:t>
      </w:r>
    </w:p>
    <w:p w14:paraId="45D30F43" w14:textId="78034D24" w:rsidR="00C67304" w:rsidRPr="005379BE" w:rsidRDefault="00896B85" w:rsidP="00600812">
      <w:pPr>
        <w:spacing w:before="100" w:beforeAutospacing="1" w:after="100" w:afterAutospacing="1" w:line="240" w:lineRule="auto"/>
        <w:jc w:val="both"/>
        <w:rPr>
          <w:rFonts w:ascii="Times New Roman" w:eastAsia="Times New Roman" w:hAnsi="Times New Roman" w:cs="Times New Roman"/>
          <w:sz w:val="24"/>
          <w:szCs w:val="24"/>
        </w:rPr>
      </w:pPr>
      <w:r w:rsidRPr="00896B85">
        <w:rPr>
          <w:rFonts w:ascii="Times New Roman" w:hAnsi="Times New Roman" w:cs="Times New Roman"/>
          <w:sz w:val="24"/>
          <w:szCs w:val="24"/>
        </w:rPr>
        <w:t>AI-driven credit management is the use of artificial intelligence to automate and enhance how lenders assess monitor and recover credit. By analysing real-time financial and behavioural data, AI predicts borrower risk, personalizes credit decisions, detects fraud, optimizes collections, and improves portfolio performance while reducing human bias, operational costs, and decision time across lending systems.</w:t>
      </w:r>
      <w:r>
        <w:t xml:space="preserve"> </w:t>
      </w:r>
      <w:r w:rsidR="00C67304" w:rsidRPr="005379BE">
        <w:rPr>
          <w:rFonts w:ascii="Times New Roman" w:eastAsia="Times New Roman" w:hAnsi="Times New Roman" w:cs="Times New Roman"/>
          <w:sz w:val="24"/>
          <w:szCs w:val="24"/>
        </w:rPr>
        <w:t xml:space="preserve">The literature on artificial intelligence–driven credit management highlights a transformative shift from rule-based assessment toward data-intensive, predictive, and adaptive systems. Early credit risk models relied heavily on statistical techniques such as logistic regression and linear discriminant analysis, focusing on limited financial indicators and structured borrower data. However, contemporary research emphasizes the superiority of </w:t>
      </w:r>
      <w:r w:rsidR="00C67304" w:rsidRPr="005379BE">
        <w:rPr>
          <w:rFonts w:ascii="Times New Roman" w:eastAsia="Times New Roman" w:hAnsi="Times New Roman" w:cs="Times New Roman"/>
          <w:sz w:val="24"/>
          <w:szCs w:val="24"/>
        </w:rPr>
        <w:lastRenderedPageBreak/>
        <w:t xml:space="preserve">machine learning algorithms including decision trees, random forests, gradient boosting, and neural networks in capturing nonlinear relationships and complex borrower </w:t>
      </w:r>
      <w:r w:rsidR="00600812" w:rsidRPr="005379BE">
        <w:rPr>
          <w:rFonts w:ascii="Times New Roman" w:eastAsia="Times New Roman" w:hAnsi="Times New Roman" w:cs="Times New Roman"/>
          <w:sz w:val="24"/>
          <w:szCs w:val="24"/>
        </w:rPr>
        <w:t>behaviour</w:t>
      </w:r>
      <w:r>
        <w:rPr>
          <w:rFonts w:ascii="Times New Roman" w:eastAsia="Times New Roman" w:hAnsi="Times New Roman" w:cs="Times New Roman"/>
          <w:sz w:val="24"/>
          <w:szCs w:val="24"/>
        </w:rPr>
        <w:t xml:space="preserve"> (</w:t>
      </w:r>
      <w:r w:rsidRPr="00767CDE">
        <w:rPr>
          <w:rFonts w:ascii="Times New Roman" w:hAnsi="Times New Roman" w:cs="Times New Roman"/>
          <w:sz w:val="24"/>
          <w:szCs w:val="24"/>
        </w:rPr>
        <w:t>Japinye,</w:t>
      </w:r>
      <w:r>
        <w:rPr>
          <w:rFonts w:ascii="Times New Roman" w:hAnsi="Times New Roman" w:cs="Times New Roman"/>
          <w:sz w:val="24"/>
          <w:szCs w:val="24"/>
        </w:rPr>
        <w:t xml:space="preserve"> </w:t>
      </w:r>
      <w:r w:rsidRPr="00767CDE">
        <w:rPr>
          <w:rFonts w:ascii="Times New Roman" w:hAnsi="Times New Roman" w:cs="Times New Roman"/>
          <w:sz w:val="24"/>
          <w:szCs w:val="24"/>
        </w:rPr>
        <w:t>2026)</w:t>
      </w:r>
      <w:r w:rsidR="00C67304" w:rsidRPr="005379BE">
        <w:rPr>
          <w:rFonts w:ascii="Times New Roman" w:eastAsia="Times New Roman" w:hAnsi="Times New Roman" w:cs="Times New Roman"/>
          <w:sz w:val="24"/>
          <w:szCs w:val="24"/>
        </w:rPr>
        <w:t xml:space="preserve">. Scholars argued that AI systems enhance credit scoring accuracy by integrating alternative data sources such as transactional histories, social signals, mobile usage, and </w:t>
      </w:r>
      <w:r w:rsidR="00600812" w:rsidRPr="005379BE">
        <w:rPr>
          <w:rFonts w:ascii="Times New Roman" w:eastAsia="Times New Roman" w:hAnsi="Times New Roman" w:cs="Times New Roman"/>
          <w:sz w:val="24"/>
          <w:szCs w:val="24"/>
        </w:rPr>
        <w:t>behavioural</w:t>
      </w:r>
      <w:r w:rsidR="00C67304" w:rsidRPr="005379BE">
        <w:rPr>
          <w:rFonts w:ascii="Times New Roman" w:eastAsia="Times New Roman" w:hAnsi="Times New Roman" w:cs="Times New Roman"/>
          <w:sz w:val="24"/>
          <w:szCs w:val="24"/>
        </w:rPr>
        <w:t xml:space="preserve"> patterns</w:t>
      </w:r>
      <w:r w:rsidR="00DE4569" w:rsidRPr="005379BE">
        <w:rPr>
          <w:rFonts w:ascii="Times New Roman" w:eastAsia="Times New Roman" w:hAnsi="Times New Roman" w:cs="Times New Roman"/>
          <w:sz w:val="24"/>
          <w:szCs w:val="24"/>
        </w:rPr>
        <w:t xml:space="preserve"> (</w:t>
      </w:r>
      <w:r w:rsidR="00DE4569" w:rsidRPr="005379BE">
        <w:rPr>
          <w:rFonts w:ascii="Times New Roman" w:hAnsi="Times New Roman" w:cs="Times New Roman"/>
          <w:sz w:val="24"/>
          <w:szCs w:val="24"/>
        </w:rPr>
        <w:t>Sarkar, 2026; Ali, et al., 2026)</w:t>
      </w:r>
      <w:r w:rsidR="00C67304" w:rsidRPr="005379BE">
        <w:rPr>
          <w:rFonts w:ascii="Times New Roman" w:eastAsia="Times New Roman" w:hAnsi="Times New Roman" w:cs="Times New Roman"/>
          <w:sz w:val="24"/>
          <w:szCs w:val="24"/>
        </w:rPr>
        <w:t>. This broader data ecosystem reduces information asymmetry and improves financial inclusion, especially for underbanked populations. Studies also underscore the operational efficiency gained through automation, as AI systems enable real-time risk evaluation, continuous portfolio monitoring, and dynamic limit adjustments</w:t>
      </w:r>
      <w:r w:rsidR="00DE4569" w:rsidRPr="005379BE">
        <w:rPr>
          <w:rFonts w:ascii="Times New Roman" w:eastAsia="Times New Roman" w:hAnsi="Times New Roman" w:cs="Times New Roman"/>
          <w:sz w:val="24"/>
          <w:szCs w:val="24"/>
        </w:rPr>
        <w:t xml:space="preserve"> (</w:t>
      </w:r>
      <w:r w:rsidR="00DE4569" w:rsidRPr="005379BE">
        <w:rPr>
          <w:rFonts w:ascii="Times New Roman" w:hAnsi="Times New Roman" w:cs="Times New Roman"/>
          <w:sz w:val="24"/>
          <w:szCs w:val="24"/>
        </w:rPr>
        <w:t>Baghel, &amp; Mamodiya, 2026; Vyas, 2025)</w:t>
      </w:r>
      <w:r w:rsidR="00C67304" w:rsidRPr="005379BE">
        <w:rPr>
          <w:rFonts w:ascii="Times New Roman" w:eastAsia="Times New Roman" w:hAnsi="Times New Roman" w:cs="Times New Roman"/>
          <w:sz w:val="24"/>
          <w:szCs w:val="24"/>
        </w:rPr>
        <w:t>.</w:t>
      </w:r>
    </w:p>
    <w:p w14:paraId="4CFD541B" w14:textId="00389646" w:rsidR="00C67304" w:rsidRPr="005379BE" w:rsidRDefault="00C67304"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Recent academic discourse extends beyond predictive performance to governance, transparency, and ethical considerations. Researchers caution that algorithmic opacity may create accountability challenges, particularly when automated decisions significantly affect individuals’ financial access</w:t>
      </w:r>
      <w:r w:rsidR="00DE4569" w:rsidRPr="005379BE">
        <w:rPr>
          <w:rFonts w:ascii="Times New Roman" w:eastAsia="Times New Roman" w:hAnsi="Times New Roman" w:cs="Times New Roman"/>
          <w:sz w:val="24"/>
          <w:szCs w:val="24"/>
        </w:rPr>
        <w:t xml:space="preserve"> (</w:t>
      </w:r>
      <w:r w:rsidR="00DE4569" w:rsidRPr="005379BE">
        <w:rPr>
          <w:rFonts w:ascii="Times New Roman" w:hAnsi="Times New Roman" w:cs="Times New Roman"/>
          <w:sz w:val="24"/>
          <w:szCs w:val="24"/>
        </w:rPr>
        <w:t>Ayeni et al., 2026; Sungkarungsri, &amp; Kiattisin, 2026)</w:t>
      </w:r>
      <w:r w:rsidRPr="005379BE">
        <w:rPr>
          <w:rFonts w:ascii="Times New Roman" w:eastAsia="Times New Roman" w:hAnsi="Times New Roman" w:cs="Times New Roman"/>
          <w:sz w:val="24"/>
          <w:szCs w:val="24"/>
        </w:rPr>
        <w:t>. Consequently, explainable AI has emerged as a central theme, promoting interpretability without compromising model accuracy. Literature further explores bias mitigation strategies, fairness metrics, and regulatory compliance frameworks to ensure responsible deployment</w:t>
      </w:r>
      <w:r w:rsidR="00DE4569" w:rsidRPr="005379BE">
        <w:rPr>
          <w:rFonts w:ascii="Times New Roman" w:eastAsia="Times New Roman" w:hAnsi="Times New Roman" w:cs="Times New Roman"/>
          <w:sz w:val="24"/>
          <w:szCs w:val="24"/>
        </w:rPr>
        <w:t xml:space="preserve"> (</w:t>
      </w:r>
      <w:r w:rsidR="00DE4569" w:rsidRPr="005379BE">
        <w:rPr>
          <w:rFonts w:ascii="Times New Roman" w:hAnsi="Times New Roman" w:cs="Times New Roman"/>
          <w:sz w:val="24"/>
          <w:szCs w:val="24"/>
        </w:rPr>
        <w:t>Rana, &amp; Bhambri, 2026)</w:t>
      </w:r>
      <w:r w:rsidRPr="005379BE">
        <w:rPr>
          <w:rFonts w:ascii="Times New Roman" w:eastAsia="Times New Roman" w:hAnsi="Times New Roman" w:cs="Times New Roman"/>
          <w:sz w:val="24"/>
          <w:szCs w:val="24"/>
        </w:rPr>
        <w:t>. In addition, empirical studies reveal</w:t>
      </w:r>
      <w:r w:rsidR="00DE4569" w:rsidRPr="005379BE">
        <w:rPr>
          <w:rFonts w:ascii="Times New Roman" w:eastAsia="Times New Roman" w:hAnsi="Times New Roman" w:cs="Times New Roman"/>
          <w:sz w:val="24"/>
          <w:szCs w:val="24"/>
        </w:rPr>
        <w:t>ed</w:t>
      </w:r>
      <w:r w:rsidRPr="005379BE">
        <w:rPr>
          <w:rFonts w:ascii="Times New Roman" w:eastAsia="Times New Roman" w:hAnsi="Times New Roman" w:cs="Times New Roman"/>
          <w:sz w:val="24"/>
          <w:szCs w:val="24"/>
        </w:rPr>
        <w:t xml:space="preserve"> that AI-driven credit management enhances delinquency forecasting, early warning detection, and recovery optimization through adaptive learning mechanisms</w:t>
      </w:r>
      <w:r w:rsidR="00DE4569" w:rsidRPr="005379BE">
        <w:rPr>
          <w:rFonts w:ascii="Times New Roman" w:eastAsia="Times New Roman" w:hAnsi="Times New Roman" w:cs="Times New Roman"/>
          <w:sz w:val="24"/>
          <w:szCs w:val="24"/>
        </w:rPr>
        <w:t xml:space="preserve"> (Sarkar, 2026; </w:t>
      </w:r>
      <w:r w:rsidR="00DE4569" w:rsidRPr="005379BE">
        <w:rPr>
          <w:rFonts w:ascii="Times New Roman" w:hAnsi="Times New Roman" w:cs="Times New Roman"/>
          <w:sz w:val="24"/>
          <w:szCs w:val="24"/>
        </w:rPr>
        <w:t>Sabbineni, 2026)</w:t>
      </w:r>
      <w:r w:rsidRPr="005379BE">
        <w:rPr>
          <w:rFonts w:ascii="Times New Roman" w:eastAsia="Times New Roman" w:hAnsi="Times New Roman" w:cs="Times New Roman"/>
          <w:sz w:val="24"/>
          <w:szCs w:val="24"/>
        </w:rPr>
        <w:t>. Integration with big data analytics and cloud infrastructure strengthens scalability and resilience. Overall, the scholarship portrays AI-enabled credit management as a strategic asset that balances risk minimization with customer engagement, while emphasizing the necessity of transparent design, regulatory alignment, and continuous human oversight to sustain trust and long-term financial stability</w:t>
      </w:r>
      <w:r w:rsidR="00DE4569" w:rsidRPr="005379BE">
        <w:rPr>
          <w:rFonts w:ascii="Times New Roman" w:eastAsia="Times New Roman" w:hAnsi="Times New Roman" w:cs="Times New Roman"/>
          <w:sz w:val="24"/>
          <w:szCs w:val="24"/>
        </w:rPr>
        <w:t xml:space="preserve"> (</w:t>
      </w:r>
      <w:r w:rsidR="00DE4569" w:rsidRPr="005379BE">
        <w:rPr>
          <w:rFonts w:ascii="Times New Roman" w:hAnsi="Times New Roman" w:cs="Times New Roman"/>
          <w:sz w:val="24"/>
          <w:szCs w:val="24"/>
        </w:rPr>
        <w:t>Uzoamaka, &amp; Ade, 2026; Dubey, et al., 2026)</w:t>
      </w:r>
      <w:r w:rsidRPr="005379BE">
        <w:rPr>
          <w:rFonts w:ascii="Times New Roman" w:eastAsia="Times New Roman" w:hAnsi="Times New Roman" w:cs="Times New Roman"/>
          <w:sz w:val="24"/>
          <w:szCs w:val="24"/>
        </w:rPr>
        <w:t>.</w:t>
      </w:r>
    </w:p>
    <w:p w14:paraId="150A9AA5" w14:textId="415F2D98" w:rsidR="00C67304" w:rsidRPr="00896B85" w:rsidRDefault="00C67304" w:rsidP="00896B85">
      <w:pPr>
        <w:pStyle w:val="NormalWeb"/>
        <w:jc w:val="both"/>
        <w:rPr>
          <w:lang w:val="en-GB"/>
        </w:rPr>
      </w:pPr>
      <w:r w:rsidRPr="0026613C">
        <w:rPr>
          <w:b/>
          <w:bCs/>
          <w:i/>
          <w:iCs/>
          <w:lang w:val="en-GB"/>
        </w:rPr>
        <w:t>Automated Credit Scoring Systems</w:t>
      </w:r>
      <w:r w:rsidR="00B777E8" w:rsidRPr="005379BE">
        <w:rPr>
          <w:b/>
          <w:bCs/>
          <w:lang w:val="en-GB"/>
        </w:rPr>
        <w:t xml:space="preserve">: </w:t>
      </w:r>
      <w:r w:rsidR="00896B85" w:rsidRPr="00896B85">
        <w:rPr>
          <w:lang w:val="en-GB"/>
        </w:rPr>
        <w:t xml:space="preserve">Automated credit scoring systems are data-driven tools used by lenders to quickly evaluate a borrower’s creditworthiness. They analyse large volumes of financial and behavioural data, apply statistical or machine-learning models, and generate risk scores that guide lending decisions, reduce human bias, improve consistency, accelerate approvals, and support responsible credit management across financial institutions. </w:t>
      </w:r>
      <w:r w:rsidR="00B777E8" w:rsidRPr="00896B85">
        <w:rPr>
          <w:lang w:val="en-GB"/>
        </w:rPr>
        <w:t>Literature on automated credit scoring systems traces their evolution from traditional statistical models to advanced machine learning frameworks</w:t>
      </w:r>
      <w:r w:rsidR="00476E64" w:rsidRPr="00896B85">
        <w:rPr>
          <w:lang w:val="en-GB"/>
        </w:rPr>
        <w:t xml:space="preserve"> (Jammalamadaka, &amp; Itapu, 2023)</w:t>
      </w:r>
      <w:r w:rsidR="00B777E8" w:rsidRPr="00896B85">
        <w:rPr>
          <w:lang w:val="en-GB"/>
        </w:rPr>
        <w:t>. Early studies emphasized logistic regression and discriminant analysis for predicting borrower default, valuing transparency and interpretability</w:t>
      </w:r>
      <w:r w:rsidR="00476E64" w:rsidRPr="00896B85">
        <w:rPr>
          <w:lang w:val="en-GB"/>
        </w:rPr>
        <w:t xml:space="preserve"> (Abbas, et al., 2025; 2026; Deng, et al., 2026)</w:t>
      </w:r>
      <w:r w:rsidR="00B777E8" w:rsidRPr="00896B85">
        <w:rPr>
          <w:lang w:val="en-GB"/>
        </w:rPr>
        <w:t>. Over time, researchers highlighted limitations in handling nonlinear relationships and large, complex datasets. This prompted exploration of decision trees, neural networks, and ensemble techniques, which demonstrated stronger predictive accuracy. Scholars also examined data quality, variable selection, and model validation as critical determinants of system reliability and robustness</w:t>
      </w:r>
      <w:r w:rsidR="00476E64" w:rsidRPr="00896B85">
        <w:rPr>
          <w:lang w:val="en-GB"/>
        </w:rPr>
        <w:t xml:space="preserve"> (Jafari, &amp; Mousavi, 2026; Sarkar, 2026)</w:t>
      </w:r>
      <w:r w:rsidR="00B777E8" w:rsidRPr="00896B85">
        <w:rPr>
          <w:lang w:val="en-GB"/>
        </w:rPr>
        <w:t>. Recent research concentrates on fairness, explainability, and ethical deployment</w:t>
      </w:r>
      <w:r w:rsidR="00476E64" w:rsidRPr="00896B85">
        <w:rPr>
          <w:lang w:val="en-GB"/>
        </w:rPr>
        <w:t xml:space="preserve"> (Rama, &amp; Prinsloo, 2025)</w:t>
      </w:r>
      <w:r w:rsidR="00B777E8" w:rsidRPr="00896B85">
        <w:rPr>
          <w:lang w:val="en-GB"/>
        </w:rPr>
        <w:t>. Concerns about algorithmic bias, data privacy, and regulatory compliance have driven interdisciplinary inquiry. Contemporary literature stresses balancing predictive power with accountability, ensuring automated systems support responsible lending while maintaining financial inclusion and consumer trust</w:t>
      </w:r>
      <w:r w:rsidR="00476E64" w:rsidRPr="00896B85">
        <w:rPr>
          <w:lang w:val="en-GB"/>
        </w:rPr>
        <w:t xml:space="preserve"> (Arowona, &amp; Yinusa, 2025)</w:t>
      </w:r>
      <w:r w:rsidR="00B777E8" w:rsidRPr="00896B85">
        <w:rPr>
          <w:lang w:val="en-GB"/>
        </w:rPr>
        <w:t>.</w:t>
      </w:r>
    </w:p>
    <w:p w14:paraId="6BD4572A" w14:textId="7FA90A92" w:rsidR="00B777E8" w:rsidRPr="005379BE" w:rsidRDefault="00C67304" w:rsidP="00600812">
      <w:pPr>
        <w:pStyle w:val="NormalWeb"/>
        <w:jc w:val="both"/>
        <w:rPr>
          <w:lang w:val="en-GB"/>
        </w:rPr>
      </w:pPr>
      <w:r w:rsidRPr="0026613C">
        <w:rPr>
          <w:b/>
          <w:bCs/>
          <w:i/>
          <w:iCs/>
          <w:lang w:val="en-GB"/>
        </w:rPr>
        <w:lastRenderedPageBreak/>
        <w:t xml:space="preserve">Predictive </w:t>
      </w:r>
      <w:r w:rsidR="00B777E8" w:rsidRPr="0026613C">
        <w:rPr>
          <w:b/>
          <w:bCs/>
          <w:i/>
          <w:iCs/>
          <w:lang w:val="en-GB"/>
        </w:rPr>
        <w:t>Risk Analytics</w:t>
      </w:r>
      <w:r w:rsidR="00B777E8" w:rsidRPr="005379BE">
        <w:rPr>
          <w:b/>
          <w:bCs/>
          <w:lang w:val="en-GB"/>
        </w:rPr>
        <w:t xml:space="preserve">: </w:t>
      </w:r>
      <w:r w:rsidR="00896B85" w:rsidRPr="00896B85">
        <w:rPr>
          <w:lang w:val="en-GB"/>
        </w:rPr>
        <w:t>Predictive Risk Analytics is a data driven approach that uses statistical modeling, machine learning, and historical information to identify patterns indicating potential risks before they occur. By forecasting likelihood and impact of adverse events, organizations can prioritize mitigation strategies, allocate resources wisely, and support proactive, evidence-based decision making across financial, operational, security, and strategic environments</w:t>
      </w:r>
      <w:r w:rsidR="00896B85">
        <w:t>.</w:t>
      </w:r>
      <w:r w:rsidR="00896B85" w:rsidRPr="005379BE">
        <w:rPr>
          <w:lang w:val="en-GB"/>
        </w:rPr>
        <w:t xml:space="preserve"> </w:t>
      </w:r>
      <w:r w:rsidR="00896B85">
        <w:rPr>
          <w:lang w:val="en-GB"/>
        </w:rPr>
        <w:t xml:space="preserve"> </w:t>
      </w:r>
      <w:r w:rsidR="00B777E8" w:rsidRPr="005379BE">
        <w:rPr>
          <w:lang w:val="en-GB"/>
        </w:rPr>
        <w:t>Predictive risk analytics has evolved from traditional statistical risk assessment into a data driven discipline that integrates machine learning, big data infrastructures, and domain specific expertise. Scholars emphasize its capacity to transform historical records into forward looking insights that anticipate financial losses, operational disruptions, health complications, and security threats</w:t>
      </w:r>
      <w:r w:rsidR="00476E64" w:rsidRPr="005379BE">
        <w:rPr>
          <w:lang w:val="en-GB"/>
        </w:rPr>
        <w:t xml:space="preserve"> (</w:t>
      </w:r>
      <w:r w:rsidR="00476E64" w:rsidRPr="005379BE">
        <w:t>Kera, &amp; Dewanti. 2026; Renshaw, 2026)</w:t>
      </w:r>
      <w:r w:rsidR="00B777E8" w:rsidRPr="005379BE">
        <w:rPr>
          <w:lang w:val="en-GB"/>
        </w:rPr>
        <w:t>. Early literature focused on regression models and probability theory, while recent studies highlight ensemble learning, neural networks, and real time streaming analytics</w:t>
      </w:r>
      <w:r w:rsidR="00476E64" w:rsidRPr="005379BE">
        <w:rPr>
          <w:lang w:val="en-GB"/>
        </w:rPr>
        <w:t xml:space="preserve"> (</w:t>
      </w:r>
      <w:r w:rsidR="00476E64" w:rsidRPr="005379BE">
        <w:t xml:space="preserve">Verma, et al., 2025; </w:t>
      </w:r>
      <w:r w:rsidR="007549CF" w:rsidRPr="005379BE">
        <w:t>Alhumaidi, et al., 2025)</w:t>
      </w:r>
      <w:r w:rsidR="00B777E8" w:rsidRPr="005379BE">
        <w:rPr>
          <w:lang w:val="en-GB"/>
        </w:rPr>
        <w:t>. Researchers consistently note that model transparency, interpretability, and ethical governance remain central concerns alongside predictive accuracy</w:t>
      </w:r>
      <w:r w:rsidR="007549CF" w:rsidRPr="005379BE">
        <w:rPr>
          <w:lang w:val="en-GB"/>
        </w:rPr>
        <w:t xml:space="preserve"> (</w:t>
      </w:r>
      <w:r w:rsidR="007549CF" w:rsidRPr="005379BE">
        <w:t>Shafik, et al., 2026; Randeniya, et al., 2026)</w:t>
      </w:r>
      <w:r w:rsidR="00B777E8" w:rsidRPr="005379BE">
        <w:rPr>
          <w:lang w:val="en-GB"/>
        </w:rPr>
        <w:t>. The literature also explores sector specific applications, including banking fraud detection, supply chain resilience, insurance underwriting, and health surveillance</w:t>
      </w:r>
      <w:r w:rsidR="007549CF" w:rsidRPr="005379BE">
        <w:rPr>
          <w:lang w:val="en-GB"/>
        </w:rPr>
        <w:t xml:space="preserve"> (</w:t>
      </w:r>
      <w:r w:rsidR="007549CF" w:rsidRPr="005379BE">
        <w:t>Islam, &amp; Islam, 2025)</w:t>
      </w:r>
      <w:r w:rsidR="00B777E8" w:rsidRPr="005379BE">
        <w:rPr>
          <w:lang w:val="en-GB"/>
        </w:rPr>
        <w:t>. Comparative analyses demonstrate</w:t>
      </w:r>
      <w:r w:rsidR="007549CF" w:rsidRPr="005379BE">
        <w:rPr>
          <w:lang w:val="en-GB"/>
        </w:rPr>
        <w:t>d</w:t>
      </w:r>
      <w:r w:rsidR="00B777E8" w:rsidRPr="005379BE">
        <w:rPr>
          <w:lang w:val="en-GB"/>
        </w:rPr>
        <w:t xml:space="preserve"> that hybrid frameworks combining statistical reasoning with machine learning often outperform method approaches</w:t>
      </w:r>
      <w:r w:rsidR="007549CF" w:rsidRPr="005379BE">
        <w:rPr>
          <w:lang w:val="en-GB"/>
        </w:rPr>
        <w:t xml:space="preserve"> (</w:t>
      </w:r>
      <w:r w:rsidR="007549CF" w:rsidRPr="005379BE">
        <w:t>Alawi Al-Sodani, 2026; Kmen, et al., 2026)</w:t>
      </w:r>
      <w:r w:rsidR="00B777E8" w:rsidRPr="005379BE">
        <w:rPr>
          <w:lang w:val="en-GB"/>
        </w:rPr>
        <w:t>. However, scholars caution that data quality, bias mitigation, regulatory compliance, and readiness influence implementation outcomes</w:t>
      </w:r>
      <w:r w:rsidR="007549CF" w:rsidRPr="005379BE">
        <w:rPr>
          <w:lang w:val="en-GB"/>
        </w:rPr>
        <w:t xml:space="preserve"> (</w:t>
      </w:r>
      <w:r w:rsidR="007549CF" w:rsidRPr="005379BE">
        <w:t>Ansari, et al., 2026; Boyina, &amp; Chettier, 2026)</w:t>
      </w:r>
      <w:r w:rsidR="00B777E8" w:rsidRPr="005379BE">
        <w:rPr>
          <w:lang w:val="en-GB"/>
        </w:rPr>
        <w:t>.</w:t>
      </w:r>
    </w:p>
    <w:p w14:paraId="0C0E2D4F" w14:textId="451D341C" w:rsidR="00B777E8" w:rsidRPr="005379BE" w:rsidRDefault="00B777E8" w:rsidP="00600812">
      <w:pPr>
        <w:pStyle w:val="NormalWeb"/>
        <w:jc w:val="both"/>
        <w:rPr>
          <w:b/>
          <w:bCs/>
          <w:lang w:val="en-GB"/>
        </w:rPr>
      </w:pPr>
      <w:r w:rsidRPr="005379BE">
        <w:rPr>
          <w:b/>
          <w:bCs/>
          <w:lang w:val="en-GB"/>
        </w:rPr>
        <w:t>Financial Performance</w:t>
      </w:r>
    </w:p>
    <w:p w14:paraId="1B4DE863" w14:textId="49F1B7E9" w:rsidR="00B777E8" w:rsidRPr="005379BE" w:rsidRDefault="00896B85" w:rsidP="00600812">
      <w:pPr>
        <w:spacing w:before="100" w:beforeAutospacing="1" w:after="100" w:afterAutospacing="1" w:line="240" w:lineRule="auto"/>
        <w:jc w:val="both"/>
        <w:rPr>
          <w:rFonts w:ascii="Times New Roman" w:eastAsia="Times New Roman" w:hAnsi="Times New Roman" w:cs="Times New Roman"/>
          <w:sz w:val="24"/>
          <w:szCs w:val="24"/>
        </w:rPr>
      </w:pPr>
      <w:r w:rsidRPr="00896B85">
        <w:rPr>
          <w:rFonts w:ascii="Times New Roman" w:hAnsi="Times New Roman" w:cs="Times New Roman"/>
          <w:sz w:val="24"/>
          <w:szCs w:val="24"/>
        </w:rPr>
        <w:t>Financial performance is how effectively an organization uses its resources to generate revenue, manage costs, and create sustainable value over time. It is assessed through indicators such as profitability, liquidity, efficiency, and growth, which collectively show the firm’s economic health. By examining financial statements, cash flows, and returns on investment, stakeholders can evaluate operational success, strategic decisions, and the organization’s capacity to remain competitive, meet obligations, and achieve long-term financial stability in changing economic environments. F</w:t>
      </w:r>
      <w:r w:rsidR="00B777E8" w:rsidRPr="00896B85">
        <w:rPr>
          <w:rFonts w:ascii="Times New Roman" w:eastAsia="Times New Roman" w:hAnsi="Times New Roman" w:cs="Times New Roman"/>
          <w:sz w:val="24"/>
          <w:szCs w:val="24"/>
        </w:rPr>
        <w:t>inancial performance</w:t>
      </w:r>
      <w:r w:rsidR="00B777E8" w:rsidRPr="005379BE">
        <w:rPr>
          <w:rFonts w:ascii="Times New Roman" w:eastAsia="Times New Roman" w:hAnsi="Times New Roman" w:cs="Times New Roman"/>
          <w:sz w:val="24"/>
          <w:szCs w:val="24"/>
        </w:rPr>
        <w:t xml:space="preserve"> commonly begins by examining how scholars conceptualize and measure organizational success. Financial performance is often evaluated using profitability, liquidity, solvency, and efficiency indicators such as return on assets, return on equity, net profit margin, and current ratios</w:t>
      </w:r>
      <w:r w:rsidR="007549CF" w:rsidRPr="005379BE">
        <w:rPr>
          <w:rFonts w:ascii="Times New Roman" w:eastAsia="Times New Roman" w:hAnsi="Times New Roman" w:cs="Times New Roman"/>
          <w:sz w:val="24"/>
          <w:szCs w:val="24"/>
        </w:rPr>
        <w:t xml:space="preserve"> (</w:t>
      </w:r>
      <w:r w:rsidR="007549CF" w:rsidRPr="005379BE">
        <w:rPr>
          <w:rFonts w:ascii="Times New Roman" w:hAnsi="Times New Roman" w:cs="Times New Roman"/>
          <w:sz w:val="24"/>
          <w:szCs w:val="24"/>
        </w:rPr>
        <w:t>Yahaya, 2026; Giyatiningrum, 2026)</w:t>
      </w:r>
      <w:r w:rsidR="00B777E8" w:rsidRPr="005379BE">
        <w:rPr>
          <w:rFonts w:ascii="Times New Roman" w:eastAsia="Times New Roman" w:hAnsi="Times New Roman" w:cs="Times New Roman"/>
          <w:sz w:val="24"/>
          <w:szCs w:val="24"/>
        </w:rPr>
        <w:t>. Researchers argue</w:t>
      </w:r>
      <w:r w:rsidR="007549CF" w:rsidRPr="005379BE">
        <w:rPr>
          <w:rFonts w:ascii="Times New Roman" w:eastAsia="Times New Roman" w:hAnsi="Times New Roman" w:cs="Times New Roman"/>
          <w:sz w:val="24"/>
          <w:szCs w:val="24"/>
        </w:rPr>
        <w:t>d</w:t>
      </w:r>
      <w:r w:rsidR="00B777E8" w:rsidRPr="005379BE">
        <w:rPr>
          <w:rFonts w:ascii="Times New Roman" w:eastAsia="Times New Roman" w:hAnsi="Times New Roman" w:cs="Times New Roman"/>
          <w:sz w:val="24"/>
          <w:szCs w:val="24"/>
        </w:rPr>
        <w:t xml:space="preserve"> that these metrics provide a structured way to assess how effectively a firm utilizes its resources to generate earnings and sustain operations</w:t>
      </w:r>
      <w:r w:rsidR="007549CF" w:rsidRPr="005379BE">
        <w:rPr>
          <w:rFonts w:ascii="Times New Roman" w:eastAsia="Times New Roman" w:hAnsi="Times New Roman" w:cs="Times New Roman"/>
          <w:sz w:val="24"/>
          <w:szCs w:val="24"/>
        </w:rPr>
        <w:t xml:space="preserve"> (</w:t>
      </w:r>
      <w:r w:rsidR="007549CF" w:rsidRPr="005379BE">
        <w:rPr>
          <w:rFonts w:ascii="Times New Roman" w:hAnsi="Times New Roman" w:cs="Times New Roman"/>
          <w:sz w:val="24"/>
          <w:szCs w:val="24"/>
        </w:rPr>
        <w:t>Amanda, 2026; Fransisca, et al., 2026)</w:t>
      </w:r>
      <w:r w:rsidR="00B777E8" w:rsidRPr="005379BE">
        <w:rPr>
          <w:rFonts w:ascii="Times New Roman" w:eastAsia="Times New Roman" w:hAnsi="Times New Roman" w:cs="Times New Roman"/>
          <w:sz w:val="24"/>
          <w:szCs w:val="24"/>
        </w:rPr>
        <w:t>. Beyond traditional accounting measures, contemporary studies also integrate market-based indicators like share price performance and earnings per share to capture investor perceptions. The literature highlights that financial performance is influenced by internal factors including management efficiency, capital structure decisions, and operational strategies</w:t>
      </w:r>
      <w:r w:rsidR="00B33056" w:rsidRPr="005379BE">
        <w:rPr>
          <w:rFonts w:ascii="Times New Roman" w:eastAsia="Times New Roman" w:hAnsi="Times New Roman" w:cs="Times New Roman"/>
          <w:sz w:val="24"/>
          <w:szCs w:val="24"/>
        </w:rPr>
        <w:t xml:space="preserve"> (</w:t>
      </w:r>
      <w:r w:rsidR="00B33056" w:rsidRPr="005379BE">
        <w:rPr>
          <w:rFonts w:ascii="Times New Roman" w:hAnsi="Times New Roman" w:cs="Times New Roman"/>
          <w:sz w:val="24"/>
          <w:szCs w:val="24"/>
        </w:rPr>
        <w:t>Ahmed, et al., 2024)</w:t>
      </w:r>
      <w:r w:rsidR="00B777E8" w:rsidRPr="005379BE">
        <w:rPr>
          <w:rFonts w:ascii="Times New Roman" w:eastAsia="Times New Roman" w:hAnsi="Times New Roman" w:cs="Times New Roman"/>
          <w:sz w:val="24"/>
          <w:szCs w:val="24"/>
        </w:rPr>
        <w:t>.</w:t>
      </w:r>
    </w:p>
    <w:p w14:paraId="16D8E573" w14:textId="7BA9F3E7" w:rsidR="00B777E8" w:rsidRPr="005379BE" w:rsidRDefault="00B777E8"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Extensive research further connects financial performance with external determinants such as economic conditions, regulatory environments, technological change, and competitive intensity</w:t>
      </w:r>
      <w:r w:rsidR="00B33056" w:rsidRPr="005379BE">
        <w:rPr>
          <w:rFonts w:ascii="Times New Roman" w:eastAsia="Times New Roman" w:hAnsi="Times New Roman" w:cs="Times New Roman"/>
          <w:sz w:val="24"/>
          <w:szCs w:val="24"/>
        </w:rPr>
        <w:t xml:space="preserve"> (</w:t>
      </w:r>
      <w:r w:rsidR="00B33056" w:rsidRPr="005379BE">
        <w:rPr>
          <w:rFonts w:ascii="Times New Roman" w:hAnsi="Times New Roman" w:cs="Times New Roman"/>
          <w:sz w:val="24"/>
          <w:szCs w:val="24"/>
        </w:rPr>
        <w:t>Yahaya, 2026; Duong, &amp; Nguyen, 2026)</w:t>
      </w:r>
      <w:r w:rsidRPr="005379BE">
        <w:rPr>
          <w:rFonts w:ascii="Times New Roman" w:eastAsia="Times New Roman" w:hAnsi="Times New Roman" w:cs="Times New Roman"/>
          <w:sz w:val="24"/>
          <w:szCs w:val="24"/>
        </w:rPr>
        <w:t>. Scholars emphasize</w:t>
      </w:r>
      <w:r w:rsidR="00B33056" w:rsidRPr="005379BE">
        <w:rPr>
          <w:rFonts w:ascii="Times New Roman" w:eastAsia="Times New Roman" w:hAnsi="Times New Roman" w:cs="Times New Roman"/>
          <w:sz w:val="24"/>
          <w:szCs w:val="24"/>
        </w:rPr>
        <w:t>d</w:t>
      </w:r>
      <w:r w:rsidRPr="005379BE">
        <w:rPr>
          <w:rFonts w:ascii="Times New Roman" w:eastAsia="Times New Roman" w:hAnsi="Times New Roman" w:cs="Times New Roman"/>
          <w:sz w:val="24"/>
          <w:szCs w:val="24"/>
        </w:rPr>
        <w:t xml:space="preserve"> the role of corporate governance, innovation, and sustainability practices in shaping long-term financial outcomes</w:t>
      </w:r>
      <w:r w:rsidR="00B33056" w:rsidRPr="005379BE">
        <w:rPr>
          <w:rFonts w:ascii="Times New Roman" w:eastAsia="Times New Roman" w:hAnsi="Times New Roman" w:cs="Times New Roman"/>
          <w:sz w:val="24"/>
          <w:szCs w:val="24"/>
        </w:rPr>
        <w:t xml:space="preserve"> </w:t>
      </w:r>
      <w:r w:rsidR="00B33056" w:rsidRPr="005379BE">
        <w:rPr>
          <w:rFonts w:ascii="Times New Roman" w:eastAsia="Times New Roman" w:hAnsi="Times New Roman" w:cs="Times New Roman"/>
          <w:sz w:val="24"/>
          <w:szCs w:val="24"/>
        </w:rPr>
        <w:lastRenderedPageBreak/>
        <w:t>(</w:t>
      </w:r>
      <w:r w:rsidR="00B33056" w:rsidRPr="005379BE">
        <w:rPr>
          <w:rFonts w:ascii="Times New Roman" w:hAnsi="Times New Roman" w:cs="Times New Roman"/>
          <w:sz w:val="24"/>
          <w:szCs w:val="24"/>
        </w:rPr>
        <w:t>Ciurel, &amp; Dobrescu, 2025; Limna, 2026; Babic, et al., 2026)</w:t>
      </w:r>
      <w:r w:rsidRPr="005379BE">
        <w:rPr>
          <w:rFonts w:ascii="Times New Roman" w:eastAsia="Times New Roman" w:hAnsi="Times New Roman" w:cs="Times New Roman"/>
          <w:sz w:val="24"/>
          <w:szCs w:val="24"/>
        </w:rPr>
        <w:t>. Overall, the literature suggest</w:t>
      </w:r>
      <w:r w:rsidR="00B33056" w:rsidRPr="005379BE">
        <w:rPr>
          <w:rFonts w:ascii="Times New Roman" w:eastAsia="Times New Roman" w:hAnsi="Times New Roman" w:cs="Times New Roman"/>
          <w:sz w:val="24"/>
          <w:szCs w:val="24"/>
        </w:rPr>
        <w:t>ed</w:t>
      </w:r>
      <w:r w:rsidRPr="005379BE">
        <w:rPr>
          <w:rFonts w:ascii="Times New Roman" w:eastAsia="Times New Roman" w:hAnsi="Times New Roman" w:cs="Times New Roman"/>
          <w:sz w:val="24"/>
          <w:szCs w:val="24"/>
        </w:rPr>
        <w:t xml:space="preserve"> that financial performance is multidimensional, dynamic, and context-dependent, requiring integrated evaluation approaches for meaningful interpretation and strategic decision-making</w:t>
      </w:r>
      <w:r w:rsidR="00B33056" w:rsidRPr="005379BE">
        <w:rPr>
          <w:rFonts w:ascii="Times New Roman" w:eastAsia="Times New Roman" w:hAnsi="Times New Roman" w:cs="Times New Roman"/>
          <w:sz w:val="24"/>
          <w:szCs w:val="24"/>
        </w:rPr>
        <w:t xml:space="preserve"> (</w:t>
      </w:r>
      <w:r w:rsidR="00B33056" w:rsidRPr="005379BE">
        <w:rPr>
          <w:rFonts w:ascii="Times New Roman" w:hAnsi="Times New Roman" w:cs="Times New Roman"/>
          <w:sz w:val="24"/>
          <w:szCs w:val="24"/>
        </w:rPr>
        <w:t>Imam-Binuyo, et al., 2026)</w:t>
      </w:r>
      <w:r w:rsidRPr="005379BE">
        <w:rPr>
          <w:rFonts w:ascii="Times New Roman" w:eastAsia="Times New Roman" w:hAnsi="Times New Roman" w:cs="Times New Roman"/>
          <w:sz w:val="24"/>
          <w:szCs w:val="24"/>
        </w:rPr>
        <w:t>.</w:t>
      </w:r>
    </w:p>
    <w:p w14:paraId="397D43FD" w14:textId="2C2E5B41" w:rsidR="00C46BFB" w:rsidRPr="005379BE" w:rsidRDefault="00C46BFB" w:rsidP="00600812">
      <w:pPr>
        <w:spacing w:before="100" w:beforeAutospacing="1" w:after="100" w:afterAutospacing="1" w:line="240" w:lineRule="auto"/>
        <w:jc w:val="both"/>
        <w:rPr>
          <w:rFonts w:ascii="Times New Roman" w:eastAsia="Times New Roman" w:hAnsi="Times New Roman" w:cs="Times New Roman"/>
          <w:b/>
          <w:bCs/>
          <w:sz w:val="24"/>
          <w:szCs w:val="24"/>
        </w:rPr>
      </w:pPr>
      <w:r w:rsidRPr="005379BE">
        <w:rPr>
          <w:rFonts w:ascii="Times New Roman" w:eastAsia="Times New Roman" w:hAnsi="Times New Roman" w:cs="Times New Roman"/>
          <w:b/>
          <w:bCs/>
          <w:sz w:val="24"/>
          <w:szCs w:val="24"/>
        </w:rPr>
        <w:t>Theoretical Framework</w:t>
      </w:r>
    </w:p>
    <w:p w14:paraId="32B078CE" w14:textId="5F876935" w:rsidR="00BE4282" w:rsidRDefault="00C46BFB"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The adoption of Diffusion of Innovations Theory provides a strong analytical lens for examining the impact of artificial intelligence–driven credit management on the financial performance of DMBs</w:t>
      </w:r>
      <w:r w:rsidR="00195C39" w:rsidRPr="005379BE">
        <w:rPr>
          <w:rFonts w:ascii="Times New Roman" w:eastAsia="Times New Roman" w:hAnsi="Times New Roman" w:cs="Times New Roman"/>
          <w:sz w:val="24"/>
          <w:szCs w:val="24"/>
        </w:rPr>
        <w:t xml:space="preserve"> </w:t>
      </w:r>
      <w:r w:rsidRPr="005379BE">
        <w:rPr>
          <w:rFonts w:ascii="Times New Roman" w:eastAsia="Times New Roman" w:hAnsi="Times New Roman" w:cs="Times New Roman"/>
          <w:sz w:val="24"/>
          <w:szCs w:val="24"/>
        </w:rPr>
        <w:t>in Nigeria. Developed by Everett Rogers, the theory explains how new technologies spread within social systems over time</w:t>
      </w:r>
      <w:r w:rsidR="00B33056" w:rsidRPr="005379BE">
        <w:rPr>
          <w:rFonts w:ascii="Times New Roman" w:eastAsia="Times New Roman" w:hAnsi="Times New Roman" w:cs="Times New Roman"/>
          <w:sz w:val="24"/>
          <w:szCs w:val="24"/>
        </w:rPr>
        <w:t xml:space="preserve"> (</w:t>
      </w:r>
      <w:r w:rsidR="00B33056" w:rsidRPr="005379BE">
        <w:rPr>
          <w:rFonts w:ascii="Times New Roman" w:hAnsi="Times New Roman" w:cs="Times New Roman"/>
          <w:sz w:val="24"/>
          <w:szCs w:val="24"/>
        </w:rPr>
        <w:t>Singh, &amp; Strzelecki, 2026; Tsogbe, et al., 2026)</w:t>
      </w:r>
      <w:r w:rsidRPr="005379BE">
        <w:rPr>
          <w:rFonts w:ascii="Times New Roman" w:eastAsia="Times New Roman" w:hAnsi="Times New Roman" w:cs="Times New Roman"/>
          <w:sz w:val="24"/>
          <w:szCs w:val="24"/>
        </w:rPr>
        <w:t>. AI-powered credit management systems such as automated risk assessment, predictive analytics, and real-time loan monitoring represent technological innovations whose acceptance depends on perceived relative advantage, compatibility with existing banking operations, complexity, trialability, and observability</w:t>
      </w:r>
      <w:r w:rsidR="00B33056" w:rsidRPr="005379BE">
        <w:rPr>
          <w:rFonts w:ascii="Times New Roman" w:eastAsia="Times New Roman" w:hAnsi="Times New Roman" w:cs="Times New Roman"/>
          <w:sz w:val="24"/>
          <w:szCs w:val="24"/>
        </w:rPr>
        <w:t xml:space="preserve"> (</w:t>
      </w:r>
      <w:r w:rsidR="00B33056" w:rsidRPr="005379BE">
        <w:rPr>
          <w:rFonts w:ascii="Times New Roman" w:hAnsi="Times New Roman" w:cs="Times New Roman"/>
          <w:sz w:val="24"/>
          <w:szCs w:val="24"/>
        </w:rPr>
        <w:t>Singh, &amp; Strzelecki, 2026; Reis, &amp; Pinheiro, 2025)</w:t>
      </w:r>
      <w:r w:rsidRPr="005379BE">
        <w:rPr>
          <w:rFonts w:ascii="Times New Roman" w:eastAsia="Times New Roman" w:hAnsi="Times New Roman" w:cs="Times New Roman"/>
          <w:sz w:val="24"/>
          <w:szCs w:val="24"/>
        </w:rPr>
        <w:t>. These attributes directly influence adoption decisions among Nigerian DMBs operating in a competitive and evolving financial landscape</w:t>
      </w:r>
      <w:r w:rsidR="005379BE" w:rsidRPr="005379BE">
        <w:rPr>
          <w:rFonts w:ascii="Times New Roman" w:eastAsia="Times New Roman" w:hAnsi="Times New Roman" w:cs="Times New Roman"/>
          <w:sz w:val="24"/>
          <w:szCs w:val="24"/>
        </w:rPr>
        <w:t xml:space="preserve"> (</w:t>
      </w:r>
      <w:r w:rsidR="005379BE" w:rsidRPr="005379BE">
        <w:rPr>
          <w:rFonts w:ascii="Times New Roman" w:hAnsi="Times New Roman" w:cs="Times New Roman"/>
          <w:sz w:val="24"/>
          <w:szCs w:val="24"/>
        </w:rPr>
        <w:t>Hamzah, et al., 2026; Kumar, et al., 2025)</w:t>
      </w:r>
      <w:r w:rsidRPr="005379BE">
        <w:rPr>
          <w:rFonts w:ascii="Times New Roman" w:eastAsia="Times New Roman" w:hAnsi="Times New Roman" w:cs="Times New Roman"/>
          <w:sz w:val="24"/>
          <w:szCs w:val="24"/>
        </w:rPr>
        <w:t>. Furthermore, the theory justifies assessing how institutional readiness, communication channels, and leadership support shape adoption speed and depth. As banks observe improved loan recovery, reduced non-performing assets, and enhanced profitability among early adopters, diffusion accelerates. Thus, the framework effectively links innovation uptake with measurable financial performance outcomes</w:t>
      </w:r>
      <w:r w:rsidR="00BE4282">
        <w:rPr>
          <w:rFonts w:ascii="Times New Roman" w:eastAsia="Times New Roman" w:hAnsi="Times New Roman" w:cs="Times New Roman"/>
          <w:sz w:val="24"/>
          <w:szCs w:val="24"/>
        </w:rPr>
        <w:t>.</w:t>
      </w:r>
    </w:p>
    <w:p w14:paraId="68DC07FE" w14:textId="3CC57A0D" w:rsidR="00BE4282" w:rsidRPr="00BE4282" w:rsidRDefault="00BE4282" w:rsidP="00600812">
      <w:pPr>
        <w:spacing w:before="100" w:beforeAutospacing="1" w:after="100" w:afterAutospacing="1" w:line="240" w:lineRule="auto"/>
        <w:jc w:val="both"/>
        <w:rPr>
          <w:rFonts w:ascii="Times New Roman" w:eastAsia="Times New Roman" w:hAnsi="Times New Roman" w:cs="Times New Roman"/>
          <w:b/>
          <w:bCs/>
          <w:sz w:val="24"/>
          <w:szCs w:val="24"/>
        </w:rPr>
      </w:pPr>
      <w:r w:rsidRPr="00BE4282">
        <w:rPr>
          <w:rFonts w:ascii="Times New Roman" w:eastAsia="Times New Roman" w:hAnsi="Times New Roman" w:cs="Times New Roman"/>
          <w:b/>
          <w:bCs/>
          <w:sz w:val="24"/>
          <w:szCs w:val="24"/>
        </w:rPr>
        <w:t xml:space="preserve">THEORETICAL MODEL </w:t>
      </w:r>
    </w:p>
    <w:p w14:paraId="38420224" w14:textId="6E606232" w:rsidR="00415B04" w:rsidRDefault="00415B04" w:rsidP="0060081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54CDBAE9" wp14:editId="18C668AF">
                <wp:simplePos x="0" y="0"/>
                <wp:positionH relativeFrom="column">
                  <wp:posOffset>3429000</wp:posOffset>
                </wp:positionH>
                <wp:positionV relativeFrom="paragraph">
                  <wp:posOffset>5080</wp:posOffset>
                </wp:positionV>
                <wp:extent cx="3054350" cy="1327150"/>
                <wp:effectExtent l="0" t="0" r="12700" b="25400"/>
                <wp:wrapNone/>
                <wp:docPr id="2" name="Rectangle: Rounded Corners 2"/>
                <wp:cNvGraphicFramePr/>
                <a:graphic xmlns:a="http://schemas.openxmlformats.org/drawingml/2006/main">
                  <a:graphicData uri="http://schemas.microsoft.com/office/word/2010/wordprocessingShape">
                    <wps:wsp>
                      <wps:cNvSpPr/>
                      <wps:spPr>
                        <a:xfrm>
                          <a:off x="0" y="0"/>
                          <a:ext cx="3054350" cy="1327150"/>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289DBCD2" w14:textId="68A8C606" w:rsidR="00415B04" w:rsidRP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AI TECHNOLOGY ADOPTION IN BANKS</w:t>
                            </w:r>
                          </w:p>
                          <w:p w14:paraId="3143A90C" w14:textId="77777777" w:rsidR="00BE4282"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(AI-Driven Credit Management </w:t>
                            </w:r>
                            <w:r w:rsidR="00BE4282">
                              <w:rPr>
                                <w:rFonts w:ascii="Times New Roman" w:eastAsia="Times New Roman" w:hAnsi="Times New Roman" w:cs="Times New Roman"/>
                                <w:sz w:val="24"/>
                                <w:szCs w:val="24"/>
                              </w:rPr>
                              <w:t xml:space="preserve">    </w:t>
                            </w:r>
                          </w:p>
                          <w:p w14:paraId="46618E05" w14:textId="032E4532" w:rsidR="00415B04" w:rsidRP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15B04" w:rsidRPr="00415B04">
                              <w:rPr>
                                <w:rFonts w:ascii="Times New Roman" w:eastAsia="Times New Roman" w:hAnsi="Times New Roman" w:cs="Times New Roman"/>
                                <w:sz w:val="24"/>
                                <w:szCs w:val="24"/>
                              </w:rPr>
                              <w:t>Systems)</w:t>
                            </w:r>
                          </w:p>
                          <w:p w14:paraId="5E8999AB" w14:textId="77777777" w:rsidR="00415B04" w:rsidRDefault="00415B04" w:rsidP="00415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CDBAE9" id="Rectangle: Rounded Corners 2" o:spid="_x0000_s1026" style="position:absolute;left:0;text-align:left;margin-left:270pt;margin-top:.4pt;width:240.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" fillcolor="#70ad47 [3209]" strokecolor="white [3201]" strokeweight="1.5pt">
                <v:stroke joinstyle="miter"/>
                <v:textbox>
                  <w:txbxContent>
                    <w:p w14:paraId="289DBCD2" w14:textId="68A8C606" w:rsidR="00415B04" w:rsidRP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AI TECHNOLOGY ADOPTION IN BANKS</w:t>
                      </w:r>
                    </w:p>
                    <w:p w14:paraId="3143A90C" w14:textId="77777777" w:rsidR="00BE4282"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(AI-Driven Credit Management </w:t>
                      </w:r>
                      <w:r w:rsidR="00BE4282">
                        <w:rPr>
                          <w:rFonts w:ascii="Times New Roman" w:eastAsia="Times New Roman" w:hAnsi="Times New Roman" w:cs="Times New Roman"/>
                          <w:sz w:val="24"/>
                          <w:szCs w:val="24"/>
                        </w:rPr>
                        <w:t xml:space="preserve">    </w:t>
                      </w:r>
                    </w:p>
                    <w:p w14:paraId="46618E05" w14:textId="032E4532" w:rsidR="00415B04" w:rsidRP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15B04" w:rsidRPr="00415B04">
                        <w:rPr>
                          <w:rFonts w:ascii="Times New Roman" w:eastAsia="Times New Roman" w:hAnsi="Times New Roman" w:cs="Times New Roman"/>
                          <w:sz w:val="24"/>
                          <w:szCs w:val="24"/>
                        </w:rPr>
                        <w:t>Systems)</w:t>
                      </w:r>
                    </w:p>
                    <w:p w14:paraId="5E8999AB" w14:textId="77777777" w:rsidR="00415B04" w:rsidRDefault="00415B04" w:rsidP="00415B04">
                      <w:pPr>
                        <w:jc w:val="center"/>
                      </w:pPr>
                    </w:p>
                  </w:txbxContent>
                </v:textbox>
              </v:roundrect>
            </w:pict>
          </mc:Fallback>
        </mc:AlternateContent>
      </w: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08F5154B" wp14:editId="2C76A35B">
                <wp:simplePos x="0" y="0"/>
                <wp:positionH relativeFrom="column">
                  <wp:posOffset>-558800</wp:posOffset>
                </wp:positionH>
                <wp:positionV relativeFrom="paragraph">
                  <wp:posOffset>68580</wp:posOffset>
                </wp:positionV>
                <wp:extent cx="2952750" cy="1435100"/>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2952750" cy="14351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0026640D" w14:textId="16A59989"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DIFFUSION OF INNOVATIONS FACTORS</w:t>
                            </w:r>
                          </w:p>
                          <w:p w14:paraId="5BD8F03B"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(Relative Advantage, Compatibility,</w:t>
                            </w:r>
                          </w:p>
                          <w:p w14:paraId="2C84F967"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Complexity, Trialability, Observability)</w:t>
                            </w:r>
                          </w:p>
                          <w:p w14:paraId="63452ECE" w14:textId="77777777" w:rsidR="00415B04" w:rsidRDefault="00415B04" w:rsidP="00415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8F5154B" id="Rectangle: Rounded Corners 1" o:spid="_x0000_s1027" style="position:absolute;left:0;text-align:left;margin-left:-44pt;margin-top:5.4pt;width:232.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" fillcolor="#ffd555 [2167]" strokecolor="#ffc000 [3207]" strokeweight=".5pt">
                <v:fill color2="#ffcc31 [2615]" rotate="t" colors="0 #ffdd9c;.5 #ffd78e;1 #ffd479" focus="100%" type="gradient">
                  <o:fill v:ext="view" type="gradientUnscaled"/>
                </v:fill>
                <v:stroke joinstyle="miter"/>
                <v:textbox>
                  <w:txbxContent>
                    <w:p w14:paraId="0026640D" w14:textId="16A59989"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DIFFUSION OF INNOVATIONS FACTORS</w:t>
                      </w:r>
                    </w:p>
                    <w:p w14:paraId="5BD8F03B"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(Relative Advantage, Compatibility,</w:t>
                      </w:r>
                    </w:p>
                    <w:p w14:paraId="2C84F967"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Complexity, Trialability, Observability)</w:t>
                      </w:r>
                    </w:p>
                    <w:p w14:paraId="63452ECE" w14:textId="77777777" w:rsidR="00415B04" w:rsidRDefault="00415B04" w:rsidP="00415B04">
                      <w:pPr>
                        <w:jc w:val="center"/>
                      </w:pPr>
                    </w:p>
                  </w:txbxContent>
                </v:textbox>
              </v:roundrect>
            </w:pict>
          </mc:Fallback>
        </mc:AlternateContent>
      </w:r>
    </w:p>
    <w:p w14:paraId="7237F2EE" w14:textId="21FFB33B" w:rsid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p>
    <w:p w14:paraId="3E98B03A" w14:textId="129F0F6C" w:rsid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4384" behindDoc="0" locked="0" layoutInCell="1" allowOverlap="1" wp14:anchorId="7B1F564E" wp14:editId="47E40262">
                <wp:simplePos x="0" y="0"/>
                <wp:positionH relativeFrom="column">
                  <wp:posOffset>2381250</wp:posOffset>
                </wp:positionH>
                <wp:positionV relativeFrom="paragraph">
                  <wp:posOffset>187960</wp:posOffset>
                </wp:positionV>
                <wp:extent cx="1123950" cy="12700"/>
                <wp:effectExtent l="0" t="76200" r="19050" b="82550"/>
                <wp:wrapNone/>
                <wp:docPr id="6" name="Straight Arrow Connector 6"/>
                <wp:cNvGraphicFramePr/>
                <a:graphic xmlns:a="http://schemas.openxmlformats.org/drawingml/2006/main">
                  <a:graphicData uri="http://schemas.microsoft.com/office/word/2010/wordprocessingShape">
                    <wps:wsp>
                      <wps:cNvCnPr/>
                      <wps:spPr>
                        <a:xfrm flipV="1">
                          <a:off x="0" y="0"/>
                          <a:ext cx="1123950" cy="127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C20E0D" id="_x0000_t32" coordsize="21600,21600" o:spt="32" o:oned="t" path="m,l21600,21600e" filled="f">
                <v:path arrowok="t" fillok="f" o:connecttype="none"/>
                <o:lock v:ext="edit" shapetype="t"/>
              </v:shapetype>
              <v:shape id="Straight Arrow Connector 6" o:spid="_x0000_s1026" type="#_x0000_t32" style="position:absolute;margin-left:187.5pt;margin-top:14.8pt;width:88.5pt;height:1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" strokecolor="#ed7d31 [3205]" strokeweight="1.5pt">
                <v:stroke endarrow="block" joinstyle="miter"/>
              </v:shape>
            </w:pict>
          </mc:Fallback>
        </mc:AlternateContent>
      </w:r>
    </w:p>
    <w:p w14:paraId="53AD35B0" w14:textId="67BB9AEF" w:rsid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5408" behindDoc="0" locked="0" layoutInCell="1" allowOverlap="1" wp14:anchorId="2333BD56" wp14:editId="4F4A5CCA">
                <wp:simplePos x="0" y="0"/>
                <wp:positionH relativeFrom="column">
                  <wp:posOffset>2171700</wp:posOffset>
                </wp:positionH>
                <wp:positionV relativeFrom="paragraph">
                  <wp:posOffset>222250</wp:posOffset>
                </wp:positionV>
                <wp:extent cx="1765300" cy="1003300"/>
                <wp:effectExtent l="38100" t="0" r="25400" b="63500"/>
                <wp:wrapNone/>
                <wp:docPr id="7" name="Straight Arrow Connector 7"/>
                <wp:cNvGraphicFramePr/>
                <a:graphic xmlns:a="http://schemas.openxmlformats.org/drawingml/2006/main">
                  <a:graphicData uri="http://schemas.microsoft.com/office/word/2010/wordprocessingShape">
                    <wps:wsp>
                      <wps:cNvCnPr/>
                      <wps:spPr>
                        <a:xfrm flipH="1">
                          <a:off x="0" y="0"/>
                          <a:ext cx="1765300" cy="1003300"/>
                        </a:xfrm>
                        <a:prstGeom prst="straightConnector1">
                          <a:avLst/>
                        </a:prstGeom>
                        <a:ln>
                          <a:tailEnd type="triangle"/>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F2A69" id="Straight Arrow Connector 7" o:spid="_x0000_s1026" type="#_x0000_t32" style="position:absolute;margin-left:171pt;margin-top:17.5pt;width:139pt;height:79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" strokecolor="#a5a5a5 [3206]" strokeweight="1.5pt">
                <v:stroke endarrow="block" joinstyle="miter"/>
              </v:shape>
            </w:pict>
          </mc:Fallback>
        </mc:AlternateContent>
      </w:r>
    </w:p>
    <w:p w14:paraId="69A3E598" w14:textId="0EDB0E1E" w:rsid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p>
    <w:p w14:paraId="1143F17B" w14:textId="38E3092B" w:rsid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14:anchorId="270EB279" wp14:editId="61401FD6">
                <wp:simplePos x="0" y="0"/>
                <wp:positionH relativeFrom="column">
                  <wp:posOffset>-425450</wp:posOffset>
                </wp:positionH>
                <wp:positionV relativeFrom="paragraph">
                  <wp:posOffset>361315</wp:posOffset>
                </wp:positionV>
                <wp:extent cx="2679700" cy="914400"/>
                <wp:effectExtent l="0" t="0" r="25400" b="19050"/>
                <wp:wrapNone/>
                <wp:docPr id="3" name="Rectangle: Rounded Corners 3"/>
                <wp:cNvGraphicFramePr/>
                <a:graphic xmlns:a="http://schemas.openxmlformats.org/drawingml/2006/main">
                  <a:graphicData uri="http://schemas.microsoft.com/office/word/2010/wordprocessingShape">
                    <wps:wsp>
                      <wps:cNvSpPr/>
                      <wps:spPr>
                        <a:xfrm>
                          <a:off x="0" y="0"/>
                          <a:ext cx="2679700" cy="9144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544CC83"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Diffusion Process in DMBs</w:t>
                            </w:r>
                          </w:p>
                          <w:p w14:paraId="1B66AA03"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(Communication Channels, Time, Social System)</w:t>
                            </w:r>
                          </w:p>
                          <w:p w14:paraId="56FE092C" w14:textId="77777777" w:rsidR="00415B04" w:rsidRDefault="00415B04" w:rsidP="00415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70EB279" id="Rectangle: Rounded Corners 3" o:spid="_x0000_s1028" style="position:absolute;left:0;text-align:left;margin-left:-33.5pt;margin-top:28.45pt;width:211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" fillcolor="#82a0d7 [2164]" strokecolor="#4472c4 [3204]" strokeweight=".5pt">
                <v:fill color2="#678ccf [2612]" rotate="t" colors="0 #a8b7df;.5 #9aabd9;1 #879ed7" focus="100%" type="gradient">
                  <o:fill v:ext="view" type="gradientUnscaled"/>
                </v:fill>
                <v:stroke joinstyle="miter"/>
                <v:textbox>
                  <w:txbxContent>
                    <w:p w14:paraId="6544CC83"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Diffusion Process in DMBs</w:t>
                      </w:r>
                    </w:p>
                    <w:p w14:paraId="1B66AA03"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(Communication Channels, Time, Social System)</w:t>
                      </w:r>
                    </w:p>
                    <w:p w14:paraId="56FE092C" w14:textId="77777777" w:rsidR="00415B04" w:rsidRDefault="00415B04" w:rsidP="00415B04">
                      <w:pPr>
                        <w:jc w:val="center"/>
                      </w:pPr>
                    </w:p>
                  </w:txbxContent>
                </v:textbox>
              </v:roundrect>
            </w:pict>
          </mc:Fallback>
        </mc:AlternateContent>
      </w:r>
    </w:p>
    <w:p w14:paraId="22FD45EE" w14:textId="6B79C0B6"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2336" behindDoc="0" locked="0" layoutInCell="1" allowOverlap="1" wp14:anchorId="144317EF" wp14:editId="071BD3CF">
                <wp:simplePos x="0" y="0"/>
                <wp:positionH relativeFrom="column">
                  <wp:posOffset>3346450</wp:posOffset>
                </wp:positionH>
                <wp:positionV relativeFrom="paragraph">
                  <wp:posOffset>8255</wp:posOffset>
                </wp:positionV>
                <wp:extent cx="3098800" cy="2101850"/>
                <wp:effectExtent l="0" t="0" r="25400" b="12700"/>
                <wp:wrapNone/>
                <wp:docPr id="4" name="Rectangle: Rounded Corners 4"/>
                <wp:cNvGraphicFramePr/>
                <a:graphic xmlns:a="http://schemas.openxmlformats.org/drawingml/2006/main">
                  <a:graphicData uri="http://schemas.microsoft.com/office/word/2010/wordprocessingShape">
                    <wps:wsp>
                      <wps:cNvSpPr/>
                      <wps:spPr>
                        <a:xfrm>
                          <a:off x="0" y="0"/>
                          <a:ext cx="3098800" cy="21018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70BC5ABA"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Improved Credit Management</w:t>
                            </w:r>
                          </w:p>
                          <w:p w14:paraId="04F17AEC"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Better Risk Assessment</w:t>
                            </w:r>
                          </w:p>
                          <w:p w14:paraId="3F057232"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Faster Loan Decisions</w:t>
                            </w:r>
                          </w:p>
                          <w:p w14:paraId="4EFAC66C"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Reduced Default Rates</w:t>
                            </w:r>
                          </w:p>
                          <w:p w14:paraId="059B0A69"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Efficient Loan Monitoring</w:t>
                            </w:r>
                          </w:p>
                          <w:p w14:paraId="7DEB6B5C" w14:textId="77777777" w:rsidR="00415B04" w:rsidRDefault="00415B04" w:rsidP="00415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4317EF" id="Rectangle: Rounded Corners 4" o:spid="_x0000_s1029" style="position:absolute;left:0;text-align:left;margin-left:263.5pt;margin-top:.65pt;width:244pt;height:1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" fillcolor="#f3a875 [2165]" strokecolor="#ed7d31 [3205]" strokeweight=".5pt">
                <v:fill color2="#f09558 [2613]" rotate="t" colors="0 #f7bda4;.5 #f5b195;1 #f8a581" focus="100%" type="gradient">
                  <o:fill v:ext="view" type="gradientUnscaled"/>
                </v:fill>
                <v:stroke joinstyle="miter"/>
                <v:textbox>
                  <w:txbxContent>
                    <w:p w14:paraId="70BC5ABA"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Improved Credit Management</w:t>
                      </w:r>
                    </w:p>
                    <w:p w14:paraId="04F17AEC"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Better Risk Assessment</w:t>
                      </w:r>
                    </w:p>
                    <w:p w14:paraId="3F057232"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Faster Loan Decisions</w:t>
                      </w:r>
                    </w:p>
                    <w:p w14:paraId="4EFAC66C"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Reduced Default Rates</w:t>
                      </w:r>
                    </w:p>
                    <w:p w14:paraId="059B0A69"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Efficient Loan Monitoring</w:t>
                      </w:r>
                    </w:p>
                    <w:p w14:paraId="7DEB6B5C" w14:textId="77777777" w:rsidR="00415B04" w:rsidRDefault="00415B04" w:rsidP="00415B04">
                      <w:pPr>
                        <w:jc w:val="center"/>
                      </w:pPr>
                    </w:p>
                  </w:txbxContent>
                </v:textbox>
              </v:roundrect>
            </w:pict>
          </mc:Fallback>
        </mc:AlternateContent>
      </w:r>
      <w:r w:rsidRPr="00415B04">
        <w:rPr>
          <w:rFonts w:ascii="Times New Roman" w:eastAsia="Times New Roman" w:hAnsi="Times New Roman" w:cs="Times New Roman"/>
          <w:sz w:val="24"/>
          <w:szCs w:val="24"/>
        </w:rPr>
        <w:t xml:space="preserve">        </w:t>
      </w:r>
    </w:p>
    <w:p w14:paraId="059D3F13" w14:textId="70881516" w:rsid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6432" behindDoc="0" locked="0" layoutInCell="1" allowOverlap="1" wp14:anchorId="2F9DE507" wp14:editId="0BF61A3E">
                <wp:simplePos x="0" y="0"/>
                <wp:positionH relativeFrom="column">
                  <wp:posOffset>2228850</wp:posOffset>
                </wp:positionH>
                <wp:positionV relativeFrom="paragraph">
                  <wp:posOffset>207645</wp:posOffset>
                </wp:positionV>
                <wp:extent cx="1200150" cy="419100"/>
                <wp:effectExtent l="0" t="0" r="57150" b="76200"/>
                <wp:wrapNone/>
                <wp:docPr id="8" name="Straight Arrow Connector 8"/>
                <wp:cNvGraphicFramePr/>
                <a:graphic xmlns:a="http://schemas.openxmlformats.org/drawingml/2006/main">
                  <a:graphicData uri="http://schemas.microsoft.com/office/word/2010/wordprocessingShape">
                    <wps:wsp>
                      <wps:cNvCnPr/>
                      <wps:spPr>
                        <a:xfrm>
                          <a:off x="0" y="0"/>
                          <a:ext cx="1200150" cy="4191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84F96B" id="Straight Arrow Connector 8" o:spid="_x0000_s1026" type="#_x0000_t32" style="position:absolute;margin-left:175.5pt;margin-top:16.35pt;width:94.5pt;height:3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" strokecolor="#4472c4 [3204]" strokeweight="1.5pt">
                <v:stroke endarrow="block" joinstyle="miter"/>
              </v:shape>
            </w:pict>
          </mc:Fallback>
        </mc:AlternateContent>
      </w:r>
      <w:r w:rsidR="00415B04" w:rsidRPr="00415B04">
        <w:rPr>
          <w:rFonts w:ascii="Times New Roman" w:eastAsia="Times New Roman" w:hAnsi="Times New Roman" w:cs="Times New Roman"/>
          <w:sz w:val="24"/>
          <w:szCs w:val="24"/>
        </w:rPr>
        <w:t xml:space="preserve">         </w:t>
      </w:r>
    </w:p>
    <w:p w14:paraId="3E159E56" w14:textId="693687E7" w:rsid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p>
    <w:p w14:paraId="59FA469D" w14:textId="347A1552" w:rsid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7456" behindDoc="0" locked="0" layoutInCell="1" allowOverlap="1" wp14:anchorId="4A90C766" wp14:editId="0711BAAF">
                <wp:simplePos x="0" y="0"/>
                <wp:positionH relativeFrom="column">
                  <wp:posOffset>1905000</wp:posOffset>
                </wp:positionH>
                <wp:positionV relativeFrom="paragraph">
                  <wp:posOffset>231775</wp:posOffset>
                </wp:positionV>
                <wp:extent cx="1428750" cy="457200"/>
                <wp:effectExtent l="38100" t="0" r="19050" b="76200"/>
                <wp:wrapNone/>
                <wp:docPr id="9" name="Straight Arrow Connector 9"/>
                <wp:cNvGraphicFramePr/>
                <a:graphic xmlns:a="http://schemas.openxmlformats.org/drawingml/2006/main">
                  <a:graphicData uri="http://schemas.microsoft.com/office/word/2010/wordprocessingShape">
                    <wps:wsp>
                      <wps:cNvCnPr/>
                      <wps:spPr>
                        <a:xfrm flipH="1">
                          <a:off x="0" y="0"/>
                          <a:ext cx="1428750" cy="45720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7F373E" id="Straight Arrow Connector 9" o:spid="_x0000_s1026" type="#_x0000_t32" style="position:absolute;margin-left:150pt;margin-top:18.25pt;width:112.5pt;height:36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" strokecolor="#5b9bd5 [3208]" strokeweight="1.5pt">
                <v:stroke endarrow="block" joinstyle="miter"/>
              </v:shape>
            </w:pict>
          </mc:Fallback>
        </mc:AlternateContent>
      </w:r>
      <w:r w:rsidR="00D31835">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14:anchorId="6A539FB8" wp14:editId="3DA95466">
                <wp:simplePos x="0" y="0"/>
                <wp:positionH relativeFrom="column">
                  <wp:posOffset>-539750</wp:posOffset>
                </wp:positionH>
                <wp:positionV relativeFrom="paragraph">
                  <wp:posOffset>212725</wp:posOffset>
                </wp:positionV>
                <wp:extent cx="2667000" cy="1962150"/>
                <wp:effectExtent l="0" t="0" r="19050" b="19050"/>
                <wp:wrapNone/>
                <wp:docPr id="5" name="Rectangle: Rounded Corners 5"/>
                <wp:cNvGraphicFramePr/>
                <a:graphic xmlns:a="http://schemas.openxmlformats.org/drawingml/2006/main">
                  <a:graphicData uri="http://schemas.microsoft.com/office/word/2010/wordprocessingShape">
                    <wps:wsp>
                      <wps:cNvSpPr/>
                      <wps:spPr>
                        <a:xfrm>
                          <a:off x="0" y="0"/>
                          <a:ext cx="2667000" cy="1962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2DEF71"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Financial Performance of DMBs</w:t>
                            </w:r>
                          </w:p>
                          <w:p w14:paraId="0247A808"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Profitability</w:t>
                            </w:r>
                          </w:p>
                          <w:p w14:paraId="1205F68D"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ROA / ROE</w:t>
                            </w:r>
                          </w:p>
                          <w:p w14:paraId="09D0492F"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Reduced Non-Performing Loans</w:t>
                            </w:r>
                          </w:p>
                          <w:p w14:paraId="16943EE8" w14:textId="77777777" w:rsidR="00D31835"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Operational Efficiency</w:t>
                            </w:r>
                          </w:p>
                          <w:p w14:paraId="591D6DF1" w14:textId="77777777" w:rsidR="00D31835" w:rsidRDefault="00D31835" w:rsidP="00D31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A539FB8" id="Rectangle: Rounded Corners 5" o:spid="_x0000_s1030" style="position:absolute;left:0;text-align:left;margin-left:-42.5pt;margin-top:16.75pt;width:210pt;height:1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" fillcolor="#4472c4 [3204]" strokecolor="#1f3763 [1604]" strokeweight="1pt">
                <v:stroke joinstyle="miter"/>
                <v:textbox>
                  <w:txbxContent>
                    <w:p w14:paraId="492DEF71"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Financial Performance of DMBs</w:t>
                      </w:r>
                    </w:p>
                    <w:p w14:paraId="0247A808"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Profitability</w:t>
                      </w:r>
                    </w:p>
                    <w:p w14:paraId="1205F68D"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ROA / ROE</w:t>
                      </w:r>
                    </w:p>
                    <w:p w14:paraId="09D0492F"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Reduced Non-Performing Loans</w:t>
                      </w:r>
                    </w:p>
                    <w:p w14:paraId="16943EE8" w14:textId="77777777" w:rsidR="00D31835"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Operational Efficiency</w:t>
                      </w:r>
                    </w:p>
                    <w:p w14:paraId="591D6DF1" w14:textId="77777777" w:rsidR="00D31835" w:rsidRDefault="00D31835" w:rsidP="00D31835">
                      <w:pPr>
                        <w:jc w:val="center"/>
                      </w:pPr>
                    </w:p>
                  </w:txbxContent>
                </v:textbox>
              </v:roundrect>
            </w:pict>
          </mc:Fallback>
        </mc:AlternateContent>
      </w:r>
    </w:p>
    <w:p w14:paraId="644B9CA5" w14:textId="23C87803"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w:t>
      </w:r>
    </w:p>
    <w:p w14:paraId="4254A66B" w14:textId="6141E453" w:rsidR="00D31835"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lastRenderedPageBreak/>
        <w:t xml:space="preserve">      </w:t>
      </w:r>
    </w:p>
    <w:p w14:paraId="2A7BB032" w14:textId="77777777" w:rsidR="00D31835" w:rsidRDefault="00D31835" w:rsidP="00415B04">
      <w:pPr>
        <w:spacing w:before="100" w:beforeAutospacing="1" w:after="100" w:afterAutospacing="1" w:line="240" w:lineRule="auto"/>
        <w:jc w:val="both"/>
        <w:rPr>
          <w:rFonts w:ascii="Times New Roman" w:eastAsia="Times New Roman" w:hAnsi="Times New Roman" w:cs="Times New Roman"/>
          <w:sz w:val="24"/>
          <w:szCs w:val="24"/>
        </w:rPr>
      </w:pPr>
    </w:p>
    <w:p w14:paraId="79095791" w14:textId="2440255A" w:rsidR="00415B04" w:rsidRDefault="00BE4282" w:rsidP="00600812">
      <w:pPr>
        <w:spacing w:before="100" w:beforeAutospacing="1" w:after="100" w:afterAutospacing="1" w:line="240" w:lineRule="auto"/>
        <w:jc w:val="both"/>
        <w:rPr>
          <w:rFonts w:ascii="Times New Roman" w:eastAsia="Times New Roman" w:hAnsi="Times New Roman" w:cs="Times New Roman"/>
          <w:b/>
          <w:bCs/>
          <w:sz w:val="24"/>
          <w:szCs w:val="24"/>
        </w:rPr>
      </w:pPr>
      <w:r w:rsidRPr="00BE4282">
        <w:rPr>
          <w:rFonts w:ascii="Times New Roman" w:eastAsia="Times New Roman" w:hAnsi="Times New Roman" w:cs="Times New Roman"/>
          <w:b/>
          <w:bCs/>
          <w:sz w:val="24"/>
          <w:szCs w:val="24"/>
        </w:rPr>
        <w:t xml:space="preserve">Fig 2.1 Theoretical Model </w:t>
      </w:r>
    </w:p>
    <w:p w14:paraId="4BE5AD9C" w14:textId="793AE31B" w:rsidR="00BE4282" w:rsidRPr="008C74D4" w:rsidRDefault="00BE4282" w:rsidP="008C74D4">
      <w:pPr>
        <w:pStyle w:val="NormalWeb"/>
        <w:jc w:val="both"/>
        <w:rPr>
          <w:lang w:val="en-GB"/>
        </w:rPr>
      </w:pPr>
      <w:r w:rsidRPr="00BE4282">
        <w:rPr>
          <w:lang w:val="en-GB"/>
        </w:rPr>
        <w:t>The model assumes that banks will only adopt AI technologies when they perceive them as beneficial and compatible with existing systems. According to diffusion theory, innovations spread gradually as organizations observe their usefulness and learn how to implement them.</w:t>
      </w:r>
      <w:r w:rsidRPr="008C74D4">
        <w:rPr>
          <w:lang w:val="en-GB"/>
        </w:rPr>
        <w:t xml:space="preserve"> </w:t>
      </w:r>
      <w:r w:rsidRPr="00BE4282">
        <w:rPr>
          <w:lang w:val="en-GB"/>
        </w:rPr>
        <w:t>Once AI systems are adopted in credit management, banks gain better analytical capacity to evaluate borrowers and monitor loan performance. This reduces loan losses and operational inefficiencies.</w:t>
      </w:r>
      <w:r w:rsidRPr="008C74D4">
        <w:rPr>
          <w:lang w:val="en-GB"/>
        </w:rPr>
        <w:t xml:space="preserve"> </w:t>
      </w:r>
      <w:r w:rsidRPr="00BE4282">
        <w:rPr>
          <w:lang w:val="en-GB"/>
        </w:rPr>
        <w:t>Over time, these improvements contribute to stronger financial performance, particularly through higher profitability and improved asset quality.</w:t>
      </w:r>
      <w:r w:rsidRPr="008C74D4">
        <w:rPr>
          <w:lang w:val="en-GB"/>
        </w:rPr>
        <w:t xml:space="preserve"> The theoretical model based on the Diffusion of Innovations Theory provides a robust framework for understanding how artificial intelligence technologies influence credit management practices and financial performance in deposit money banks. </w:t>
      </w:r>
      <w:r w:rsidRPr="00BE4282">
        <w:rPr>
          <w:lang w:val="en-GB"/>
        </w:rPr>
        <w:t>By conceptualizing AI-driven credit management as an innovation, the model explains how the adoption and diffusion of these technologies within banking institutions can enhance operational efficiency, improve credit risk management, and ultimately strengthen financial performance.</w:t>
      </w:r>
      <w:r w:rsidR="008C74D4" w:rsidRPr="008C74D4">
        <w:rPr>
          <w:lang w:val="en-GB"/>
        </w:rPr>
        <w:t xml:space="preserve"> </w:t>
      </w:r>
      <w:r w:rsidRPr="00BE4282">
        <w:rPr>
          <w:lang w:val="en-GB"/>
        </w:rPr>
        <w:t>In the context of deposit money banks in Abuja, the model underscores the importance of technological adoption, organizational readiness, and innovation diffusion in shaping the future of banking operations and financial sustainability.</w:t>
      </w:r>
    </w:p>
    <w:p w14:paraId="32745DC7" w14:textId="33ED7746" w:rsidR="00195C39" w:rsidRPr="005379BE" w:rsidRDefault="00195C39" w:rsidP="00600812">
      <w:pPr>
        <w:spacing w:before="100" w:beforeAutospacing="1" w:after="100" w:afterAutospacing="1" w:line="240" w:lineRule="auto"/>
        <w:jc w:val="both"/>
        <w:rPr>
          <w:rFonts w:ascii="Times New Roman" w:eastAsia="Times New Roman" w:hAnsi="Times New Roman" w:cs="Times New Roman"/>
          <w:b/>
          <w:bCs/>
          <w:sz w:val="24"/>
          <w:szCs w:val="24"/>
        </w:rPr>
      </w:pPr>
      <w:r w:rsidRPr="005379BE">
        <w:rPr>
          <w:rFonts w:ascii="Times New Roman" w:eastAsia="Times New Roman" w:hAnsi="Times New Roman" w:cs="Times New Roman"/>
          <w:b/>
          <w:bCs/>
          <w:sz w:val="24"/>
          <w:szCs w:val="24"/>
        </w:rPr>
        <w:t>Empirical Review</w:t>
      </w:r>
    </w:p>
    <w:p w14:paraId="1E0FFA7A" w14:textId="7F9D054C" w:rsidR="00D408A5" w:rsidRPr="005379BE" w:rsidRDefault="00D408A5"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Benedicta, et al. (2025) conducted an empirical investigation into the adoption of artificial intelligence (AI)–driven credit scoring models and their effects on financial reporting transparency in Nigerian deposit money banks (DMBs). The study utilized a qualitative approach, relying primarily on secondary data, including annual reports, regulatory filings, and compliance documentation from the Central Bank of Nigeria (CBN) and the Securities and Exchange Commission (SEC). The analysis focused on thematic evaluation of disclosure practices, governance frameworks, and transparency in reporting AI-driven credit scoring outcomes. Findings revealed that Tier-1 and globally affiliated banks exhibit higher levels of disclosure (59%) compared to Tier-2 and local banks (34%). Factors promoting effective disclosure included advanced analytics in credit risk management (68%), governance oversight of credit models (61%), impairment and loan loss provisioning practices (55%), and explainability of AI outcomes (38%). Conversely, barriers such as model complexity (66%), inadequate regulatory guidance (58%), sensitivity of proprietary information (54%), and limited technical reporting capacity (49%) were identified. The study also noted that robust disclosure positively influenced stakeholder confidence in reported credit risk (41%), credibility of financial statements (38%), and overall transparency (39%). The authors concluded that comprehensive disclosure of AI-driven credit practices is essential for enhancing the credibility of financial reports and investor trust in Nigerian DMBs.</w:t>
      </w:r>
    </w:p>
    <w:p w14:paraId="6608EDF0" w14:textId="2C39CC44" w:rsidR="00D408A5" w:rsidRPr="005379BE" w:rsidRDefault="00D408A5"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 xml:space="preserve">Sarkar, (2026) provided a systematic empirical review of AI-driven credit risk assessment models in commercial banking between 2018 and 2026. Employing PRISMA guidelines, the review synthesized 27 peer-reviewed studies, examining machine learning and deep learning </w:t>
      </w:r>
      <w:r w:rsidRPr="005379BE">
        <w:rPr>
          <w:rFonts w:ascii="Times New Roman" w:eastAsia="Times New Roman" w:hAnsi="Times New Roman" w:cs="Times New Roman"/>
          <w:sz w:val="24"/>
          <w:szCs w:val="24"/>
        </w:rPr>
        <w:lastRenderedPageBreak/>
        <w:t xml:space="preserve">applications in default probability estimation, exposure </w:t>
      </w:r>
      <w:r w:rsidR="00600812" w:rsidRPr="005379BE">
        <w:rPr>
          <w:rFonts w:ascii="Times New Roman" w:eastAsia="Times New Roman" w:hAnsi="Times New Roman" w:cs="Times New Roman"/>
          <w:sz w:val="24"/>
          <w:szCs w:val="24"/>
        </w:rPr>
        <w:t>modelling</w:t>
      </w:r>
      <w:r w:rsidRPr="005379BE">
        <w:rPr>
          <w:rFonts w:ascii="Times New Roman" w:eastAsia="Times New Roman" w:hAnsi="Times New Roman" w:cs="Times New Roman"/>
          <w:sz w:val="24"/>
          <w:szCs w:val="24"/>
        </w:rPr>
        <w:t xml:space="preserve">, early-warning systems, portfolio monitoring, and automated credit decision-making. Empirical evidence consistently indicated that AI models outperform traditional statistical methods in predictive accuracy, sensitivity to borrower </w:t>
      </w:r>
      <w:r w:rsidR="00600812" w:rsidRPr="005379BE">
        <w:rPr>
          <w:rFonts w:ascii="Times New Roman" w:eastAsia="Times New Roman" w:hAnsi="Times New Roman" w:cs="Times New Roman"/>
          <w:sz w:val="24"/>
          <w:szCs w:val="24"/>
        </w:rPr>
        <w:t>behaviour</w:t>
      </w:r>
      <w:r w:rsidRPr="005379BE">
        <w:rPr>
          <w:rFonts w:ascii="Times New Roman" w:eastAsia="Times New Roman" w:hAnsi="Times New Roman" w:cs="Times New Roman"/>
          <w:sz w:val="24"/>
          <w:szCs w:val="24"/>
        </w:rPr>
        <w:t>, and portfolio risk assessment, particularly when ensemble methods and temporal or transactional features were used. However, empirical findings also highlighted persistent challenges, including data quality issues, limited model generalizability, low explainability, potential fairness biases, model drift, and regulatory compliance concerns. The review emphasized a notable gap between research innovation and operational adoption, driven by practical requirements such as continuous monitoring, comprehensive documentation, and interoperability constraints. Sarkar concluded that while AI-driven models offer substantial promise, empirical evidence underscores the urgent need for interpretable architectures, standardized validation frameworks, privacy-preserving data ecosystems, and benchmarking mechanisms to ensure regulatory alignment and trustworthy deployment in commercial banking.</w:t>
      </w:r>
    </w:p>
    <w:p w14:paraId="79C4B70E" w14:textId="6C1C22AF" w:rsidR="00195C39" w:rsidRPr="005379BE" w:rsidRDefault="00195C39" w:rsidP="00600812">
      <w:pPr>
        <w:spacing w:before="100" w:beforeAutospacing="1" w:after="100" w:afterAutospacing="1" w:line="240" w:lineRule="auto"/>
        <w:jc w:val="center"/>
        <w:rPr>
          <w:rFonts w:ascii="Times New Roman" w:eastAsia="Times New Roman" w:hAnsi="Times New Roman" w:cs="Times New Roman"/>
          <w:b/>
          <w:bCs/>
          <w:sz w:val="24"/>
          <w:szCs w:val="24"/>
        </w:rPr>
      </w:pPr>
      <w:r w:rsidRPr="005379BE">
        <w:rPr>
          <w:rFonts w:ascii="Times New Roman" w:hAnsi="Times New Roman" w:cs="Times New Roman"/>
          <w:b/>
          <w:bCs/>
          <w:sz w:val="24"/>
          <w:szCs w:val="24"/>
        </w:rPr>
        <w:t>METHODOLOGY</w:t>
      </w:r>
    </w:p>
    <w:p w14:paraId="7574A6F7" w14:textId="00AEFFF6" w:rsidR="00195C39" w:rsidRPr="005379BE" w:rsidRDefault="00195C3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b/>
          <w:bCs/>
          <w:sz w:val="24"/>
          <w:szCs w:val="24"/>
        </w:rPr>
        <w:t xml:space="preserve">Research Design: </w:t>
      </w:r>
      <w:r w:rsidRPr="005379BE">
        <w:rPr>
          <w:rFonts w:ascii="Times New Roman" w:eastAsia="Times New Roman" w:hAnsi="Times New Roman" w:cs="Times New Roman"/>
          <w:sz w:val="24"/>
          <w:szCs w:val="24"/>
        </w:rPr>
        <w:t xml:space="preserve">The adoption of an Explanatory/Analytical Research Design for investigating the impact of artificial intelligence-driven credit management on the financial performance of DMBs in </w:t>
      </w:r>
      <w:r w:rsidR="008C74D4">
        <w:rPr>
          <w:rFonts w:ascii="Times New Roman" w:eastAsia="Times New Roman" w:hAnsi="Times New Roman" w:cs="Times New Roman"/>
          <w:sz w:val="24"/>
          <w:szCs w:val="24"/>
        </w:rPr>
        <w:t xml:space="preserve">Abuja, </w:t>
      </w:r>
      <w:r w:rsidRPr="005379BE">
        <w:rPr>
          <w:rFonts w:ascii="Times New Roman" w:eastAsia="Times New Roman" w:hAnsi="Times New Roman" w:cs="Times New Roman"/>
          <w:sz w:val="24"/>
          <w:szCs w:val="24"/>
        </w:rPr>
        <w:t>Nigeria is justified due to its ability to explore causal relationships. This design allows researchers to systematically examine how AI applications in credit assessment, risk prediction, and loan monitoring directly influence profitability, asset quality, and operational efficiency. Furthermore, the analytical approach enables rigorous evaluation of both quantitative and qualitative data, providing deeper insights into patterns, correlations, and underlying mechanisms of financial performance. By combining explanation with analysis, the design supports evidence-based conclusions, helping policymakers and bank managers understand not only the extent of AI’s influence but also the strategic implications for sustainable growth and risk mitigation in the Nigerian banking sector.</w:t>
      </w:r>
    </w:p>
    <w:p w14:paraId="3A8567E7" w14:textId="268DD2A8" w:rsidR="00503AE3" w:rsidRDefault="00503AE3" w:rsidP="00600812">
      <w:pPr>
        <w:pStyle w:val="NormalWeb"/>
        <w:jc w:val="both"/>
        <w:rPr>
          <w:lang w:val="en-GB"/>
        </w:rPr>
      </w:pPr>
      <w:r w:rsidRPr="005379BE">
        <w:rPr>
          <w:b/>
          <w:bCs/>
          <w:lang w:val="en-GB"/>
        </w:rPr>
        <w:t xml:space="preserve">Sampling Techniques: </w:t>
      </w:r>
      <w:r w:rsidRPr="005379BE">
        <w:rPr>
          <w:lang w:val="en-GB"/>
        </w:rPr>
        <w:t xml:space="preserve">Stratified random sampling is justified in studying the impact of artificial intelligence-driven credit management on the financial performance of DMBs in </w:t>
      </w:r>
      <w:r w:rsidR="008C74D4">
        <w:rPr>
          <w:lang w:val="en-GB"/>
        </w:rPr>
        <w:t xml:space="preserve">Abuja, </w:t>
      </w:r>
      <w:r w:rsidRPr="005379BE">
        <w:rPr>
          <w:lang w:val="en-GB"/>
        </w:rPr>
        <w:t xml:space="preserve">Nigeria because it ensures representative inclusion of diverse bank categories, customer segments, and regional operations, enhancing accuracy and reducing bias. By dividing the population into strata such as bank size, geographic location, and credit portfolio type, this method captures nuanced variations in AI adoption, allowing for precise measurement of its effect on financial indicators like profitability, liquidity, and non-performing loans. Moreover, stratified random sampling improves the reliability and generalizability of findings across Nigeria’s banking sector. It allows researchers to systematically </w:t>
      </w:r>
      <w:r w:rsidR="00600812" w:rsidRPr="005379BE">
        <w:rPr>
          <w:lang w:val="en-GB"/>
        </w:rPr>
        <w:t>analyse</w:t>
      </w:r>
      <w:r w:rsidRPr="005379BE">
        <w:rPr>
          <w:lang w:val="en-GB"/>
        </w:rPr>
        <w:t xml:space="preserve"> specific subgroups without overgeneralizing, ensuring that insights on AI-driven credit management reflect real-world operational dynamics, supporting robust, evidence-based conclusions for policy and managerial decision-making.</w:t>
      </w:r>
    </w:p>
    <w:p w14:paraId="29D72EB4" w14:textId="3F2787A8" w:rsidR="00DB6345" w:rsidRDefault="00DB6345" w:rsidP="00600812">
      <w:pPr>
        <w:pStyle w:val="NormalWeb"/>
        <w:jc w:val="both"/>
        <w:rPr>
          <w:lang w:val="en-GB"/>
        </w:rPr>
      </w:pPr>
    </w:p>
    <w:p w14:paraId="6A8C10D2" w14:textId="1A6E2B7F" w:rsidR="00DB6345" w:rsidRDefault="00DB6345" w:rsidP="00600812">
      <w:pPr>
        <w:pStyle w:val="NormalWeb"/>
        <w:jc w:val="both"/>
        <w:rPr>
          <w:lang w:val="en-GB"/>
        </w:rPr>
      </w:pPr>
    </w:p>
    <w:p w14:paraId="0F876D7F" w14:textId="59806A1E" w:rsidR="00DB6345" w:rsidRDefault="00DB6345" w:rsidP="00600812">
      <w:pPr>
        <w:pStyle w:val="NormalWeb"/>
        <w:jc w:val="both"/>
        <w:rPr>
          <w:lang w:val="en-GB"/>
        </w:rPr>
      </w:pPr>
    </w:p>
    <w:p w14:paraId="2E73D798" w14:textId="77777777" w:rsidR="00DB6345" w:rsidRPr="005379BE" w:rsidRDefault="00DB6345" w:rsidP="00600812">
      <w:pPr>
        <w:pStyle w:val="NormalWeb"/>
        <w:jc w:val="both"/>
        <w:rPr>
          <w:lang w:val="en-GB"/>
        </w:rPr>
      </w:pPr>
    </w:p>
    <w:p w14:paraId="2F463D83" w14:textId="77777777" w:rsidR="00503AE3" w:rsidRPr="005379BE" w:rsidRDefault="00503AE3" w:rsidP="00600812">
      <w:pPr>
        <w:pStyle w:val="NormalWeb"/>
        <w:jc w:val="both"/>
        <w:rPr>
          <w:b/>
          <w:bCs/>
          <w:lang w:val="en-GB"/>
        </w:rPr>
      </w:pPr>
      <w:r w:rsidRPr="005379BE">
        <w:rPr>
          <w:b/>
          <w:bCs/>
          <w:lang w:val="en-GB"/>
        </w:rPr>
        <w:t xml:space="preserve">Population of the Study and Sample Size </w:t>
      </w:r>
    </w:p>
    <w:p w14:paraId="5469DB83" w14:textId="2D518F4A" w:rsidR="00503AE3" w:rsidRPr="005379BE" w:rsidRDefault="00503AE3" w:rsidP="00600812">
      <w:pPr>
        <w:pStyle w:val="NoSpacing"/>
        <w:jc w:val="both"/>
        <w:rPr>
          <w:rFonts w:ascii="Times New Roman" w:hAnsi="Times New Roman" w:cs="Times New Roman"/>
          <w:b/>
          <w:sz w:val="24"/>
          <w:szCs w:val="24"/>
        </w:rPr>
      </w:pPr>
      <w:bookmarkStart w:id="3" w:name="_Hlk219768131"/>
      <w:bookmarkStart w:id="4" w:name="_Hlk161969969"/>
      <w:r w:rsidRPr="005379BE">
        <w:rPr>
          <w:rFonts w:ascii="Times New Roman" w:hAnsi="Times New Roman" w:cs="Times New Roman"/>
          <w:b/>
          <w:sz w:val="24"/>
          <w:szCs w:val="24"/>
        </w:rPr>
        <w:t>Table 3.1 Population Frame of Selected DMBs in Abuja, Nigeria</w:t>
      </w:r>
      <w:r w:rsidRPr="005379BE">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899"/>
        <w:gridCol w:w="2219"/>
        <w:gridCol w:w="2075"/>
        <w:gridCol w:w="1368"/>
      </w:tblGrid>
      <w:tr w:rsidR="00503AE3" w:rsidRPr="005379BE" w14:paraId="0637EA31" w14:textId="77777777" w:rsidTr="00EE65AB">
        <w:tc>
          <w:tcPr>
            <w:tcW w:w="591" w:type="dxa"/>
            <w:tcBorders>
              <w:top w:val="single" w:sz="4" w:space="0" w:color="auto"/>
              <w:left w:val="single" w:sz="4" w:space="0" w:color="auto"/>
              <w:bottom w:val="single" w:sz="4" w:space="0" w:color="auto"/>
              <w:right w:val="single" w:sz="4" w:space="0" w:color="auto"/>
            </w:tcBorders>
            <w:hideMark/>
          </w:tcPr>
          <w:p w14:paraId="7C1717C3"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S/N</w:t>
            </w:r>
          </w:p>
        </w:tc>
        <w:tc>
          <w:tcPr>
            <w:tcW w:w="1899" w:type="dxa"/>
            <w:tcBorders>
              <w:top w:val="single" w:sz="4" w:space="0" w:color="auto"/>
              <w:left w:val="single" w:sz="4" w:space="0" w:color="auto"/>
              <w:bottom w:val="single" w:sz="4" w:space="0" w:color="auto"/>
              <w:right w:val="single" w:sz="4" w:space="0" w:color="auto"/>
            </w:tcBorders>
            <w:hideMark/>
          </w:tcPr>
          <w:p w14:paraId="1CF7989E" w14:textId="77777777" w:rsidR="00503AE3" w:rsidRPr="005379BE" w:rsidRDefault="00503AE3" w:rsidP="00600812">
            <w:pPr>
              <w:pStyle w:val="NoSpacing"/>
              <w:jc w:val="both"/>
              <w:rPr>
                <w:rFonts w:ascii="Times New Roman" w:hAnsi="Times New Roman" w:cs="Times New Roman"/>
                <w:b/>
                <w:bCs/>
                <w:sz w:val="24"/>
                <w:szCs w:val="24"/>
              </w:rPr>
            </w:pPr>
            <w:r w:rsidRPr="005379BE">
              <w:rPr>
                <w:rFonts w:ascii="Times New Roman" w:hAnsi="Times New Roman" w:cs="Times New Roman"/>
                <w:b/>
                <w:sz w:val="24"/>
                <w:szCs w:val="24"/>
              </w:rPr>
              <w:t>Selected DMBs</w:t>
            </w:r>
          </w:p>
        </w:tc>
        <w:tc>
          <w:tcPr>
            <w:tcW w:w="2219" w:type="dxa"/>
            <w:tcBorders>
              <w:top w:val="single" w:sz="4" w:space="0" w:color="auto"/>
              <w:left w:val="single" w:sz="4" w:space="0" w:color="auto"/>
              <w:bottom w:val="single" w:sz="4" w:space="0" w:color="auto"/>
              <w:right w:val="single" w:sz="4" w:space="0" w:color="auto"/>
            </w:tcBorders>
            <w:hideMark/>
          </w:tcPr>
          <w:p w14:paraId="61A693C7"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 xml:space="preserve">Management Staff </w:t>
            </w:r>
          </w:p>
        </w:tc>
        <w:tc>
          <w:tcPr>
            <w:tcW w:w="2075" w:type="dxa"/>
            <w:tcBorders>
              <w:top w:val="single" w:sz="4" w:space="0" w:color="auto"/>
              <w:left w:val="single" w:sz="4" w:space="0" w:color="auto"/>
              <w:bottom w:val="single" w:sz="4" w:space="0" w:color="auto"/>
              <w:right w:val="single" w:sz="4" w:space="0" w:color="auto"/>
            </w:tcBorders>
          </w:tcPr>
          <w:p w14:paraId="4E8023D7"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Non-Management Staff</w:t>
            </w:r>
          </w:p>
        </w:tc>
        <w:tc>
          <w:tcPr>
            <w:tcW w:w="1368" w:type="dxa"/>
            <w:tcBorders>
              <w:top w:val="single" w:sz="4" w:space="0" w:color="auto"/>
              <w:left w:val="single" w:sz="4" w:space="0" w:color="auto"/>
              <w:bottom w:val="single" w:sz="4" w:space="0" w:color="auto"/>
              <w:right w:val="single" w:sz="4" w:space="0" w:color="auto"/>
            </w:tcBorders>
          </w:tcPr>
          <w:p w14:paraId="24EBD430"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Total</w:t>
            </w:r>
          </w:p>
        </w:tc>
      </w:tr>
      <w:tr w:rsidR="00503AE3" w:rsidRPr="005379BE" w14:paraId="5A79A9B9" w14:textId="77777777" w:rsidTr="00EE65AB">
        <w:tc>
          <w:tcPr>
            <w:tcW w:w="591" w:type="dxa"/>
            <w:tcBorders>
              <w:top w:val="single" w:sz="4" w:space="0" w:color="auto"/>
              <w:left w:val="single" w:sz="4" w:space="0" w:color="auto"/>
              <w:bottom w:val="single" w:sz="4" w:space="0" w:color="auto"/>
              <w:right w:val="single" w:sz="4" w:space="0" w:color="auto"/>
            </w:tcBorders>
            <w:hideMark/>
          </w:tcPr>
          <w:p w14:paraId="2A20087C"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w:t>
            </w:r>
          </w:p>
        </w:tc>
        <w:tc>
          <w:tcPr>
            <w:tcW w:w="1899" w:type="dxa"/>
            <w:tcBorders>
              <w:top w:val="single" w:sz="4" w:space="0" w:color="auto"/>
              <w:left w:val="single" w:sz="4" w:space="0" w:color="auto"/>
              <w:bottom w:val="single" w:sz="4" w:space="0" w:color="auto"/>
              <w:right w:val="single" w:sz="4" w:space="0" w:color="auto"/>
            </w:tcBorders>
            <w:hideMark/>
          </w:tcPr>
          <w:p w14:paraId="29F236BE"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Zenith Bank Plc</w:t>
            </w:r>
          </w:p>
        </w:tc>
        <w:tc>
          <w:tcPr>
            <w:tcW w:w="2219" w:type="dxa"/>
            <w:tcBorders>
              <w:top w:val="single" w:sz="4" w:space="0" w:color="auto"/>
              <w:left w:val="single" w:sz="4" w:space="0" w:color="auto"/>
              <w:bottom w:val="single" w:sz="4" w:space="0" w:color="auto"/>
              <w:right w:val="single" w:sz="4" w:space="0" w:color="auto"/>
            </w:tcBorders>
            <w:hideMark/>
          </w:tcPr>
          <w:p w14:paraId="4C2AEB9E"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27</w:t>
            </w:r>
          </w:p>
        </w:tc>
        <w:tc>
          <w:tcPr>
            <w:tcW w:w="2075" w:type="dxa"/>
            <w:tcBorders>
              <w:top w:val="single" w:sz="4" w:space="0" w:color="auto"/>
              <w:left w:val="single" w:sz="4" w:space="0" w:color="auto"/>
              <w:bottom w:val="single" w:sz="4" w:space="0" w:color="auto"/>
              <w:right w:val="single" w:sz="4" w:space="0" w:color="auto"/>
            </w:tcBorders>
          </w:tcPr>
          <w:p w14:paraId="259DE903"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102</w:t>
            </w:r>
          </w:p>
        </w:tc>
        <w:tc>
          <w:tcPr>
            <w:tcW w:w="1368" w:type="dxa"/>
            <w:tcBorders>
              <w:top w:val="single" w:sz="4" w:space="0" w:color="auto"/>
              <w:left w:val="single" w:sz="4" w:space="0" w:color="auto"/>
              <w:bottom w:val="single" w:sz="4" w:space="0" w:color="auto"/>
              <w:right w:val="single" w:sz="4" w:space="0" w:color="auto"/>
            </w:tcBorders>
          </w:tcPr>
          <w:p w14:paraId="3600DF0C"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129</w:t>
            </w:r>
          </w:p>
        </w:tc>
      </w:tr>
      <w:tr w:rsidR="00503AE3" w:rsidRPr="005379BE" w14:paraId="3284A933" w14:textId="77777777" w:rsidTr="00EE65AB">
        <w:tc>
          <w:tcPr>
            <w:tcW w:w="591" w:type="dxa"/>
            <w:tcBorders>
              <w:top w:val="single" w:sz="4" w:space="0" w:color="auto"/>
              <w:left w:val="single" w:sz="4" w:space="0" w:color="auto"/>
              <w:bottom w:val="single" w:sz="4" w:space="0" w:color="auto"/>
              <w:right w:val="single" w:sz="4" w:space="0" w:color="auto"/>
            </w:tcBorders>
            <w:hideMark/>
          </w:tcPr>
          <w:p w14:paraId="0870FA4C"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2.</w:t>
            </w:r>
          </w:p>
        </w:tc>
        <w:tc>
          <w:tcPr>
            <w:tcW w:w="1899" w:type="dxa"/>
            <w:tcBorders>
              <w:top w:val="single" w:sz="4" w:space="0" w:color="auto"/>
              <w:left w:val="single" w:sz="4" w:space="0" w:color="auto"/>
              <w:bottom w:val="single" w:sz="4" w:space="0" w:color="auto"/>
              <w:right w:val="single" w:sz="4" w:space="0" w:color="auto"/>
            </w:tcBorders>
            <w:hideMark/>
          </w:tcPr>
          <w:p w14:paraId="713EF226"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Access Banks Plc</w:t>
            </w:r>
          </w:p>
        </w:tc>
        <w:tc>
          <w:tcPr>
            <w:tcW w:w="2219" w:type="dxa"/>
            <w:tcBorders>
              <w:top w:val="single" w:sz="4" w:space="0" w:color="auto"/>
              <w:left w:val="single" w:sz="4" w:space="0" w:color="auto"/>
              <w:bottom w:val="single" w:sz="4" w:space="0" w:color="auto"/>
              <w:right w:val="single" w:sz="4" w:space="0" w:color="auto"/>
            </w:tcBorders>
            <w:hideMark/>
          </w:tcPr>
          <w:p w14:paraId="16DC9305"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31</w:t>
            </w:r>
          </w:p>
        </w:tc>
        <w:tc>
          <w:tcPr>
            <w:tcW w:w="2075" w:type="dxa"/>
            <w:tcBorders>
              <w:top w:val="single" w:sz="4" w:space="0" w:color="auto"/>
              <w:left w:val="single" w:sz="4" w:space="0" w:color="auto"/>
              <w:bottom w:val="single" w:sz="4" w:space="0" w:color="auto"/>
              <w:right w:val="single" w:sz="4" w:space="0" w:color="auto"/>
            </w:tcBorders>
          </w:tcPr>
          <w:p w14:paraId="2700D9FF"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109</w:t>
            </w:r>
          </w:p>
        </w:tc>
        <w:tc>
          <w:tcPr>
            <w:tcW w:w="1368" w:type="dxa"/>
            <w:tcBorders>
              <w:top w:val="single" w:sz="4" w:space="0" w:color="auto"/>
              <w:left w:val="single" w:sz="4" w:space="0" w:color="auto"/>
              <w:bottom w:val="single" w:sz="4" w:space="0" w:color="auto"/>
              <w:right w:val="single" w:sz="4" w:space="0" w:color="auto"/>
            </w:tcBorders>
          </w:tcPr>
          <w:p w14:paraId="66B7C16F"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140</w:t>
            </w:r>
          </w:p>
        </w:tc>
      </w:tr>
      <w:tr w:rsidR="00503AE3" w:rsidRPr="005379BE" w14:paraId="4562BE67" w14:textId="77777777" w:rsidTr="00EE65AB">
        <w:tc>
          <w:tcPr>
            <w:tcW w:w="591" w:type="dxa"/>
            <w:tcBorders>
              <w:top w:val="single" w:sz="4" w:space="0" w:color="auto"/>
              <w:left w:val="single" w:sz="4" w:space="0" w:color="auto"/>
              <w:bottom w:val="single" w:sz="4" w:space="0" w:color="auto"/>
              <w:right w:val="single" w:sz="4" w:space="0" w:color="auto"/>
            </w:tcBorders>
            <w:hideMark/>
          </w:tcPr>
          <w:p w14:paraId="265BD641"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3.</w:t>
            </w:r>
          </w:p>
        </w:tc>
        <w:tc>
          <w:tcPr>
            <w:tcW w:w="1899" w:type="dxa"/>
            <w:tcBorders>
              <w:top w:val="single" w:sz="4" w:space="0" w:color="auto"/>
              <w:left w:val="single" w:sz="4" w:space="0" w:color="auto"/>
              <w:bottom w:val="single" w:sz="4" w:space="0" w:color="auto"/>
              <w:right w:val="single" w:sz="4" w:space="0" w:color="auto"/>
            </w:tcBorders>
            <w:hideMark/>
          </w:tcPr>
          <w:p w14:paraId="2C375574"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First Bank Plc</w:t>
            </w:r>
          </w:p>
        </w:tc>
        <w:tc>
          <w:tcPr>
            <w:tcW w:w="2219" w:type="dxa"/>
            <w:tcBorders>
              <w:top w:val="single" w:sz="4" w:space="0" w:color="auto"/>
              <w:left w:val="single" w:sz="4" w:space="0" w:color="auto"/>
              <w:bottom w:val="single" w:sz="4" w:space="0" w:color="auto"/>
              <w:right w:val="single" w:sz="4" w:space="0" w:color="auto"/>
            </w:tcBorders>
            <w:hideMark/>
          </w:tcPr>
          <w:p w14:paraId="61D614D0"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36</w:t>
            </w:r>
          </w:p>
        </w:tc>
        <w:tc>
          <w:tcPr>
            <w:tcW w:w="2075" w:type="dxa"/>
            <w:tcBorders>
              <w:top w:val="single" w:sz="4" w:space="0" w:color="auto"/>
              <w:left w:val="single" w:sz="4" w:space="0" w:color="auto"/>
              <w:bottom w:val="single" w:sz="4" w:space="0" w:color="auto"/>
              <w:right w:val="single" w:sz="4" w:space="0" w:color="auto"/>
            </w:tcBorders>
          </w:tcPr>
          <w:p w14:paraId="6CE948F3"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98</w:t>
            </w:r>
          </w:p>
        </w:tc>
        <w:tc>
          <w:tcPr>
            <w:tcW w:w="1368" w:type="dxa"/>
            <w:tcBorders>
              <w:top w:val="single" w:sz="4" w:space="0" w:color="auto"/>
              <w:left w:val="single" w:sz="4" w:space="0" w:color="auto"/>
              <w:bottom w:val="single" w:sz="4" w:space="0" w:color="auto"/>
              <w:right w:val="single" w:sz="4" w:space="0" w:color="auto"/>
            </w:tcBorders>
          </w:tcPr>
          <w:p w14:paraId="4CA086DE"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134</w:t>
            </w:r>
          </w:p>
        </w:tc>
      </w:tr>
      <w:tr w:rsidR="00503AE3" w:rsidRPr="005379BE" w14:paraId="319EC39E" w14:textId="77777777" w:rsidTr="00EE65AB">
        <w:tc>
          <w:tcPr>
            <w:tcW w:w="591" w:type="dxa"/>
            <w:tcBorders>
              <w:top w:val="single" w:sz="4" w:space="0" w:color="auto"/>
              <w:left w:val="single" w:sz="4" w:space="0" w:color="auto"/>
              <w:bottom w:val="single" w:sz="4" w:space="0" w:color="auto"/>
              <w:right w:val="single" w:sz="4" w:space="0" w:color="auto"/>
            </w:tcBorders>
            <w:hideMark/>
          </w:tcPr>
          <w:p w14:paraId="782F4164"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4.</w:t>
            </w:r>
          </w:p>
        </w:tc>
        <w:tc>
          <w:tcPr>
            <w:tcW w:w="1899" w:type="dxa"/>
            <w:tcBorders>
              <w:top w:val="single" w:sz="4" w:space="0" w:color="auto"/>
              <w:left w:val="single" w:sz="4" w:space="0" w:color="auto"/>
              <w:bottom w:val="single" w:sz="4" w:space="0" w:color="auto"/>
              <w:right w:val="single" w:sz="4" w:space="0" w:color="auto"/>
            </w:tcBorders>
            <w:hideMark/>
          </w:tcPr>
          <w:p w14:paraId="47ECA093"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 xml:space="preserve">Union Bank Plc </w:t>
            </w:r>
          </w:p>
        </w:tc>
        <w:tc>
          <w:tcPr>
            <w:tcW w:w="2219" w:type="dxa"/>
            <w:tcBorders>
              <w:top w:val="single" w:sz="4" w:space="0" w:color="auto"/>
              <w:left w:val="single" w:sz="4" w:space="0" w:color="auto"/>
              <w:bottom w:val="single" w:sz="4" w:space="0" w:color="auto"/>
              <w:right w:val="single" w:sz="4" w:space="0" w:color="auto"/>
            </w:tcBorders>
            <w:hideMark/>
          </w:tcPr>
          <w:p w14:paraId="5BD8FBFF"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29</w:t>
            </w:r>
          </w:p>
        </w:tc>
        <w:tc>
          <w:tcPr>
            <w:tcW w:w="2075" w:type="dxa"/>
            <w:tcBorders>
              <w:top w:val="single" w:sz="4" w:space="0" w:color="auto"/>
              <w:left w:val="single" w:sz="4" w:space="0" w:color="auto"/>
              <w:bottom w:val="single" w:sz="4" w:space="0" w:color="auto"/>
              <w:right w:val="single" w:sz="4" w:space="0" w:color="auto"/>
            </w:tcBorders>
          </w:tcPr>
          <w:p w14:paraId="2E484240"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70</w:t>
            </w:r>
          </w:p>
        </w:tc>
        <w:tc>
          <w:tcPr>
            <w:tcW w:w="1368" w:type="dxa"/>
            <w:tcBorders>
              <w:top w:val="single" w:sz="4" w:space="0" w:color="auto"/>
              <w:left w:val="single" w:sz="4" w:space="0" w:color="auto"/>
              <w:bottom w:val="single" w:sz="4" w:space="0" w:color="auto"/>
              <w:right w:val="single" w:sz="4" w:space="0" w:color="auto"/>
            </w:tcBorders>
          </w:tcPr>
          <w:p w14:paraId="25225836"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99</w:t>
            </w:r>
          </w:p>
        </w:tc>
      </w:tr>
      <w:tr w:rsidR="00503AE3" w:rsidRPr="005379BE" w14:paraId="5BE0D6AB" w14:textId="77777777" w:rsidTr="00EE65AB">
        <w:tc>
          <w:tcPr>
            <w:tcW w:w="591" w:type="dxa"/>
            <w:tcBorders>
              <w:top w:val="single" w:sz="4" w:space="0" w:color="auto"/>
              <w:left w:val="single" w:sz="4" w:space="0" w:color="auto"/>
              <w:bottom w:val="single" w:sz="4" w:space="0" w:color="auto"/>
              <w:right w:val="single" w:sz="4" w:space="0" w:color="auto"/>
            </w:tcBorders>
            <w:hideMark/>
          </w:tcPr>
          <w:p w14:paraId="32C3607D"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5.</w:t>
            </w:r>
          </w:p>
        </w:tc>
        <w:tc>
          <w:tcPr>
            <w:tcW w:w="1899" w:type="dxa"/>
            <w:tcBorders>
              <w:top w:val="single" w:sz="4" w:space="0" w:color="auto"/>
              <w:left w:val="single" w:sz="4" w:space="0" w:color="auto"/>
              <w:bottom w:val="single" w:sz="4" w:space="0" w:color="auto"/>
              <w:right w:val="single" w:sz="4" w:space="0" w:color="auto"/>
            </w:tcBorders>
            <w:hideMark/>
          </w:tcPr>
          <w:p w14:paraId="0C5957F5"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GTCO Plc</w:t>
            </w:r>
          </w:p>
        </w:tc>
        <w:tc>
          <w:tcPr>
            <w:tcW w:w="2219" w:type="dxa"/>
            <w:tcBorders>
              <w:top w:val="single" w:sz="4" w:space="0" w:color="auto"/>
              <w:left w:val="single" w:sz="4" w:space="0" w:color="auto"/>
              <w:bottom w:val="single" w:sz="4" w:space="0" w:color="auto"/>
              <w:right w:val="single" w:sz="4" w:space="0" w:color="auto"/>
            </w:tcBorders>
            <w:hideMark/>
          </w:tcPr>
          <w:p w14:paraId="5A8FFC7D"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38</w:t>
            </w:r>
          </w:p>
        </w:tc>
        <w:tc>
          <w:tcPr>
            <w:tcW w:w="2075" w:type="dxa"/>
            <w:tcBorders>
              <w:top w:val="single" w:sz="4" w:space="0" w:color="auto"/>
              <w:left w:val="single" w:sz="4" w:space="0" w:color="auto"/>
              <w:bottom w:val="single" w:sz="4" w:space="0" w:color="auto"/>
              <w:right w:val="single" w:sz="4" w:space="0" w:color="auto"/>
            </w:tcBorders>
          </w:tcPr>
          <w:p w14:paraId="60D620DF"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112</w:t>
            </w:r>
          </w:p>
        </w:tc>
        <w:tc>
          <w:tcPr>
            <w:tcW w:w="1368" w:type="dxa"/>
            <w:tcBorders>
              <w:top w:val="single" w:sz="4" w:space="0" w:color="auto"/>
              <w:left w:val="single" w:sz="4" w:space="0" w:color="auto"/>
              <w:bottom w:val="single" w:sz="4" w:space="0" w:color="auto"/>
              <w:right w:val="single" w:sz="4" w:space="0" w:color="auto"/>
            </w:tcBorders>
          </w:tcPr>
          <w:p w14:paraId="11B80692"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150</w:t>
            </w:r>
          </w:p>
        </w:tc>
      </w:tr>
      <w:tr w:rsidR="00503AE3" w:rsidRPr="005379BE" w14:paraId="44799A93" w14:textId="77777777" w:rsidTr="00EE65AB">
        <w:tc>
          <w:tcPr>
            <w:tcW w:w="591" w:type="dxa"/>
            <w:tcBorders>
              <w:top w:val="single" w:sz="4" w:space="0" w:color="auto"/>
              <w:left w:val="single" w:sz="4" w:space="0" w:color="auto"/>
              <w:bottom w:val="single" w:sz="4" w:space="0" w:color="auto"/>
              <w:right w:val="single" w:sz="4" w:space="0" w:color="auto"/>
            </w:tcBorders>
          </w:tcPr>
          <w:p w14:paraId="5B9850D6" w14:textId="77777777" w:rsidR="00503AE3" w:rsidRPr="005379BE" w:rsidRDefault="00503AE3" w:rsidP="00600812">
            <w:pPr>
              <w:pStyle w:val="NoSpacing"/>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hideMark/>
          </w:tcPr>
          <w:p w14:paraId="7D61FF19"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Total</w:t>
            </w:r>
          </w:p>
        </w:tc>
        <w:tc>
          <w:tcPr>
            <w:tcW w:w="2219" w:type="dxa"/>
            <w:tcBorders>
              <w:top w:val="single" w:sz="4" w:space="0" w:color="auto"/>
              <w:left w:val="single" w:sz="4" w:space="0" w:color="auto"/>
              <w:bottom w:val="single" w:sz="4" w:space="0" w:color="auto"/>
              <w:right w:val="single" w:sz="4" w:space="0" w:color="auto"/>
            </w:tcBorders>
            <w:hideMark/>
          </w:tcPr>
          <w:p w14:paraId="33846EB9"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161</w:t>
            </w:r>
          </w:p>
        </w:tc>
        <w:tc>
          <w:tcPr>
            <w:tcW w:w="2075" w:type="dxa"/>
            <w:tcBorders>
              <w:top w:val="single" w:sz="4" w:space="0" w:color="auto"/>
              <w:left w:val="single" w:sz="4" w:space="0" w:color="auto"/>
              <w:bottom w:val="single" w:sz="4" w:space="0" w:color="auto"/>
              <w:right w:val="single" w:sz="4" w:space="0" w:color="auto"/>
            </w:tcBorders>
          </w:tcPr>
          <w:p w14:paraId="7A9886CC"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491</w:t>
            </w:r>
          </w:p>
        </w:tc>
        <w:tc>
          <w:tcPr>
            <w:tcW w:w="1368" w:type="dxa"/>
            <w:tcBorders>
              <w:top w:val="single" w:sz="4" w:space="0" w:color="auto"/>
              <w:left w:val="single" w:sz="4" w:space="0" w:color="auto"/>
              <w:bottom w:val="single" w:sz="4" w:space="0" w:color="auto"/>
              <w:right w:val="single" w:sz="4" w:space="0" w:color="auto"/>
            </w:tcBorders>
          </w:tcPr>
          <w:p w14:paraId="487826E9" w14:textId="77777777" w:rsidR="00503AE3" w:rsidRPr="005379BE" w:rsidRDefault="00503AE3" w:rsidP="00600812">
            <w:pPr>
              <w:pStyle w:val="NoSpacing"/>
              <w:jc w:val="both"/>
              <w:rPr>
                <w:rFonts w:ascii="Times New Roman" w:hAnsi="Times New Roman" w:cs="Times New Roman"/>
                <w:b/>
                <w:sz w:val="24"/>
                <w:szCs w:val="24"/>
              </w:rPr>
            </w:pPr>
            <w:bookmarkStart w:id="5" w:name="_Hlk223563416"/>
            <w:r w:rsidRPr="005379BE">
              <w:rPr>
                <w:rFonts w:ascii="Times New Roman" w:hAnsi="Times New Roman" w:cs="Times New Roman"/>
                <w:b/>
                <w:sz w:val="24"/>
                <w:szCs w:val="24"/>
              </w:rPr>
              <w:t>652</w:t>
            </w:r>
            <w:bookmarkEnd w:id="5"/>
          </w:p>
        </w:tc>
      </w:tr>
    </w:tbl>
    <w:p w14:paraId="082BE2C1" w14:textId="7620E3F5" w:rsidR="00503AE3" w:rsidRPr="005379BE" w:rsidRDefault="00503AE3" w:rsidP="00600812">
      <w:pPr>
        <w:pStyle w:val="NormalWeb"/>
        <w:jc w:val="both"/>
        <w:rPr>
          <w:rStyle w:val="Strong"/>
          <w:bCs w:val="0"/>
          <w:lang w:val="en-GB"/>
        </w:rPr>
      </w:pPr>
      <w:r w:rsidRPr="005379BE">
        <w:rPr>
          <w:b/>
          <w:lang w:val="en-GB"/>
        </w:rPr>
        <w:t>Researcher’s Computation (2026)</w:t>
      </w:r>
    </w:p>
    <w:bookmarkEnd w:id="3"/>
    <w:p w14:paraId="40C02904" w14:textId="77777777" w:rsidR="00503AE3" w:rsidRPr="005379BE" w:rsidRDefault="00503AE3" w:rsidP="00600812">
      <w:pPr>
        <w:spacing w:line="240" w:lineRule="auto"/>
        <w:jc w:val="both"/>
        <w:rPr>
          <w:rFonts w:ascii="Times New Roman" w:hAnsi="Times New Roman" w:cs="Times New Roman"/>
          <w:color w:val="000000"/>
          <w:sz w:val="24"/>
          <w:szCs w:val="24"/>
        </w:rPr>
      </w:pPr>
      <w:r w:rsidRPr="005379BE">
        <w:rPr>
          <w:rFonts w:ascii="Times New Roman" w:hAnsi="Times New Roman" w:cs="Times New Roman"/>
          <w:color w:val="000000"/>
          <w:sz w:val="24"/>
          <w:szCs w:val="24"/>
        </w:rPr>
        <w:t xml:space="preserve">The sample size for this study was determined by Yamane's (1967) formula. This sample size helped the study ensure the appropriate and equal participation of each prospective respondent from the </w:t>
      </w:r>
      <w:r w:rsidRPr="005379BE">
        <w:rPr>
          <w:rFonts w:ascii="Times New Roman" w:hAnsi="Times New Roman" w:cs="Times New Roman"/>
          <w:sz w:val="24"/>
          <w:szCs w:val="24"/>
        </w:rPr>
        <w:t xml:space="preserve">selected DMBs in Abuja, </w:t>
      </w:r>
      <w:r w:rsidRPr="005379BE">
        <w:rPr>
          <w:rFonts w:ascii="Times New Roman" w:hAnsi="Times New Roman" w:cs="Times New Roman"/>
          <w:color w:val="000000"/>
          <w:sz w:val="24"/>
          <w:szCs w:val="24"/>
        </w:rPr>
        <w:t xml:space="preserve">Nigeria. Based on the Yamane formula, the sample size determined by the above formula was </w:t>
      </w:r>
      <w:bookmarkStart w:id="6" w:name="_Hlk223563448"/>
      <w:r w:rsidRPr="005379BE">
        <w:rPr>
          <w:rFonts w:ascii="Times New Roman" w:hAnsi="Times New Roman" w:cs="Times New Roman"/>
          <w:color w:val="000000"/>
          <w:sz w:val="24"/>
          <w:szCs w:val="24"/>
        </w:rPr>
        <w:t>248 respondents from the selected DMBs in A</w:t>
      </w:r>
      <w:r w:rsidRPr="005379BE">
        <w:rPr>
          <w:rFonts w:ascii="Times New Roman" w:hAnsi="Times New Roman" w:cs="Times New Roman"/>
          <w:sz w:val="24"/>
          <w:szCs w:val="24"/>
        </w:rPr>
        <w:t xml:space="preserve">buja, </w:t>
      </w:r>
      <w:r w:rsidRPr="005379BE">
        <w:rPr>
          <w:rFonts w:ascii="Times New Roman" w:hAnsi="Times New Roman" w:cs="Times New Roman"/>
          <w:color w:val="000000"/>
          <w:sz w:val="24"/>
          <w:szCs w:val="24"/>
        </w:rPr>
        <w:t xml:space="preserve">Nigeria.                                 </w:t>
      </w:r>
      <w:bookmarkEnd w:id="6"/>
    </w:p>
    <w:p w14:paraId="26F24A82" w14:textId="77777777" w:rsidR="00503AE3" w:rsidRPr="005379BE" w:rsidRDefault="00503AE3" w:rsidP="00600812">
      <w:pPr>
        <w:spacing w:line="240" w:lineRule="auto"/>
        <w:jc w:val="both"/>
        <w:rPr>
          <w:rFonts w:ascii="Times New Roman" w:hAnsi="Times New Roman" w:cs="Times New Roman"/>
          <w:sz w:val="24"/>
          <w:szCs w:val="24"/>
        </w:rPr>
      </w:pPr>
      <w:r w:rsidRPr="005379BE">
        <w:rPr>
          <w:rFonts w:ascii="Times New Roman" w:hAnsi="Times New Roman" w:cs="Times New Roman"/>
          <w:sz w:val="24"/>
          <w:szCs w:val="24"/>
        </w:rPr>
        <w:t xml:space="preserve">    </w:t>
      </w:r>
    </w:p>
    <w:bookmarkEnd w:id="4"/>
    <w:p w14:paraId="38211EB7" w14:textId="77777777" w:rsidR="00503AE3" w:rsidRPr="005379BE" w:rsidRDefault="00503AE3" w:rsidP="00600812">
      <w:pPr>
        <w:spacing w:line="240" w:lineRule="auto"/>
        <w:jc w:val="both"/>
        <w:rPr>
          <w:rFonts w:ascii="Times New Roman" w:eastAsia="Calibri" w:hAnsi="Times New Roman" w:cs="Times New Roman"/>
          <w:sz w:val="24"/>
          <w:szCs w:val="24"/>
        </w:rPr>
      </w:pPr>
      <w:r w:rsidRPr="005379BE">
        <w:rPr>
          <w:rFonts w:ascii="Times New Roman" w:eastAsia="Calibri" w:hAnsi="Times New Roman" w:cs="Times New Roman"/>
          <w:sz w:val="24"/>
          <w:szCs w:val="24"/>
        </w:rPr>
        <w:t xml:space="preserve">n=     </w:t>
      </w:r>
      <m:oMath>
        <m:f>
          <m:fPr>
            <m:ctrlPr>
              <w:rPr>
                <w:rFonts w:ascii="Cambria Math" w:eastAsia="Calibri" w:hAnsi="Cambria Math" w:cs="Times New Roman"/>
                <w:i/>
                <w:kern w:val="2"/>
                <w:sz w:val="24"/>
                <w:szCs w:val="24"/>
              </w:rPr>
            </m:ctrlPr>
          </m:fPr>
          <m:num>
            <m:r>
              <w:rPr>
                <w:rFonts w:ascii="Cambria Math" w:eastAsia="Calibri" w:hAnsi="Cambria Math" w:cs="Times New Roman"/>
                <w:sz w:val="24"/>
                <w:szCs w:val="24"/>
              </w:rPr>
              <m:t>N</m:t>
            </m:r>
          </m:num>
          <m:den>
            <m:r>
              <w:rPr>
                <w:rFonts w:ascii="Cambria Math" w:eastAsia="Calibri" w:hAnsi="Cambria Math" w:cs="Times New Roman"/>
                <w:sz w:val="24"/>
                <w:szCs w:val="24"/>
              </w:rPr>
              <m:t>1+N</m:t>
            </m:r>
            <m:sSup>
              <m:sSupPr>
                <m:ctrlPr>
                  <w:rPr>
                    <w:rFonts w:ascii="Cambria Math" w:eastAsia="Calibri" w:hAnsi="Cambria Math" w:cs="Times New Roman"/>
                    <w:i/>
                    <w:kern w:val="2"/>
                    <w:sz w:val="24"/>
                    <w:szCs w:val="24"/>
                  </w:rPr>
                </m:ctrlPr>
              </m:sSupPr>
              <m:e>
                <m:r>
                  <w:rPr>
                    <w:rFonts w:ascii="Cambria Math" w:eastAsia="Calibri" w:hAnsi="Cambria Math" w:cs="Times New Roman"/>
                    <w:sz w:val="24"/>
                    <w:szCs w:val="24"/>
                  </w:rPr>
                  <m:t>(e)</m:t>
                </m:r>
              </m:e>
              <m:sup>
                <m:r>
                  <w:rPr>
                    <w:rFonts w:ascii="Cambria Math" w:eastAsia="Calibri" w:hAnsi="Cambria Math" w:cs="Times New Roman"/>
                    <w:sz w:val="24"/>
                    <w:szCs w:val="24"/>
                  </w:rPr>
                  <m:t>2</m:t>
                </m:r>
              </m:sup>
            </m:sSup>
          </m:den>
        </m:f>
      </m:oMath>
    </w:p>
    <w:p w14:paraId="69A422E0" w14:textId="77777777" w:rsidR="00503AE3" w:rsidRPr="005379BE" w:rsidRDefault="00503AE3" w:rsidP="00600812">
      <w:pPr>
        <w:spacing w:line="240" w:lineRule="auto"/>
        <w:jc w:val="both"/>
        <w:rPr>
          <w:rFonts w:ascii="Times New Roman" w:eastAsia="Calibri" w:hAnsi="Times New Roman" w:cs="Times New Roman"/>
          <w:sz w:val="24"/>
          <w:szCs w:val="24"/>
        </w:rPr>
      </w:pPr>
      <w:r w:rsidRPr="005379BE">
        <w:rPr>
          <w:rFonts w:ascii="Times New Roman" w:eastAsia="Calibri" w:hAnsi="Times New Roman" w:cs="Times New Roman"/>
          <w:sz w:val="24"/>
          <w:szCs w:val="24"/>
        </w:rPr>
        <w:t>Where:</w:t>
      </w:r>
      <w:r w:rsidRPr="005379BE">
        <w:rPr>
          <w:rFonts w:ascii="Times New Roman" w:eastAsia="Calibri" w:hAnsi="Times New Roman" w:cs="Times New Roman"/>
          <w:sz w:val="24"/>
          <w:szCs w:val="24"/>
        </w:rPr>
        <w:tab/>
        <w:t xml:space="preserve"> N = Population Size 1= Constant</w:t>
      </w:r>
    </w:p>
    <w:p w14:paraId="58DAE7C1" w14:textId="77777777" w:rsidR="00503AE3" w:rsidRPr="005379BE" w:rsidRDefault="00503AE3" w:rsidP="00600812">
      <w:pPr>
        <w:spacing w:line="240" w:lineRule="auto"/>
        <w:jc w:val="both"/>
        <w:rPr>
          <w:rFonts w:ascii="Times New Roman" w:eastAsia="Calibri" w:hAnsi="Times New Roman" w:cs="Times New Roman"/>
          <w:sz w:val="24"/>
          <w:szCs w:val="24"/>
        </w:rPr>
      </w:pPr>
      <w:r w:rsidRPr="005379BE">
        <w:rPr>
          <w:rFonts w:ascii="Times New Roman" w:eastAsia="Calibri" w:hAnsi="Times New Roman" w:cs="Times New Roman"/>
          <w:sz w:val="24"/>
          <w:szCs w:val="24"/>
        </w:rPr>
        <w:t xml:space="preserve">              n= Sample size</w:t>
      </w:r>
    </w:p>
    <w:p w14:paraId="60F9C508" w14:textId="77777777" w:rsidR="00503AE3" w:rsidRPr="005379BE" w:rsidRDefault="00503AE3" w:rsidP="00600812">
      <w:pPr>
        <w:spacing w:line="240" w:lineRule="auto"/>
        <w:jc w:val="both"/>
        <w:rPr>
          <w:rFonts w:ascii="Times New Roman" w:eastAsia="Calibri" w:hAnsi="Times New Roman" w:cs="Times New Roman"/>
          <w:sz w:val="24"/>
          <w:szCs w:val="24"/>
        </w:rPr>
      </w:pPr>
      <w:r w:rsidRPr="005379BE">
        <w:rPr>
          <w:rFonts w:ascii="Times New Roman" w:eastAsia="Calibri" w:hAnsi="Times New Roman" w:cs="Times New Roman"/>
          <w:sz w:val="24"/>
          <w:szCs w:val="24"/>
        </w:rPr>
        <w:t xml:space="preserve">              e = Error of Margin </w:t>
      </w:r>
      <m:oMath>
        <m:sSup>
          <m:sSupPr>
            <m:ctrlPr>
              <w:rPr>
                <w:rFonts w:ascii="Cambria Math" w:eastAsia="Calibri" w:hAnsi="Cambria Math" w:cs="Times New Roman"/>
                <w:i/>
                <w:kern w:val="2"/>
                <w:sz w:val="24"/>
                <w:szCs w:val="24"/>
              </w:rPr>
            </m:ctrlPr>
          </m:sSupPr>
          <m:e>
            <m:r>
              <w:rPr>
                <w:rFonts w:ascii="Cambria Math" w:eastAsia="Calibri" w:hAnsi="Cambria Math" w:cs="Times New Roman"/>
                <w:sz w:val="24"/>
                <w:szCs w:val="24"/>
              </w:rPr>
              <m:t>(0.05)</m:t>
            </m:r>
          </m:e>
          <m:sup>
            <m:r>
              <w:rPr>
                <w:rFonts w:ascii="Cambria Math" w:eastAsia="Calibri" w:hAnsi="Cambria Math" w:cs="Times New Roman"/>
                <w:sz w:val="24"/>
                <w:szCs w:val="24"/>
              </w:rPr>
              <m:t>2</m:t>
            </m:r>
          </m:sup>
        </m:sSup>
      </m:oMath>
    </w:p>
    <w:p w14:paraId="6908AFA7" w14:textId="77777777" w:rsidR="00503AE3" w:rsidRPr="005379BE" w:rsidRDefault="00503AE3" w:rsidP="00600812">
      <w:pPr>
        <w:spacing w:line="240" w:lineRule="auto"/>
        <w:ind w:firstLine="720"/>
        <w:jc w:val="both"/>
        <w:rPr>
          <w:rFonts w:ascii="Times New Roman" w:hAnsi="Times New Roman" w:cs="Times New Roman"/>
          <w:sz w:val="24"/>
          <w:szCs w:val="24"/>
        </w:rPr>
      </w:pPr>
      <w:r w:rsidRPr="005379BE">
        <w:rPr>
          <w:rFonts w:ascii="Times New Roman" w:eastAsia="Calibri" w:hAnsi="Times New Roman" w:cs="Times New Roman"/>
          <w:sz w:val="24"/>
          <w:szCs w:val="24"/>
        </w:rPr>
        <w:t>n =</w:t>
      </w:r>
      <w:r w:rsidRPr="005379BE">
        <w:rPr>
          <w:rFonts w:ascii="Times New Roman" w:eastAsia="Calibri" w:hAnsi="Times New Roman" w:cs="Times New Roman"/>
          <w:sz w:val="24"/>
          <w:szCs w:val="24"/>
        </w:rPr>
        <w:tab/>
      </w:r>
      <m:oMath>
        <m:f>
          <m:fPr>
            <m:ctrlPr>
              <w:rPr>
                <w:rFonts w:ascii="Cambria Math" w:eastAsia="Calibri" w:hAnsi="Cambria Math" w:cs="Times New Roman"/>
                <w:i/>
                <w:kern w:val="2"/>
                <w:sz w:val="24"/>
                <w:szCs w:val="24"/>
              </w:rPr>
            </m:ctrlPr>
          </m:fPr>
          <m:num>
            <m:r>
              <w:rPr>
                <w:rFonts w:ascii="Cambria Math" w:eastAsia="Calibri" w:hAnsi="Cambria Math" w:cs="Times New Roman"/>
                <w:sz w:val="24"/>
                <w:szCs w:val="24"/>
              </w:rPr>
              <m:t>652</m:t>
            </m:r>
          </m:num>
          <m:den>
            <m:r>
              <w:rPr>
                <w:rFonts w:ascii="Cambria Math" w:eastAsia="Calibri" w:hAnsi="Cambria Math" w:cs="Times New Roman"/>
                <w:sz w:val="24"/>
                <w:szCs w:val="24"/>
              </w:rPr>
              <m:t xml:space="preserve">1+652 </m:t>
            </m:r>
            <m:sSup>
              <m:sSupPr>
                <m:ctrlPr>
                  <w:rPr>
                    <w:rFonts w:ascii="Cambria Math" w:eastAsia="Calibri" w:hAnsi="Cambria Math" w:cs="Times New Roman"/>
                    <w:i/>
                    <w:kern w:val="2"/>
                    <w:sz w:val="24"/>
                    <w:szCs w:val="24"/>
                  </w:rPr>
                </m:ctrlPr>
              </m:sSupPr>
              <m:e>
                <m:r>
                  <w:rPr>
                    <w:rFonts w:ascii="Cambria Math" w:eastAsia="Calibri" w:hAnsi="Cambria Math" w:cs="Times New Roman"/>
                    <w:sz w:val="24"/>
                    <w:szCs w:val="24"/>
                  </w:rPr>
                  <m:t>(0.05)</m:t>
                </m:r>
              </m:e>
              <m:sup>
                <m:r>
                  <w:rPr>
                    <w:rFonts w:ascii="Cambria Math" w:eastAsia="Calibri" w:hAnsi="Cambria Math" w:cs="Times New Roman"/>
                    <w:sz w:val="24"/>
                    <w:szCs w:val="24"/>
                  </w:rPr>
                  <m:t>2</m:t>
                </m:r>
              </m:sup>
            </m:sSup>
          </m:den>
        </m:f>
      </m:oMath>
      <w:r w:rsidRPr="005379BE">
        <w:rPr>
          <w:rFonts w:ascii="Times New Roman" w:hAnsi="Times New Roman" w:cs="Times New Roman"/>
          <w:sz w:val="24"/>
          <w:szCs w:val="24"/>
        </w:rPr>
        <w:tab/>
      </w:r>
      <w:r w:rsidRPr="005379BE">
        <w:rPr>
          <w:rFonts w:ascii="Times New Roman" w:eastAsia="Calibri" w:hAnsi="Times New Roman" w:cs="Times New Roman"/>
          <w:sz w:val="24"/>
          <w:szCs w:val="24"/>
        </w:rPr>
        <w:t>n =</w:t>
      </w:r>
      <w:r w:rsidRPr="005379BE">
        <w:rPr>
          <w:rFonts w:ascii="Times New Roman" w:eastAsia="Calibri" w:hAnsi="Times New Roman" w:cs="Times New Roman"/>
          <w:sz w:val="24"/>
          <w:szCs w:val="24"/>
        </w:rPr>
        <w:tab/>
      </w:r>
      <m:oMath>
        <m:f>
          <m:fPr>
            <m:ctrlPr>
              <w:rPr>
                <w:rFonts w:ascii="Cambria Math" w:eastAsia="Calibri" w:hAnsi="Cambria Math" w:cs="Times New Roman"/>
                <w:i/>
                <w:kern w:val="2"/>
                <w:sz w:val="24"/>
                <w:szCs w:val="24"/>
              </w:rPr>
            </m:ctrlPr>
          </m:fPr>
          <m:num>
            <m:r>
              <w:rPr>
                <w:rFonts w:ascii="Cambria Math" w:eastAsia="Calibri" w:hAnsi="Cambria Math" w:cs="Times New Roman"/>
                <w:sz w:val="24"/>
                <w:szCs w:val="24"/>
              </w:rPr>
              <m:t>652</m:t>
            </m:r>
          </m:num>
          <m:den>
            <m:r>
              <w:rPr>
                <w:rFonts w:ascii="Cambria Math" w:eastAsia="Calibri" w:hAnsi="Cambria Math" w:cs="Times New Roman"/>
                <w:sz w:val="24"/>
                <w:szCs w:val="24"/>
              </w:rPr>
              <m:t>1+652</m:t>
            </m:r>
            <m:d>
              <m:dPr>
                <m:ctrlPr>
                  <w:rPr>
                    <w:rFonts w:ascii="Cambria Math" w:eastAsia="Calibri" w:hAnsi="Cambria Math" w:cs="Times New Roman"/>
                    <w:i/>
                    <w:kern w:val="2"/>
                    <w:sz w:val="24"/>
                    <w:szCs w:val="24"/>
                  </w:rPr>
                </m:ctrlPr>
              </m:dPr>
              <m:e>
                <m:r>
                  <w:rPr>
                    <w:rFonts w:ascii="Cambria Math" w:eastAsia="Calibri" w:hAnsi="Cambria Math" w:cs="Times New Roman"/>
                    <w:sz w:val="24"/>
                    <w:szCs w:val="24"/>
                  </w:rPr>
                  <m:t>0.0025</m:t>
                </m:r>
              </m:e>
            </m:d>
          </m:den>
        </m:f>
        <m:r>
          <w:rPr>
            <w:rFonts w:ascii="Cambria Math" w:eastAsia="Calibri" w:hAnsi="Cambria Math" w:cs="Times New Roman"/>
            <w:sz w:val="24"/>
            <w:szCs w:val="24"/>
          </w:rPr>
          <m:t xml:space="preserve"> =    </m:t>
        </m:r>
        <m:f>
          <m:fPr>
            <m:ctrlPr>
              <w:rPr>
                <w:rFonts w:ascii="Cambria Math" w:eastAsia="Calibri" w:hAnsi="Cambria Math" w:cs="Times New Roman"/>
                <w:i/>
                <w:kern w:val="2"/>
                <w:sz w:val="24"/>
                <w:szCs w:val="24"/>
              </w:rPr>
            </m:ctrlPr>
          </m:fPr>
          <m:num>
            <m:r>
              <w:rPr>
                <w:rFonts w:ascii="Cambria Math" w:eastAsia="Calibri" w:hAnsi="Cambria Math" w:cs="Times New Roman"/>
                <w:sz w:val="24"/>
                <w:szCs w:val="24"/>
              </w:rPr>
              <m:t>652</m:t>
            </m:r>
          </m:num>
          <m:den>
            <m:r>
              <w:rPr>
                <w:rFonts w:ascii="Cambria Math" w:eastAsia="Calibri" w:hAnsi="Cambria Math" w:cs="Times New Roman"/>
                <w:sz w:val="24"/>
                <w:szCs w:val="24"/>
              </w:rPr>
              <m:t>1+1.63</m:t>
            </m:r>
          </m:den>
        </m:f>
      </m:oMath>
    </w:p>
    <w:p w14:paraId="0D477B27" w14:textId="77777777" w:rsidR="00503AE3" w:rsidRPr="005379BE" w:rsidRDefault="00503AE3" w:rsidP="00600812">
      <w:pPr>
        <w:spacing w:line="240" w:lineRule="auto"/>
        <w:ind w:firstLine="720"/>
        <w:jc w:val="both"/>
        <w:rPr>
          <w:rFonts w:ascii="Times New Roman" w:hAnsi="Times New Roman" w:cs="Times New Roman"/>
          <w:sz w:val="24"/>
          <w:szCs w:val="24"/>
        </w:rPr>
      </w:pPr>
      <w:r w:rsidRPr="005379BE">
        <w:rPr>
          <w:rFonts w:ascii="Times New Roman" w:hAnsi="Times New Roman" w:cs="Times New Roman"/>
          <w:sz w:val="24"/>
          <w:szCs w:val="24"/>
        </w:rPr>
        <w:t xml:space="preserve">n =   </w:t>
      </w:r>
      <m:oMath>
        <m:f>
          <m:fPr>
            <m:ctrlPr>
              <w:rPr>
                <w:rFonts w:ascii="Cambria Math" w:eastAsia="Calibri" w:hAnsi="Cambria Math" w:cs="Times New Roman"/>
                <w:i/>
                <w:kern w:val="2"/>
                <w:sz w:val="24"/>
                <w:szCs w:val="24"/>
              </w:rPr>
            </m:ctrlPr>
          </m:fPr>
          <m:num>
            <m:r>
              <w:rPr>
                <w:rFonts w:ascii="Cambria Math" w:eastAsia="Calibri" w:hAnsi="Cambria Math" w:cs="Times New Roman"/>
                <w:sz w:val="24"/>
                <w:szCs w:val="24"/>
              </w:rPr>
              <m:t>652</m:t>
            </m:r>
          </m:num>
          <m:den>
            <m:r>
              <w:rPr>
                <w:rFonts w:ascii="Cambria Math" w:eastAsia="Calibri" w:hAnsi="Cambria Math" w:cs="Times New Roman"/>
                <w:sz w:val="24"/>
                <w:szCs w:val="24"/>
              </w:rPr>
              <m:t>2.63</m:t>
            </m:r>
          </m:den>
        </m:f>
      </m:oMath>
    </w:p>
    <w:p w14:paraId="0A4C46B6" w14:textId="77777777" w:rsidR="00503AE3" w:rsidRPr="005379BE" w:rsidRDefault="00503AE3" w:rsidP="00600812">
      <w:pPr>
        <w:spacing w:line="240" w:lineRule="auto"/>
        <w:jc w:val="both"/>
        <w:rPr>
          <w:rFonts w:ascii="Times New Roman" w:hAnsi="Times New Roman" w:cs="Times New Roman"/>
          <w:sz w:val="24"/>
          <w:szCs w:val="24"/>
        </w:rPr>
      </w:pPr>
      <w:r w:rsidRPr="005379BE">
        <w:rPr>
          <w:rFonts w:ascii="Times New Roman" w:hAnsi="Times New Roman" w:cs="Times New Roman"/>
          <w:sz w:val="24"/>
          <w:szCs w:val="24"/>
        </w:rPr>
        <w:t xml:space="preserve">            n = 247.91 = 248 respondents </w:t>
      </w:r>
    </w:p>
    <w:p w14:paraId="2B4168CB" w14:textId="77777777" w:rsidR="00503AE3" w:rsidRPr="005379BE" w:rsidRDefault="00503AE3" w:rsidP="00600812">
      <w:pPr>
        <w:spacing w:line="240" w:lineRule="auto"/>
        <w:jc w:val="both"/>
        <w:rPr>
          <w:rFonts w:ascii="Times New Roman" w:hAnsi="Times New Roman" w:cs="Times New Roman"/>
          <w:sz w:val="24"/>
          <w:szCs w:val="24"/>
        </w:rPr>
      </w:pPr>
    </w:p>
    <w:p w14:paraId="075E01D3" w14:textId="77777777" w:rsidR="00503AE3" w:rsidRPr="005379BE" w:rsidRDefault="00503AE3" w:rsidP="00600812">
      <w:pPr>
        <w:pStyle w:val="NoSpacing"/>
        <w:jc w:val="both"/>
        <w:rPr>
          <w:rFonts w:ascii="Times New Roman" w:hAnsi="Times New Roman" w:cs="Times New Roman"/>
          <w:b/>
          <w:sz w:val="24"/>
          <w:szCs w:val="24"/>
        </w:rPr>
      </w:pPr>
      <w:bookmarkStart w:id="7" w:name="_Hlk156352178"/>
      <w:r w:rsidRPr="005379BE">
        <w:rPr>
          <w:rFonts w:ascii="Times New Roman" w:hAnsi="Times New Roman" w:cs="Times New Roman"/>
          <w:b/>
          <w:sz w:val="24"/>
          <w:szCs w:val="24"/>
        </w:rPr>
        <w:t>Table 3.2 Sample Size</w:t>
      </w:r>
    </w:p>
    <w:tbl>
      <w:tblPr>
        <w:tblStyle w:val="TableGrid"/>
        <w:tblW w:w="0" w:type="auto"/>
        <w:tblLook w:val="04A0" w:firstRow="1" w:lastRow="0" w:firstColumn="1" w:lastColumn="0" w:noHBand="0" w:noVBand="1"/>
      </w:tblPr>
      <w:tblGrid>
        <w:gridCol w:w="590"/>
        <w:gridCol w:w="3928"/>
        <w:gridCol w:w="1890"/>
        <w:gridCol w:w="1890"/>
      </w:tblGrid>
      <w:tr w:rsidR="00503AE3" w:rsidRPr="005379BE" w14:paraId="2CA8886F" w14:textId="77777777" w:rsidTr="00EE65AB">
        <w:tc>
          <w:tcPr>
            <w:tcW w:w="590" w:type="dxa"/>
          </w:tcPr>
          <w:p w14:paraId="3C78B978"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S/N</w:t>
            </w:r>
          </w:p>
        </w:tc>
        <w:tc>
          <w:tcPr>
            <w:tcW w:w="3928" w:type="dxa"/>
          </w:tcPr>
          <w:p w14:paraId="7E7004CF" w14:textId="77777777" w:rsidR="00503AE3" w:rsidRPr="005379BE" w:rsidRDefault="00503AE3" w:rsidP="00600812">
            <w:pPr>
              <w:pStyle w:val="NoSpacing"/>
              <w:jc w:val="both"/>
              <w:rPr>
                <w:rFonts w:ascii="Times New Roman" w:hAnsi="Times New Roman" w:cs="Times New Roman"/>
                <w:b/>
                <w:bCs/>
                <w:sz w:val="24"/>
                <w:szCs w:val="24"/>
              </w:rPr>
            </w:pPr>
            <w:r w:rsidRPr="005379BE">
              <w:rPr>
                <w:rFonts w:ascii="Times New Roman" w:hAnsi="Times New Roman" w:cs="Times New Roman"/>
                <w:b/>
                <w:bCs/>
                <w:color w:val="0E101A"/>
                <w:sz w:val="24"/>
                <w:szCs w:val="24"/>
              </w:rPr>
              <w:t xml:space="preserve"> BUA Nigeria</w:t>
            </w:r>
            <w:r w:rsidRPr="005379BE">
              <w:rPr>
                <w:rFonts w:ascii="Times New Roman" w:hAnsi="Times New Roman" w:cs="Times New Roman"/>
                <w:b/>
                <w:bCs/>
                <w:sz w:val="24"/>
                <w:szCs w:val="24"/>
              </w:rPr>
              <w:t xml:space="preserve"> Plc</w:t>
            </w:r>
          </w:p>
        </w:tc>
        <w:tc>
          <w:tcPr>
            <w:tcW w:w="1890" w:type="dxa"/>
          </w:tcPr>
          <w:p w14:paraId="2A757FB2"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 xml:space="preserve">Population </w:t>
            </w:r>
          </w:p>
        </w:tc>
        <w:tc>
          <w:tcPr>
            <w:tcW w:w="1890" w:type="dxa"/>
          </w:tcPr>
          <w:p w14:paraId="78B0AB4C"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Sample Size</w:t>
            </w:r>
          </w:p>
        </w:tc>
      </w:tr>
      <w:tr w:rsidR="00503AE3" w:rsidRPr="005379BE" w14:paraId="72051849" w14:textId="77777777" w:rsidTr="00EE65AB">
        <w:tc>
          <w:tcPr>
            <w:tcW w:w="590" w:type="dxa"/>
          </w:tcPr>
          <w:p w14:paraId="5886CDAF"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w:t>
            </w:r>
          </w:p>
        </w:tc>
        <w:tc>
          <w:tcPr>
            <w:tcW w:w="3928" w:type="dxa"/>
          </w:tcPr>
          <w:p w14:paraId="468D97BA"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Management Staff</w:t>
            </w:r>
          </w:p>
        </w:tc>
        <w:tc>
          <w:tcPr>
            <w:tcW w:w="1890" w:type="dxa"/>
          </w:tcPr>
          <w:p w14:paraId="41029CA7"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161</w:t>
            </w:r>
          </w:p>
        </w:tc>
        <w:tc>
          <w:tcPr>
            <w:tcW w:w="1890" w:type="dxa"/>
          </w:tcPr>
          <w:p w14:paraId="1C408398"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61</w:t>
            </w:r>
          </w:p>
        </w:tc>
      </w:tr>
      <w:tr w:rsidR="00503AE3" w:rsidRPr="005379BE" w14:paraId="47C7AEF7" w14:textId="77777777" w:rsidTr="00EE65AB">
        <w:tc>
          <w:tcPr>
            <w:tcW w:w="590" w:type="dxa"/>
          </w:tcPr>
          <w:p w14:paraId="48819FF4"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2.</w:t>
            </w:r>
          </w:p>
        </w:tc>
        <w:tc>
          <w:tcPr>
            <w:tcW w:w="3928" w:type="dxa"/>
          </w:tcPr>
          <w:p w14:paraId="2FE24229"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 xml:space="preserve">Employees </w:t>
            </w:r>
          </w:p>
        </w:tc>
        <w:tc>
          <w:tcPr>
            <w:tcW w:w="1890" w:type="dxa"/>
          </w:tcPr>
          <w:p w14:paraId="1610F5AA"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491</w:t>
            </w:r>
          </w:p>
        </w:tc>
        <w:tc>
          <w:tcPr>
            <w:tcW w:w="1890" w:type="dxa"/>
          </w:tcPr>
          <w:p w14:paraId="23AD3B46"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187</w:t>
            </w:r>
          </w:p>
        </w:tc>
      </w:tr>
      <w:tr w:rsidR="00503AE3" w:rsidRPr="005379BE" w14:paraId="5A96C6ED" w14:textId="77777777" w:rsidTr="00EE65AB">
        <w:tc>
          <w:tcPr>
            <w:tcW w:w="590" w:type="dxa"/>
          </w:tcPr>
          <w:p w14:paraId="52901EF5" w14:textId="77777777" w:rsidR="00503AE3" w:rsidRPr="005379BE" w:rsidRDefault="00503AE3" w:rsidP="00600812">
            <w:pPr>
              <w:pStyle w:val="NoSpacing"/>
              <w:jc w:val="both"/>
              <w:rPr>
                <w:rFonts w:ascii="Times New Roman" w:hAnsi="Times New Roman" w:cs="Times New Roman"/>
                <w:sz w:val="24"/>
                <w:szCs w:val="24"/>
              </w:rPr>
            </w:pPr>
          </w:p>
        </w:tc>
        <w:tc>
          <w:tcPr>
            <w:tcW w:w="3928" w:type="dxa"/>
          </w:tcPr>
          <w:p w14:paraId="7E00860D"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Total</w:t>
            </w:r>
          </w:p>
        </w:tc>
        <w:tc>
          <w:tcPr>
            <w:tcW w:w="1890" w:type="dxa"/>
          </w:tcPr>
          <w:p w14:paraId="752393E2"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652</w:t>
            </w:r>
          </w:p>
        </w:tc>
        <w:tc>
          <w:tcPr>
            <w:tcW w:w="1890" w:type="dxa"/>
          </w:tcPr>
          <w:p w14:paraId="70ED4C58"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248</w:t>
            </w:r>
          </w:p>
        </w:tc>
      </w:tr>
    </w:tbl>
    <w:bookmarkEnd w:id="7"/>
    <w:p w14:paraId="09E9409C" w14:textId="6325CE94" w:rsidR="00D408A5" w:rsidRPr="005379BE" w:rsidRDefault="00503AE3" w:rsidP="00600812">
      <w:pPr>
        <w:pStyle w:val="NormalWeb"/>
        <w:jc w:val="both"/>
        <w:rPr>
          <w:b/>
          <w:lang w:val="en-GB"/>
        </w:rPr>
      </w:pPr>
      <w:r w:rsidRPr="005379BE">
        <w:rPr>
          <w:b/>
          <w:lang w:val="en-GB"/>
        </w:rPr>
        <w:t>Researcher’s Computation (202</w:t>
      </w:r>
      <w:r w:rsidR="00D408A5" w:rsidRPr="005379BE">
        <w:rPr>
          <w:b/>
          <w:lang w:val="en-GB"/>
        </w:rPr>
        <w:t>6</w:t>
      </w:r>
      <w:r w:rsidRPr="005379BE">
        <w:rPr>
          <w:b/>
          <w:lang w:val="en-GB"/>
        </w:rPr>
        <w:t>)</w:t>
      </w:r>
    </w:p>
    <w:p w14:paraId="1F72808D" w14:textId="4459C479" w:rsidR="00D408A5" w:rsidRPr="005379BE" w:rsidRDefault="00D408A5" w:rsidP="00600812">
      <w:pPr>
        <w:autoSpaceDE w:val="0"/>
        <w:autoSpaceDN w:val="0"/>
        <w:adjustRightInd w:val="0"/>
        <w:spacing w:line="240" w:lineRule="auto"/>
        <w:jc w:val="both"/>
        <w:rPr>
          <w:rFonts w:ascii="Times New Roman" w:hAnsi="Times New Roman" w:cs="Times New Roman"/>
          <w:sz w:val="24"/>
          <w:szCs w:val="24"/>
        </w:rPr>
      </w:pPr>
      <w:r w:rsidRPr="005379BE">
        <w:rPr>
          <w:rFonts w:ascii="Times New Roman" w:hAnsi="Times New Roman" w:cs="Times New Roman"/>
          <w:sz w:val="24"/>
          <w:szCs w:val="24"/>
        </w:rPr>
        <w:lastRenderedPageBreak/>
        <w:t xml:space="preserve">The confidence level was 95% and the accepted error margin of 5% and the sample size was given as 248. To avoid the problems of non-responses, poorly completed questionnaires, and questionnaires that might be lost during transportation, a 20 percent sample was provided and added to the sample to compensate for these inconveniences (Naing, et al., 2022; Anderson, et al., 2017; </w:t>
      </w:r>
      <w:r w:rsidRPr="005379BE">
        <w:rPr>
          <w:rFonts w:ascii="Times New Roman" w:hAnsi="Times New Roman" w:cs="Times New Roman"/>
          <w:color w:val="000000"/>
          <w:sz w:val="24"/>
          <w:szCs w:val="24"/>
        </w:rPr>
        <w:t>Cochran, 1963</w:t>
      </w:r>
      <w:r w:rsidRPr="005379BE">
        <w:rPr>
          <w:rFonts w:ascii="Times New Roman" w:hAnsi="Times New Roman" w:cs="Times New Roman"/>
          <w:sz w:val="24"/>
          <w:szCs w:val="24"/>
        </w:rPr>
        <w:t>). 20% of 248= 49.6 so 50+ 248 =298. In order to obtain complete and general information, there was allocated 30% to management and 70% to employees.</w:t>
      </w:r>
    </w:p>
    <w:p w14:paraId="42D33F62" w14:textId="3D335BE2" w:rsidR="00D408A5" w:rsidRPr="005379BE" w:rsidRDefault="00D408A5" w:rsidP="00600812">
      <w:pPr>
        <w:autoSpaceDE w:val="0"/>
        <w:autoSpaceDN w:val="0"/>
        <w:adjustRightInd w:val="0"/>
        <w:spacing w:line="240" w:lineRule="auto"/>
        <w:jc w:val="both"/>
        <w:rPr>
          <w:rFonts w:ascii="Times New Roman" w:hAnsi="Times New Roman" w:cs="Times New Roman"/>
          <w:sz w:val="24"/>
          <w:szCs w:val="24"/>
        </w:rPr>
      </w:pPr>
    </w:p>
    <w:p w14:paraId="44C9B4C3" w14:textId="77777777" w:rsidR="00D408A5" w:rsidRPr="005379BE" w:rsidRDefault="00D408A5" w:rsidP="00600812">
      <w:pPr>
        <w:pStyle w:val="NoSpacing"/>
        <w:spacing w:line="480" w:lineRule="auto"/>
        <w:jc w:val="both"/>
        <w:rPr>
          <w:rFonts w:ascii="Times New Roman" w:hAnsi="Times New Roman" w:cs="Times New Roman"/>
          <w:b/>
          <w:color w:val="000000"/>
          <w:sz w:val="24"/>
          <w:szCs w:val="24"/>
        </w:rPr>
      </w:pPr>
      <w:r w:rsidRPr="005379BE">
        <w:rPr>
          <w:rFonts w:ascii="Times New Roman" w:hAnsi="Times New Roman" w:cs="Times New Roman"/>
          <w:b/>
          <w:color w:val="000000"/>
          <w:sz w:val="24"/>
          <w:szCs w:val="24"/>
        </w:rPr>
        <w:t xml:space="preserve">Sources of Data Collection  </w:t>
      </w:r>
    </w:p>
    <w:p w14:paraId="09286500" w14:textId="62A136B6" w:rsidR="00D408A5" w:rsidRPr="005379BE" w:rsidRDefault="00D408A5"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 xml:space="preserve">In this study of the </w:t>
      </w:r>
      <w:r w:rsidRPr="005379BE">
        <w:rPr>
          <w:rFonts w:ascii="Times New Roman" w:eastAsia="Times New Roman" w:hAnsi="Times New Roman" w:cs="Times New Roman"/>
          <w:sz w:val="24"/>
          <w:szCs w:val="24"/>
        </w:rPr>
        <w:t>impact of artificial intelligence–driven credit management on the financial performance of DMBs in Nigeria.</w:t>
      </w:r>
      <w:r w:rsidRPr="005379BE">
        <w:rPr>
          <w:rFonts w:ascii="Times New Roman" w:hAnsi="Times New Roman" w:cs="Times New Roman"/>
          <w:sz w:val="24"/>
          <w:szCs w:val="24"/>
        </w:rPr>
        <w:t xml:space="preserve">, used primary data, gathered directly from employees and management through structured questionnaires that provides first-hand insights into how pension management policies have effect on employee performance among the selected DMBs in Abuja. This approach captures real-time, context-specific information crucial for understanding nuanced employee perceptions and experiences. Together, the data sources enable a robust exploration of the research problem, bridging practical employee viewpoints with theoretical and documented evidence, thereby justifying their combined use to yield balanced and empirically grounded conclusions relevant of the </w:t>
      </w:r>
      <w:r w:rsidRPr="005379BE">
        <w:rPr>
          <w:rFonts w:ascii="Times New Roman" w:eastAsia="Times New Roman" w:hAnsi="Times New Roman" w:cs="Times New Roman"/>
          <w:sz w:val="24"/>
          <w:szCs w:val="24"/>
        </w:rPr>
        <w:t xml:space="preserve">impact of artificial intelligence–driven credit management on the financial performance of DMBs in </w:t>
      </w:r>
      <w:r w:rsidR="008C74D4">
        <w:rPr>
          <w:rFonts w:ascii="Times New Roman" w:eastAsia="Times New Roman" w:hAnsi="Times New Roman" w:cs="Times New Roman"/>
          <w:sz w:val="24"/>
          <w:szCs w:val="24"/>
        </w:rPr>
        <w:t xml:space="preserve">Abuja, </w:t>
      </w:r>
      <w:r w:rsidRPr="005379BE">
        <w:rPr>
          <w:rFonts w:ascii="Times New Roman" w:eastAsia="Times New Roman" w:hAnsi="Times New Roman" w:cs="Times New Roman"/>
          <w:sz w:val="24"/>
          <w:szCs w:val="24"/>
        </w:rPr>
        <w:t>Nigeria</w:t>
      </w:r>
      <w:r w:rsidRPr="005379BE">
        <w:rPr>
          <w:rFonts w:ascii="Times New Roman" w:hAnsi="Times New Roman" w:cs="Times New Roman"/>
          <w:sz w:val="24"/>
          <w:szCs w:val="24"/>
        </w:rPr>
        <w:t>.</w:t>
      </w:r>
    </w:p>
    <w:p w14:paraId="070EB1A6" w14:textId="59C1F48F" w:rsidR="00D408A5" w:rsidRPr="005379BE" w:rsidRDefault="00D408A5" w:rsidP="00600812">
      <w:pPr>
        <w:pStyle w:val="NoSpacing"/>
        <w:jc w:val="both"/>
        <w:rPr>
          <w:rFonts w:ascii="Times New Roman" w:hAnsi="Times New Roman" w:cs="Times New Roman"/>
          <w:sz w:val="24"/>
          <w:szCs w:val="24"/>
        </w:rPr>
      </w:pPr>
    </w:p>
    <w:p w14:paraId="47D6E50A" w14:textId="77777777" w:rsidR="00D408A5" w:rsidRPr="005379BE" w:rsidRDefault="00D408A5" w:rsidP="00600812">
      <w:pPr>
        <w:pStyle w:val="NormalWeb"/>
        <w:spacing w:before="0" w:beforeAutospacing="0" w:after="0" w:afterAutospacing="0" w:line="480" w:lineRule="auto"/>
        <w:jc w:val="both"/>
        <w:rPr>
          <w:color w:val="000000"/>
          <w:lang w:val="en-GB"/>
        </w:rPr>
      </w:pPr>
      <w:r w:rsidRPr="005379BE">
        <w:rPr>
          <w:rStyle w:val="Strong"/>
          <w:color w:val="000000"/>
          <w:lang w:val="en-GB"/>
        </w:rPr>
        <w:t>Methods of Data Analysis</w:t>
      </w:r>
    </w:p>
    <w:p w14:paraId="7BEB6EDB" w14:textId="5DBCDB8D" w:rsidR="00D408A5" w:rsidRPr="005379BE" w:rsidRDefault="00D408A5" w:rsidP="00600812">
      <w:pPr>
        <w:pStyle w:val="NoSpacing"/>
        <w:jc w:val="both"/>
        <w:rPr>
          <w:rFonts w:ascii="Times New Roman" w:hAnsi="Times New Roman" w:cs="Times New Roman"/>
          <w:sz w:val="24"/>
          <w:szCs w:val="24"/>
        </w:rPr>
      </w:pPr>
      <w:bookmarkStart w:id="8" w:name="_Hlk161970068"/>
      <w:r w:rsidRPr="005379BE">
        <w:rPr>
          <w:rFonts w:ascii="Times New Roman" w:hAnsi="Times New Roman" w:cs="Times New Roman"/>
          <w:color w:val="0E101A"/>
          <w:sz w:val="24"/>
          <w:szCs w:val="24"/>
        </w:rPr>
        <w:t>The researcher</w:t>
      </w:r>
      <w:r w:rsidR="008C74D4">
        <w:rPr>
          <w:rFonts w:ascii="Times New Roman" w:hAnsi="Times New Roman" w:cs="Times New Roman"/>
          <w:color w:val="0E101A"/>
          <w:sz w:val="24"/>
          <w:szCs w:val="24"/>
        </w:rPr>
        <w:t>s</w:t>
      </w:r>
      <w:r w:rsidRPr="005379BE">
        <w:rPr>
          <w:rFonts w:ascii="Times New Roman" w:hAnsi="Times New Roman" w:cs="Times New Roman"/>
          <w:color w:val="0E101A"/>
          <w:sz w:val="24"/>
          <w:szCs w:val="24"/>
        </w:rPr>
        <w:t xml:space="preserve"> used descriptive and inferential statistics that involve percentages, tables and other related tools were used in testing the statistical inference between the two variables in the study respectively. </w:t>
      </w:r>
      <w:bookmarkStart w:id="9" w:name="_Hlk223563494"/>
      <w:r w:rsidRPr="005379BE">
        <w:rPr>
          <w:rFonts w:ascii="Times New Roman" w:hAnsi="Times New Roman" w:cs="Times New Roman"/>
          <w:color w:val="0E101A"/>
          <w:sz w:val="24"/>
          <w:szCs w:val="24"/>
        </w:rPr>
        <w:t xml:space="preserve">Multiple </w:t>
      </w:r>
      <w:r w:rsidR="00530D1B" w:rsidRPr="005379BE">
        <w:rPr>
          <w:rFonts w:ascii="Times New Roman" w:hAnsi="Times New Roman" w:cs="Times New Roman"/>
          <w:color w:val="0E101A"/>
          <w:sz w:val="24"/>
          <w:szCs w:val="24"/>
        </w:rPr>
        <w:t xml:space="preserve">linear </w:t>
      </w:r>
      <w:r w:rsidRPr="005379BE">
        <w:rPr>
          <w:rFonts w:ascii="Times New Roman" w:hAnsi="Times New Roman" w:cs="Times New Roman"/>
          <w:color w:val="0E101A"/>
          <w:sz w:val="24"/>
          <w:szCs w:val="24"/>
        </w:rPr>
        <w:t xml:space="preserve">regression technique, analysis of variance (ANOVA) and correlation analysis were used to test the hypotheses in this study by using Statistic Package for Social Science (SPSS Version </w:t>
      </w:r>
      <w:r w:rsidRPr="005379BE">
        <w:rPr>
          <w:rFonts w:ascii="Times New Roman" w:hAnsi="Times New Roman" w:cs="Times New Roman"/>
          <w:sz w:val="24"/>
          <w:szCs w:val="24"/>
        </w:rPr>
        <w:t>27. 0</w:t>
      </w:r>
      <w:r w:rsidRPr="005379BE">
        <w:rPr>
          <w:rFonts w:ascii="Times New Roman" w:hAnsi="Times New Roman" w:cs="Times New Roman"/>
          <w:color w:val="0E101A"/>
          <w:sz w:val="24"/>
          <w:szCs w:val="24"/>
        </w:rPr>
        <w:t xml:space="preserve">) to analyse the data extracted from the study. </w:t>
      </w:r>
      <w:bookmarkStart w:id="10" w:name="_Hlk161970043"/>
      <w:bookmarkEnd w:id="8"/>
      <w:bookmarkEnd w:id="9"/>
      <w:r w:rsidRPr="005379BE">
        <w:rPr>
          <w:rFonts w:ascii="Times New Roman" w:hAnsi="Times New Roman" w:cs="Times New Roman"/>
          <w:sz w:val="24"/>
          <w:szCs w:val="24"/>
        </w:rPr>
        <w:t xml:space="preserve">The adoption of multiple regression technique in this study is justified by the need to examine the </w:t>
      </w:r>
      <w:r w:rsidRPr="005379BE">
        <w:rPr>
          <w:rFonts w:ascii="Times New Roman" w:eastAsia="Times New Roman" w:hAnsi="Times New Roman" w:cs="Times New Roman"/>
          <w:sz w:val="24"/>
          <w:szCs w:val="24"/>
        </w:rPr>
        <w:t>impact of artificial intelligence–driven credit management on the financial performance of DMBs in Nigeria</w:t>
      </w:r>
      <w:r w:rsidRPr="005379BE">
        <w:rPr>
          <w:rFonts w:ascii="Times New Roman" w:hAnsi="Times New Roman" w:cs="Times New Roman"/>
          <w:sz w:val="24"/>
          <w:szCs w:val="24"/>
        </w:rPr>
        <w:t>. Multiple Linear regression is appropriate because it allows the researcher to assess the strength, direction, and statistical significance of each independent variable while controlling for the influence of others. This technique also enhances predictive accuracy and supports robust hypothesis testing by explaining the proportion of variation in employees’ performance attributable to pension management policies. Furthermore, regression analysis is suitable for social science research involving large samples, as in this study, and aligns with the objective of determining causal relationships rather than mere associations. A</w:t>
      </w:r>
      <w:r w:rsidRPr="005379BE">
        <w:rPr>
          <w:rFonts w:ascii="Times New Roman" w:eastAsia="Times New Roman" w:hAnsi="Times New Roman" w:cs="Times New Roman"/>
          <w:sz w:val="24"/>
          <w:szCs w:val="24"/>
        </w:rPr>
        <w:t xml:space="preserve">nalysis of variance and correlation analysis were employed to complement regression results and provide deeper statistical validation of the hypotheses. ANOVA is justified because it enables the comparison of mean differences in financial performance across categories of artificial intelligence–driven credit management, thereby determining whether observed variations are statistically significant. This technique strengthens inferential accuracy by testing group-based effects that may not be fully captured through regression alone. Correlation analysis, on the other hand, was adopted to establish the degree and direction of relationships between pension management policies and employees’ performance. It provides preliminary evidence of association, checks for multicollinearity, and supports the appropriateness of regression modelling. Collectively, these </w:t>
      </w:r>
      <w:r w:rsidRPr="005379BE">
        <w:rPr>
          <w:rFonts w:ascii="Times New Roman" w:eastAsia="Times New Roman" w:hAnsi="Times New Roman" w:cs="Times New Roman"/>
          <w:sz w:val="24"/>
          <w:szCs w:val="24"/>
        </w:rPr>
        <w:lastRenderedPageBreak/>
        <w:t>techniques enhance methodological rigor, ensure triangulation of findings, and increase the reliability and validity of conclusions drawn from the study within the specific Nigerian banking sector context.</w:t>
      </w:r>
    </w:p>
    <w:p w14:paraId="4E47314A" w14:textId="77777777" w:rsidR="00D408A5" w:rsidRPr="005379BE" w:rsidRDefault="00D408A5" w:rsidP="00600812">
      <w:pPr>
        <w:pStyle w:val="NoSpacing"/>
        <w:spacing w:line="480" w:lineRule="auto"/>
        <w:jc w:val="both"/>
        <w:rPr>
          <w:rFonts w:ascii="Times New Roman" w:hAnsi="Times New Roman" w:cs="Times New Roman"/>
          <w:b/>
          <w:bCs/>
          <w:i/>
          <w:iCs/>
          <w:color w:val="000000"/>
          <w:sz w:val="24"/>
          <w:szCs w:val="24"/>
        </w:rPr>
      </w:pPr>
    </w:p>
    <w:p w14:paraId="1208B9AD" w14:textId="6A1F4FD9" w:rsidR="00D408A5" w:rsidRPr="005379BE" w:rsidRDefault="00D408A5" w:rsidP="00600812">
      <w:pPr>
        <w:pStyle w:val="NoSpacing"/>
        <w:spacing w:line="480" w:lineRule="auto"/>
        <w:jc w:val="both"/>
        <w:rPr>
          <w:rFonts w:ascii="Times New Roman" w:hAnsi="Times New Roman" w:cs="Times New Roman"/>
          <w:b/>
          <w:bCs/>
          <w:color w:val="000000"/>
          <w:sz w:val="24"/>
          <w:szCs w:val="24"/>
        </w:rPr>
      </w:pPr>
      <w:r w:rsidRPr="005379BE">
        <w:rPr>
          <w:rFonts w:ascii="Times New Roman" w:hAnsi="Times New Roman" w:cs="Times New Roman"/>
          <w:b/>
          <w:bCs/>
          <w:i/>
          <w:iCs/>
          <w:color w:val="000000"/>
          <w:sz w:val="24"/>
          <w:szCs w:val="24"/>
        </w:rPr>
        <w:t xml:space="preserve">Model Specification </w:t>
      </w:r>
    </w:p>
    <w:p w14:paraId="73C7EDE6" w14:textId="22498B13" w:rsidR="00D408A5" w:rsidRPr="005379BE" w:rsidRDefault="00D408A5" w:rsidP="00600812">
      <w:pPr>
        <w:pStyle w:val="NormalWeb"/>
        <w:spacing w:before="0" w:beforeAutospacing="0" w:after="0" w:afterAutospacing="0"/>
        <w:jc w:val="both"/>
        <w:rPr>
          <w:color w:val="000000"/>
          <w:lang w:val="en-GB"/>
        </w:rPr>
      </w:pPr>
      <w:r w:rsidRPr="005379BE">
        <w:rPr>
          <w:color w:val="000000"/>
          <w:lang w:val="en-GB"/>
        </w:rPr>
        <w:t xml:space="preserve">The study's variables have a structural model that addresses the two main variables in the study, which were the independent and dependent variables. The independent variable was </w:t>
      </w:r>
      <w:r w:rsidR="00BF498B" w:rsidRPr="005379BE">
        <w:rPr>
          <w:lang w:val="en-GB"/>
        </w:rPr>
        <w:t>Artificial Intelligence–Driven Credit Management</w:t>
      </w:r>
      <w:r w:rsidRPr="005379BE">
        <w:rPr>
          <w:lang w:val="en-GB"/>
        </w:rPr>
        <w:t>= AI</w:t>
      </w:r>
      <w:r w:rsidR="00BF498B" w:rsidRPr="005379BE">
        <w:rPr>
          <w:lang w:val="en-GB"/>
        </w:rPr>
        <w:t>CM</w:t>
      </w:r>
      <w:r w:rsidRPr="005379BE">
        <w:rPr>
          <w:color w:val="000000"/>
          <w:lang w:val="en-GB"/>
        </w:rPr>
        <w:t xml:space="preserve"> that was proxies by (I)</w:t>
      </w:r>
      <w:r w:rsidRPr="005379BE">
        <w:rPr>
          <w:kern w:val="2"/>
          <w:lang w:val="en-GB"/>
          <w14:ligatures w14:val="standardContextual"/>
        </w:rPr>
        <w:t xml:space="preserve"> </w:t>
      </w:r>
      <w:r w:rsidR="00BF498B" w:rsidRPr="005379BE">
        <w:rPr>
          <w:lang w:val="en-GB"/>
        </w:rPr>
        <w:t>Automated Credit Scoring Systems</w:t>
      </w:r>
      <w:r w:rsidRPr="005379BE">
        <w:rPr>
          <w:color w:val="000000"/>
          <w:lang w:val="en-GB"/>
        </w:rPr>
        <w:t xml:space="preserve"> = </w:t>
      </w:r>
      <w:r w:rsidR="00BF498B" w:rsidRPr="005379BE">
        <w:rPr>
          <w:color w:val="000000"/>
          <w:lang w:val="en-GB"/>
        </w:rPr>
        <w:t>ACSS</w:t>
      </w:r>
      <w:r w:rsidRPr="005379BE">
        <w:rPr>
          <w:color w:val="000000"/>
          <w:lang w:val="en-GB"/>
        </w:rPr>
        <w:t xml:space="preserve"> (II) </w:t>
      </w:r>
      <w:r w:rsidR="00BF498B" w:rsidRPr="005379BE">
        <w:rPr>
          <w:color w:val="000000"/>
          <w:lang w:val="en-GB"/>
        </w:rPr>
        <w:t>Predictive Risk Analytics</w:t>
      </w:r>
      <w:r w:rsidRPr="005379BE">
        <w:rPr>
          <w:lang w:val="en-GB"/>
        </w:rPr>
        <w:t xml:space="preserve"> </w:t>
      </w:r>
      <w:r w:rsidRPr="005379BE">
        <w:rPr>
          <w:color w:val="000000"/>
          <w:lang w:val="en-GB"/>
        </w:rPr>
        <w:t xml:space="preserve">= </w:t>
      </w:r>
      <w:r w:rsidR="00BF498B" w:rsidRPr="005379BE">
        <w:rPr>
          <w:color w:val="000000"/>
          <w:lang w:val="en-GB"/>
        </w:rPr>
        <w:t>PRA. Financial Performance</w:t>
      </w:r>
      <w:r w:rsidRPr="005379BE">
        <w:rPr>
          <w:color w:val="000000"/>
          <w:lang w:val="en-GB"/>
        </w:rPr>
        <w:t xml:space="preserve"> = </w:t>
      </w:r>
      <w:r w:rsidR="00BF498B" w:rsidRPr="005379BE">
        <w:rPr>
          <w:color w:val="000000"/>
          <w:lang w:val="en-GB"/>
        </w:rPr>
        <w:t>F</w:t>
      </w:r>
      <w:r w:rsidRPr="005379BE">
        <w:rPr>
          <w:color w:val="000000"/>
          <w:lang w:val="en-GB"/>
        </w:rPr>
        <w:t>P.</w:t>
      </w:r>
      <w:bookmarkEnd w:id="10"/>
      <w:r w:rsidRPr="005379BE">
        <w:rPr>
          <w:color w:val="000000"/>
          <w:lang w:val="en-GB"/>
        </w:rPr>
        <w:t xml:space="preserve"> </w:t>
      </w:r>
      <w:r w:rsidRPr="005379BE">
        <w:rPr>
          <w:lang w:val="en-GB"/>
        </w:rPr>
        <w:t xml:space="preserve">As a result, </w:t>
      </w:r>
      <w:r w:rsidR="00BF498B" w:rsidRPr="005379BE">
        <w:rPr>
          <w:lang w:val="en-GB"/>
        </w:rPr>
        <w:t>F</w:t>
      </w:r>
      <w:r w:rsidRPr="005379BE">
        <w:rPr>
          <w:lang w:val="en-GB"/>
        </w:rPr>
        <w:t>P is the dependent variable and the t</w:t>
      </w:r>
      <w:r w:rsidR="00BF498B" w:rsidRPr="005379BE">
        <w:rPr>
          <w:lang w:val="en-GB"/>
        </w:rPr>
        <w:t>wo</w:t>
      </w:r>
      <w:r w:rsidRPr="005379BE">
        <w:rPr>
          <w:lang w:val="en-GB"/>
        </w:rPr>
        <w:t xml:space="preserve"> dimensions of are the independent variables </w:t>
      </w:r>
      <w:r w:rsidR="00BF498B" w:rsidRPr="005379BE">
        <w:rPr>
          <w:lang w:val="en-GB"/>
        </w:rPr>
        <w:t>AICM</w:t>
      </w:r>
      <w:r w:rsidR="00BF498B" w:rsidRPr="005379BE">
        <w:rPr>
          <w:color w:val="000000"/>
          <w:lang w:val="en-GB"/>
        </w:rPr>
        <w:t xml:space="preserve"> </w:t>
      </w:r>
      <w:r w:rsidRPr="005379BE">
        <w:rPr>
          <w:lang w:val="en-GB"/>
        </w:rPr>
        <w:t>corresponding to HO1, and HO</w:t>
      </w:r>
      <w:r w:rsidR="00BF498B" w:rsidRPr="005379BE">
        <w:rPr>
          <w:lang w:val="en-GB"/>
        </w:rPr>
        <w:t>2</w:t>
      </w:r>
      <w:r w:rsidRPr="005379BE">
        <w:rPr>
          <w:lang w:val="en-GB"/>
        </w:rPr>
        <w:t>, the regression model is specified as follows:</w:t>
      </w:r>
    </w:p>
    <w:p w14:paraId="525C949D" w14:textId="77777777" w:rsidR="00BF498B" w:rsidRPr="005379BE" w:rsidRDefault="00BF498B" w:rsidP="00600812">
      <w:pPr>
        <w:pStyle w:val="Heading3"/>
        <w:jc w:val="both"/>
        <w:rPr>
          <w:sz w:val="24"/>
          <w:szCs w:val="24"/>
          <w:lang w:val="en-GB"/>
        </w:rPr>
      </w:pPr>
      <w:r w:rsidRPr="005379BE">
        <w:rPr>
          <w:rStyle w:val="Strong"/>
          <w:b/>
          <w:bCs/>
          <w:sz w:val="24"/>
          <w:szCs w:val="24"/>
          <w:lang w:val="en-GB"/>
        </w:rPr>
        <w:t>Structural Regression Model</w:t>
      </w:r>
    </w:p>
    <w:p w14:paraId="44BE2EB1" w14:textId="77777777" w:rsidR="00BF498B" w:rsidRPr="005379BE" w:rsidRDefault="00BF498B" w:rsidP="00600812">
      <w:pPr>
        <w:pStyle w:val="NormalWeb"/>
        <w:jc w:val="both"/>
        <w:rPr>
          <w:lang w:val="en-GB"/>
        </w:rPr>
      </w:pPr>
      <w:r w:rsidRPr="005379BE">
        <w:rPr>
          <w:lang w:val="en-GB"/>
        </w:rPr>
        <w:t>The general form of the regression model can be expressed as:</w:t>
      </w:r>
    </w:p>
    <w:p w14:paraId="4F12061B" w14:textId="4D2908F7" w:rsidR="00BF498B" w:rsidRPr="005379BE" w:rsidRDefault="00BF498B" w:rsidP="00600812">
      <w:pPr>
        <w:spacing w:line="240" w:lineRule="auto"/>
        <w:jc w:val="both"/>
        <w:rPr>
          <w:rFonts w:ascii="Times New Roman" w:hAnsi="Times New Roman" w:cs="Times New Roman"/>
          <w:sz w:val="24"/>
          <w:szCs w:val="24"/>
        </w:rPr>
      </w:pPr>
      <w:r w:rsidRPr="005379BE">
        <w:rPr>
          <w:rStyle w:val="katex-mathml"/>
          <w:rFonts w:ascii="Times New Roman" w:hAnsi="Times New Roman" w:cs="Times New Roman"/>
          <w:sz w:val="24"/>
          <w:szCs w:val="24"/>
        </w:rPr>
        <w:t xml:space="preserve">FP=β0+β1ACSS+β2PRA+ϵ     </w:t>
      </w:r>
    </w:p>
    <w:p w14:paraId="0181106E" w14:textId="77777777" w:rsidR="00BF498B" w:rsidRPr="005379BE" w:rsidRDefault="00BF498B" w:rsidP="00600812">
      <w:pPr>
        <w:pStyle w:val="NormalWeb"/>
        <w:jc w:val="both"/>
        <w:rPr>
          <w:lang w:val="en-GB"/>
        </w:rPr>
      </w:pPr>
      <w:r w:rsidRPr="005379BE">
        <w:rPr>
          <w:lang w:val="en-GB"/>
        </w:rPr>
        <w:t>Where:</w:t>
      </w:r>
    </w:p>
    <w:p w14:paraId="4F5FFE89" w14:textId="730D228C" w:rsidR="00BF498B" w:rsidRPr="005379BE" w:rsidRDefault="00BF498B" w:rsidP="00600812">
      <w:pPr>
        <w:pStyle w:val="NoSpacing"/>
        <w:jc w:val="both"/>
        <w:rPr>
          <w:rFonts w:ascii="Times New Roman" w:hAnsi="Times New Roman" w:cs="Times New Roman"/>
          <w:sz w:val="24"/>
          <w:szCs w:val="24"/>
        </w:rPr>
      </w:pPr>
      <w:r w:rsidRPr="005379BE">
        <w:rPr>
          <w:rStyle w:val="mord"/>
          <w:rFonts w:ascii="Times New Roman" w:hAnsi="Times New Roman" w:cs="Times New Roman"/>
          <w:sz w:val="24"/>
          <w:szCs w:val="24"/>
        </w:rPr>
        <w:t>FP</w:t>
      </w:r>
      <w:r w:rsidRPr="005379BE">
        <w:rPr>
          <w:rFonts w:ascii="Times New Roman" w:hAnsi="Times New Roman" w:cs="Times New Roman"/>
          <w:sz w:val="24"/>
          <w:szCs w:val="24"/>
        </w:rPr>
        <w:t xml:space="preserve"> = Financial Performance (dependent variable)</w:t>
      </w:r>
    </w:p>
    <w:p w14:paraId="30B4BEEA" w14:textId="634D4403" w:rsidR="00BF498B" w:rsidRPr="005379BE" w:rsidRDefault="00BF498B" w:rsidP="00600812">
      <w:pPr>
        <w:pStyle w:val="NoSpacing"/>
        <w:jc w:val="both"/>
        <w:rPr>
          <w:rFonts w:ascii="Times New Roman" w:hAnsi="Times New Roman" w:cs="Times New Roman"/>
          <w:sz w:val="24"/>
          <w:szCs w:val="24"/>
        </w:rPr>
      </w:pPr>
      <w:r w:rsidRPr="005379BE">
        <w:rPr>
          <w:rStyle w:val="katex-mathml"/>
          <w:rFonts w:ascii="Times New Roman" w:hAnsi="Times New Roman" w:cs="Times New Roman"/>
          <w:sz w:val="24"/>
          <w:szCs w:val="24"/>
        </w:rPr>
        <w:t>ACS</w:t>
      </w:r>
      <w:r w:rsidRPr="005379BE">
        <w:rPr>
          <w:rStyle w:val="mord"/>
          <w:rFonts w:ascii="Times New Roman" w:hAnsi="Times New Roman" w:cs="Times New Roman"/>
          <w:sz w:val="24"/>
          <w:szCs w:val="24"/>
        </w:rPr>
        <w:t>S</w:t>
      </w:r>
      <w:r w:rsidRPr="005379BE">
        <w:rPr>
          <w:rFonts w:ascii="Times New Roman" w:hAnsi="Times New Roman" w:cs="Times New Roman"/>
          <w:sz w:val="24"/>
          <w:szCs w:val="24"/>
        </w:rPr>
        <w:t xml:space="preserve"> = Automated Credit Scoring Systems (dimension of AICM)</w:t>
      </w:r>
    </w:p>
    <w:p w14:paraId="210CE097" w14:textId="37627B9F" w:rsidR="00BF498B" w:rsidRPr="005379BE" w:rsidRDefault="00BF498B" w:rsidP="00600812">
      <w:pPr>
        <w:pStyle w:val="NoSpacing"/>
        <w:jc w:val="both"/>
        <w:rPr>
          <w:rFonts w:ascii="Times New Roman" w:hAnsi="Times New Roman" w:cs="Times New Roman"/>
          <w:sz w:val="24"/>
          <w:szCs w:val="24"/>
        </w:rPr>
      </w:pPr>
      <w:r w:rsidRPr="005379BE">
        <w:rPr>
          <w:rStyle w:val="katex-mathml"/>
          <w:rFonts w:ascii="Times New Roman" w:hAnsi="Times New Roman" w:cs="Times New Roman"/>
          <w:sz w:val="24"/>
          <w:szCs w:val="24"/>
        </w:rPr>
        <w:t>PRA</w:t>
      </w:r>
      <w:r w:rsidRPr="005379BE">
        <w:rPr>
          <w:rFonts w:ascii="Times New Roman" w:hAnsi="Times New Roman" w:cs="Times New Roman"/>
          <w:sz w:val="24"/>
          <w:szCs w:val="24"/>
        </w:rPr>
        <w:t>= Predictive Risk Analytics (dimension of AICM)</w:t>
      </w:r>
    </w:p>
    <w:p w14:paraId="0610C292" w14:textId="582D65E4" w:rsidR="00BF498B" w:rsidRPr="005379BE" w:rsidRDefault="00BF498B" w:rsidP="00600812">
      <w:pPr>
        <w:pStyle w:val="NoSpacing"/>
        <w:jc w:val="both"/>
        <w:rPr>
          <w:rFonts w:ascii="Times New Roman" w:hAnsi="Times New Roman" w:cs="Times New Roman"/>
          <w:sz w:val="24"/>
          <w:szCs w:val="24"/>
        </w:rPr>
      </w:pPr>
      <w:r w:rsidRPr="005379BE">
        <w:rPr>
          <w:rStyle w:val="katex-mathml"/>
          <w:rFonts w:ascii="Times New Roman" w:hAnsi="Times New Roman" w:cs="Times New Roman"/>
          <w:sz w:val="24"/>
          <w:szCs w:val="24"/>
        </w:rPr>
        <w:t>β0</w:t>
      </w:r>
      <w:r w:rsidRPr="005379BE">
        <w:rPr>
          <w:rStyle w:val="vlist-s"/>
          <w:rFonts w:ascii="Times New Roman" w:hAnsi="Times New Roman" w:cs="Times New Roman"/>
          <w:sz w:val="24"/>
          <w:szCs w:val="24"/>
        </w:rPr>
        <w:t>​</w:t>
      </w:r>
      <w:r w:rsidRPr="005379BE">
        <w:rPr>
          <w:rFonts w:ascii="Times New Roman" w:hAnsi="Times New Roman" w:cs="Times New Roman"/>
          <w:sz w:val="24"/>
          <w:szCs w:val="24"/>
        </w:rPr>
        <w:t xml:space="preserve"> = Intercept (baseline financial performance when ACSS and PRA are zero)</w:t>
      </w:r>
    </w:p>
    <w:p w14:paraId="4C0519FA" w14:textId="60AAC194" w:rsidR="00BF498B" w:rsidRPr="005379BE" w:rsidRDefault="00BF498B" w:rsidP="00600812">
      <w:pPr>
        <w:pStyle w:val="NoSpacing"/>
        <w:jc w:val="both"/>
        <w:rPr>
          <w:rFonts w:ascii="Times New Roman" w:hAnsi="Times New Roman" w:cs="Times New Roman"/>
          <w:sz w:val="24"/>
          <w:szCs w:val="24"/>
        </w:rPr>
      </w:pPr>
      <w:r w:rsidRPr="005379BE">
        <w:rPr>
          <w:rStyle w:val="katex-mathml"/>
          <w:rFonts w:ascii="Times New Roman" w:hAnsi="Times New Roman" w:cs="Times New Roman"/>
          <w:sz w:val="24"/>
          <w:szCs w:val="24"/>
        </w:rPr>
        <w:t>β1,β2</w:t>
      </w:r>
      <w:r w:rsidRPr="005379BE">
        <w:rPr>
          <w:rFonts w:ascii="Times New Roman" w:hAnsi="Times New Roman" w:cs="Times New Roman"/>
          <w:sz w:val="24"/>
          <w:szCs w:val="24"/>
        </w:rPr>
        <w:t>= Regression coefficients representing the effect of each AICM dimension on FP</w:t>
      </w:r>
    </w:p>
    <w:p w14:paraId="7AC27BD6" w14:textId="234D33C1" w:rsidR="00BF498B" w:rsidRPr="005379BE" w:rsidRDefault="00BF498B" w:rsidP="00600812">
      <w:pPr>
        <w:pStyle w:val="NoSpacing"/>
        <w:jc w:val="both"/>
        <w:rPr>
          <w:rFonts w:ascii="Times New Roman" w:hAnsi="Times New Roman" w:cs="Times New Roman"/>
          <w:sz w:val="24"/>
          <w:szCs w:val="24"/>
        </w:rPr>
      </w:pPr>
      <w:r w:rsidRPr="005379BE">
        <w:rPr>
          <w:rStyle w:val="katex-mathml"/>
          <w:rFonts w:ascii="Times New Roman" w:hAnsi="Times New Roman" w:cs="Times New Roman"/>
          <w:sz w:val="24"/>
          <w:szCs w:val="24"/>
        </w:rPr>
        <w:t>ϵ</w:t>
      </w:r>
      <w:r w:rsidRPr="005379BE">
        <w:rPr>
          <w:rFonts w:ascii="Times New Roman" w:hAnsi="Times New Roman" w:cs="Times New Roman"/>
          <w:sz w:val="24"/>
          <w:szCs w:val="24"/>
        </w:rPr>
        <w:t xml:space="preserve"> = Error term (captures unobserved factors affecting FP)</w:t>
      </w:r>
    </w:p>
    <w:p w14:paraId="00D00831" w14:textId="77777777" w:rsidR="00D408A5" w:rsidRPr="005379BE" w:rsidRDefault="00D408A5" w:rsidP="00600812">
      <w:pPr>
        <w:pStyle w:val="NoSpacing"/>
        <w:jc w:val="both"/>
        <w:rPr>
          <w:rFonts w:ascii="Times New Roman" w:hAnsi="Times New Roman" w:cs="Times New Roman"/>
          <w:sz w:val="24"/>
          <w:szCs w:val="24"/>
        </w:rPr>
      </w:pPr>
    </w:p>
    <w:p w14:paraId="4192503E" w14:textId="7BCCF5F8" w:rsidR="00195C39" w:rsidRPr="005379BE" w:rsidRDefault="00BF498B" w:rsidP="00600812">
      <w:pPr>
        <w:spacing w:before="100" w:beforeAutospacing="1" w:after="100" w:afterAutospacing="1" w:line="240" w:lineRule="auto"/>
        <w:jc w:val="center"/>
        <w:rPr>
          <w:rFonts w:ascii="Times New Roman" w:eastAsia="Times New Roman" w:hAnsi="Times New Roman" w:cs="Times New Roman"/>
          <w:b/>
          <w:bCs/>
          <w:sz w:val="24"/>
          <w:szCs w:val="24"/>
        </w:rPr>
      </w:pPr>
      <w:r w:rsidRPr="005379BE">
        <w:rPr>
          <w:rFonts w:ascii="Times New Roman" w:eastAsia="Times New Roman" w:hAnsi="Times New Roman" w:cs="Times New Roman"/>
          <w:b/>
          <w:bCs/>
          <w:sz w:val="24"/>
          <w:szCs w:val="24"/>
        </w:rPr>
        <w:t>DATA ANALYSIS AND DISCUSSION OF FINDINGS</w:t>
      </w:r>
    </w:p>
    <w:p w14:paraId="3CFF0414"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b/>
          <w:bCs/>
          <w:sz w:val="24"/>
          <w:szCs w:val="24"/>
        </w:rPr>
      </w:pPr>
      <w:r w:rsidRPr="005379BE">
        <w:rPr>
          <w:rFonts w:ascii="Times New Roman" w:hAnsi="Times New Roman" w:cs="Times New Roman"/>
          <w:b/>
          <w:sz w:val="24"/>
          <w:szCs w:val="24"/>
        </w:rPr>
        <w:t>Test of hypothesis One</w:t>
      </w:r>
    </w:p>
    <w:p w14:paraId="1E4C5A85"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sz w:val="24"/>
          <w:szCs w:val="24"/>
        </w:rPr>
      </w:pPr>
    </w:p>
    <w:p w14:paraId="53611476" w14:textId="55069556" w:rsidR="00BF498B" w:rsidRPr="005379BE" w:rsidRDefault="00BF498B" w:rsidP="00600812">
      <w:pPr>
        <w:spacing w:line="240" w:lineRule="auto"/>
        <w:jc w:val="both"/>
        <w:rPr>
          <w:rFonts w:ascii="Times New Roman" w:hAnsi="Times New Roman" w:cs="Times New Roman"/>
          <w:sz w:val="24"/>
          <w:szCs w:val="24"/>
        </w:rPr>
      </w:pPr>
      <w:r w:rsidRPr="005379BE">
        <w:rPr>
          <w:rFonts w:ascii="Times New Roman" w:hAnsi="Times New Roman" w:cs="Times New Roman"/>
          <w:b/>
          <w:bCs/>
          <w:color w:val="000000" w:themeColor="text1"/>
          <w:sz w:val="24"/>
          <w:szCs w:val="24"/>
        </w:rPr>
        <w:t>HO</w:t>
      </w:r>
      <w:r w:rsidRPr="005379BE">
        <w:rPr>
          <w:rFonts w:ascii="Times New Roman" w:hAnsi="Times New Roman" w:cs="Times New Roman"/>
          <w:b/>
          <w:bCs/>
          <w:color w:val="000000" w:themeColor="text1"/>
          <w:sz w:val="24"/>
          <w:szCs w:val="24"/>
          <w:vertAlign w:val="subscript"/>
        </w:rPr>
        <w:t>1</w:t>
      </w:r>
      <w:r w:rsidRPr="005379BE">
        <w:rPr>
          <w:rFonts w:ascii="Times New Roman" w:hAnsi="Times New Roman" w:cs="Times New Roman"/>
          <w:b/>
          <w:bCs/>
          <w:color w:val="000000" w:themeColor="text1"/>
          <w:sz w:val="24"/>
          <w:szCs w:val="24"/>
        </w:rPr>
        <w:t>:</w:t>
      </w:r>
      <w:r w:rsidRPr="005379BE">
        <w:rPr>
          <w:rFonts w:ascii="Times New Roman" w:hAnsi="Times New Roman" w:cs="Times New Roman"/>
          <w:color w:val="000000" w:themeColor="text1"/>
          <w:sz w:val="24"/>
          <w:szCs w:val="24"/>
        </w:rPr>
        <w:t xml:space="preserve"> </w:t>
      </w:r>
      <w:r w:rsidRPr="005379BE">
        <w:rPr>
          <w:rFonts w:ascii="Times New Roman" w:hAnsi="Times New Roman" w:cs="Times New Roman"/>
          <w:sz w:val="24"/>
          <w:szCs w:val="24"/>
        </w:rPr>
        <w:t xml:space="preserve">Automated Credit Scoring Systems has no significant effect on financial performance of DMB in </w:t>
      </w:r>
      <w:r w:rsidR="008C74D4">
        <w:rPr>
          <w:rFonts w:ascii="Times New Roman" w:hAnsi="Times New Roman" w:cs="Times New Roman"/>
          <w:sz w:val="24"/>
          <w:szCs w:val="24"/>
        </w:rPr>
        <w:t xml:space="preserve">Abuja, </w:t>
      </w:r>
      <w:r w:rsidRPr="005379BE">
        <w:rPr>
          <w:rFonts w:ascii="Times New Roman" w:hAnsi="Times New Roman" w:cs="Times New Roman"/>
          <w:sz w:val="24"/>
          <w:szCs w:val="24"/>
        </w:rPr>
        <w:t>Nigeria.</w:t>
      </w:r>
    </w:p>
    <w:p w14:paraId="1FC2DCB8" w14:textId="77777777" w:rsidR="00BF498B" w:rsidRPr="005379BE" w:rsidRDefault="00BF498B" w:rsidP="00600812">
      <w:pPr>
        <w:autoSpaceDE w:val="0"/>
        <w:autoSpaceDN w:val="0"/>
        <w:adjustRightInd w:val="0"/>
        <w:spacing w:after="0" w:line="480" w:lineRule="auto"/>
        <w:jc w:val="both"/>
        <w:rPr>
          <w:rFonts w:ascii="Times New Roman" w:hAnsi="Times New Roman" w:cs="Times New Roman"/>
          <w:b/>
          <w:bCs/>
          <w:sz w:val="24"/>
          <w:szCs w:val="24"/>
        </w:rPr>
      </w:pPr>
      <w:r w:rsidRPr="005379BE">
        <w:rPr>
          <w:rFonts w:ascii="Times New Roman" w:hAnsi="Times New Roman" w:cs="Times New Roman"/>
          <w:b/>
          <w:bCs/>
          <w:sz w:val="24"/>
          <w:szCs w:val="24"/>
        </w:rPr>
        <w:t xml:space="preserve">Model 1 </w:t>
      </w:r>
    </w:p>
    <w:p w14:paraId="119A32C6" w14:textId="4280CEE9" w:rsidR="00BF498B" w:rsidRPr="005379BE" w:rsidRDefault="00BF498B" w:rsidP="00600812">
      <w:pPr>
        <w:pStyle w:val="NormalWeb"/>
        <w:jc w:val="both"/>
        <w:rPr>
          <w:lang w:val="en-GB"/>
        </w:rPr>
      </w:pPr>
      <w:r w:rsidRPr="005379BE">
        <w:rPr>
          <w:b/>
          <w:bCs/>
          <w:lang w:val="en-GB"/>
        </w:rPr>
        <w:t>HO1</w:t>
      </w:r>
      <w:r w:rsidRPr="005379BE">
        <w:rPr>
          <w:lang w:val="en-GB"/>
        </w:rPr>
        <w:t xml:space="preserve">: </w:t>
      </w:r>
      <w:r w:rsidR="00BD64B7" w:rsidRPr="005379BE">
        <w:rPr>
          <w:lang w:val="en-GB"/>
        </w:rPr>
        <w:t>F</w:t>
      </w:r>
      <w:r w:rsidRPr="005379BE">
        <w:rPr>
          <w:lang w:val="en-GB"/>
        </w:rPr>
        <w:t>P=β0+ β</w:t>
      </w:r>
      <w:r w:rsidRPr="005379BE">
        <w:rPr>
          <w:vertAlign w:val="subscript"/>
          <w:lang w:val="en-GB"/>
        </w:rPr>
        <w:t>1</w:t>
      </w:r>
      <w:r w:rsidRPr="005379BE">
        <w:rPr>
          <w:lang w:val="en-GB"/>
        </w:rPr>
        <w:t>​A</w:t>
      </w:r>
      <w:r w:rsidR="00BD64B7" w:rsidRPr="005379BE">
        <w:rPr>
          <w:lang w:val="en-GB"/>
        </w:rPr>
        <w:t>CSS</w:t>
      </w:r>
      <w:r w:rsidR="008A4259" w:rsidRPr="005379BE">
        <w:rPr>
          <w:vertAlign w:val="subscript"/>
          <w:lang w:val="en-GB"/>
        </w:rPr>
        <w:t>1</w:t>
      </w:r>
      <w:r w:rsidRPr="005379BE">
        <w:rPr>
          <w:lang w:val="en-GB"/>
        </w:rPr>
        <w:t xml:space="preserve">+ε    </w:t>
      </w:r>
    </w:p>
    <w:tbl>
      <w:tblPr>
        <w:tblW w:w="5843" w:type="dxa"/>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F498B" w:rsidRPr="005379BE" w14:paraId="39E1149A" w14:textId="77777777" w:rsidTr="00EE65AB">
        <w:trPr>
          <w:cantSplit/>
        </w:trPr>
        <w:tc>
          <w:tcPr>
            <w:tcW w:w="5841" w:type="dxa"/>
            <w:gridSpan w:val="5"/>
            <w:tcBorders>
              <w:top w:val="nil"/>
              <w:left w:val="nil"/>
              <w:bottom w:val="nil"/>
              <w:right w:val="nil"/>
            </w:tcBorders>
            <w:shd w:val="clear" w:color="auto" w:fill="FFFFFF"/>
            <w:vAlign w:val="center"/>
          </w:tcPr>
          <w:p w14:paraId="639A84A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b/>
                <w:bCs/>
                <w:color w:val="010205"/>
                <w:sz w:val="24"/>
                <w:szCs w:val="24"/>
              </w:rPr>
              <w:t>Model Summary</w:t>
            </w:r>
          </w:p>
        </w:tc>
      </w:tr>
      <w:tr w:rsidR="00BF498B" w:rsidRPr="005379BE" w14:paraId="1928FCC9" w14:textId="77777777" w:rsidTr="00EE65AB">
        <w:trPr>
          <w:cantSplit/>
        </w:trPr>
        <w:tc>
          <w:tcPr>
            <w:tcW w:w="795" w:type="dxa"/>
            <w:tcBorders>
              <w:top w:val="nil"/>
              <w:left w:val="nil"/>
              <w:bottom w:val="single" w:sz="8" w:space="0" w:color="152935"/>
              <w:right w:val="nil"/>
            </w:tcBorders>
            <w:shd w:val="clear" w:color="auto" w:fill="FFFFFF"/>
            <w:vAlign w:val="bottom"/>
          </w:tcPr>
          <w:p w14:paraId="0AE0286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Model</w:t>
            </w:r>
          </w:p>
        </w:tc>
        <w:tc>
          <w:tcPr>
            <w:tcW w:w="1024" w:type="dxa"/>
            <w:tcBorders>
              <w:top w:val="nil"/>
              <w:left w:val="nil"/>
              <w:bottom w:val="single" w:sz="8" w:space="0" w:color="152935"/>
              <w:right w:val="single" w:sz="8" w:space="0" w:color="E0E0E0"/>
            </w:tcBorders>
            <w:shd w:val="clear" w:color="auto" w:fill="FFFFFF"/>
            <w:vAlign w:val="bottom"/>
          </w:tcPr>
          <w:p w14:paraId="547B6DD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1E32545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0BDB132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Adjusted R Square</w:t>
            </w:r>
          </w:p>
        </w:tc>
        <w:tc>
          <w:tcPr>
            <w:tcW w:w="1468" w:type="dxa"/>
            <w:tcBorders>
              <w:top w:val="nil"/>
              <w:left w:val="single" w:sz="8" w:space="0" w:color="E0E0E0"/>
              <w:bottom w:val="single" w:sz="8" w:space="0" w:color="152935"/>
              <w:right w:val="nil"/>
            </w:tcBorders>
            <w:shd w:val="clear" w:color="auto" w:fill="FFFFFF"/>
            <w:vAlign w:val="bottom"/>
          </w:tcPr>
          <w:p w14:paraId="6E7BA9A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Std. Error of the Estimate</w:t>
            </w:r>
          </w:p>
        </w:tc>
      </w:tr>
      <w:tr w:rsidR="00BF498B" w:rsidRPr="005379BE" w14:paraId="566FAEA6" w14:textId="77777777" w:rsidTr="00EE65AB">
        <w:trPr>
          <w:cantSplit/>
        </w:trPr>
        <w:tc>
          <w:tcPr>
            <w:tcW w:w="795" w:type="dxa"/>
            <w:tcBorders>
              <w:top w:val="single" w:sz="8" w:space="0" w:color="152935"/>
              <w:left w:val="nil"/>
              <w:bottom w:val="single" w:sz="8" w:space="0" w:color="152935"/>
              <w:right w:val="nil"/>
            </w:tcBorders>
            <w:shd w:val="clear" w:color="auto" w:fill="E0E0E0"/>
          </w:tcPr>
          <w:p w14:paraId="547661A4"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lastRenderedPageBreak/>
              <w:t>1</w:t>
            </w:r>
          </w:p>
        </w:tc>
        <w:tc>
          <w:tcPr>
            <w:tcW w:w="1024" w:type="dxa"/>
            <w:tcBorders>
              <w:top w:val="single" w:sz="8" w:space="0" w:color="152935"/>
              <w:left w:val="nil"/>
              <w:bottom w:val="single" w:sz="8" w:space="0" w:color="152935"/>
              <w:right w:val="single" w:sz="8" w:space="0" w:color="E0E0E0"/>
            </w:tcBorders>
            <w:shd w:val="clear" w:color="auto" w:fill="F9F9FB"/>
          </w:tcPr>
          <w:p w14:paraId="5C8CBA60"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.713</w:t>
            </w:r>
            <w:r w:rsidRPr="005379BE">
              <w:rPr>
                <w:rFonts w:ascii="Times New Roman" w:hAnsi="Times New Roman" w:cs="Times New Roman"/>
                <w:color w:val="010205"/>
                <w:sz w:val="24"/>
                <w:szCs w:val="24"/>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9F9FB"/>
          </w:tcPr>
          <w:p w14:paraId="1DD6E100"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.508</w:t>
            </w:r>
          </w:p>
        </w:tc>
        <w:tc>
          <w:tcPr>
            <w:tcW w:w="1468" w:type="dxa"/>
            <w:tcBorders>
              <w:top w:val="single" w:sz="8" w:space="0" w:color="152935"/>
              <w:left w:val="single" w:sz="8" w:space="0" w:color="E0E0E0"/>
              <w:bottom w:val="single" w:sz="8" w:space="0" w:color="152935"/>
              <w:right w:val="single" w:sz="8" w:space="0" w:color="E0E0E0"/>
            </w:tcBorders>
            <w:shd w:val="clear" w:color="auto" w:fill="F9F9FB"/>
          </w:tcPr>
          <w:p w14:paraId="5782749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.506</w:t>
            </w:r>
          </w:p>
        </w:tc>
        <w:tc>
          <w:tcPr>
            <w:tcW w:w="1468" w:type="dxa"/>
            <w:tcBorders>
              <w:top w:val="single" w:sz="8" w:space="0" w:color="152935"/>
              <w:left w:val="single" w:sz="8" w:space="0" w:color="E0E0E0"/>
              <w:bottom w:val="single" w:sz="8" w:space="0" w:color="152935"/>
              <w:right w:val="nil"/>
            </w:tcBorders>
            <w:shd w:val="clear" w:color="auto" w:fill="F9F9FB"/>
          </w:tcPr>
          <w:p w14:paraId="42BFE2E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.36425</w:t>
            </w:r>
          </w:p>
        </w:tc>
      </w:tr>
      <w:tr w:rsidR="00BF498B" w:rsidRPr="005379BE" w14:paraId="35E17D98" w14:textId="77777777" w:rsidTr="00EE65AB">
        <w:trPr>
          <w:cantSplit/>
        </w:trPr>
        <w:tc>
          <w:tcPr>
            <w:tcW w:w="5841" w:type="dxa"/>
            <w:gridSpan w:val="5"/>
            <w:tcBorders>
              <w:top w:val="nil"/>
              <w:left w:val="nil"/>
              <w:bottom w:val="nil"/>
              <w:right w:val="nil"/>
            </w:tcBorders>
            <w:shd w:val="clear" w:color="auto" w:fill="FFFFFF"/>
          </w:tcPr>
          <w:p w14:paraId="158BF923" w14:textId="5E9F8F44"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a. Predictors: (Constant), </w:t>
            </w:r>
            <w:r w:rsidR="00BD64B7" w:rsidRPr="005379BE">
              <w:rPr>
                <w:rFonts w:ascii="Times New Roman" w:hAnsi="Times New Roman" w:cs="Times New Roman"/>
                <w:color w:val="010205"/>
                <w:sz w:val="24"/>
                <w:szCs w:val="24"/>
              </w:rPr>
              <w:t>ACSS</w:t>
            </w:r>
          </w:p>
        </w:tc>
      </w:tr>
    </w:tbl>
    <w:p w14:paraId="628EEE72" w14:textId="7C43450F" w:rsidR="00BD64B7" w:rsidRPr="005379BE" w:rsidRDefault="00BD64B7"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 xml:space="preserve">The table indicates a strong positive relationship between Automated Credit Scoring Systems (ACSS) and the financial performance (FP) of Deposit Money Banks (DMBs) in </w:t>
      </w:r>
      <w:r w:rsidR="008C74D4">
        <w:rPr>
          <w:rFonts w:ascii="Times New Roman" w:eastAsia="Times New Roman" w:hAnsi="Times New Roman" w:cs="Times New Roman"/>
          <w:sz w:val="24"/>
          <w:szCs w:val="24"/>
        </w:rPr>
        <w:t xml:space="preserve">Abuja, </w:t>
      </w:r>
      <w:r w:rsidRPr="005379BE">
        <w:rPr>
          <w:rFonts w:ascii="Times New Roman" w:eastAsia="Times New Roman" w:hAnsi="Times New Roman" w:cs="Times New Roman"/>
          <w:sz w:val="24"/>
          <w:szCs w:val="24"/>
        </w:rPr>
        <w:t>Nigeria, with an R of 0.713 and R² of 0.508, suggesting ACSS explains over 50% of FP variations. The model’s low standard error (0.36425) shows reliable predictive accuracy, implying ACSS significantly influences financial outcomes.</w:t>
      </w:r>
    </w:p>
    <w:p w14:paraId="2259D009"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sz w:val="24"/>
          <w:szCs w:val="24"/>
        </w:rPr>
      </w:pP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BF498B" w:rsidRPr="005379BE" w14:paraId="7C5F5A36" w14:textId="77777777" w:rsidTr="00EE65AB">
        <w:trPr>
          <w:cantSplit/>
        </w:trPr>
        <w:tc>
          <w:tcPr>
            <w:tcW w:w="7965" w:type="dxa"/>
            <w:gridSpan w:val="7"/>
            <w:tcBorders>
              <w:top w:val="nil"/>
              <w:left w:val="nil"/>
              <w:bottom w:val="nil"/>
              <w:right w:val="nil"/>
            </w:tcBorders>
            <w:shd w:val="clear" w:color="auto" w:fill="FFFFFF"/>
            <w:vAlign w:val="center"/>
          </w:tcPr>
          <w:p w14:paraId="6A8E9E64"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b/>
                <w:bCs/>
                <w:color w:val="010205"/>
                <w:sz w:val="24"/>
                <w:szCs w:val="24"/>
              </w:rPr>
              <w:t>ANOVA</w:t>
            </w:r>
            <w:r w:rsidRPr="005379BE">
              <w:rPr>
                <w:rFonts w:ascii="Times New Roman" w:hAnsi="Times New Roman" w:cs="Times New Roman"/>
                <w:b/>
                <w:bCs/>
                <w:color w:val="010205"/>
                <w:sz w:val="24"/>
                <w:szCs w:val="24"/>
                <w:vertAlign w:val="superscript"/>
              </w:rPr>
              <w:t>a</w:t>
            </w:r>
          </w:p>
        </w:tc>
      </w:tr>
      <w:tr w:rsidR="00BF498B" w:rsidRPr="005379BE" w14:paraId="28F60E07" w14:textId="77777777" w:rsidTr="00EE65AB">
        <w:trPr>
          <w:cantSplit/>
        </w:trPr>
        <w:tc>
          <w:tcPr>
            <w:tcW w:w="2018" w:type="dxa"/>
            <w:gridSpan w:val="2"/>
            <w:tcBorders>
              <w:top w:val="nil"/>
              <w:left w:val="nil"/>
              <w:bottom w:val="single" w:sz="8" w:space="0" w:color="152935"/>
              <w:right w:val="nil"/>
            </w:tcBorders>
            <w:shd w:val="clear" w:color="auto" w:fill="FFFFFF"/>
            <w:vAlign w:val="bottom"/>
          </w:tcPr>
          <w:p w14:paraId="7114BB6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Model</w:t>
            </w:r>
          </w:p>
        </w:tc>
        <w:tc>
          <w:tcPr>
            <w:tcW w:w="1468" w:type="dxa"/>
            <w:tcBorders>
              <w:top w:val="nil"/>
              <w:left w:val="nil"/>
              <w:bottom w:val="single" w:sz="8" w:space="0" w:color="152935"/>
              <w:right w:val="single" w:sz="8" w:space="0" w:color="E0E0E0"/>
            </w:tcBorders>
            <w:shd w:val="clear" w:color="auto" w:fill="FFFFFF"/>
            <w:vAlign w:val="bottom"/>
          </w:tcPr>
          <w:p w14:paraId="436767D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10881B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6E645F8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BB1C48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F</w:t>
            </w:r>
          </w:p>
        </w:tc>
        <w:tc>
          <w:tcPr>
            <w:tcW w:w="1024" w:type="dxa"/>
            <w:tcBorders>
              <w:top w:val="nil"/>
              <w:left w:val="single" w:sz="8" w:space="0" w:color="E0E0E0"/>
              <w:bottom w:val="single" w:sz="8" w:space="0" w:color="152935"/>
              <w:right w:val="nil"/>
            </w:tcBorders>
            <w:shd w:val="clear" w:color="auto" w:fill="FFFFFF"/>
            <w:vAlign w:val="bottom"/>
          </w:tcPr>
          <w:p w14:paraId="0DCDBDC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Sig.</w:t>
            </w:r>
          </w:p>
        </w:tc>
      </w:tr>
      <w:tr w:rsidR="00BF498B" w:rsidRPr="005379BE" w14:paraId="63D73329" w14:textId="77777777" w:rsidTr="00EE65AB">
        <w:trPr>
          <w:cantSplit/>
        </w:trPr>
        <w:tc>
          <w:tcPr>
            <w:tcW w:w="734" w:type="dxa"/>
            <w:vMerge w:val="restart"/>
            <w:tcBorders>
              <w:top w:val="single" w:sz="8" w:space="0" w:color="152935"/>
              <w:left w:val="nil"/>
              <w:bottom w:val="single" w:sz="8" w:space="0" w:color="152935"/>
              <w:right w:val="nil"/>
            </w:tcBorders>
            <w:shd w:val="clear" w:color="auto" w:fill="E0E0E0"/>
          </w:tcPr>
          <w:p w14:paraId="0284E5C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1</w:t>
            </w:r>
          </w:p>
        </w:tc>
        <w:tc>
          <w:tcPr>
            <w:tcW w:w="1284" w:type="dxa"/>
            <w:tcBorders>
              <w:top w:val="single" w:sz="8" w:space="0" w:color="152935"/>
              <w:left w:val="nil"/>
              <w:bottom w:val="single" w:sz="8" w:space="0" w:color="AEAEAE"/>
              <w:right w:val="nil"/>
            </w:tcBorders>
            <w:shd w:val="clear" w:color="auto" w:fill="E0E0E0"/>
          </w:tcPr>
          <w:p w14:paraId="3F6EF45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Regression</w:t>
            </w:r>
          </w:p>
        </w:tc>
        <w:tc>
          <w:tcPr>
            <w:tcW w:w="1468" w:type="dxa"/>
            <w:tcBorders>
              <w:top w:val="single" w:sz="8" w:space="0" w:color="152935"/>
              <w:left w:val="nil"/>
              <w:bottom w:val="single" w:sz="8" w:space="0" w:color="AEAEAE"/>
              <w:right w:val="single" w:sz="8" w:space="0" w:color="E0E0E0"/>
            </w:tcBorders>
            <w:shd w:val="clear" w:color="auto" w:fill="F9F9FB"/>
          </w:tcPr>
          <w:p w14:paraId="1EA024D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36.563</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00B23349"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9F9FB"/>
          </w:tcPr>
          <w:p w14:paraId="4F662F9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36.563</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1E3BA26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275.580</w:t>
            </w:r>
          </w:p>
        </w:tc>
        <w:tc>
          <w:tcPr>
            <w:tcW w:w="1024" w:type="dxa"/>
            <w:tcBorders>
              <w:top w:val="single" w:sz="8" w:space="0" w:color="152935"/>
              <w:left w:val="single" w:sz="8" w:space="0" w:color="E0E0E0"/>
              <w:bottom w:val="single" w:sz="8" w:space="0" w:color="AEAEAE"/>
              <w:right w:val="nil"/>
            </w:tcBorders>
            <w:shd w:val="clear" w:color="auto" w:fill="F9F9FB"/>
          </w:tcPr>
          <w:p w14:paraId="70D2D8E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.000</w:t>
            </w:r>
            <w:r w:rsidRPr="005379BE">
              <w:rPr>
                <w:rFonts w:ascii="Times New Roman" w:hAnsi="Times New Roman" w:cs="Times New Roman"/>
                <w:color w:val="010205"/>
                <w:sz w:val="24"/>
                <w:szCs w:val="24"/>
                <w:vertAlign w:val="superscript"/>
              </w:rPr>
              <w:t>b</w:t>
            </w:r>
          </w:p>
        </w:tc>
      </w:tr>
      <w:tr w:rsidR="00BF498B" w:rsidRPr="005379BE" w14:paraId="50563638" w14:textId="77777777" w:rsidTr="00EE65AB">
        <w:trPr>
          <w:cantSplit/>
        </w:trPr>
        <w:tc>
          <w:tcPr>
            <w:tcW w:w="734" w:type="dxa"/>
            <w:vMerge/>
            <w:tcBorders>
              <w:top w:val="single" w:sz="8" w:space="0" w:color="152935"/>
              <w:left w:val="nil"/>
              <w:bottom w:val="single" w:sz="8" w:space="0" w:color="152935"/>
              <w:right w:val="nil"/>
            </w:tcBorders>
            <w:shd w:val="clear" w:color="auto" w:fill="E0E0E0"/>
          </w:tcPr>
          <w:p w14:paraId="51D29CD0"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010205"/>
                <w:sz w:val="24"/>
                <w:szCs w:val="24"/>
              </w:rPr>
            </w:pPr>
          </w:p>
        </w:tc>
        <w:tc>
          <w:tcPr>
            <w:tcW w:w="1284" w:type="dxa"/>
            <w:tcBorders>
              <w:top w:val="single" w:sz="8" w:space="0" w:color="AEAEAE"/>
              <w:left w:val="nil"/>
              <w:bottom w:val="single" w:sz="8" w:space="0" w:color="AEAEAE"/>
              <w:right w:val="nil"/>
            </w:tcBorders>
            <w:shd w:val="clear" w:color="auto" w:fill="E0E0E0"/>
          </w:tcPr>
          <w:p w14:paraId="17D6A724"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Residual</w:t>
            </w:r>
          </w:p>
        </w:tc>
        <w:tc>
          <w:tcPr>
            <w:tcW w:w="1468" w:type="dxa"/>
            <w:tcBorders>
              <w:top w:val="single" w:sz="8" w:space="0" w:color="AEAEAE"/>
              <w:left w:val="nil"/>
              <w:bottom w:val="single" w:sz="8" w:space="0" w:color="AEAEAE"/>
              <w:right w:val="single" w:sz="8" w:space="0" w:color="E0E0E0"/>
            </w:tcBorders>
            <w:shd w:val="clear" w:color="auto" w:fill="F9F9FB"/>
          </w:tcPr>
          <w:p w14:paraId="20D6BFC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35.425</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698936B9"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267</w:t>
            </w:r>
          </w:p>
        </w:tc>
        <w:tc>
          <w:tcPr>
            <w:tcW w:w="1407" w:type="dxa"/>
            <w:tcBorders>
              <w:top w:val="single" w:sz="8" w:space="0" w:color="AEAEAE"/>
              <w:left w:val="single" w:sz="8" w:space="0" w:color="E0E0E0"/>
              <w:bottom w:val="single" w:sz="8" w:space="0" w:color="AEAEAE"/>
              <w:right w:val="single" w:sz="8" w:space="0" w:color="E0E0E0"/>
            </w:tcBorders>
            <w:shd w:val="clear" w:color="auto" w:fill="F9F9FB"/>
          </w:tcPr>
          <w:p w14:paraId="50053ED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.133</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7448533B"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9F9FB"/>
            <w:vAlign w:val="center"/>
          </w:tcPr>
          <w:p w14:paraId="15AE072E"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r>
      <w:tr w:rsidR="00BF498B" w:rsidRPr="005379BE" w14:paraId="59C64621" w14:textId="77777777" w:rsidTr="00EE65AB">
        <w:trPr>
          <w:cantSplit/>
        </w:trPr>
        <w:tc>
          <w:tcPr>
            <w:tcW w:w="734" w:type="dxa"/>
            <w:vMerge/>
            <w:tcBorders>
              <w:top w:val="single" w:sz="8" w:space="0" w:color="152935"/>
              <w:left w:val="nil"/>
              <w:bottom w:val="single" w:sz="8" w:space="0" w:color="152935"/>
              <w:right w:val="nil"/>
            </w:tcBorders>
            <w:shd w:val="clear" w:color="auto" w:fill="E0E0E0"/>
          </w:tcPr>
          <w:p w14:paraId="166AD943"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single" w:sz="8" w:space="0" w:color="AEAEAE"/>
              <w:left w:val="nil"/>
              <w:bottom w:val="single" w:sz="8" w:space="0" w:color="152935"/>
              <w:right w:val="nil"/>
            </w:tcBorders>
            <w:shd w:val="clear" w:color="auto" w:fill="E0E0E0"/>
          </w:tcPr>
          <w:p w14:paraId="1C1DADC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Total</w:t>
            </w:r>
          </w:p>
        </w:tc>
        <w:tc>
          <w:tcPr>
            <w:tcW w:w="1468" w:type="dxa"/>
            <w:tcBorders>
              <w:top w:val="single" w:sz="8" w:space="0" w:color="AEAEAE"/>
              <w:left w:val="nil"/>
              <w:bottom w:val="single" w:sz="8" w:space="0" w:color="152935"/>
              <w:right w:val="single" w:sz="8" w:space="0" w:color="E0E0E0"/>
            </w:tcBorders>
            <w:shd w:val="clear" w:color="auto" w:fill="F9F9FB"/>
          </w:tcPr>
          <w:p w14:paraId="39A0FF0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71.988</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7065089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268</w:t>
            </w:r>
          </w:p>
        </w:tc>
        <w:tc>
          <w:tcPr>
            <w:tcW w:w="140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F082AAD"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75A1F2B"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nil"/>
            </w:tcBorders>
            <w:shd w:val="clear" w:color="auto" w:fill="F9F9FB"/>
            <w:vAlign w:val="center"/>
          </w:tcPr>
          <w:p w14:paraId="476A72E3"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r>
      <w:tr w:rsidR="00BF498B" w:rsidRPr="005379BE" w14:paraId="301CE94A" w14:textId="77777777" w:rsidTr="00EE65AB">
        <w:trPr>
          <w:cantSplit/>
        </w:trPr>
        <w:tc>
          <w:tcPr>
            <w:tcW w:w="7965" w:type="dxa"/>
            <w:gridSpan w:val="7"/>
            <w:tcBorders>
              <w:top w:val="nil"/>
              <w:left w:val="nil"/>
              <w:bottom w:val="nil"/>
              <w:right w:val="nil"/>
            </w:tcBorders>
            <w:shd w:val="clear" w:color="auto" w:fill="FFFFFF"/>
          </w:tcPr>
          <w:p w14:paraId="267D4DC3" w14:textId="0ABF1CB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a. Dependent Variable: </w:t>
            </w:r>
            <w:r w:rsidR="0050140D" w:rsidRPr="005379BE">
              <w:rPr>
                <w:rFonts w:ascii="Times New Roman" w:hAnsi="Times New Roman" w:cs="Times New Roman"/>
                <w:color w:val="010205"/>
                <w:sz w:val="24"/>
                <w:szCs w:val="24"/>
              </w:rPr>
              <w:t>F</w:t>
            </w:r>
            <w:r w:rsidRPr="005379BE">
              <w:rPr>
                <w:rFonts w:ascii="Times New Roman" w:hAnsi="Times New Roman" w:cs="Times New Roman"/>
                <w:color w:val="010205"/>
                <w:sz w:val="24"/>
                <w:szCs w:val="24"/>
              </w:rPr>
              <w:t>P</w:t>
            </w:r>
          </w:p>
        </w:tc>
      </w:tr>
      <w:tr w:rsidR="00BF498B" w:rsidRPr="005379BE" w14:paraId="72D452AD" w14:textId="77777777" w:rsidTr="00EE65AB">
        <w:trPr>
          <w:cantSplit/>
        </w:trPr>
        <w:tc>
          <w:tcPr>
            <w:tcW w:w="7965" w:type="dxa"/>
            <w:gridSpan w:val="7"/>
            <w:tcBorders>
              <w:top w:val="nil"/>
              <w:left w:val="nil"/>
              <w:bottom w:val="nil"/>
              <w:right w:val="nil"/>
            </w:tcBorders>
            <w:shd w:val="clear" w:color="auto" w:fill="FFFFFF"/>
          </w:tcPr>
          <w:p w14:paraId="602E7F3E" w14:textId="1EF49B45"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b. Predictors: (Constant), </w:t>
            </w:r>
            <w:r w:rsidR="0050140D" w:rsidRPr="005379BE">
              <w:rPr>
                <w:rFonts w:ascii="Times New Roman" w:hAnsi="Times New Roman" w:cs="Times New Roman"/>
                <w:color w:val="010205"/>
                <w:sz w:val="24"/>
                <w:szCs w:val="24"/>
              </w:rPr>
              <w:t>ACSS</w:t>
            </w:r>
          </w:p>
        </w:tc>
      </w:tr>
    </w:tbl>
    <w:p w14:paraId="567498EE"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sz w:val="24"/>
          <w:szCs w:val="24"/>
        </w:rPr>
      </w:pPr>
    </w:p>
    <w:p w14:paraId="719E6F3B" w14:textId="0C6163CE" w:rsidR="00BF498B" w:rsidRPr="005379BE" w:rsidRDefault="0050140D" w:rsidP="00600812">
      <w:pPr>
        <w:autoSpaceDE w:val="0"/>
        <w:autoSpaceDN w:val="0"/>
        <w:adjustRightInd w:val="0"/>
        <w:spacing w:after="0" w:line="400" w:lineRule="atLeast"/>
        <w:jc w:val="both"/>
        <w:rPr>
          <w:rFonts w:ascii="Times New Roman" w:hAnsi="Times New Roman" w:cs="Times New Roman"/>
          <w:sz w:val="24"/>
          <w:szCs w:val="24"/>
        </w:rPr>
      </w:pPr>
      <w:r w:rsidRPr="005379BE">
        <w:rPr>
          <w:rFonts w:ascii="Times New Roman" w:hAnsi="Times New Roman" w:cs="Times New Roman"/>
          <w:sz w:val="24"/>
          <w:szCs w:val="24"/>
        </w:rPr>
        <w:t xml:space="preserve">The ANOVA results revealed a highly significant relationship between Automated Credit Scoring Systems (ACSS) and the financial performance (FP) of Deposit Money Banks (DMBs) in </w:t>
      </w:r>
      <w:r w:rsidR="008C74D4">
        <w:rPr>
          <w:rFonts w:ascii="Times New Roman" w:hAnsi="Times New Roman" w:cs="Times New Roman"/>
          <w:sz w:val="24"/>
          <w:szCs w:val="24"/>
        </w:rPr>
        <w:t xml:space="preserve">Abuja, </w:t>
      </w:r>
      <w:r w:rsidRPr="005379BE">
        <w:rPr>
          <w:rFonts w:ascii="Times New Roman" w:hAnsi="Times New Roman" w:cs="Times New Roman"/>
          <w:sz w:val="24"/>
          <w:szCs w:val="24"/>
        </w:rPr>
        <w:t>Nigeria. The regression model explains a substantial portion of the variance, with a Sum of Squares of 36.563 and an F-value of 275.580, accompanied by a p-value of .000, indicating strong statistical significance. This outcome rejects the null hypothesis (HO1), demonstrating that the implementation of ACSS positively and significantly impacts the financial performance of DMBs.</w:t>
      </w:r>
    </w:p>
    <w:p w14:paraId="57B35D85" w14:textId="77777777" w:rsidR="0050140D" w:rsidRPr="005379BE" w:rsidRDefault="0050140D" w:rsidP="00600812">
      <w:pPr>
        <w:autoSpaceDE w:val="0"/>
        <w:autoSpaceDN w:val="0"/>
        <w:adjustRightInd w:val="0"/>
        <w:spacing w:after="0" w:line="400" w:lineRule="atLeast"/>
        <w:jc w:val="both"/>
        <w:rPr>
          <w:rFonts w:ascii="Times New Roman" w:hAnsi="Times New Roman" w:cs="Times New Roman"/>
          <w:sz w:val="24"/>
          <w:szCs w:val="24"/>
        </w:rPr>
      </w:pPr>
    </w:p>
    <w:tbl>
      <w:tblPr>
        <w:tblW w:w="8092" w:type="dxa"/>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BF498B" w:rsidRPr="005379BE" w14:paraId="2BB8BF2C" w14:textId="77777777" w:rsidTr="00EE65AB">
        <w:trPr>
          <w:cantSplit/>
        </w:trPr>
        <w:tc>
          <w:tcPr>
            <w:tcW w:w="8087" w:type="dxa"/>
            <w:gridSpan w:val="7"/>
            <w:tcBorders>
              <w:top w:val="nil"/>
              <w:left w:val="nil"/>
              <w:bottom w:val="nil"/>
              <w:right w:val="nil"/>
            </w:tcBorders>
            <w:shd w:val="clear" w:color="auto" w:fill="FFFFFF"/>
            <w:vAlign w:val="center"/>
          </w:tcPr>
          <w:p w14:paraId="661E192D"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b/>
                <w:bCs/>
                <w:color w:val="010205"/>
                <w:sz w:val="24"/>
                <w:szCs w:val="24"/>
              </w:rPr>
              <w:t>Coefficients</w:t>
            </w:r>
            <w:r w:rsidRPr="005379BE">
              <w:rPr>
                <w:rFonts w:ascii="Times New Roman" w:hAnsi="Times New Roman" w:cs="Times New Roman"/>
                <w:b/>
                <w:bCs/>
                <w:color w:val="010205"/>
                <w:sz w:val="24"/>
                <w:szCs w:val="24"/>
                <w:vertAlign w:val="superscript"/>
              </w:rPr>
              <w:t>a</w:t>
            </w:r>
          </w:p>
        </w:tc>
      </w:tr>
      <w:tr w:rsidR="00BF498B" w:rsidRPr="005379BE" w14:paraId="1AF71701" w14:textId="77777777" w:rsidTr="00EE65AB">
        <w:trPr>
          <w:cantSplit/>
        </w:trPr>
        <w:tc>
          <w:tcPr>
            <w:tcW w:w="1911" w:type="dxa"/>
            <w:gridSpan w:val="2"/>
            <w:vMerge w:val="restart"/>
            <w:tcBorders>
              <w:top w:val="nil"/>
              <w:left w:val="nil"/>
              <w:bottom w:val="nil"/>
              <w:right w:val="nil"/>
            </w:tcBorders>
            <w:shd w:val="clear" w:color="auto" w:fill="FFFFFF"/>
            <w:vAlign w:val="bottom"/>
          </w:tcPr>
          <w:p w14:paraId="698ABD1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Model</w:t>
            </w:r>
          </w:p>
        </w:tc>
        <w:tc>
          <w:tcPr>
            <w:tcW w:w="2660" w:type="dxa"/>
            <w:gridSpan w:val="2"/>
            <w:tcBorders>
              <w:top w:val="nil"/>
              <w:left w:val="nil"/>
              <w:bottom w:val="nil"/>
              <w:right w:val="single" w:sz="8" w:space="0" w:color="E0E0E0"/>
            </w:tcBorders>
            <w:shd w:val="clear" w:color="auto" w:fill="FFFFFF"/>
            <w:vAlign w:val="bottom"/>
          </w:tcPr>
          <w:p w14:paraId="0A843D53"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0E314E34"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1491EB7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t</w:t>
            </w:r>
          </w:p>
        </w:tc>
        <w:tc>
          <w:tcPr>
            <w:tcW w:w="1024" w:type="dxa"/>
            <w:vMerge w:val="restart"/>
            <w:tcBorders>
              <w:top w:val="nil"/>
              <w:left w:val="single" w:sz="8" w:space="0" w:color="E0E0E0"/>
              <w:bottom w:val="nil"/>
              <w:right w:val="nil"/>
            </w:tcBorders>
            <w:shd w:val="clear" w:color="auto" w:fill="FFFFFF"/>
            <w:vAlign w:val="bottom"/>
          </w:tcPr>
          <w:p w14:paraId="3D0243FD"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Sig.</w:t>
            </w:r>
          </w:p>
        </w:tc>
      </w:tr>
      <w:tr w:rsidR="00BF498B" w:rsidRPr="005379BE" w14:paraId="4866D900" w14:textId="77777777" w:rsidTr="00EE65AB">
        <w:trPr>
          <w:cantSplit/>
        </w:trPr>
        <w:tc>
          <w:tcPr>
            <w:tcW w:w="1911" w:type="dxa"/>
            <w:gridSpan w:val="2"/>
            <w:vMerge/>
            <w:tcBorders>
              <w:top w:val="nil"/>
              <w:left w:val="nil"/>
              <w:bottom w:val="nil"/>
              <w:right w:val="nil"/>
            </w:tcBorders>
            <w:shd w:val="clear" w:color="auto" w:fill="FFFFFF"/>
            <w:vAlign w:val="bottom"/>
          </w:tcPr>
          <w:p w14:paraId="143A4FE4"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264A60"/>
                <w:sz w:val="24"/>
                <w:szCs w:val="24"/>
              </w:rPr>
            </w:pPr>
          </w:p>
        </w:tc>
        <w:tc>
          <w:tcPr>
            <w:tcW w:w="1330" w:type="dxa"/>
            <w:tcBorders>
              <w:top w:val="nil"/>
              <w:left w:val="nil"/>
              <w:bottom w:val="single" w:sz="8" w:space="0" w:color="152935"/>
              <w:right w:val="single" w:sz="8" w:space="0" w:color="E0E0E0"/>
            </w:tcBorders>
            <w:shd w:val="clear" w:color="auto" w:fill="FFFFFF"/>
            <w:vAlign w:val="bottom"/>
          </w:tcPr>
          <w:p w14:paraId="1C179F1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513F173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7C6A54F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Beta</w:t>
            </w:r>
          </w:p>
        </w:tc>
        <w:tc>
          <w:tcPr>
            <w:tcW w:w="1024" w:type="dxa"/>
            <w:vMerge/>
            <w:tcBorders>
              <w:top w:val="nil"/>
              <w:left w:val="single" w:sz="8" w:space="0" w:color="E0E0E0"/>
              <w:bottom w:val="nil"/>
              <w:right w:val="single" w:sz="8" w:space="0" w:color="E0E0E0"/>
            </w:tcBorders>
            <w:shd w:val="clear" w:color="auto" w:fill="FFFFFF"/>
            <w:vAlign w:val="bottom"/>
          </w:tcPr>
          <w:p w14:paraId="164BA76F"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264A60"/>
                <w:sz w:val="24"/>
                <w:szCs w:val="24"/>
              </w:rPr>
            </w:pPr>
          </w:p>
        </w:tc>
        <w:tc>
          <w:tcPr>
            <w:tcW w:w="1024" w:type="dxa"/>
            <w:vMerge/>
            <w:tcBorders>
              <w:top w:val="nil"/>
              <w:left w:val="single" w:sz="8" w:space="0" w:color="E0E0E0"/>
              <w:bottom w:val="nil"/>
              <w:right w:val="nil"/>
            </w:tcBorders>
            <w:shd w:val="clear" w:color="auto" w:fill="FFFFFF"/>
            <w:vAlign w:val="bottom"/>
          </w:tcPr>
          <w:p w14:paraId="6F631D45"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264A60"/>
                <w:sz w:val="24"/>
                <w:szCs w:val="24"/>
              </w:rPr>
            </w:pPr>
          </w:p>
        </w:tc>
      </w:tr>
      <w:tr w:rsidR="00BF498B" w:rsidRPr="005379BE" w14:paraId="71E14F46" w14:textId="77777777" w:rsidTr="00EE65AB">
        <w:trPr>
          <w:cantSplit/>
        </w:trPr>
        <w:tc>
          <w:tcPr>
            <w:tcW w:w="734" w:type="dxa"/>
            <w:vMerge w:val="restart"/>
            <w:tcBorders>
              <w:top w:val="single" w:sz="8" w:space="0" w:color="152935"/>
              <w:left w:val="nil"/>
              <w:bottom w:val="single" w:sz="8" w:space="0" w:color="152935"/>
              <w:right w:val="nil"/>
            </w:tcBorders>
            <w:shd w:val="clear" w:color="auto" w:fill="E0E0E0"/>
          </w:tcPr>
          <w:p w14:paraId="2C9FB56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1</w:t>
            </w:r>
          </w:p>
        </w:tc>
        <w:tc>
          <w:tcPr>
            <w:tcW w:w="1177" w:type="dxa"/>
            <w:tcBorders>
              <w:top w:val="single" w:sz="8" w:space="0" w:color="152935"/>
              <w:left w:val="nil"/>
              <w:bottom w:val="single" w:sz="8" w:space="0" w:color="AEAEAE"/>
              <w:right w:val="nil"/>
            </w:tcBorders>
            <w:shd w:val="clear" w:color="auto" w:fill="E0E0E0"/>
          </w:tcPr>
          <w:p w14:paraId="06003467"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(Constant)</w:t>
            </w:r>
          </w:p>
        </w:tc>
        <w:tc>
          <w:tcPr>
            <w:tcW w:w="1330" w:type="dxa"/>
            <w:tcBorders>
              <w:top w:val="single" w:sz="8" w:space="0" w:color="152935"/>
              <w:left w:val="nil"/>
              <w:bottom w:val="single" w:sz="8" w:space="0" w:color="AEAEAE"/>
              <w:right w:val="single" w:sz="8" w:space="0" w:color="E0E0E0"/>
            </w:tcBorders>
            <w:shd w:val="clear" w:color="auto" w:fill="F9F9FB"/>
          </w:tcPr>
          <w:p w14:paraId="50E6F50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1.478</w:t>
            </w:r>
          </w:p>
        </w:tc>
        <w:tc>
          <w:tcPr>
            <w:tcW w:w="1330" w:type="dxa"/>
            <w:tcBorders>
              <w:top w:val="single" w:sz="8" w:space="0" w:color="152935"/>
              <w:left w:val="single" w:sz="8" w:space="0" w:color="E0E0E0"/>
              <w:bottom w:val="single" w:sz="8" w:space="0" w:color="AEAEAE"/>
              <w:right w:val="single" w:sz="8" w:space="0" w:color="E0E0E0"/>
            </w:tcBorders>
            <w:shd w:val="clear" w:color="auto" w:fill="F9F9FB"/>
          </w:tcPr>
          <w:p w14:paraId="47542FA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.155</w:t>
            </w:r>
          </w:p>
        </w:tc>
        <w:tc>
          <w:tcPr>
            <w:tcW w:w="146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3B495B3"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41DFB5D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9.533</w:t>
            </w:r>
          </w:p>
        </w:tc>
        <w:tc>
          <w:tcPr>
            <w:tcW w:w="1024" w:type="dxa"/>
            <w:tcBorders>
              <w:top w:val="single" w:sz="8" w:space="0" w:color="152935"/>
              <w:left w:val="single" w:sz="8" w:space="0" w:color="E0E0E0"/>
              <w:bottom w:val="single" w:sz="8" w:space="0" w:color="AEAEAE"/>
              <w:right w:val="nil"/>
            </w:tcBorders>
            <w:shd w:val="clear" w:color="auto" w:fill="F9F9FB"/>
          </w:tcPr>
          <w:p w14:paraId="3E4ED8D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.000</w:t>
            </w:r>
          </w:p>
        </w:tc>
      </w:tr>
      <w:tr w:rsidR="00BF498B" w:rsidRPr="005379BE" w14:paraId="5BC0DCFB" w14:textId="77777777" w:rsidTr="00EE65AB">
        <w:trPr>
          <w:cantSplit/>
        </w:trPr>
        <w:tc>
          <w:tcPr>
            <w:tcW w:w="734" w:type="dxa"/>
            <w:vMerge/>
            <w:tcBorders>
              <w:top w:val="single" w:sz="8" w:space="0" w:color="152935"/>
              <w:left w:val="nil"/>
              <w:bottom w:val="single" w:sz="8" w:space="0" w:color="152935"/>
              <w:right w:val="nil"/>
            </w:tcBorders>
            <w:shd w:val="clear" w:color="auto" w:fill="E0E0E0"/>
          </w:tcPr>
          <w:p w14:paraId="6BAB1FD9"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010205"/>
                <w:sz w:val="24"/>
                <w:szCs w:val="24"/>
              </w:rPr>
            </w:pPr>
          </w:p>
        </w:tc>
        <w:tc>
          <w:tcPr>
            <w:tcW w:w="1177" w:type="dxa"/>
            <w:tcBorders>
              <w:top w:val="single" w:sz="8" w:space="0" w:color="AEAEAE"/>
              <w:left w:val="nil"/>
              <w:bottom w:val="single" w:sz="8" w:space="0" w:color="152935"/>
              <w:right w:val="nil"/>
            </w:tcBorders>
            <w:shd w:val="clear" w:color="auto" w:fill="E0E0E0"/>
          </w:tcPr>
          <w:p w14:paraId="1EF1A592" w14:textId="65374EAF" w:rsidR="00BF498B" w:rsidRPr="005379BE" w:rsidRDefault="0050140D"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ACSS</w:t>
            </w:r>
          </w:p>
        </w:tc>
        <w:tc>
          <w:tcPr>
            <w:tcW w:w="1330" w:type="dxa"/>
            <w:tcBorders>
              <w:top w:val="single" w:sz="8" w:space="0" w:color="AEAEAE"/>
              <w:left w:val="nil"/>
              <w:bottom w:val="single" w:sz="8" w:space="0" w:color="152935"/>
              <w:right w:val="single" w:sz="8" w:space="0" w:color="E0E0E0"/>
            </w:tcBorders>
            <w:shd w:val="clear" w:color="auto" w:fill="F9F9FB"/>
          </w:tcPr>
          <w:p w14:paraId="37698E8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.651</w:t>
            </w:r>
          </w:p>
        </w:tc>
        <w:tc>
          <w:tcPr>
            <w:tcW w:w="1330" w:type="dxa"/>
            <w:tcBorders>
              <w:top w:val="single" w:sz="8" w:space="0" w:color="AEAEAE"/>
              <w:left w:val="single" w:sz="8" w:space="0" w:color="E0E0E0"/>
              <w:bottom w:val="single" w:sz="8" w:space="0" w:color="152935"/>
              <w:right w:val="single" w:sz="8" w:space="0" w:color="E0E0E0"/>
            </w:tcBorders>
            <w:shd w:val="clear" w:color="auto" w:fill="F9F9FB"/>
          </w:tcPr>
          <w:p w14:paraId="678CDB1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.039</w:t>
            </w:r>
          </w:p>
        </w:tc>
        <w:tc>
          <w:tcPr>
            <w:tcW w:w="1468" w:type="dxa"/>
            <w:tcBorders>
              <w:top w:val="single" w:sz="8" w:space="0" w:color="AEAEAE"/>
              <w:left w:val="single" w:sz="8" w:space="0" w:color="E0E0E0"/>
              <w:bottom w:val="single" w:sz="8" w:space="0" w:color="152935"/>
              <w:right w:val="single" w:sz="8" w:space="0" w:color="E0E0E0"/>
            </w:tcBorders>
            <w:shd w:val="clear" w:color="auto" w:fill="F9F9FB"/>
          </w:tcPr>
          <w:p w14:paraId="21BE786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.713</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231D8F83"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16.601</w:t>
            </w:r>
          </w:p>
        </w:tc>
        <w:tc>
          <w:tcPr>
            <w:tcW w:w="1024" w:type="dxa"/>
            <w:tcBorders>
              <w:top w:val="single" w:sz="8" w:space="0" w:color="AEAEAE"/>
              <w:left w:val="single" w:sz="8" w:space="0" w:color="E0E0E0"/>
              <w:bottom w:val="single" w:sz="8" w:space="0" w:color="152935"/>
              <w:right w:val="nil"/>
            </w:tcBorders>
            <w:shd w:val="clear" w:color="auto" w:fill="F9F9FB"/>
          </w:tcPr>
          <w:p w14:paraId="40175FB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.000</w:t>
            </w:r>
          </w:p>
        </w:tc>
      </w:tr>
      <w:tr w:rsidR="00BF498B" w:rsidRPr="005379BE" w14:paraId="0B24EC03" w14:textId="77777777" w:rsidTr="00EE65AB">
        <w:trPr>
          <w:cantSplit/>
        </w:trPr>
        <w:tc>
          <w:tcPr>
            <w:tcW w:w="8087" w:type="dxa"/>
            <w:gridSpan w:val="7"/>
            <w:tcBorders>
              <w:top w:val="nil"/>
              <w:left w:val="nil"/>
              <w:bottom w:val="nil"/>
              <w:right w:val="nil"/>
            </w:tcBorders>
            <w:shd w:val="clear" w:color="auto" w:fill="FFFFFF"/>
          </w:tcPr>
          <w:p w14:paraId="10EA64AD" w14:textId="48502912"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a. Dependent Variable: </w:t>
            </w:r>
            <w:r w:rsidR="0050140D" w:rsidRPr="005379BE">
              <w:rPr>
                <w:rFonts w:ascii="Times New Roman" w:hAnsi="Times New Roman" w:cs="Times New Roman"/>
                <w:color w:val="010205"/>
                <w:sz w:val="24"/>
                <w:szCs w:val="24"/>
              </w:rPr>
              <w:t>F</w:t>
            </w:r>
            <w:r w:rsidRPr="005379BE">
              <w:rPr>
                <w:rFonts w:ascii="Times New Roman" w:hAnsi="Times New Roman" w:cs="Times New Roman"/>
                <w:color w:val="010205"/>
                <w:sz w:val="24"/>
                <w:szCs w:val="24"/>
              </w:rPr>
              <w:t>P</w:t>
            </w:r>
          </w:p>
        </w:tc>
      </w:tr>
    </w:tbl>
    <w:p w14:paraId="6A0F1E0B" w14:textId="578BCB25" w:rsidR="0050140D" w:rsidRPr="005379BE" w:rsidRDefault="0050140D"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 xml:space="preserve">The analysis of the coefficients for HO1 reveals that Automated Credit Scoring Systems (ACSS) significantly influence the financial performance (FP) of deposit money banks in </w:t>
      </w:r>
      <w:r w:rsidR="008C74D4">
        <w:rPr>
          <w:rFonts w:ascii="Times New Roman" w:eastAsia="Times New Roman" w:hAnsi="Times New Roman" w:cs="Times New Roman"/>
          <w:sz w:val="24"/>
          <w:szCs w:val="24"/>
        </w:rPr>
        <w:t xml:space="preserve">Abuja, </w:t>
      </w:r>
      <w:r w:rsidRPr="005379BE">
        <w:rPr>
          <w:rFonts w:ascii="Times New Roman" w:eastAsia="Times New Roman" w:hAnsi="Times New Roman" w:cs="Times New Roman"/>
          <w:sz w:val="24"/>
          <w:szCs w:val="24"/>
        </w:rPr>
        <w:t xml:space="preserve">Nigeria. The unstandardized coefficient (B = 0.651, p = 0.000) indicates a strong positive effect, meaning that improvements in ACSS are associated with substantial increases in FP. The standardized </w:t>
      </w:r>
      <w:r w:rsidRPr="005379BE">
        <w:rPr>
          <w:rFonts w:ascii="Times New Roman" w:eastAsia="Times New Roman" w:hAnsi="Times New Roman" w:cs="Times New Roman"/>
          <w:sz w:val="24"/>
          <w:szCs w:val="24"/>
        </w:rPr>
        <w:lastRenderedPageBreak/>
        <w:t>beta (β = 0.713) further confirms that ACSS is a dominant predictor of financial outcomes, while the t-value (16.601) underscores the reliability and statistical significance of this relationship, rejecting the null hypothesis.</w:t>
      </w:r>
    </w:p>
    <w:p w14:paraId="33EFC994" w14:textId="77777777" w:rsidR="00BF498B" w:rsidRPr="005379BE" w:rsidRDefault="00BF498B" w:rsidP="00600812">
      <w:pPr>
        <w:autoSpaceDE w:val="0"/>
        <w:autoSpaceDN w:val="0"/>
        <w:adjustRightInd w:val="0"/>
        <w:spacing w:after="0" w:line="480" w:lineRule="auto"/>
        <w:jc w:val="both"/>
        <w:rPr>
          <w:rFonts w:ascii="Times New Roman" w:hAnsi="Times New Roman" w:cs="Times New Roman"/>
          <w:sz w:val="24"/>
          <w:szCs w:val="24"/>
        </w:rPr>
      </w:pPr>
    </w:p>
    <w:p w14:paraId="1114F71A" w14:textId="089E888B" w:rsidR="00BF498B" w:rsidRPr="005379BE" w:rsidRDefault="00BF498B" w:rsidP="00600812">
      <w:pPr>
        <w:autoSpaceDE w:val="0"/>
        <w:autoSpaceDN w:val="0"/>
        <w:adjustRightInd w:val="0"/>
        <w:spacing w:after="0" w:line="480" w:lineRule="auto"/>
        <w:jc w:val="both"/>
        <w:rPr>
          <w:rFonts w:ascii="Times New Roman" w:hAnsi="Times New Roman" w:cs="Times New Roman"/>
          <w:b/>
          <w:bCs/>
          <w:kern w:val="2"/>
          <w:sz w:val="24"/>
          <w:szCs w:val="24"/>
        </w:rPr>
      </w:pPr>
      <w:r w:rsidRPr="005379BE">
        <w:rPr>
          <w:rFonts w:ascii="Times New Roman" w:hAnsi="Times New Roman" w:cs="Times New Roman"/>
          <w:b/>
          <w:sz w:val="24"/>
          <w:szCs w:val="24"/>
        </w:rPr>
        <w:t>Testing of hypothesis Two</w:t>
      </w:r>
    </w:p>
    <w:p w14:paraId="288A2234" w14:textId="77777777" w:rsidR="00BF498B" w:rsidRPr="005379BE" w:rsidRDefault="00BF498B" w:rsidP="00600812">
      <w:pPr>
        <w:pStyle w:val="Heading3"/>
        <w:jc w:val="both"/>
        <w:rPr>
          <w:color w:val="000000" w:themeColor="text1"/>
          <w:sz w:val="24"/>
          <w:szCs w:val="24"/>
          <w:lang w:val="en-GB"/>
        </w:rPr>
      </w:pPr>
      <w:r w:rsidRPr="005379BE">
        <w:rPr>
          <w:color w:val="000000" w:themeColor="text1"/>
          <w:sz w:val="24"/>
          <w:szCs w:val="24"/>
          <w:lang w:val="en-GB"/>
        </w:rPr>
        <w:t>HO</w:t>
      </w:r>
      <w:r w:rsidRPr="005379BE">
        <w:rPr>
          <w:color w:val="000000" w:themeColor="text1"/>
          <w:sz w:val="24"/>
          <w:szCs w:val="24"/>
          <w:vertAlign w:val="subscript"/>
          <w:lang w:val="en-GB"/>
        </w:rPr>
        <w:t>2</w:t>
      </w:r>
      <w:r w:rsidRPr="005379BE">
        <w:rPr>
          <w:color w:val="000000" w:themeColor="text1"/>
          <w:sz w:val="24"/>
          <w:szCs w:val="24"/>
          <w:lang w:val="en-GB"/>
        </w:rPr>
        <w:t xml:space="preserve">: </w:t>
      </w:r>
      <w:r w:rsidRPr="005379BE">
        <w:rPr>
          <w:b w:val="0"/>
          <w:bCs w:val="0"/>
          <w:sz w:val="24"/>
          <w:szCs w:val="24"/>
          <w:lang w:val="en-GB"/>
        </w:rPr>
        <w:t>Predictive risk analytics has no effect on financial performance of DMB in Nigeria</w:t>
      </w:r>
      <w:r w:rsidRPr="005379BE">
        <w:rPr>
          <w:b w:val="0"/>
          <w:bCs w:val="0"/>
          <w:color w:val="000000" w:themeColor="text1"/>
          <w:sz w:val="24"/>
          <w:szCs w:val="24"/>
          <w:lang w:val="en-GB"/>
        </w:rPr>
        <w:t>.</w:t>
      </w:r>
      <w:r w:rsidRPr="005379BE">
        <w:rPr>
          <w:color w:val="000000" w:themeColor="text1"/>
          <w:sz w:val="24"/>
          <w:szCs w:val="24"/>
          <w:lang w:val="en-GB"/>
        </w:rPr>
        <w:t xml:space="preserve"> </w:t>
      </w:r>
    </w:p>
    <w:p w14:paraId="175E2AF5" w14:textId="77777777" w:rsidR="00BF498B" w:rsidRPr="005379BE" w:rsidRDefault="00BF498B" w:rsidP="00600812">
      <w:pPr>
        <w:autoSpaceDE w:val="0"/>
        <w:autoSpaceDN w:val="0"/>
        <w:adjustRightInd w:val="0"/>
        <w:spacing w:line="480" w:lineRule="auto"/>
        <w:jc w:val="both"/>
        <w:rPr>
          <w:rFonts w:ascii="Times New Roman" w:hAnsi="Times New Roman" w:cs="Times New Roman"/>
          <w:b/>
          <w:bCs/>
          <w:color w:val="000000"/>
          <w:sz w:val="24"/>
          <w:szCs w:val="24"/>
        </w:rPr>
      </w:pPr>
      <w:r w:rsidRPr="005379BE">
        <w:rPr>
          <w:rFonts w:ascii="Times New Roman" w:hAnsi="Times New Roman" w:cs="Times New Roman"/>
          <w:b/>
          <w:bCs/>
          <w:color w:val="000000"/>
          <w:sz w:val="24"/>
          <w:szCs w:val="24"/>
        </w:rPr>
        <w:t>Model 2</w:t>
      </w:r>
    </w:p>
    <w:p w14:paraId="12A2A896" w14:textId="3F7D09FD" w:rsidR="00BF498B" w:rsidRPr="005379BE" w:rsidRDefault="00BF498B" w:rsidP="00600812">
      <w:pPr>
        <w:pStyle w:val="NormalWeb"/>
        <w:jc w:val="both"/>
        <w:rPr>
          <w:lang w:val="en-GB"/>
        </w:rPr>
      </w:pPr>
      <w:r w:rsidRPr="005379BE">
        <w:rPr>
          <w:b/>
          <w:bCs/>
          <w:lang w:val="en-GB"/>
        </w:rPr>
        <w:t>HO2</w:t>
      </w:r>
      <w:r w:rsidRPr="005379BE">
        <w:rPr>
          <w:lang w:val="en-GB"/>
        </w:rPr>
        <w:t xml:space="preserve">: </w:t>
      </w:r>
      <w:r w:rsidR="008A4259" w:rsidRPr="005379BE">
        <w:rPr>
          <w:lang w:val="en-GB"/>
        </w:rPr>
        <w:t>F</w:t>
      </w:r>
      <w:r w:rsidRPr="005379BE">
        <w:rPr>
          <w:lang w:val="en-GB"/>
        </w:rPr>
        <w:t>P=β0+ β</w:t>
      </w:r>
      <w:r w:rsidRPr="005379BE">
        <w:rPr>
          <w:vertAlign w:val="subscript"/>
          <w:lang w:val="en-GB"/>
        </w:rPr>
        <w:t>2</w:t>
      </w:r>
      <w:r w:rsidR="008A4259" w:rsidRPr="005379BE">
        <w:rPr>
          <w:lang w:val="en-GB"/>
        </w:rPr>
        <w:t>PRA</w:t>
      </w:r>
      <w:r w:rsidRPr="005379BE">
        <w:rPr>
          <w:vertAlign w:val="subscript"/>
          <w:lang w:val="en-GB"/>
        </w:rPr>
        <w:t>​2</w:t>
      </w:r>
      <w:r w:rsidRPr="005379BE">
        <w:rPr>
          <w:lang w:val="en-GB"/>
        </w:rPr>
        <w:t xml:space="preserve">+ε   </w:t>
      </w:r>
    </w:p>
    <w:tbl>
      <w:tblPr>
        <w:tblW w:w="5843" w:type="dxa"/>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F498B" w:rsidRPr="005379BE" w14:paraId="415C4622" w14:textId="77777777" w:rsidTr="00EE65AB">
        <w:trPr>
          <w:cantSplit/>
        </w:trPr>
        <w:tc>
          <w:tcPr>
            <w:tcW w:w="5841" w:type="dxa"/>
            <w:gridSpan w:val="5"/>
            <w:tcBorders>
              <w:top w:val="nil"/>
              <w:left w:val="nil"/>
              <w:bottom w:val="nil"/>
              <w:right w:val="nil"/>
            </w:tcBorders>
            <w:shd w:val="clear" w:color="auto" w:fill="FFFFFF"/>
            <w:vAlign w:val="center"/>
          </w:tcPr>
          <w:p w14:paraId="052A431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b/>
                <w:bCs/>
                <w:color w:val="010205"/>
                <w:sz w:val="24"/>
                <w:szCs w:val="24"/>
              </w:rPr>
              <w:t>Model Summary</w:t>
            </w:r>
          </w:p>
        </w:tc>
      </w:tr>
      <w:tr w:rsidR="00BF498B" w:rsidRPr="005379BE" w14:paraId="50C5584B" w14:textId="77777777" w:rsidTr="00EE65AB">
        <w:trPr>
          <w:cantSplit/>
        </w:trPr>
        <w:tc>
          <w:tcPr>
            <w:tcW w:w="795" w:type="dxa"/>
            <w:tcBorders>
              <w:top w:val="nil"/>
              <w:left w:val="nil"/>
              <w:bottom w:val="single" w:sz="8" w:space="0" w:color="152935"/>
              <w:right w:val="nil"/>
            </w:tcBorders>
            <w:shd w:val="clear" w:color="auto" w:fill="FFFFFF"/>
            <w:vAlign w:val="bottom"/>
          </w:tcPr>
          <w:p w14:paraId="0BFB677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Model</w:t>
            </w:r>
          </w:p>
        </w:tc>
        <w:tc>
          <w:tcPr>
            <w:tcW w:w="1024" w:type="dxa"/>
            <w:tcBorders>
              <w:top w:val="nil"/>
              <w:left w:val="nil"/>
              <w:bottom w:val="single" w:sz="8" w:space="0" w:color="152935"/>
              <w:right w:val="single" w:sz="8" w:space="0" w:color="E0E0E0"/>
            </w:tcBorders>
            <w:shd w:val="clear" w:color="auto" w:fill="FFFFFF"/>
            <w:vAlign w:val="bottom"/>
          </w:tcPr>
          <w:p w14:paraId="46BCDCE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56745FBD"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4989C83A"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Adjusted R Square</w:t>
            </w:r>
          </w:p>
        </w:tc>
        <w:tc>
          <w:tcPr>
            <w:tcW w:w="1468" w:type="dxa"/>
            <w:tcBorders>
              <w:top w:val="nil"/>
              <w:left w:val="single" w:sz="8" w:space="0" w:color="E0E0E0"/>
              <w:bottom w:val="single" w:sz="8" w:space="0" w:color="152935"/>
              <w:right w:val="nil"/>
            </w:tcBorders>
            <w:shd w:val="clear" w:color="auto" w:fill="FFFFFF"/>
            <w:vAlign w:val="bottom"/>
          </w:tcPr>
          <w:p w14:paraId="45D3287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Std. Error of the Estimate</w:t>
            </w:r>
          </w:p>
        </w:tc>
      </w:tr>
      <w:tr w:rsidR="00BF498B" w:rsidRPr="005379BE" w14:paraId="44F65D35" w14:textId="77777777" w:rsidTr="00EE65AB">
        <w:trPr>
          <w:cantSplit/>
        </w:trPr>
        <w:tc>
          <w:tcPr>
            <w:tcW w:w="795" w:type="dxa"/>
            <w:tcBorders>
              <w:top w:val="single" w:sz="8" w:space="0" w:color="152935"/>
              <w:left w:val="nil"/>
              <w:bottom w:val="single" w:sz="8" w:space="0" w:color="152935"/>
              <w:right w:val="nil"/>
            </w:tcBorders>
            <w:shd w:val="clear" w:color="auto" w:fill="E0E0E0"/>
          </w:tcPr>
          <w:p w14:paraId="3DD90C03"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1</w:t>
            </w:r>
          </w:p>
        </w:tc>
        <w:tc>
          <w:tcPr>
            <w:tcW w:w="1024" w:type="dxa"/>
            <w:tcBorders>
              <w:top w:val="single" w:sz="8" w:space="0" w:color="152935"/>
              <w:left w:val="nil"/>
              <w:bottom w:val="single" w:sz="8" w:space="0" w:color="152935"/>
              <w:right w:val="single" w:sz="8" w:space="0" w:color="E0E0E0"/>
            </w:tcBorders>
            <w:shd w:val="clear" w:color="auto" w:fill="F9F9FB"/>
          </w:tcPr>
          <w:p w14:paraId="4AAEB5F7"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.775</w:t>
            </w:r>
            <w:r w:rsidRPr="005379BE">
              <w:rPr>
                <w:rFonts w:ascii="Times New Roman" w:hAnsi="Times New Roman" w:cs="Times New Roman"/>
                <w:color w:val="010205"/>
                <w:sz w:val="24"/>
                <w:szCs w:val="24"/>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9F9FB"/>
          </w:tcPr>
          <w:p w14:paraId="2B87ADA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.600</w:t>
            </w:r>
          </w:p>
        </w:tc>
        <w:tc>
          <w:tcPr>
            <w:tcW w:w="1468" w:type="dxa"/>
            <w:tcBorders>
              <w:top w:val="single" w:sz="8" w:space="0" w:color="152935"/>
              <w:left w:val="single" w:sz="8" w:space="0" w:color="E0E0E0"/>
              <w:bottom w:val="single" w:sz="8" w:space="0" w:color="152935"/>
              <w:right w:val="single" w:sz="8" w:space="0" w:color="E0E0E0"/>
            </w:tcBorders>
            <w:shd w:val="clear" w:color="auto" w:fill="F9F9FB"/>
          </w:tcPr>
          <w:p w14:paraId="0F1CDEB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.599</w:t>
            </w:r>
          </w:p>
        </w:tc>
        <w:tc>
          <w:tcPr>
            <w:tcW w:w="1468" w:type="dxa"/>
            <w:tcBorders>
              <w:top w:val="single" w:sz="8" w:space="0" w:color="152935"/>
              <w:left w:val="single" w:sz="8" w:space="0" w:color="E0E0E0"/>
              <w:bottom w:val="single" w:sz="8" w:space="0" w:color="152935"/>
              <w:right w:val="nil"/>
            </w:tcBorders>
            <w:shd w:val="clear" w:color="auto" w:fill="F9F9FB"/>
          </w:tcPr>
          <w:p w14:paraId="6198FB87"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.32504</w:t>
            </w:r>
          </w:p>
        </w:tc>
      </w:tr>
      <w:tr w:rsidR="00BF498B" w:rsidRPr="005379BE" w14:paraId="73E3825C" w14:textId="77777777" w:rsidTr="00EE65AB">
        <w:trPr>
          <w:cantSplit/>
        </w:trPr>
        <w:tc>
          <w:tcPr>
            <w:tcW w:w="5841" w:type="dxa"/>
            <w:gridSpan w:val="5"/>
            <w:tcBorders>
              <w:top w:val="nil"/>
              <w:left w:val="nil"/>
              <w:bottom w:val="nil"/>
              <w:right w:val="nil"/>
            </w:tcBorders>
            <w:shd w:val="clear" w:color="auto" w:fill="FFFFFF"/>
          </w:tcPr>
          <w:p w14:paraId="3A629B10" w14:textId="0B159456"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a. Predictors: (Constant), </w:t>
            </w:r>
            <w:r w:rsidR="008A4259" w:rsidRPr="005379BE">
              <w:rPr>
                <w:rFonts w:ascii="Times New Roman" w:hAnsi="Times New Roman" w:cs="Times New Roman"/>
                <w:color w:val="010205"/>
                <w:sz w:val="24"/>
                <w:szCs w:val="24"/>
              </w:rPr>
              <w:t>PRA</w:t>
            </w:r>
          </w:p>
        </w:tc>
      </w:tr>
    </w:tbl>
    <w:p w14:paraId="7A0D038C"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sz w:val="24"/>
          <w:szCs w:val="24"/>
        </w:rPr>
      </w:pPr>
    </w:p>
    <w:p w14:paraId="3966B12D" w14:textId="31CDB27A" w:rsidR="00BF498B" w:rsidRPr="005379BE" w:rsidRDefault="008A4259" w:rsidP="00600812">
      <w:pPr>
        <w:autoSpaceDE w:val="0"/>
        <w:autoSpaceDN w:val="0"/>
        <w:adjustRightInd w:val="0"/>
        <w:spacing w:after="0" w:line="400" w:lineRule="atLeast"/>
        <w:jc w:val="both"/>
        <w:rPr>
          <w:rFonts w:ascii="Times New Roman" w:hAnsi="Times New Roman" w:cs="Times New Roman"/>
          <w:sz w:val="24"/>
          <w:szCs w:val="24"/>
        </w:rPr>
      </w:pPr>
      <w:r w:rsidRPr="005379BE">
        <w:rPr>
          <w:rFonts w:ascii="Times New Roman" w:hAnsi="Times New Roman" w:cs="Times New Roman"/>
          <w:sz w:val="24"/>
          <w:szCs w:val="24"/>
        </w:rPr>
        <w:t xml:space="preserve">The analysis of Model 2 reveals that predictive risk analytics (PRA) substantially influences the financial performance (FP) of deposit money banks (DMBs) in </w:t>
      </w:r>
      <w:r w:rsidR="008C74D4">
        <w:rPr>
          <w:rFonts w:ascii="Times New Roman" w:hAnsi="Times New Roman" w:cs="Times New Roman"/>
          <w:sz w:val="24"/>
          <w:szCs w:val="24"/>
        </w:rPr>
        <w:t xml:space="preserve">Abuja, </w:t>
      </w:r>
      <w:r w:rsidRPr="005379BE">
        <w:rPr>
          <w:rFonts w:ascii="Times New Roman" w:hAnsi="Times New Roman" w:cs="Times New Roman"/>
          <w:sz w:val="24"/>
          <w:szCs w:val="24"/>
        </w:rPr>
        <w:t>Nigeria. With a correlation coefficient (R) of 0.775, the model indicates a strong positive relationship between PRA and FP, while the R² value of 0.600 shows that approximately 60% of variations in financial performance are explained by predictive risk analytics. The adjusted R² of 0.599 confirms the model’s robustness, and the low standard error of 0.32504 indicates precise estimations, suggesting PRA is a critical driver of financial outcomes.</w:t>
      </w:r>
    </w:p>
    <w:p w14:paraId="0119F759" w14:textId="77777777" w:rsidR="008A4259" w:rsidRPr="005379BE" w:rsidRDefault="008A4259" w:rsidP="00600812">
      <w:pPr>
        <w:autoSpaceDE w:val="0"/>
        <w:autoSpaceDN w:val="0"/>
        <w:adjustRightInd w:val="0"/>
        <w:spacing w:after="0" w:line="400" w:lineRule="atLeast"/>
        <w:jc w:val="both"/>
        <w:rPr>
          <w:rFonts w:ascii="Times New Roman" w:hAnsi="Times New Roman" w:cs="Times New Roman"/>
          <w:sz w:val="24"/>
          <w:szCs w:val="24"/>
        </w:rPr>
      </w:pP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BF498B" w:rsidRPr="005379BE" w14:paraId="48F98C2A" w14:textId="77777777" w:rsidTr="00EE65AB">
        <w:trPr>
          <w:cantSplit/>
        </w:trPr>
        <w:tc>
          <w:tcPr>
            <w:tcW w:w="7965" w:type="dxa"/>
            <w:gridSpan w:val="7"/>
            <w:tcBorders>
              <w:top w:val="nil"/>
              <w:left w:val="nil"/>
              <w:bottom w:val="nil"/>
              <w:right w:val="nil"/>
            </w:tcBorders>
            <w:shd w:val="clear" w:color="auto" w:fill="FFFFFF"/>
            <w:vAlign w:val="center"/>
          </w:tcPr>
          <w:p w14:paraId="33A7D740"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b/>
                <w:bCs/>
                <w:color w:val="010205"/>
                <w:sz w:val="24"/>
                <w:szCs w:val="24"/>
              </w:rPr>
              <w:t>ANOVA</w:t>
            </w:r>
            <w:r w:rsidRPr="005379BE">
              <w:rPr>
                <w:rFonts w:ascii="Times New Roman" w:hAnsi="Times New Roman" w:cs="Times New Roman"/>
                <w:b/>
                <w:bCs/>
                <w:color w:val="010205"/>
                <w:sz w:val="24"/>
                <w:szCs w:val="24"/>
                <w:vertAlign w:val="superscript"/>
              </w:rPr>
              <w:t>a</w:t>
            </w:r>
          </w:p>
        </w:tc>
      </w:tr>
      <w:tr w:rsidR="00BF498B" w:rsidRPr="005379BE" w14:paraId="5E337137" w14:textId="77777777" w:rsidTr="00EE65AB">
        <w:trPr>
          <w:cantSplit/>
        </w:trPr>
        <w:tc>
          <w:tcPr>
            <w:tcW w:w="2018" w:type="dxa"/>
            <w:gridSpan w:val="2"/>
            <w:tcBorders>
              <w:top w:val="nil"/>
              <w:left w:val="nil"/>
              <w:bottom w:val="single" w:sz="8" w:space="0" w:color="152935"/>
              <w:right w:val="nil"/>
            </w:tcBorders>
            <w:shd w:val="clear" w:color="auto" w:fill="FFFFFF"/>
            <w:vAlign w:val="bottom"/>
          </w:tcPr>
          <w:p w14:paraId="2882FFE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Model</w:t>
            </w:r>
          </w:p>
        </w:tc>
        <w:tc>
          <w:tcPr>
            <w:tcW w:w="1468" w:type="dxa"/>
            <w:tcBorders>
              <w:top w:val="nil"/>
              <w:left w:val="nil"/>
              <w:bottom w:val="single" w:sz="8" w:space="0" w:color="152935"/>
              <w:right w:val="single" w:sz="8" w:space="0" w:color="E0E0E0"/>
            </w:tcBorders>
            <w:shd w:val="clear" w:color="auto" w:fill="FFFFFF"/>
            <w:vAlign w:val="bottom"/>
          </w:tcPr>
          <w:p w14:paraId="449FEFD3"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6C0404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586DC5D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64BCD3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F</w:t>
            </w:r>
          </w:p>
        </w:tc>
        <w:tc>
          <w:tcPr>
            <w:tcW w:w="1024" w:type="dxa"/>
            <w:tcBorders>
              <w:top w:val="nil"/>
              <w:left w:val="single" w:sz="8" w:space="0" w:color="E0E0E0"/>
              <w:bottom w:val="single" w:sz="8" w:space="0" w:color="152935"/>
              <w:right w:val="nil"/>
            </w:tcBorders>
            <w:shd w:val="clear" w:color="auto" w:fill="FFFFFF"/>
            <w:vAlign w:val="bottom"/>
          </w:tcPr>
          <w:p w14:paraId="250C26A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Sig.</w:t>
            </w:r>
          </w:p>
        </w:tc>
      </w:tr>
      <w:tr w:rsidR="00BF498B" w:rsidRPr="005379BE" w14:paraId="2723D0DF" w14:textId="77777777" w:rsidTr="00EE65AB">
        <w:trPr>
          <w:cantSplit/>
        </w:trPr>
        <w:tc>
          <w:tcPr>
            <w:tcW w:w="734" w:type="dxa"/>
            <w:vMerge w:val="restart"/>
            <w:tcBorders>
              <w:top w:val="single" w:sz="8" w:space="0" w:color="152935"/>
              <w:left w:val="nil"/>
              <w:bottom w:val="single" w:sz="8" w:space="0" w:color="152935"/>
              <w:right w:val="nil"/>
            </w:tcBorders>
            <w:shd w:val="clear" w:color="auto" w:fill="E0E0E0"/>
          </w:tcPr>
          <w:p w14:paraId="768B2CA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1</w:t>
            </w:r>
          </w:p>
        </w:tc>
        <w:tc>
          <w:tcPr>
            <w:tcW w:w="1284" w:type="dxa"/>
            <w:tcBorders>
              <w:top w:val="single" w:sz="8" w:space="0" w:color="152935"/>
              <w:left w:val="nil"/>
              <w:bottom w:val="single" w:sz="8" w:space="0" w:color="AEAEAE"/>
              <w:right w:val="nil"/>
            </w:tcBorders>
            <w:shd w:val="clear" w:color="auto" w:fill="E0E0E0"/>
          </w:tcPr>
          <w:p w14:paraId="543E306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Regression</w:t>
            </w:r>
          </w:p>
        </w:tc>
        <w:tc>
          <w:tcPr>
            <w:tcW w:w="1468" w:type="dxa"/>
            <w:tcBorders>
              <w:top w:val="single" w:sz="8" w:space="0" w:color="152935"/>
              <w:left w:val="nil"/>
              <w:bottom w:val="single" w:sz="8" w:space="0" w:color="AEAEAE"/>
              <w:right w:val="single" w:sz="8" w:space="0" w:color="E0E0E0"/>
            </w:tcBorders>
            <w:shd w:val="clear" w:color="auto" w:fill="F9F9FB"/>
          </w:tcPr>
          <w:p w14:paraId="70D2EE59"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42.383</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670EC8D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9F9FB"/>
          </w:tcPr>
          <w:p w14:paraId="3D3C9BE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42.383</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5936C48A"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401.159</w:t>
            </w:r>
          </w:p>
        </w:tc>
        <w:tc>
          <w:tcPr>
            <w:tcW w:w="1024" w:type="dxa"/>
            <w:tcBorders>
              <w:top w:val="single" w:sz="8" w:space="0" w:color="152935"/>
              <w:left w:val="single" w:sz="8" w:space="0" w:color="E0E0E0"/>
              <w:bottom w:val="single" w:sz="8" w:space="0" w:color="AEAEAE"/>
              <w:right w:val="nil"/>
            </w:tcBorders>
            <w:shd w:val="clear" w:color="auto" w:fill="F9F9FB"/>
          </w:tcPr>
          <w:p w14:paraId="251EBC20"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.000</w:t>
            </w:r>
            <w:r w:rsidRPr="005379BE">
              <w:rPr>
                <w:rFonts w:ascii="Times New Roman" w:hAnsi="Times New Roman" w:cs="Times New Roman"/>
                <w:color w:val="010205"/>
                <w:sz w:val="24"/>
                <w:szCs w:val="24"/>
                <w:vertAlign w:val="superscript"/>
              </w:rPr>
              <w:t>b</w:t>
            </w:r>
          </w:p>
        </w:tc>
      </w:tr>
      <w:tr w:rsidR="00BF498B" w:rsidRPr="005379BE" w14:paraId="54E68E35" w14:textId="77777777" w:rsidTr="00EE65AB">
        <w:trPr>
          <w:cantSplit/>
        </w:trPr>
        <w:tc>
          <w:tcPr>
            <w:tcW w:w="734" w:type="dxa"/>
            <w:vMerge/>
            <w:tcBorders>
              <w:top w:val="single" w:sz="8" w:space="0" w:color="152935"/>
              <w:left w:val="nil"/>
              <w:bottom w:val="single" w:sz="8" w:space="0" w:color="152935"/>
              <w:right w:val="nil"/>
            </w:tcBorders>
            <w:shd w:val="clear" w:color="auto" w:fill="E0E0E0"/>
          </w:tcPr>
          <w:p w14:paraId="2410CC29"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010205"/>
                <w:sz w:val="24"/>
                <w:szCs w:val="24"/>
              </w:rPr>
            </w:pPr>
          </w:p>
        </w:tc>
        <w:tc>
          <w:tcPr>
            <w:tcW w:w="1284" w:type="dxa"/>
            <w:tcBorders>
              <w:top w:val="single" w:sz="8" w:space="0" w:color="AEAEAE"/>
              <w:left w:val="nil"/>
              <w:bottom w:val="single" w:sz="8" w:space="0" w:color="AEAEAE"/>
              <w:right w:val="nil"/>
            </w:tcBorders>
            <w:shd w:val="clear" w:color="auto" w:fill="E0E0E0"/>
          </w:tcPr>
          <w:p w14:paraId="33750FD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Residual</w:t>
            </w:r>
          </w:p>
        </w:tc>
        <w:tc>
          <w:tcPr>
            <w:tcW w:w="1468" w:type="dxa"/>
            <w:tcBorders>
              <w:top w:val="single" w:sz="8" w:space="0" w:color="AEAEAE"/>
              <w:left w:val="nil"/>
              <w:bottom w:val="single" w:sz="8" w:space="0" w:color="AEAEAE"/>
              <w:right w:val="single" w:sz="8" w:space="0" w:color="E0E0E0"/>
            </w:tcBorders>
            <w:shd w:val="clear" w:color="auto" w:fill="F9F9FB"/>
          </w:tcPr>
          <w:p w14:paraId="2CEEA2B9"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28.209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59E55C5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267</w:t>
            </w:r>
          </w:p>
        </w:tc>
        <w:tc>
          <w:tcPr>
            <w:tcW w:w="1407" w:type="dxa"/>
            <w:tcBorders>
              <w:top w:val="single" w:sz="8" w:space="0" w:color="AEAEAE"/>
              <w:left w:val="single" w:sz="8" w:space="0" w:color="E0E0E0"/>
              <w:bottom w:val="single" w:sz="8" w:space="0" w:color="AEAEAE"/>
              <w:right w:val="single" w:sz="8" w:space="0" w:color="E0E0E0"/>
            </w:tcBorders>
            <w:shd w:val="clear" w:color="auto" w:fill="F9F9FB"/>
          </w:tcPr>
          <w:p w14:paraId="4F1433D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.106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5516C9AD"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9F9FB"/>
            <w:vAlign w:val="center"/>
          </w:tcPr>
          <w:p w14:paraId="6643DF9E"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r>
      <w:tr w:rsidR="00BF498B" w:rsidRPr="005379BE" w14:paraId="551BC012" w14:textId="77777777" w:rsidTr="00EE65AB">
        <w:trPr>
          <w:cantSplit/>
        </w:trPr>
        <w:tc>
          <w:tcPr>
            <w:tcW w:w="734" w:type="dxa"/>
            <w:vMerge/>
            <w:tcBorders>
              <w:top w:val="single" w:sz="8" w:space="0" w:color="152935"/>
              <w:left w:val="nil"/>
              <w:bottom w:val="single" w:sz="8" w:space="0" w:color="152935"/>
              <w:right w:val="nil"/>
            </w:tcBorders>
            <w:shd w:val="clear" w:color="auto" w:fill="E0E0E0"/>
          </w:tcPr>
          <w:p w14:paraId="2BEA70FB"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single" w:sz="8" w:space="0" w:color="AEAEAE"/>
              <w:left w:val="nil"/>
              <w:bottom w:val="single" w:sz="8" w:space="0" w:color="152935"/>
              <w:right w:val="nil"/>
            </w:tcBorders>
            <w:shd w:val="clear" w:color="auto" w:fill="E0E0E0"/>
          </w:tcPr>
          <w:p w14:paraId="5BFD0BF9"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Total</w:t>
            </w:r>
          </w:p>
        </w:tc>
        <w:tc>
          <w:tcPr>
            <w:tcW w:w="1468" w:type="dxa"/>
            <w:tcBorders>
              <w:top w:val="single" w:sz="8" w:space="0" w:color="AEAEAE"/>
              <w:left w:val="nil"/>
              <w:bottom w:val="single" w:sz="8" w:space="0" w:color="152935"/>
              <w:right w:val="single" w:sz="8" w:space="0" w:color="E0E0E0"/>
            </w:tcBorders>
            <w:shd w:val="clear" w:color="auto" w:fill="F9F9FB"/>
          </w:tcPr>
          <w:p w14:paraId="15C1318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70.592</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2F964C0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268</w:t>
            </w:r>
          </w:p>
        </w:tc>
        <w:tc>
          <w:tcPr>
            <w:tcW w:w="140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33F09585"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FA4E064"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nil"/>
            </w:tcBorders>
            <w:shd w:val="clear" w:color="auto" w:fill="F9F9FB"/>
            <w:vAlign w:val="center"/>
          </w:tcPr>
          <w:p w14:paraId="63412455"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r>
      <w:tr w:rsidR="00BF498B" w:rsidRPr="005379BE" w14:paraId="5143522E" w14:textId="77777777" w:rsidTr="00EE65AB">
        <w:trPr>
          <w:cantSplit/>
        </w:trPr>
        <w:tc>
          <w:tcPr>
            <w:tcW w:w="7965" w:type="dxa"/>
            <w:gridSpan w:val="7"/>
            <w:tcBorders>
              <w:top w:val="nil"/>
              <w:left w:val="nil"/>
              <w:bottom w:val="nil"/>
              <w:right w:val="nil"/>
            </w:tcBorders>
            <w:shd w:val="clear" w:color="auto" w:fill="FFFFFF"/>
          </w:tcPr>
          <w:p w14:paraId="24A461A9" w14:textId="22A0EBC8"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a. Dependent Variable: </w:t>
            </w:r>
            <w:r w:rsidR="008A4259" w:rsidRPr="005379BE">
              <w:rPr>
                <w:rFonts w:ascii="Times New Roman" w:hAnsi="Times New Roman" w:cs="Times New Roman"/>
                <w:color w:val="010205"/>
                <w:sz w:val="24"/>
                <w:szCs w:val="24"/>
              </w:rPr>
              <w:t>F</w:t>
            </w:r>
            <w:r w:rsidRPr="005379BE">
              <w:rPr>
                <w:rFonts w:ascii="Times New Roman" w:hAnsi="Times New Roman" w:cs="Times New Roman"/>
                <w:color w:val="010205"/>
                <w:sz w:val="24"/>
                <w:szCs w:val="24"/>
              </w:rPr>
              <w:t>P</w:t>
            </w:r>
          </w:p>
        </w:tc>
      </w:tr>
      <w:tr w:rsidR="00BF498B" w:rsidRPr="005379BE" w14:paraId="11AA7B15" w14:textId="77777777" w:rsidTr="00EE65AB">
        <w:trPr>
          <w:cantSplit/>
        </w:trPr>
        <w:tc>
          <w:tcPr>
            <w:tcW w:w="7965" w:type="dxa"/>
            <w:gridSpan w:val="7"/>
            <w:tcBorders>
              <w:top w:val="nil"/>
              <w:left w:val="nil"/>
              <w:bottom w:val="nil"/>
              <w:right w:val="nil"/>
            </w:tcBorders>
            <w:shd w:val="clear" w:color="auto" w:fill="FFFFFF"/>
          </w:tcPr>
          <w:p w14:paraId="1EB49AFC" w14:textId="290556AD"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b. Predictors: (Constant),</w:t>
            </w:r>
            <w:r w:rsidR="00600812" w:rsidRPr="005379BE">
              <w:rPr>
                <w:rFonts w:ascii="Times New Roman" w:hAnsi="Times New Roman" w:cs="Times New Roman"/>
                <w:color w:val="010205"/>
                <w:sz w:val="24"/>
                <w:szCs w:val="24"/>
              </w:rPr>
              <w:t xml:space="preserve"> </w:t>
            </w:r>
            <w:r w:rsidRPr="005379BE">
              <w:rPr>
                <w:rFonts w:ascii="Times New Roman" w:hAnsi="Times New Roman" w:cs="Times New Roman"/>
                <w:color w:val="010205"/>
                <w:sz w:val="24"/>
                <w:szCs w:val="24"/>
              </w:rPr>
              <w:t>P</w:t>
            </w:r>
            <w:r w:rsidR="008A4259" w:rsidRPr="005379BE">
              <w:rPr>
                <w:rFonts w:ascii="Times New Roman" w:hAnsi="Times New Roman" w:cs="Times New Roman"/>
                <w:color w:val="010205"/>
                <w:sz w:val="24"/>
                <w:szCs w:val="24"/>
              </w:rPr>
              <w:t>RA</w:t>
            </w:r>
          </w:p>
        </w:tc>
      </w:tr>
    </w:tbl>
    <w:p w14:paraId="54409DAF"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sz w:val="24"/>
          <w:szCs w:val="24"/>
        </w:rPr>
      </w:pPr>
    </w:p>
    <w:p w14:paraId="0DE03687" w14:textId="27CD93D6" w:rsidR="00BF498B" w:rsidRPr="005379BE" w:rsidRDefault="008A4259" w:rsidP="00600812">
      <w:pPr>
        <w:autoSpaceDE w:val="0"/>
        <w:autoSpaceDN w:val="0"/>
        <w:adjustRightInd w:val="0"/>
        <w:spacing w:after="0" w:line="400" w:lineRule="atLeast"/>
        <w:jc w:val="both"/>
        <w:rPr>
          <w:rFonts w:ascii="Times New Roman" w:hAnsi="Times New Roman" w:cs="Times New Roman"/>
          <w:sz w:val="24"/>
          <w:szCs w:val="24"/>
        </w:rPr>
      </w:pPr>
      <w:r w:rsidRPr="005379BE">
        <w:rPr>
          <w:rFonts w:ascii="Times New Roman" w:hAnsi="Times New Roman" w:cs="Times New Roman"/>
          <w:sz w:val="24"/>
          <w:szCs w:val="24"/>
        </w:rPr>
        <w:lastRenderedPageBreak/>
        <w:t xml:space="preserve">The ANOVA results for HO2 indicate that Predictive Risk Analytics (PRA) significantly influences the financial performance of deposit money banks (DMBs) in </w:t>
      </w:r>
      <w:r w:rsidR="008C74D4">
        <w:rPr>
          <w:rFonts w:ascii="Times New Roman" w:hAnsi="Times New Roman" w:cs="Times New Roman"/>
          <w:sz w:val="24"/>
          <w:szCs w:val="24"/>
        </w:rPr>
        <w:t xml:space="preserve">Abuja, </w:t>
      </w:r>
      <w:r w:rsidRPr="005379BE">
        <w:rPr>
          <w:rFonts w:ascii="Times New Roman" w:hAnsi="Times New Roman" w:cs="Times New Roman"/>
          <w:sz w:val="24"/>
          <w:szCs w:val="24"/>
        </w:rPr>
        <w:t>Nigeria. The regression model shows a substantial sum of squares (42.383) and a high F-value of 401.159, with a p-value of .000, well below the 0.05 significance threshold, confirming statistical significance. This suggests that PRA effectively predicts financial outcomes, explaining a meaningful portion of variance in financial performance, while the residual variance (28.209) reflects other unexplained factors.</w:t>
      </w:r>
    </w:p>
    <w:p w14:paraId="26299DBC" w14:textId="42CC1ED2" w:rsidR="008A4259" w:rsidRPr="005379BE" w:rsidRDefault="008A4259" w:rsidP="00600812">
      <w:pPr>
        <w:autoSpaceDE w:val="0"/>
        <w:autoSpaceDN w:val="0"/>
        <w:adjustRightInd w:val="0"/>
        <w:spacing w:after="0" w:line="400" w:lineRule="atLeast"/>
        <w:jc w:val="both"/>
        <w:rPr>
          <w:rFonts w:ascii="Times New Roman" w:hAnsi="Times New Roman" w:cs="Times New Roman"/>
          <w:sz w:val="24"/>
          <w:szCs w:val="24"/>
        </w:rPr>
      </w:pPr>
    </w:p>
    <w:p w14:paraId="2BC7282B" w14:textId="125CD736" w:rsidR="008A4259" w:rsidRPr="005379BE" w:rsidRDefault="008A4259" w:rsidP="00600812">
      <w:pPr>
        <w:autoSpaceDE w:val="0"/>
        <w:autoSpaceDN w:val="0"/>
        <w:adjustRightInd w:val="0"/>
        <w:spacing w:after="0" w:line="400" w:lineRule="atLeast"/>
        <w:jc w:val="both"/>
        <w:rPr>
          <w:rFonts w:ascii="Times New Roman" w:hAnsi="Times New Roman" w:cs="Times New Roman"/>
          <w:sz w:val="24"/>
          <w:szCs w:val="24"/>
        </w:rPr>
      </w:pPr>
    </w:p>
    <w:p w14:paraId="0EB8E113" w14:textId="77777777" w:rsidR="008A4259" w:rsidRPr="005379BE" w:rsidRDefault="008A4259" w:rsidP="00600812">
      <w:pPr>
        <w:autoSpaceDE w:val="0"/>
        <w:autoSpaceDN w:val="0"/>
        <w:adjustRightInd w:val="0"/>
        <w:spacing w:after="0" w:line="400" w:lineRule="atLeast"/>
        <w:jc w:val="both"/>
        <w:rPr>
          <w:rFonts w:ascii="Times New Roman" w:hAnsi="Times New Roman" w:cs="Times New Roman"/>
          <w:sz w:val="24"/>
          <w:szCs w:val="24"/>
        </w:rPr>
      </w:pPr>
    </w:p>
    <w:tbl>
      <w:tblPr>
        <w:tblW w:w="8092" w:type="dxa"/>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BF498B" w:rsidRPr="005379BE" w14:paraId="11730F0F" w14:textId="77777777" w:rsidTr="00EE65AB">
        <w:trPr>
          <w:cantSplit/>
        </w:trPr>
        <w:tc>
          <w:tcPr>
            <w:tcW w:w="8087" w:type="dxa"/>
            <w:gridSpan w:val="7"/>
            <w:tcBorders>
              <w:top w:val="nil"/>
              <w:left w:val="nil"/>
              <w:bottom w:val="nil"/>
              <w:right w:val="nil"/>
            </w:tcBorders>
            <w:shd w:val="clear" w:color="auto" w:fill="FFFFFF"/>
            <w:vAlign w:val="center"/>
          </w:tcPr>
          <w:p w14:paraId="6D98940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b/>
                <w:bCs/>
                <w:color w:val="010205"/>
                <w:sz w:val="24"/>
                <w:szCs w:val="24"/>
              </w:rPr>
              <w:t>Coefficients</w:t>
            </w:r>
            <w:r w:rsidRPr="005379BE">
              <w:rPr>
                <w:rFonts w:ascii="Times New Roman" w:hAnsi="Times New Roman" w:cs="Times New Roman"/>
                <w:b/>
                <w:bCs/>
                <w:color w:val="010205"/>
                <w:sz w:val="24"/>
                <w:szCs w:val="24"/>
                <w:vertAlign w:val="superscript"/>
              </w:rPr>
              <w:t>a</w:t>
            </w:r>
          </w:p>
        </w:tc>
      </w:tr>
      <w:tr w:rsidR="00BF498B" w:rsidRPr="005379BE" w14:paraId="4B833B54" w14:textId="77777777" w:rsidTr="00EE65AB">
        <w:trPr>
          <w:cantSplit/>
        </w:trPr>
        <w:tc>
          <w:tcPr>
            <w:tcW w:w="1911" w:type="dxa"/>
            <w:gridSpan w:val="2"/>
            <w:vMerge w:val="restart"/>
            <w:tcBorders>
              <w:top w:val="nil"/>
              <w:left w:val="nil"/>
              <w:bottom w:val="nil"/>
              <w:right w:val="nil"/>
            </w:tcBorders>
            <w:shd w:val="clear" w:color="auto" w:fill="FFFFFF"/>
            <w:vAlign w:val="bottom"/>
          </w:tcPr>
          <w:p w14:paraId="06156F8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Model</w:t>
            </w:r>
          </w:p>
        </w:tc>
        <w:tc>
          <w:tcPr>
            <w:tcW w:w="2660" w:type="dxa"/>
            <w:gridSpan w:val="2"/>
            <w:tcBorders>
              <w:top w:val="nil"/>
              <w:left w:val="nil"/>
              <w:bottom w:val="nil"/>
              <w:right w:val="single" w:sz="8" w:space="0" w:color="E0E0E0"/>
            </w:tcBorders>
            <w:shd w:val="clear" w:color="auto" w:fill="FFFFFF"/>
            <w:vAlign w:val="bottom"/>
          </w:tcPr>
          <w:p w14:paraId="7F63F63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38E97EF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70B87B4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t</w:t>
            </w:r>
          </w:p>
        </w:tc>
        <w:tc>
          <w:tcPr>
            <w:tcW w:w="1024" w:type="dxa"/>
            <w:vMerge w:val="restart"/>
            <w:tcBorders>
              <w:top w:val="nil"/>
              <w:left w:val="single" w:sz="8" w:space="0" w:color="E0E0E0"/>
              <w:bottom w:val="nil"/>
              <w:right w:val="nil"/>
            </w:tcBorders>
            <w:shd w:val="clear" w:color="auto" w:fill="FFFFFF"/>
            <w:vAlign w:val="bottom"/>
          </w:tcPr>
          <w:p w14:paraId="705D6F49"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Sig.</w:t>
            </w:r>
          </w:p>
        </w:tc>
      </w:tr>
      <w:tr w:rsidR="00BF498B" w:rsidRPr="005379BE" w14:paraId="32A03B8D" w14:textId="77777777" w:rsidTr="00EE65AB">
        <w:trPr>
          <w:cantSplit/>
        </w:trPr>
        <w:tc>
          <w:tcPr>
            <w:tcW w:w="1911" w:type="dxa"/>
            <w:gridSpan w:val="2"/>
            <w:vMerge/>
            <w:tcBorders>
              <w:top w:val="nil"/>
              <w:left w:val="nil"/>
              <w:bottom w:val="nil"/>
              <w:right w:val="nil"/>
            </w:tcBorders>
            <w:shd w:val="clear" w:color="auto" w:fill="FFFFFF"/>
            <w:vAlign w:val="bottom"/>
          </w:tcPr>
          <w:p w14:paraId="0487F071"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264A60"/>
                <w:sz w:val="24"/>
                <w:szCs w:val="24"/>
              </w:rPr>
            </w:pPr>
          </w:p>
        </w:tc>
        <w:tc>
          <w:tcPr>
            <w:tcW w:w="1330" w:type="dxa"/>
            <w:tcBorders>
              <w:top w:val="nil"/>
              <w:left w:val="nil"/>
              <w:bottom w:val="single" w:sz="8" w:space="0" w:color="152935"/>
              <w:right w:val="single" w:sz="8" w:space="0" w:color="E0E0E0"/>
            </w:tcBorders>
            <w:shd w:val="clear" w:color="auto" w:fill="FFFFFF"/>
            <w:vAlign w:val="bottom"/>
          </w:tcPr>
          <w:p w14:paraId="6E1FDA3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5704696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5F4C1EA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Beta</w:t>
            </w:r>
          </w:p>
        </w:tc>
        <w:tc>
          <w:tcPr>
            <w:tcW w:w="1024" w:type="dxa"/>
            <w:vMerge/>
            <w:tcBorders>
              <w:top w:val="nil"/>
              <w:left w:val="single" w:sz="8" w:space="0" w:color="E0E0E0"/>
              <w:bottom w:val="nil"/>
              <w:right w:val="single" w:sz="8" w:space="0" w:color="E0E0E0"/>
            </w:tcBorders>
            <w:shd w:val="clear" w:color="auto" w:fill="FFFFFF"/>
            <w:vAlign w:val="bottom"/>
          </w:tcPr>
          <w:p w14:paraId="0641F4FF"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264A60"/>
                <w:sz w:val="24"/>
                <w:szCs w:val="24"/>
              </w:rPr>
            </w:pPr>
          </w:p>
        </w:tc>
        <w:tc>
          <w:tcPr>
            <w:tcW w:w="1024" w:type="dxa"/>
            <w:vMerge/>
            <w:tcBorders>
              <w:top w:val="nil"/>
              <w:left w:val="single" w:sz="8" w:space="0" w:color="E0E0E0"/>
              <w:bottom w:val="nil"/>
              <w:right w:val="nil"/>
            </w:tcBorders>
            <w:shd w:val="clear" w:color="auto" w:fill="FFFFFF"/>
            <w:vAlign w:val="bottom"/>
          </w:tcPr>
          <w:p w14:paraId="2B6090D0"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264A60"/>
                <w:sz w:val="24"/>
                <w:szCs w:val="24"/>
              </w:rPr>
            </w:pPr>
          </w:p>
        </w:tc>
      </w:tr>
      <w:tr w:rsidR="00BF498B" w:rsidRPr="005379BE" w14:paraId="618CB206" w14:textId="77777777" w:rsidTr="00EE65AB">
        <w:trPr>
          <w:cantSplit/>
        </w:trPr>
        <w:tc>
          <w:tcPr>
            <w:tcW w:w="734" w:type="dxa"/>
            <w:vMerge w:val="restart"/>
            <w:tcBorders>
              <w:top w:val="single" w:sz="8" w:space="0" w:color="152935"/>
              <w:left w:val="nil"/>
              <w:bottom w:val="single" w:sz="8" w:space="0" w:color="152935"/>
              <w:right w:val="nil"/>
            </w:tcBorders>
            <w:shd w:val="clear" w:color="auto" w:fill="E0E0E0"/>
          </w:tcPr>
          <w:p w14:paraId="48196EB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1</w:t>
            </w:r>
          </w:p>
        </w:tc>
        <w:tc>
          <w:tcPr>
            <w:tcW w:w="1177" w:type="dxa"/>
            <w:tcBorders>
              <w:top w:val="single" w:sz="8" w:space="0" w:color="152935"/>
              <w:left w:val="nil"/>
              <w:bottom w:val="single" w:sz="8" w:space="0" w:color="AEAEAE"/>
              <w:right w:val="nil"/>
            </w:tcBorders>
            <w:shd w:val="clear" w:color="auto" w:fill="E0E0E0"/>
          </w:tcPr>
          <w:p w14:paraId="12B8F17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(Constant)</w:t>
            </w:r>
          </w:p>
        </w:tc>
        <w:tc>
          <w:tcPr>
            <w:tcW w:w="1330" w:type="dxa"/>
            <w:tcBorders>
              <w:top w:val="single" w:sz="8" w:space="0" w:color="152935"/>
              <w:left w:val="nil"/>
              <w:bottom w:val="single" w:sz="8" w:space="0" w:color="AEAEAE"/>
              <w:right w:val="single" w:sz="8" w:space="0" w:color="E0E0E0"/>
            </w:tcBorders>
            <w:shd w:val="clear" w:color="auto" w:fill="F9F9FB"/>
          </w:tcPr>
          <w:p w14:paraId="5C1448A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1.404</w:t>
            </w:r>
          </w:p>
        </w:tc>
        <w:tc>
          <w:tcPr>
            <w:tcW w:w="1330" w:type="dxa"/>
            <w:tcBorders>
              <w:top w:val="single" w:sz="8" w:space="0" w:color="152935"/>
              <w:left w:val="single" w:sz="8" w:space="0" w:color="E0E0E0"/>
              <w:bottom w:val="single" w:sz="8" w:space="0" w:color="AEAEAE"/>
              <w:right w:val="single" w:sz="8" w:space="0" w:color="E0E0E0"/>
            </w:tcBorders>
            <w:shd w:val="clear" w:color="auto" w:fill="F9F9FB"/>
          </w:tcPr>
          <w:p w14:paraId="11343A7D"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.133</w:t>
            </w:r>
          </w:p>
        </w:tc>
        <w:tc>
          <w:tcPr>
            <w:tcW w:w="146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1BB47EA4"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766B1A03"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10.564</w:t>
            </w:r>
          </w:p>
        </w:tc>
        <w:tc>
          <w:tcPr>
            <w:tcW w:w="1024" w:type="dxa"/>
            <w:tcBorders>
              <w:top w:val="single" w:sz="8" w:space="0" w:color="152935"/>
              <w:left w:val="single" w:sz="8" w:space="0" w:color="E0E0E0"/>
              <w:bottom w:val="single" w:sz="8" w:space="0" w:color="AEAEAE"/>
              <w:right w:val="nil"/>
            </w:tcBorders>
            <w:shd w:val="clear" w:color="auto" w:fill="F9F9FB"/>
          </w:tcPr>
          <w:p w14:paraId="05D1ED63"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.000</w:t>
            </w:r>
          </w:p>
        </w:tc>
      </w:tr>
      <w:tr w:rsidR="00BF498B" w:rsidRPr="005379BE" w14:paraId="2CB63E6C" w14:textId="77777777" w:rsidTr="00EE65AB">
        <w:trPr>
          <w:cantSplit/>
        </w:trPr>
        <w:tc>
          <w:tcPr>
            <w:tcW w:w="734" w:type="dxa"/>
            <w:vMerge/>
            <w:tcBorders>
              <w:top w:val="single" w:sz="8" w:space="0" w:color="152935"/>
              <w:left w:val="nil"/>
              <w:bottom w:val="single" w:sz="8" w:space="0" w:color="152935"/>
              <w:right w:val="nil"/>
            </w:tcBorders>
            <w:shd w:val="clear" w:color="auto" w:fill="E0E0E0"/>
          </w:tcPr>
          <w:p w14:paraId="6D967FD2"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010205"/>
                <w:sz w:val="24"/>
                <w:szCs w:val="24"/>
              </w:rPr>
            </w:pPr>
          </w:p>
        </w:tc>
        <w:tc>
          <w:tcPr>
            <w:tcW w:w="1177" w:type="dxa"/>
            <w:tcBorders>
              <w:top w:val="single" w:sz="8" w:space="0" w:color="AEAEAE"/>
              <w:left w:val="nil"/>
              <w:bottom w:val="single" w:sz="8" w:space="0" w:color="152935"/>
              <w:right w:val="nil"/>
            </w:tcBorders>
            <w:shd w:val="clear" w:color="auto" w:fill="E0E0E0"/>
          </w:tcPr>
          <w:p w14:paraId="41B28DDB" w14:textId="556108C1"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P</w:t>
            </w:r>
            <w:r w:rsidR="008A4259" w:rsidRPr="005379BE">
              <w:rPr>
                <w:rFonts w:ascii="Times New Roman" w:hAnsi="Times New Roman" w:cs="Times New Roman"/>
                <w:color w:val="264A60"/>
                <w:sz w:val="24"/>
                <w:szCs w:val="24"/>
              </w:rPr>
              <w:t>RA</w:t>
            </w:r>
          </w:p>
        </w:tc>
        <w:tc>
          <w:tcPr>
            <w:tcW w:w="1330" w:type="dxa"/>
            <w:tcBorders>
              <w:top w:val="single" w:sz="8" w:space="0" w:color="AEAEAE"/>
              <w:left w:val="nil"/>
              <w:bottom w:val="single" w:sz="8" w:space="0" w:color="152935"/>
              <w:right w:val="single" w:sz="8" w:space="0" w:color="E0E0E0"/>
            </w:tcBorders>
            <w:shd w:val="clear" w:color="auto" w:fill="F9F9FB"/>
          </w:tcPr>
          <w:p w14:paraId="79F8DA0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.657</w:t>
            </w:r>
          </w:p>
        </w:tc>
        <w:tc>
          <w:tcPr>
            <w:tcW w:w="1330" w:type="dxa"/>
            <w:tcBorders>
              <w:top w:val="single" w:sz="8" w:space="0" w:color="AEAEAE"/>
              <w:left w:val="single" w:sz="8" w:space="0" w:color="E0E0E0"/>
              <w:bottom w:val="single" w:sz="8" w:space="0" w:color="152935"/>
              <w:right w:val="single" w:sz="8" w:space="0" w:color="E0E0E0"/>
            </w:tcBorders>
            <w:shd w:val="clear" w:color="auto" w:fill="F9F9FB"/>
          </w:tcPr>
          <w:p w14:paraId="5AD2409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.033</w:t>
            </w:r>
          </w:p>
        </w:tc>
        <w:tc>
          <w:tcPr>
            <w:tcW w:w="1468" w:type="dxa"/>
            <w:tcBorders>
              <w:top w:val="single" w:sz="8" w:space="0" w:color="AEAEAE"/>
              <w:left w:val="single" w:sz="8" w:space="0" w:color="E0E0E0"/>
              <w:bottom w:val="single" w:sz="8" w:space="0" w:color="152935"/>
              <w:right w:val="single" w:sz="8" w:space="0" w:color="E0E0E0"/>
            </w:tcBorders>
            <w:shd w:val="clear" w:color="auto" w:fill="F9F9FB"/>
          </w:tcPr>
          <w:p w14:paraId="4F041A0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.775</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6B68259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20.029</w:t>
            </w:r>
          </w:p>
        </w:tc>
        <w:tc>
          <w:tcPr>
            <w:tcW w:w="1024" w:type="dxa"/>
            <w:tcBorders>
              <w:top w:val="single" w:sz="8" w:space="0" w:color="AEAEAE"/>
              <w:left w:val="single" w:sz="8" w:space="0" w:color="E0E0E0"/>
              <w:bottom w:val="single" w:sz="8" w:space="0" w:color="152935"/>
              <w:right w:val="nil"/>
            </w:tcBorders>
            <w:shd w:val="clear" w:color="auto" w:fill="F9F9FB"/>
          </w:tcPr>
          <w:p w14:paraId="1577B70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.000</w:t>
            </w:r>
          </w:p>
        </w:tc>
      </w:tr>
      <w:tr w:rsidR="00BF498B" w:rsidRPr="005379BE" w14:paraId="2AA99647" w14:textId="77777777" w:rsidTr="00EE65AB">
        <w:trPr>
          <w:cantSplit/>
        </w:trPr>
        <w:tc>
          <w:tcPr>
            <w:tcW w:w="8087" w:type="dxa"/>
            <w:gridSpan w:val="7"/>
            <w:tcBorders>
              <w:top w:val="nil"/>
              <w:left w:val="nil"/>
              <w:bottom w:val="nil"/>
              <w:right w:val="nil"/>
            </w:tcBorders>
            <w:shd w:val="clear" w:color="auto" w:fill="FFFFFF"/>
          </w:tcPr>
          <w:p w14:paraId="668580C3" w14:textId="4F9F47BA"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a. Dependent Variable: </w:t>
            </w:r>
            <w:r w:rsidR="008A4259" w:rsidRPr="005379BE">
              <w:rPr>
                <w:rFonts w:ascii="Times New Roman" w:hAnsi="Times New Roman" w:cs="Times New Roman"/>
                <w:color w:val="010205"/>
                <w:sz w:val="24"/>
                <w:szCs w:val="24"/>
              </w:rPr>
              <w:t>F</w:t>
            </w:r>
            <w:r w:rsidRPr="005379BE">
              <w:rPr>
                <w:rFonts w:ascii="Times New Roman" w:hAnsi="Times New Roman" w:cs="Times New Roman"/>
                <w:color w:val="010205"/>
                <w:sz w:val="24"/>
                <w:szCs w:val="24"/>
              </w:rPr>
              <w:t>P</w:t>
            </w:r>
          </w:p>
        </w:tc>
      </w:tr>
    </w:tbl>
    <w:p w14:paraId="46F6E8AD"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sz w:val="24"/>
          <w:szCs w:val="24"/>
        </w:rPr>
      </w:pPr>
    </w:p>
    <w:p w14:paraId="446FDECA" w14:textId="2FECDC2F" w:rsidR="008A4259" w:rsidRP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 xml:space="preserve">The analysis of the coefficients table for HO2 reveals that Predictive Risk Analytics (PRA) exerts a statistically significant positive effect on the financial performance (FP) of Deposit Money Banks (DMBs) in </w:t>
      </w:r>
      <w:r w:rsidR="008C74D4">
        <w:rPr>
          <w:rFonts w:ascii="Times New Roman" w:eastAsia="Times New Roman" w:hAnsi="Times New Roman" w:cs="Times New Roman"/>
          <w:sz w:val="24"/>
          <w:szCs w:val="24"/>
        </w:rPr>
        <w:t xml:space="preserve">Abuja, </w:t>
      </w:r>
      <w:r w:rsidRPr="005379BE">
        <w:rPr>
          <w:rFonts w:ascii="Times New Roman" w:eastAsia="Times New Roman" w:hAnsi="Times New Roman" w:cs="Times New Roman"/>
          <w:sz w:val="24"/>
          <w:szCs w:val="24"/>
        </w:rPr>
        <w:t>Nigeria. The unstandardized coefficient (B = 0.657, p &lt; 0.001) indicates that for every one-unit increase in PRA adoption, financial performance improves by 0.657 units, while the standardized coefficient (Beta = 0.775) highlights a strong predictive influence. The t-value of 20.029 confirms the relationship’s robustness, leading to the rejection of the null hypothesis and affirming PRA as a critical driver of banking sector performance.</w:t>
      </w:r>
    </w:p>
    <w:p w14:paraId="5652B506" w14:textId="122ED824" w:rsidR="00C67304" w:rsidRPr="005379BE" w:rsidRDefault="008A4259" w:rsidP="00600812">
      <w:pPr>
        <w:jc w:val="both"/>
        <w:rPr>
          <w:rFonts w:ascii="Times New Roman" w:hAnsi="Times New Roman" w:cs="Times New Roman"/>
          <w:b/>
          <w:bCs/>
          <w:sz w:val="24"/>
          <w:szCs w:val="24"/>
        </w:rPr>
      </w:pPr>
      <w:r w:rsidRPr="005379BE">
        <w:rPr>
          <w:rFonts w:ascii="Times New Roman" w:hAnsi="Times New Roman" w:cs="Times New Roman"/>
          <w:b/>
          <w:bCs/>
          <w:sz w:val="24"/>
          <w:szCs w:val="24"/>
        </w:rPr>
        <w:t xml:space="preserve">Discussion of Findings </w:t>
      </w:r>
    </w:p>
    <w:p w14:paraId="78C821AB" w14:textId="4C748999" w:rsidR="008A4259" w:rsidRP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The findings from the analysis of ACSS</w:t>
      </w:r>
      <w:r w:rsidR="005379BE" w:rsidRPr="005379BE">
        <w:rPr>
          <w:rFonts w:ascii="Times New Roman" w:eastAsia="Times New Roman" w:hAnsi="Times New Roman" w:cs="Times New Roman"/>
          <w:sz w:val="24"/>
          <w:szCs w:val="24"/>
        </w:rPr>
        <w:t xml:space="preserve"> </w:t>
      </w:r>
      <w:r w:rsidRPr="005379BE">
        <w:rPr>
          <w:rFonts w:ascii="Times New Roman" w:eastAsia="Times New Roman" w:hAnsi="Times New Roman" w:cs="Times New Roman"/>
          <w:sz w:val="24"/>
          <w:szCs w:val="24"/>
        </w:rPr>
        <w:t>reveal</w:t>
      </w:r>
      <w:r w:rsidR="005379BE" w:rsidRPr="005379BE">
        <w:rPr>
          <w:rFonts w:ascii="Times New Roman" w:eastAsia="Times New Roman" w:hAnsi="Times New Roman" w:cs="Times New Roman"/>
          <w:sz w:val="24"/>
          <w:szCs w:val="24"/>
        </w:rPr>
        <w:t>ed</w:t>
      </w:r>
      <w:r w:rsidRPr="005379BE">
        <w:rPr>
          <w:rFonts w:ascii="Times New Roman" w:eastAsia="Times New Roman" w:hAnsi="Times New Roman" w:cs="Times New Roman"/>
          <w:sz w:val="24"/>
          <w:szCs w:val="24"/>
        </w:rPr>
        <w:t xml:space="preserve"> a strong and statistically significant relationship with the financial performance of DMBs in </w:t>
      </w:r>
      <w:r w:rsidR="008C74D4">
        <w:rPr>
          <w:rFonts w:ascii="Times New Roman" w:eastAsia="Times New Roman" w:hAnsi="Times New Roman" w:cs="Times New Roman"/>
          <w:sz w:val="24"/>
          <w:szCs w:val="24"/>
        </w:rPr>
        <w:t xml:space="preserve">Abuja, </w:t>
      </w:r>
      <w:r w:rsidRPr="005379BE">
        <w:rPr>
          <w:rFonts w:ascii="Times New Roman" w:eastAsia="Times New Roman" w:hAnsi="Times New Roman" w:cs="Times New Roman"/>
          <w:sz w:val="24"/>
          <w:szCs w:val="24"/>
        </w:rPr>
        <w:t xml:space="preserve">Nigeria. The model summary indicates a high correlation coefficient (R = 0.713) and an R² of 0.508, suggesting that over 50% of variations in financial performance can be attributed to ACSS. The ANOVA results reinforce this, showing a significant F-value of 275.580 (p = 0.000), confirming that the regression model is a reliable predictor of FP. Coefficient analysis further demonstrates the magnitude of this effect, with an unstandardized coefficient (B = 0.651) and a standardized beta (β = 0.713), alongside a t-value of 16.601, indicating that enhancements in ACSS are strongly associated with increased financial outcomes. Consequently, the null hypothesis (HO1) is rejected, establishing ACSS as a dominant factor in banking sector performance and underscoring its importance in </w:t>
      </w:r>
      <w:r w:rsidRPr="005379BE">
        <w:rPr>
          <w:rFonts w:ascii="Times New Roman" w:eastAsia="Times New Roman" w:hAnsi="Times New Roman" w:cs="Times New Roman"/>
          <w:sz w:val="24"/>
          <w:szCs w:val="24"/>
        </w:rPr>
        <w:lastRenderedPageBreak/>
        <w:t xml:space="preserve">driving efficiency, loan assessment accuracy, and </w:t>
      </w:r>
      <w:r w:rsidR="005379BE" w:rsidRPr="005379BE">
        <w:rPr>
          <w:rFonts w:ascii="Times New Roman" w:eastAsia="Times New Roman" w:hAnsi="Times New Roman" w:cs="Times New Roman"/>
          <w:sz w:val="24"/>
          <w:szCs w:val="24"/>
        </w:rPr>
        <w:t xml:space="preserve">profitability (Sarkar, 2026; </w:t>
      </w:r>
      <w:r w:rsidR="005379BE" w:rsidRPr="005379BE">
        <w:rPr>
          <w:rFonts w:ascii="Times New Roman" w:hAnsi="Times New Roman" w:cs="Times New Roman"/>
          <w:sz w:val="24"/>
          <w:szCs w:val="24"/>
        </w:rPr>
        <w:t>Benedicta, et al., 2025; Baghel, &amp; Mamodiya, 2026).</w:t>
      </w:r>
    </w:p>
    <w:p w14:paraId="30C0898B" w14:textId="2724A7AB" w:rsidR="008A4259" w:rsidRP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Similarly, PRA show</w:t>
      </w:r>
      <w:r w:rsidR="005379BE" w:rsidRPr="005379BE">
        <w:rPr>
          <w:rFonts w:ascii="Times New Roman" w:eastAsia="Times New Roman" w:hAnsi="Times New Roman" w:cs="Times New Roman"/>
          <w:sz w:val="24"/>
          <w:szCs w:val="24"/>
        </w:rPr>
        <w:t>ed</w:t>
      </w:r>
      <w:r w:rsidRPr="005379BE">
        <w:rPr>
          <w:rFonts w:ascii="Times New Roman" w:eastAsia="Times New Roman" w:hAnsi="Times New Roman" w:cs="Times New Roman"/>
          <w:sz w:val="24"/>
          <w:szCs w:val="24"/>
        </w:rPr>
        <w:t xml:space="preserve"> a pronounced positive influence on the financial performance of DMBs</w:t>
      </w:r>
      <w:r w:rsidR="008C74D4">
        <w:rPr>
          <w:rFonts w:ascii="Times New Roman" w:eastAsia="Times New Roman" w:hAnsi="Times New Roman" w:cs="Times New Roman"/>
          <w:sz w:val="24"/>
          <w:szCs w:val="24"/>
        </w:rPr>
        <w:t xml:space="preserve"> in Abuja, Nigeria</w:t>
      </w:r>
      <w:r w:rsidRPr="005379BE">
        <w:rPr>
          <w:rFonts w:ascii="Times New Roman" w:eastAsia="Times New Roman" w:hAnsi="Times New Roman" w:cs="Times New Roman"/>
          <w:sz w:val="24"/>
          <w:szCs w:val="24"/>
        </w:rPr>
        <w:t>. Model 2 indicates a higher correlation (R = 0.775) and an R² of 0.600, revealing that PRA explains 60% of FP variations, with low estimation error (0.32504) reflecting precision. The ANOVA output, with an F-value of 401.159 (p = 0.000), confirms strong statistical significance, while the coefficients table shows that each unit increase in PRA contributes 0.657 units to FP, supported by a robust Beta of 0.775 and a t-value of 20.029. These results reject HO2, affirming that PRA is a critical driver of financial performance, enhancing risk assessment, decision-making, and profitability. Collectively, the findings highlight that integrating ACSS and PRA into banking operations significantly strengthens financial outcomes, demonstrating the transformative impact of AI-driven credit management on Nigerian banks</w:t>
      </w:r>
      <w:r w:rsidR="005379BE" w:rsidRPr="005379BE">
        <w:rPr>
          <w:rFonts w:ascii="Times New Roman" w:eastAsia="Times New Roman" w:hAnsi="Times New Roman" w:cs="Times New Roman"/>
          <w:sz w:val="24"/>
          <w:szCs w:val="24"/>
        </w:rPr>
        <w:t xml:space="preserve"> (</w:t>
      </w:r>
      <w:r w:rsidR="005379BE" w:rsidRPr="005379BE">
        <w:rPr>
          <w:rFonts w:ascii="Times New Roman" w:hAnsi="Times New Roman" w:cs="Times New Roman"/>
          <w:sz w:val="24"/>
          <w:szCs w:val="24"/>
        </w:rPr>
        <w:t>Baghel, &amp; Mamodiya, 2026; Ansari, et al., 2026; Ayeni, et al., 2026; Babic, et al., 2026)</w:t>
      </w:r>
      <w:r w:rsidRPr="005379BE">
        <w:rPr>
          <w:rFonts w:ascii="Times New Roman" w:eastAsia="Times New Roman" w:hAnsi="Times New Roman" w:cs="Times New Roman"/>
          <w:sz w:val="24"/>
          <w:szCs w:val="24"/>
        </w:rPr>
        <w:t>.</w:t>
      </w:r>
    </w:p>
    <w:p w14:paraId="2A26A071" w14:textId="77777777" w:rsidR="008A4259" w:rsidRPr="005379BE" w:rsidRDefault="008A4259" w:rsidP="00600812">
      <w:pPr>
        <w:jc w:val="both"/>
        <w:rPr>
          <w:rFonts w:ascii="Times New Roman" w:hAnsi="Times New Roman" w:cs="Times New Roman"/>
          <w:b/>
          <w:bCs/>
          <w:sz w:val="24"/>
          <w:szCs w:val="24"/>
        </w:rPr>
      </w:pPr>
    </w:p>
    <w:p w14:paraId="532F4FDF" w14:textId="232101DE" w:rsidR="00A735F8" w:rsidRPr="005379BE" w:rsidRDefault="008A4259" w:rsidP="00600812">
      <w:pPr>
        <w:jc w:val="center"/>
        <w:rPr>
          <w:rFonts w:ascii="Times New Roman" w:hAnsi="Times New Roman" w:cs="Times New Roman"/>
          <w:b/>
          <w:bCs/>
          <w:sz w:val="24"/>
          <w:szCs w:val="24"/>
        </w:rPr>
      </w:pPr>
      <w:r w:rsidRPr="005379BE">
        <w:rPr>
          <w:rFonts w:ascii="Times New Roman" w:hAnsi="Times New Roman" w:cs="Times New Roman"/>
          <w:b/>
          <w:bCs/>
          <w:sz w:val="24"/>
          <w:szCs w:val="24"/>
        </w:rPr>
        <w:t>CONCLUSION AND RECOMMENDATIONS</w:t>
      </w:r>
    </w:p>
    <w:p w14:paraId="445174BE" w14:textId="1D3D1EF5" w:rsidR="008A4259" w:rsidRPr="005379BE" w:rsidRDefault="008A4259" w:rsidP="00600812">
      <w:pPr>
        <w:jc w:val="both"/>
        <w:rPr>
          <w:rFonts w:ascii="Times New Roman" w:hAnsi="Times New Roman" w:cs="Times New Roman"/>
          <w:b/>
          <w:bCs/>
          <w:sz w:val="24"/>
          <w:szCs w:val="24"/>
        </w:rPr>
      </w:pPr>
      <w:r w:rsidRPr="005379BE">
        <w:rPr>
          <w:rFonts w:ascii="Times New Roman" w:hAnsi="Times New Roman" w:cs="Times New Roman"/>
          <w:b/>
          <w:bCs/>
          <w:sz w:val="24"/>
          <w:szCs w:val="24"/>
        </w:rPr>
        <w:t>Conclusion</w:t>
      </w:r>
    </w:p>
    <w:p w14:paraId="6177639E" w14:textId="0A5BF627" w:rsidR="008A4259" w:rsidRP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The findings from the analysis provide compelling evidence that Artificial Intelligence–Driven Credit Management (AICM) tools, specifically Automated Credit Scoring Systems (ACSS) and Predictive Risk Analytics (PRA), significantly enhance the financial performance of Deposit Money Banks (DMBs) in Nigeria. For HO1, the strong positive correlation (R = 0.713) and R² value of 0.508 indicate that ACSS accounts for over 50% of the variation in financial performance, demonstrating a substantial explanatory power. The ANOVA results, with an F-value of 275.580 and a p-value of 0.000, confirm the statistical significance of this relationship. Coefficient analysis further underscores that those improvements in ACSS directly translate to higher financial outcomes, with the unstandardized coefficient (B = 0.651) and standardized beta (β = 0.713) illustrating ACSS as a dominant predictor. These results conclusively reject the null hypothesis, establishing that the deployment of ACSS is critical for operational efficiency and profitability in Nigerian banking institutions.</w:t>
      </w:r>
    </w:p>
    <w:p w14:paraId="3C35916B" w14:textId="3D05B2FB" w:rsidR="008A4259" w:rsidRP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Similarly, HO2 analysis revealed that Predictive Risk Analytics (PRA) exerts an even more pronounced influence on financial performance, with a correlation coefficient of 0.775 and R² of 0.600, indicating that PRA explains 60% of the variation in financial outcomes. The ANOVA results show a high F-value of 401.159 (p = 0.000), reinforcing the robustness and significance of the model. The coefficients (B = 0.657, Beta = 0.775, t = 20.029) confirm that PRA is a powerful predictor of financial performance, whereby incremental improvements in PRA adoption significantly boost banking profitability. Overall, the study establishes that AI-driven credit management tools are not only statistically significant but also practically indispensable for enhancing financial efficiency, risk mitigation, and competitive advantage among DMBs in Nigeria, highlighting their strategic role in modern banking operations.</w:t>
      </w:r>
    </w:p>
    <w:p w14:paraId="4CD96336" w14:textId="7DA0D81E" w:rsidR="008A4259" w:rsidRPr="005379BE" w:rsidRDefault="008A4259" w:rsidP="00600812">
      <w:pPr>
        <w:jc w:val="both"/>
        <w:rPr>
          <w:rFonts w:ascii="Times New Roman" w:hAnsi="Times New Roman" w:cs="Times New Roman"/>
          <w:b/>
          <w:bCs/>
          <w:sz w:val="24"/>
          <w:szCs w:val="24"/>
        </w:rPr>
      </w:pPr>
      <w:r w:rsidRPr="005379BE">
        <w:rPr>
          <w:rFonts w:ascii="Times New Roman" w:hAnsi="Times New Roman" w:cs="Times New Roman"/>
          <w:b/>
          <w:bCs/>
          <w:sz w:val="24"/>
          <w:szCs w:val="24"/>
        </w:rPr>
        <w:t xml:space="preserve"> Recommendations </w:t>
      </w:r>
    </w:p>
    <w:p w14:paraId="610A023A" w14:textId="678F159A" w:rsidR="008A4259" w:rsidRP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lastRenderedPageBreak/>
        <w:t>Based on the analyses of HO1 and HO2, it is recommended that DMBs in Nigeria fully integrate and enhance Automated Credit Scoring Systems (ACSS) within their credit management processes. The strong positive relationship between ACSS and financial performance, evidenced by an R² of 0.508 and a significant beta coefficient, suggests that leveraging ACSS can improve loan assessment accuracy, reduce default risks, and ultimately boost profitability, making it a strategic tool for financial optimization.</w:t>
      </w:r>
    </w:p>
    <w:p w14:paraId="6F9368DF" w14:textId="44410737" w:rsid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Additionally, banks should prioritize the implementation of Predictive Risk Analytics (PRA) to further strengthen financial outcomes. With PRA explaining 60% of the variance in financial performance and exhibiting high statistical significance, its adoption enables proactive risk identification, informed decision-making, and improved capital allocation. Collectively, ACSS and PRA should be integrated into the banks’ digital credit frameworks, supported by training, robust data infrastructure, and continuous monitoring, to sustain competitive advantage and enhance long-term financial stability in Nigeria’s banking sector.</w:t>
      </w:r>
    </w:p>
    <w:p w14:paraId="0DBE9663" w14:textId="639BF96D" w:rsidR="008C74D4" w:rsidRDefault="008C74D4" w:rsidP="00600812">
      <w:pPr>
        <w:spacing w:before="100" w:beforeAutospacing="1" w:after="100" w:afterAutospacing="1" w:line="240" w:lineRule="auto"/>
        <w:jc w:val="both"/>
        <w:rPr>
          <w:rFonts w:ascii="Times New Roman" w:eastAsia="Times New Roman" w:hAnsi="Times New Roman" w:cs="Times New Roman"/>
          <w:sz w:val="24"/>
          <w:szCs w:val="24"/>
        </w:rPr>
      </w:pPr>
    </w:p>
    <w:p w14:paraId="71BCC3E7" w14:textId="3E3D7316" w:rsidR="008C74D4" w:rsidRDefault="008C74D4" w:rsidP="00600812">
      <w:pPr>
        <w:spacing w:before="100" w:beforeAutospacing="1" w:after="100" w:afterAutospacing="1" w:line="240" w:lineRule="auto"/>
        <w:jc w:val="both"/>
        <w:rPr>
          <w:rFonts w:ascii="Times New Roman" w:eastAsia="Times New Roman" w:hAnsi="Times New Roman" w:cs="Times New Roman"/>
          <w:b/>
          <w:bCs/>
          <w:sz w:val="24"/>
          <w:szCs w:val="24"/>
        </w:rPr>
      </w:pPr>
      <w:r w:rsidRPr="008C74D4">
        <w:rPr>
          <w:rFonts w:ascii="Times New Roman" w:eastAsia="Times New Roman" w:hAnsi="Times New Roman" w:cs="Times New Roman"/>
          <w:b/>
          <w:bCs/>
          <w:sz w:val="24"/>
          <w:szCs w:val="24"/>
        </w:rPr>
        <w:t>Contributions to Knowledge</w:t>
      </w:r>
    </w:p>
    <w:p w14:paraId="0E847903" w14:textId="5C9600C6" w:rsidR="008C74D4" w:rsidRPr="008C74D4" w:rsidRDefault="008C74D4" w:rsidP="00261A68">
      <w:pPr>
        <w:spacing w:before="100" w:beforeAutospacing="1" w:after="100" w:afterAutospacing="1" w:line="240" w:lineRule="auto"/>
        <w:jc w:val="both"/>
        <w:rPr>
          <w:rFonts w:ascii="Times New Roman" w:eastAsia="Times New Roman" w:hAnsi="Times New Roman" w:cs="Times New Roman"/>
          <w:sz w:val="24"/>
          <w:szCs w:val="24"/>
        </w:rPr>
      </w:pPr>
      <w:r w:rsidRPr="008C74D4">
        <w:rPr>
          <w:rFonts w:ascii="Times New Roman" w:eastAsia="Times New Roman" w:hAnsi="Times New Roman" w:cs="Times New Roman"/>
          <w:sz w:val="24"/>
          <w:szCs w:val="24"/>
        </w:rPr>
        <w:t>This study advances knowledge by examining the intersection of Artificial Intelligence (AI) and credit management within Nigerian Deposit Money Banks (DMBs), particularly in Abuja, addressing gaps in theory, empirical evidence, methodology, and context. While previous research on Nigerian banking has largely concentrated on conventional credit risk practices</w:t>
      </w:r>
      <w:r w:rsidR="00261A68" w:rsidRPr="00261A68">
        <w:rPr>
          <w:rFonts w:ascii="Times New Roman" w:eastAsia="Times New Roman" w:hAnsi="Times New Roman" w:cs="Times New Roman"/>
          <w:sz w:val="24"/>
          <w:szCs w:val="24"/>
        </w:rPr>
        <w:t xml:space="preserve"> </w:t>
      </w:r>
      <w:r w:rsidRPr="008C74D4">
        <w:rPr>
          <w:rFonts w:ascii="Times New Roman" w:eastAsia="Times New Roman" w:hAnsi="Times New Roman" w:cs="Times New Roman"/>
          <w:sz w:val="24"/>
          <w:szCs w:val="24"/>
        </w:rPr>
        <w:t>such as collateral evaluation, loan monitoring, and financial ratios</w:t>
      </w:r>
      <w:r w:rsidR="00261A68" w:rsidRPr="00261A68">
        <w:rPr>
          <w:rFonts w:ascii="Times New Roman" w:eastAsia="Times New Roman" w:hAnsi="Times New Roman" w:cs="Times New Roman"/>
          <w:sz w:val="24"/>
          <w:szCs w:val="24"/>
        </w:rPr>
        <w:t xml:space="preserve"> </w:t>
      </w:r>
      <w:r w:rsidRPr="008C74D4">
        <w:rPr>
          <w:rFonts w:ascii="Times New Roman" w:eastAsia="Times New Roman" w:hAnsi="Times New Roman" w:cs="Times New Roman"/>
          <w:sz w:val="24"/>
          <w:szCs w:val="24"/>
        </w:rPr>
        <w:t xml:space="preserve">limited attention has been given to AI-driven tools like machine learning algorithms, predictive analytics, automated credit scoring, and intelligent risk assessment. By exploring how these AI applications influence financial performance, this research extends understanding beyond traditional frameworks, demonstrating that AI can enhance credit decision accuracy, improve predictive risk </w:t>
      </w:r>
      <w:r w:rsidR="00DB6345" w:rsidRPr="008C74D4">
        <w:rPr>
          <w:rFonts w:ascii="Times New Roman" w:eastAsia="Times New Roman" w:hAnsi="Times New Roman" w:cs="Times New Roman"/>
          <w:sz w:val="24"/>
          <w:szCs w:val="24"/>
        </w:rPr>
        <w:t>modelling</w:t>
      </w:r>
      <w:r w:rsidRPr="008C74D4">
        <w:rPr>
          <w:rFonts w:ascii="Times New Roman" w:eastAsia="Times New Roman" w:hAnsi="Times New Roman" w:cs="Times New Roman"/>
          <w:sz w:val="24"/>
          <w:szCs w:val="24"/>
        </w:rPr>
        <w:t>, facilitate early detection of loan defaults, and automate borrower monitoring, ultimately strengthening loan portfolio quality and profitability.</w:t>
      </w:r>
    </w:p>
    <w:p w14:paraId="1FB7489B" w14:textId="55691B1A" w:rsidR="00261A68" w:rsidRDefault="008C74D4" w:rsidP="00261A68">
      <w:pPr>
        <w:spacing w:before="100" w:beforeAutospacing="1" w:after="100" w:afterAutospacing="1" w:line="240" w:lineRule="auto"/>
        <w:jc w:val="both"/>
        <w:rPr>
          <w:rFonts w:ascii="Times New Roman" w:eastAsia="Times New Roman" w:hAnsi="Times New Roman" w:cs="Times New Roman"/>
          <w:sz w:val="24"/>
          <w:szCs w:val="24"/>
        </w:rPr>
      </w:pPr>
      <w:r w:rsidRPr="008C74D4">
        <w:rPr>
          <w:rFonts w:ascii="Times New Roman" w:eastAsia="Times New Roman" w:hAnsi="Times New Roman" w:cs="Times New Roman"/>
          <w:sz w:val="24"/>
          <w:szCs w:val="24"/>
        </w:rPr>
        <w:t>The study contributes context-specific insights to the underrepresented Nigerian financial environment, recognizing that findings from developed economies may not generalize due to differing financial infrastructures, regulatory frameworks, and technological adoption levels. Theoretically, it integrates AI adoption and digital transformation frameworks with financial performance theories, bridging classical banking models with contemporary technological perspectives. Methodologically, it advances prior approaches by combining financial metrics with managerial and operational insights, providing a holistic view of AI deployment and its measurable outcomes.</w:t>
      </w:r>
      <w:r w:rsidR="00261A68" w:rsidRPr="00261A68">
        <w:rPr>
          <w:rFonts w:ascii="Times New Roman" w:eastAsia="Times New Roman" w:hAnsi="Times New Roman" w:cs="Times New Roman"/>
          <w:sz w:val="24"/>
          <w:szCs w:val="24"/>
        </w:rPr>
        <w:t xml:space="preserve"> </w:t>
      </w:r>
      <w:r w:rsidRPr="008C74D4">
        <w:rPr>
          <w:rFonts w:ascii="Times New Roman" w:eastAsia="Times New Roman" w:hAnsi="Times New Roman" w:cs="Times New Roman"/>
          <w:sz w:val="24"/>
          <w:szCs w:val="24"/>
        </w:rPr>
        <w:t>By introducing AI-specific operational indicators, the study fills empirical and methodological gaps, offering practical guidance for banking management and regulators seeking to leverage technology for improved credit management. It thereby strengthens understanding of technology-driven financial performance in emerging economies.</w:t>
      </w:r>
    </w:p>
    <w:p w14:paraId="3414BBA1" w14:textId="77777777" w:rsidR="00261A68" w:rsidRPr="00473D6B" w:rsidRDefault="00261A68" w:rsidP="00261A68">
      <w:pPr>
        <w:jc w:val="both"/>
        <w:rPr>
          <w:rFonts w:ascii="Times New Roman" w:hAnsi="Times New Roman" w:cs="Times New Roman"/>
          <w:b/>
          <w:bCs/>
          <w:sz w:val="24"/>
          <w:szCs w:val="24"/>
        </w:rPr>
      </w:pPr>
      <w:r w:rsidRPr="00473D6B">
        <w:rPr>
          <w:rFonts w:ascii="Times New Roman" w:hAnsi="Times New Roman" w:cs="Times New Roman"/>
          <w:b/>
          <w:bCs/>
          <w:sz w:val="24"/>
          <w:szCs w:val="24"/>
        </w:rPr>
        <w:t>References</w:t>
      </w:r>
    </w:p>
    <w:p w14:paraId="1A6ECC1C"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Abbas, G., Ying, Z., &amp; Ayoubi, M. (2025). Consensus-driven feature selection for transparent and robust loan default prediction. </w:t>
      </w:r>
      <w:r w:rsidRPr="00473D6B">
        <w:rPr>
          <w:rFonts w:ascii="Times New Roman" w:hAnsi="Times New Roman" w:cs="Times New Roman"/>
          <w:i/>
          <w:iCs/>
          <w:sz w:val="24"/>
          <w:szCs w:val="24"/>
        </w:rPr>
        <w:t>Scientific Reports</w:t>
      </w:r>
      <w:r w:rsidRPr="00473D6B">
        <w:rPr>
          <w:rFonts w:ascii="Times New Roman" w:hAnsi="Times New Roman" w:cs="Times New Roman"/>
          <w:sz w:val="24"/>
          <w:szCs w:val="24"/>
        </w:rPr>
        <w:t xml:space="preserve">. \Akinwunmi, T. (2025). Artificial </w:t>
      </w:r>
      <w:r w:rsidRPr="00473D6B">
        <w:rPr>
          <w:rFonts w:ascii="Times New Roman" w:hAnsi="Times New Roman" w:cs="Times New Roman"/>
          <w:sz w:val="24"/>
          <w:szCs w:val="24"/>
        </w:rPr>
        <w:lastRenderedPageBreak/>
        <w:t xml:space="preserve">Intelligence (AI) and Firm Survival of Deposit Money Banks. </w:t>
      </w:r>
      <w:r w:rsidRPr="00473D6B">
        <w:rPr>
          <w:rFonts w:ascii="Times New Roman" w:hAnsi="Times New Roman" w:cs="Times New Roman"/>
          <w:i/>
          <w:iCs/>
          <w:sz w:val="24"/>
          <w:szCs w:val="24"/>
        </w:rPr>
        <w:t>Applied Sciences, Computing, and Energy</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2</w:t>
      </w:r>
      <w:r w:rsidRPr="00473D6B">
        <w:rPr>
          <w:rFonts w:ascii="Times New Roman" w:hAnsi="Times New Roman" w:cs="Times New Roman"/>
          <w:sz w:val="24"/>
          <w:szCs w:val="24"/>
        </w:rPr>
        <w:t>(1), 21-38.</w:t>
      </w:r>
    </w:p>
    <w:p w14:paraId="2798FFA0"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Abbas, G., Ying, Z., &amp; Iqbal, M. (2026). From Binary Scores to Risk Tiers: An Interpretable Hybrid Stacking Model for Multi-Class Loan Default Prediction. </w:t>
      </w:r>
      <w:r w:rsidRPr="00473D6B">
        <w:rPr>
          <w:rFonts w:ascii="Times New Roman" w:hAnsi="Times New Roman" w:cs="Times New Roman"/>
          <w:i/>
          <w:iCs/>
          <w:sz w:val="24"/>
          <w:szCs w:val="24"/>
        </w:rPr>
        <w:t>Systems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14</w:t>
      </w:r>
      <w:r w:rsidRPr="00473D6B">
        <w:rPr>
          <w:rFonts w:ascii="Times New Roman" w:hAnsi="Times New Roman" w:cs="Times New Roman"/>
          <w:sz w:val="24"/>
          <w:szCs w:val="24"/>
        </w:rPr>
        <w:t>(1), 78.</w:t>
      </w:r>
    </w:p>
    <w:p w14:paraId="33937278"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Ahmed, F., Rahman, M. U., Rehman, H. M., Imran, M., Dunay, A., &amp; Hossain, M. B. (2024). Corporate capital structure effects on corporate performance pursuing a strategy of innovation in manufacturing companies. </w:t>
      </w:r>
      <w:r w:rsidRPr="00473D6B">
        <w:rPr>
          <w:rFonts w:ascii="Times New Roman" w:hAnsi="Times New Roman" w:cs="Times New Roman"/>
          <w:i/>
          <w:iCs/>
          <w:sz w:val="24"/>
          <w:szCs w:val="24"/>
        </w:rPr>
        <w:t>Heliyon</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10</w:t>
      </w:r>
      <w:r w:rsidRPr="00473D6B">
        <w:rPr>
          <w:rFonts w:ascii="Times New Roman" w:hAnsi="Times New Roman" w:cs="Times New Roman"/>
          <w:sz w:val="24"/>
          <w:szCs w:val="24"/>
        </w:rPr>
        <w:t xml:space="preserve">(3). </w:t>
      </w:r>
    </w:p>
    <w:p w14:paraId="3A9B3B2A"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Akutson, S. K., &amp; Sani, D. M. (2026). The effect of financial technology on financial inclusion in Nigeria. </w:t>
      </w:r>
      <w:r w:rsidRPr="00473D6B">
        <w:rPr>
          <w:rFonts w:ascii="Times New Roman" w:hAnsi="Times New Roman" w:cs="Times New Roman"/>
          <w:i/>
          <w:iCs/>
          <w:sz w:val="24"/>
          <w:szCs w:val="24"/>
        </w:rPr>
        <w:t>British Journal of Interdisciplinary Research</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3</w:t>
      </w:r>
      <w:r w:rsidRPr="00473D6B">
        <w:rPr>
          <w:rFonts w:ascii="Times New Roman" w:hAnsi="Times New Roman" w:cs="Times New Roman"/>
          <w:sz w:val="24"/>
          <w:szCs w:val="24"/>
        </w:rPr>
        <w:t>(10), 22-49.</w:t>
      </w:r>
    </w:p>
    <w:p w14:paraId="70397E5D"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Alawi Al-Sodani, K. A. (2026). Experimental assessment and hybrid machine learning prediction and optimization of compressive strength of steel fiber reinforced demolition waste concrete. </w:t>
      </w:r>
      <w:r w:rsidRPr="00473D6B">
        <w:rPr>
          <w:rFonts w:ascii="Times New Roman" w:hAnsi="Times New Roman" w:cs="Times New Roman"/>
          <w:i/>
          <w:iCs/>
          <w:sz w:val="24"/>
          <w:szCs w:val="24"/>
        </w:rPr>
        <w:t>Journal of Structural Integrity and Maintenance</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11</w:t>
      </w:r>
      <w:r w:rsidRPr="00473D6B">
        <w:rPr>
          <w:rFonts w:ascii="Times New Roman" w:hAnsi="Times New Roman" w:cs="Times New Roman"/>
          <w:sz w:val="24"/>
          <w:szCs w:val="24"/>
        </w:rPr>
        <w:t xml:space="preserve">(2), 2630088. </w:t>
      </w:r>
    </w:p>
    <w:p w14:paraId="68B1BA42"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Alhumaidi, N. H., Dermawan, D., Kamaruzaman, H. F., &amp; Alotaiq, N. (2025). The use of machine learning for analyzing real-world data in disease prediction and management: systematic review. </w:t>
      </w:r>
      <w:r w:rsidRPr="00473D6B">
        <w:rPr>
          <w:rFonts w:ascii="Times New Roman" w:hAnsi="Times New Roman" w:cs="Times New Roman"/>
          <w:i/>
          <w:iCs/>
          <w:sz w:val="24"/>
          <w:szCs w:val="24"/>
        </w:rPr>
        <w:t>JMIR Medical Informatics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13</w:t>
      </w:r>
      <w:r w:rsidRPr="00473D6B">
        <w:rPr>
          <w:rFonts w:ascii="Times New Roman" w:hAnsi="Times New Roman" w:cs="Times New Roman"/>
          <w:sz w:val="24"/>
          <w:szCs w:val="24"/>
        </w:rPr>
        <w:t>(1), e68898.</w:t>
      </w:r>
    </w:p>
    <w:p w14:paraId="05435537"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Ali, G., Emmanuel, O., Mijwil, M. M., Buruga, B. A., Eslahi, A. V., &amp; Adamopoulos, I. (2026). A Survey on Securing Smart Finance using Artificial Intelligence and Blockchain. </w:t>
      </w:r>
      <w:r w:rsidRPr="00473D6B">
        <w:rPr>
          <w:rFonts w:ascii="Times New Roman" w:hAnsi="Times New Roman" w:cs="Times New Roman"/>
          <w:i/>
          <w:iCs/>
          <w:sz w:val="24"/>
          <w:szCs w:val="24"/>
        </w:rPr>
        <w:t>SHIFRA</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2026</w:t>
      </w:r>
      <w:r w:rsidRPr="00473D6B">
        <w:rPr>
          <w:rFonts w:ascii="Times New Roman" w:hAnsi="Times New Roman" w:cs="Times New Roman"/>
          <w:sz w:val="24"/>
          <w:szCs w:val="24"/>
        </w:rPr>
        <w:t xml:space="preserve">, 1-61. </w:t>
      </w:r>
    </w:p>
    <w:p w14:paraId="0328CD4A"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Alsobai, B., &amp; Aassouli, D. (2026). The Role of Legal and Regulatory Frameworks in Driving Digital Transformation for the Banking Sector in Qatar with Global Benchmarks. </w:t>
      </w:r>
      <w:r w:rsidRPr="00473D6B">
        <w:rPr>
          <w:rFonts w:ascii="Times New Roman" w:hAnsi="Times New Roman" w:cs="Times New Roman"/>
          <w:i/>
          <w:iCs/>
          <w:sz w:val="24"/>
          <w:szCs w:val="24"/>
        </w:rPr>
        <w:t>Journal of Risk and Financial Management</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19</w:t>
      </w:r>
      <w:r w:rsidRPr="00473D6B">
        <w:rPr>
          <w:rFonts w:ascii="Times New Roman" w:hAnsi="Times New Roman" w:cs="Times New Roman"/>
          <w:sz w:val="24"/>
          <w:szCs w:val="24"/>
        </w:rPr>
        <w:t>(2), 99.</w:t>
      </w:r>
    </w:p>
    <w:p w14:paraId="4F584D19"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Amanda, O. W. (2026). Profitability Ratio Analysis in Assessing the Financial Performance of PT Artha Mahiya Investama Tbk for the 2023–2024 Period. </w:t>
      </w:r>
      <w:r w:rsidRPr="00473D6B">
        <w:rPr>
          <w:rFonts w:ascii="Times New Roman" w:hAnsi="Times New Roman" w:cs="Times New Roman"/>
          <w:i/>
          <w:iCs/>
          <w:sz w:val="24"/>
          <w:szCs w:val="24"/>
        </w:rPr>
        <w:t>International Journal Accounting Tax and Business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w:t>
      </w:r>
      <w:r w:rsidRPr="00473D6B">
        <w:rPr>
          <w:rFonts w:ascii="Times New Roman" w:hAnsi="Times New Roman" w:cs="Times New Roman"/>
          <w:sz w:val="24"/>
          <w:szCs w:val="24"/>
        </w:rPr>
        <w:t xml:space="preserve">(1), 11-16. </w:t>
      </w:r>
    </w:p>
    <w:p w14:paraId="0992A14A"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Ansari, I., Bhujel, K., &amp; Khawaja, U. (2026). AI-Driven Predictive Analytics and Decision Outcomes in Modern Enterprises: Impacts on Decision Quality, Speed, and Operational Performance. </w:t>
      </w:r>
      <w:r w:rsidRPr="00473D6B">
        <w:rPr>
          <w:rFonts w:ascii="Times New Roman" w:hAnsi="Times New Roman" w:cs="Times New Roman"/>
          <w:i/>
          <w:iCs/>
          <w:sz w:val="24"/>
          <w:szCs w:val="24"/>
        </w:rPr>
        <w:t>Emerging Frontiers Library for The American Journal of Engineering and Technology</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8</w:t>
      </w:r>
      <w:r w:rsidRPr="00473D6B">
        <w:rPr>
          <w:rFonts w:ascii="Times New Roman" w:hAnsi="Times New Roman" w:cs="Times New Roman"/>
          <w:sz w:val="24"/>
          <w:szCs w:val="24"/>
        </w:rPr>
        <w:t xml:space="preserve">(01), 145-167. </w:t>
      </w:r>
    </w:p>
    <w:p w14:paraId="594238E5"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Arowona, K., &amp; Yinusa, G. (2025). FinTech, Artificial Intelligence, and Financial Inclusion: Transforming Global Finance through Innovation, Regulation, and Ethics. </w:t>
      </w:r>
      <w:r w:rsidRPr="00473D6B">
        <w:rPr>
          <w:rFonts w:ascii="Times New Roman" w:hAnsi="Times New Roman" w:cs="Times New Roman"/>
          <w:i/>
          <w:iCs/>
          <w:sz w:val="24"/>
          <w:szCs w:val="24"/>
        </w:rPr>
        <w:t>FinTech and AI in Finance (FinTAF)</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3</w:t>
      </w:r>
      <w:r w:rsidRPr="00473D6B">
        <w:rPr>
          <w:rFonts w:ascii="Times New Roman" w:hAnsi="Times New Roman" w:cs="Times New Roman"/>
          <w:sz w:val="24"/>
          <w:szCs w:val="24"/>
        </w:rPr>
        <w:t>(1).</w:t>
      </w:r>
    </w:p>
    <w:p w14:paraId="5C8D9F0D"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Ayeni, O. B., Musinguzi-Karamukyo, I., Onibalusi, O. T., &amp; Omigbodun, O. M. (2026). AI in Everyday Life: How Algorithmic Systems Shape Social Relations, Opportunity, and Public Trust. </w:t>
      </w:r>
      <w:r w:rsidRPr="00473D6B">
        <w:rPr>
          <w:rFonts w:ascii="Times New Roman" w:hAnsi="Times New Roman" w:cs="Times New Roman"/>
          <w:i/>
          <w:iCs/>
          <w:sz w:val="24"/>
          <w:szCs w:val="24"/>
        </w:rPr>
        <w:t>Societies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16</w:t>
      </w:r>
      <w:r w:rsidRPr="00473D6B">
        <w:rPr>
          <w:rFonts w:ascii="Times New Roman" w:hAnsi="Times New Roman" w:cs="Times New Roman"/>
          <w:sz w:val="24"/>
          <w:szCs w:val="24"/>
        </w:rPr>
        <w:t xml:space="preserve">(2), 59. </w:t>
      </w:r>
    </w:p>
    <w:p w14:paraId="401BAB36"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Babic, T., Katnic, M., Katnic, I., Kavaric, V., &amp; Drakic-Grgur, M. (2026). Innovation for Sustainable SMEs: How Financial Health Drives Resilience and Long-Term Performance in a Transition Economy. </w:t>
      </w:r>
      <w:r w:rsidRPr="00473D6B">
        <w:rPr>
          <w:rFonts w:ascii="Times New Roman" w:hAnsi="Times New Roman" w:cs="Times New Roman"/>
          <w:i/>
          <w:iCs/>
          <w:sz w:val="24"/>
          <w:szCs w:val="24"/>
        </w:rPr>
        <w:t>Sustainability</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18</w:t>
      </w:r>
      <w:r w:rsidRPr="00473D6B">
        <w:rPr>
          <w:rFonts w:ascii="Times New Roman" w:hAnsi="Times New Roman" w:cs="Times New Roman"/>
          <w:sz w:val="24"/>
          <w:szCs w:val="24"/>
        </w:rPr>
        <w:t>(3), 1145.</w:t>
      </w:r>
    </w:p>
    <w:p w14:paraId="00840944"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lastRenderedPageBreak/>
        <w:t xml:space="preserve">Baghel, R. S., &amp; Mamodiya, U. (2026). Risk Management Optimization Using Artificial Intelligence: Transforming Risk Analysis Through Intelligent Systems. In </w:t>
      </w:r>
      <w:r w:rsidRPr="00473D6B">
        <w:rPr>
          <w:rFonts w:ascii="Times New Roman" w:hAnsi="Times New Roman" w:cs="Times New Roman"/>
          <w:i/>
          <w:iCs/>
          <w:sz w:val="24"/>
          <w:szCs w:val="24"/>
        </w:rPr>
        <w:t>Multimedia and AI Applications for Sustainable Smart Mining and Energy</w:t>
      </w:r>
      <w:r w:rsidRPr="00473D6B">
        <w:rPr>
          <w:rFonts w:ascii="Times New Roman" w:hAnsi="Times New Roman" w:cs="Times New Roman"/>
          <w:sz w:val="24"/>
          <w:szCs w:val="24"/>
        </w:rPr>
        <w:t xml:space="preserve"> (pp. 271-292). IGI Global Scientific Publishing.</w:t>
      </w:r>
    </w:p>
    <w:p w14:paraId="64643697"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Benedicta, N. N., Ijeoma, O. P., Ndubuisi, A. F., Ikechukwu, S. N., Nnenna, A. S., Ogayi, O. N., &amp; Malachy, O. C. (2025). Artificial Intelligence-Driven Credit Scoring Models And Their Implications For Financial Reporting Transparency In Nigerian Deposit Money Banks. </w:t>
      </w:r>
      <w:r w:rsidRPr="00473D6B">
        <w:rPr>
          <w:rFonts w:ascii="Times New Roman" w:hAnsi="Times New Roman" w:cs="Times New Roman"/>
          <w:i/>
          <w:iCs/>
          <w:sz w:val="24"/>
          <w:szCs w:val="24"/>
        </w:rPr>
        <w:t>Journal Of Behavioural Accounting</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w:t>
      </w:r>
      <w:r w:rsidRPr="00473D6B">
        <w:rPr>
          <w:rFonts w:ascii="Times New Roman" w:hAnsi="Times New Roman" w:cs="Times New Roman"/>
          <w:sz w:val="24"/>
          <w:szCs w:val="24"/>
        </w:rPr>
        <w:t>(1), 22-32.</w:t>
      </w:r>
    </w:p>
    <w:p w14:paraId="738F243B"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Boyina, V. A. K., &amp; Chettier, T. M. (2026). Integrating Artificial Intelligence in Business Intelligence Architectures for Predictive Decision-Making. In </w:t>
      </w:r>
      <w:r w:rsidRPr="00473D6B">
        <w:rPr>
          <w:rFonts w:ascii="Times New Roman" w:hAnsi="Times New Roman" w:cs="Times New Roman"/>
          <w:i/>
          <w:iCs/>
          <w:sz w:val="24"/>
          <w:szCs w:val="24"/>
        </w:rPr>
        <w:t>Architecting Strategic Business Transformation Through Data-Driven Systems</w:t>
      </w:r>
      <w:r w:rsidRPr="00473D6B">
        <w:rPr>
          <w:rFonts w:ascii="Times New Roman" w:hAnsi="Times New Roman" w:cs="Times New Roman"/>
          <w:sz w:val="24"/>
          <w:szCs w:val="24"/>
        </w:rPr>
        <w:t xml:space="preserve"> (pp. 175-210). IGI Global Scientific Publishing.</w:t>
      </w:r>
    </w:p>
    <w:p w14:paraId="556DEDE2"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Ciurel, M., &amp; Dobrescu, R. M. (2025). Corporate Governance Mechanisms and Sustainable Financial Performance: Empirical Evidence from Romanian Listed Companies. </w:t>
      </w:r>
      <w:r w:rsidRPr="00473D6B">
        <w:rPr>
          <w:rFonts w:ascii="Times New Roman" w:hAnsi="Times New Roman" w:cs="Times New Roman"/>
          <w:i/>
          <w:iCs/>
          <w:sz w:val="24"/>
          <w:szCs w:val="24"/>
        </w:rPr>
        <w:t>Sustainability</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18</w:t>
      </w:r>
      <w:r w:rsidRPr="00473D6B">
        <w:rPr>
          <w:rFonts w:ascii="Times New Roman" w:hAnsi="Times New Roman" w:cs="Times New Roman"/>
          <w:sz w:val="24"/>
          <w:szCs w:val="24"/>
        </w:rPr>
        <w:t xml:space="preserve">(1), 95. </w:t>
      </w:r>
    </w:p>
    <w:p w14:paraId="754BDA14"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Deng, S., Li, Y., Zhu, Y., Luo, Q., Yi, S., Wang, B., &amp; Shimada, T. (2026). Default Risk Identification of Chinese Corporate Bonds Using Interpretable Machine Learning. </w:t>
      </w:r>
      <w:r w:rsidRPr="00473D6B">
        <w:rPr>
          <w:rFonts w:ascii="Times New Roman" w:hAnsi="Times New Roman" w:cs="Times New Roman"/>
          <w:i/>
          <w:iCs/>
          <w:sz w:val="24"/>
          <w:szCs w:val="24"/>
        </w:rPr>
        <w:t>Computational Economics</w:t>
      </w:r>
      <w:r w:rsidRPr="00473D6B">
        <w:rPr>
          <w:rFonts w:ascii="Times New Roman" w:hAnsi="Times New Roman" w:cs="Times New Roman"/>
          <w:sz w:val="24"/>
          <w:szCs w:val="24"/>
        </w:rPr>
        <w:t>, 1-39.</w:t>
      </w:r>
    </w:p>
    <w:p w14:paraId="79FA2F71"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Dubey, M., Panwar, M., Singh, R., &amp; Kant, S. (2026). Risk Perception and AI-Driven Financial Decision-Making: A FinTech Perspective. In </w:t>
      </w:r>
      <w:r w:rsidRPr="00473D6B">
        <w:rPr>
          <w:rFonts w:ascii="Times New Roman" w:hAnsi="Times New Roman" w:cs="Times New Roman"/>
          <w:i/>
          <w:iCs/>
          <w:sz w:val="24"/>
          <w:szCs w:val="24"/>
        </w:rPr>
        <w:t>Automating Intelligence With Cloud-Native AI Tools</w:t>
      </w:r>
      <w:r w:rsidRPr="00473D6B">
        <w:rPr>
          <w:rFonts w:ascii="Times New Roman" w:hAnsi="Times New Roman" w:cs="Times New Roman"/>
          <w:sz w:val="24"/>
          <w:szCs w:val="24"/>
        </w:rPr>
        <w:t xml:space="preserve"> (pp. 325-348). IGI Global Scientific Publishing.</w:t>
      </w:r>
    </w:p>
    <w:p w14:paraId="0DFAFDC3"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Duong, H. K., &amp; Nguyen, H. C. (2026). The impact of digitalisation on firm value, financial performance, and green initiatives: evidence from Vietnam, an emerging economy. </w:t>
      </w:r>
      <w:r w:rsidRPr="00473D6B">
        <w:rPr>
          <w:rFonts w:ascii="Times New Roman" w:hAnsi="Times New Roman" w:cs="Times New Roman"/>
          <w:i/>
          <w:iCs/>
          <w:sz w:val="24"/>
          <w:szCs w:val="24"/>
        </w:rPr>
        <w:t>Journal of Applied Accounting Research</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27</w:t>
      </w:r>
      <w:r w:rsidRPr="00473D6B">
        <w:rPr>
          <w:rFonts w:ascii="Times New Roman" w:hAnsi="Times New Roman" w:cs="Times New Roman"/>
          <w:sz w:val="24"/>
          <w:szCs w:val="24"/>
        </w:rPr>
        <w:t>(1), 110-140.</w:t>
      </w:r>
    </w:p>
    <w:p w14:paraId="70E5D11E"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Eberi-Kalu, O. (2026). </w:t>
      </w:r>
      <w:r w:rsidRPr="00473D6B">
        <w:rPr>
          <w:rFonts w:ascii="Times New Roman" w:hAnsi="Times New Roman" w:cs="Times New Roman"/>
          <w:i/>
          <w:iCs/>
          <w:sz w:val="24"/>
          <w:szCs w:val="24"/>
        </w:rPr>
        <w:t>Artificial Intelligence and Organisational Performance: An Examination of the Factors Influencing Customers’ Perspectives towards Selected Deposit Money Banks in Abuja, Nigeria. Trends Comput Sci Inf Technol. 2026; 11 (1): 001-013</w:t>
      </w:r>
      <w:r w:rsidRPr="00473D6B">
        <w:rPr>
          <w:rFonts w:ascii="Times New Roman" w:hAnsi="Times New Roman" w:cs="Times New Roman"/>
          <w:sz w:val="24"/>
          <w:szCs w:val="24"/>
        </w:rPr>
        <w:t xml:space="preserve">. </w:t>
      </w:r>
    </w:p>
    <w:p w14:paraId="3B945D57"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Fransisca, J., Subur, A., Wiliam, W., Saputra, H., &amp; Nasib, N. (2026). The Influence Of Liquidity, Solvency, And Profitability On The Financial Performance Of Food And Beverage Manufacturing Companies Listed On The Indonesia Stock Exchange For The 2021-2024 Period. </w:t>
      </w:r>
      <w:r w:rsidRPr="00473D6B">
        <w:rPr>
          <w:rFonts w:ascii="Times New Roman" w:hAnsi="Times New Roman" w:cs="Times New Roman"/>
          <w:i/>
          <w:iCs/>
          <w:sz w:val="24"/>
          <w:szCs w:val="24"/>
        </w:rPr>
        <w:t>Jurnal Economic Resource</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9</w:t>
      </w:r>
      <w:r w:rsidRPr="00473D6B">
        <w:rPr>
          <w:rFonts w:ascii="Times New Roman" w:hAnsi="Times New Roman" w:cs="Times New Roman"/>
          <w:sz w:val="24"/>
          <w:szCs w:val="24"/>
        </w:rPr>
        <w:t>(1), 122-133.</w:t>
      </w:r>
    </w:p>
    <w:p w14:paraId="45CDACBF"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Giyatiningrum, E. G. E. (2026). Analysis of Liquidity Ratios and Profitability Ratios to Assess Financial Performance at PT. Unilever Indonesia Tbk for the Years 2015–2024. </w:t>
      </w:r>
      <w:r w:rsidRPr="00473D6B">
        <w:rPr>
          <w:rFonts w:ascii="Times New Roman" w:hAnsi="Times New Roman" w:cs="Times New Roman"/>
          <w:i/>
          <w:iCs/>
          <w:sz w:val="24"/>
          <w:szCs w:val="24"/>
        </w:rPr>
        <w:t>Indonesian Interdisciplinary Journal of Sharia Economics (IIJSE)</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9</w:t>
      </w:r>
      <w:r w:rsidRPr="00473D6B">
        <w:rPr>
          <w:rFonts w:ascii="Times New Roman" w:hAnsi="Times New Roman" w:cs="Times New Roman"/>
          <w:sz w:val="24"/>
          <w:szCs w:val="24"/>
        </w:rPr>
        <w:t>(1), 3165-3182.</w:t>
      </w:r>
    </w:p>
    <w:p w14:paraId="7E68E291"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Hamzah, N., Bahri, E. S., Wondem, B. A., Jamil, S., Muhammad, A. A., &amp; Musa, S. (2026). The Adoption of Islamic Banking in Uganda: The Moderating Role of Customer Awareness in the Diffusion of Innovation. </w:t>
      </w:r>
      <w:r w:rsidRPr="00473D6B">
        <w:rPr>
          <w:rFonts w:ascii="Times New Roman" w:hAnsi="Times New Roman" w:cs="Times New Roman"/>
          <w:i/>
          <w:iCs/>
          <w:sz w:val="24"/>
          <w:szCs w:val="24"/>
        </w:rPr>
        <w:t>Saudi J Econ Fin</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10</w:t>
      </w:r>
      <w:r w:rsidRPr="00473D6B">
        <w:rPr>
          <w:rFonts w:ascii="Times New Roman" w:hAnsi="Times New Roman" w:cs="Times New Roman"/>
          <w:sz w:val="24"/>
          <w:szCs w:val="24"/>
        </w:rPr>
        <w:t>(2), 56-67.</w:t>
      </w:r>
    </w:p>
    <w:p w14:paraId="18C8C3F2"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lastRenderedPageBreak/>
        <w:t xml:space="preserve">Husaeni, U. A. (2026). Ten years of mapping the growth and trends research of artificial intelligence in the financial sector: a bibliometric analysis. </w:t>
      </w:r>
      <w:r w:rsidRPr="00473D6B">
        <w:rPr>
          <w:rFonts w:ascii="Times New Roman" w:hAnsi="Times New Roman" w:cs="Times New Roman"/>
          <w:i/>
          <w:iCs/>
          <w:sz w:val="24"/>
          <w:szCs w:val="24"/>
        </w:rPr>
        <w:t>Journal of Chinese Economic and Business Studies</w:t>
      </w:r>
      <w:r w:rsidRPr="00473D6B">
        <w:rPr>
          <w:rFonts w:ascii="Times New Roman" w:hAnsi="Times New Roman" w:cs="Times New Roman"/>
          <w:sz w:val="24"/>
          <w:szCs w:val="24"/>
        </w:rPr>
        <w:t>, 1-29.</w:t>
      </w:r>
    </w:p>
    <w:p w14:paraId="6911EAB6"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Imam-Binuyo, A., Magaji, S., &amp; Ismail, Y. (2026). Evaluating Conventional Sustainability Drivers of Dam Infrastructure Performance Within A Multi-Dimensional Assessment Framework.</w:t>
      </w:r>
    </w:p>
    <w:p w14:paraId="6F66331D"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Islam, M. R., &amp; Islam, M. R. (2025). Artificial Intelligence Driven Big Data and Business Analytics: A Comprehensive Review of Multi-Sectoral Applications in Healthcare, Finance, Supply Chain, and Organizational Innovation. </w:t>
      </w:r>
      <w:r w:rsidRPr="00473D6B">
        <w:rPr>
          <w:rFonts w:ascii="Times New Roman" w:hAnsi="Times New Roman" w:cs="Times New Roman"/>
          <w:i/>
          <w:iCs/>
          <w:sz w:val="24"/>
          <w:szCs w:val="24"/>
        </w:rPr>
        <w:t>Artificial Intelligence Driven Big Data and Business Analytics: A Comprehensive Review of Multi-Sectoral Applications in Healthcare, Finance, Supply Chain, and Organizational Innovation</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3</w:t>
      </w:r>
      <w:r w:rsidRPr="00473D6B">
        <w:rPr>
          <w:rFonts w:ascii="Times New Roman" w:hAnsi="Times New Roman" w:cs="Times New Roman"/>
          <w:sz w:val="24"/>
          <w:szCs w:val="24"/>
        </w:rPr>
        <w:t xml:space="preserve">(1), 119-140. </w:t>
      </w:r>
    </w:p>
    <w:p w14:paraId="3EC3C80F"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Jafari, M., &amp; Mousavi, E. (2026). A Critical Review of the Data-Driven Cost Estimation Approach in Construction Research. </w:t>
      </w:r>
      <w:r w:rsidRPr="00473D6B">
        <w:rPr>
          <w:rFonts w:ascii="Times New Roman" w:hAnsi="Times New Roman" w:cs="Times New Roman"/>
          <w:i/>
          <w:iCs/>
          <w:sz w:val="24"/>
          <w:szCs w:val="24"/>
        </w:rPr>
        <w:t>Journal of Construction Engineering and Management</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152</w:t>
      </w:r>
      <w:r w:rsidRPr="00473D6B">
        <w:rPr>
          <w:rFonts w:ascii="Times New Roman" w:hAnsi="Times New Roman" w:cs="Times New Roman"/>
          <w:sz w:val="24"/>
          <w:szCs w:val="24"/>
        </w:rPr>
        <w:t xml:space="preserve">(2), 03125013. </w:t>
      </w:r>
    </w:p>
    <w:p w14:paraId="77DED045"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Jammalamadaka, K. R., &amp; Itapu, S. (2023). Responsible AI in automated credit scoring systems. </w:t>
      </w:r>
      <w:r w:rsidRPr="00473D6B">
        <w:rPr>
          <w:rFonts w:ascii="Times New Roman" w:hAnsi="Times New Roman" w:cs="Times New Roman"/>
          <w:i/>
          <w:iCs/>
          <w:sz w:val="24"/>
          <w:szCs w:val="24"/>
        </w:rPr>
        <w:t>AI and Ethics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3</w:t>
      </w:r>
      <w:r w:rsidRPr="00473D6B">
        <w:rPr>
          <w:rFonts w:ascii="Times New Roman" w:hAnsi="Times New Roman" w:cs="Times New Roman"/>
          <w:sz w:val="24"/>
          <w:szCs w:val="24"/>
        </w:rPr>
        <w:t xml:space="preserve">(2), 485-495. </w:t>
      </w:r>
    </w:p>
    <w:p w14:paraId="39E8EBB1"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Japinye, A. O. (2026). Machine Learning for Systemic Risk Prediction in FinTech Lending: A Cross-Country Analysis Using Public Data. </w:t>
      </w:r>
      <w:r w:rsidRPr="00473D6B">
        <w:rPr>
          <w:rFonts w:ascii="Times New Roman" w:hAnsi="Times New Roman" w:cs="Times New Roman"/>
          <w:i/>
          <w:iCs/>
          <w:sz w:val="24"/>
          <w:szCs w:val="24"/>
        </w:rPr>
        <w:t>International Journal of Research in Social Science and Humanities (IJRSS) ISSN: 2582-6220, DOI: 10.47505/IJRSS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7</w:t>
      </w:r>
      <w:r w:rsidRPr="00473D6B">
        <w:rPr>
          <w:rFonts w:ascii="Times New Roman" w:hAnsi="Times New Roman" w:cs="Times New Roman"/>
          <w:sz w:val="24"/>
          <w:szCs w:val="24"/>
        </w:rPr>
        <w:t>(1), 110-136.</w:t>
      </w:r>
    </w:p>
    <w:p w14:paraId="37A6AC42"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Kera, J. R., &amp; Dewanti. (2026). Predictive Safety Analytics; Reducing Risk through Modeling and Machine Learning: By Robert Stevens, Boca Raton, FL: CRC Press, Taylor &amp; Francis Group, 2025, 98 pp., Engineering, $17.99, ISBN: 978-1-032-42438-5 (hbk). </w:t>
      </w:r>
    </w:p>
    <w:p w14:paraId="102B3A58"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Khan, A. A., Fatima, S., Akbar, J., &amp; Rehman, A. U. (2026). Artificial Intelligence Adoption in Financial Systems: Implications for Risk, Efficiency, and Stability in Emerging Economies. </w:t>
      </w:r>
      <w:r w:rsidRPr="00473D6B">
        <w:rPr>
          <w:rFonts w:ascii="Times New Roman" w:hAnsi="Times New Roman" w:cs="Times New Roman"/>
          <w:i/>
          <w:iCs/>
          <w:sz w:val="24"/>
          <w:szCs w:val="24"/>
        </w:rPr>
        <w:t>The Critical Review of Social Sciences Studies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4</w:t>
      </w:r>
      <w:r w:rsidRPr="00473D6B">
        <w:rPr>
          <w:rFonts w:ascii="Times New Roman" w:hAnsi="Times New Roman" w:cs="Times New Roman"/>
          <w:sz w:val="24"/>
          <w:szCs w:val="24"/>
        </w:rPr>
        <w:t>(1), 869-888.</w:t>
      </w:r>
    </w:p>
    <w:p w14:paraId="6569F7B1"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Kmen, C., Navratil, G., Kattenbeck, M., &amp; Giannopoulos, I. (2026). Evaluating human–machine collaboration through a comparative analysis of experts, machine learning, and hybrid approaches in real estate valuation. </w:t>
      </w:r>
      <w:r w:rsidRPr="00473D6B">
        <w:rPr>
          <w:rFonts w:ascii="Times New Roman" w:hAnsi="Times New Roman" w:cs="Times New Roman"/>
          <w:i/>
          <w:iCs/>
          <w:sz w:val="24"/>
          <w:szCs w:val="24"/>
        </w:rPr>
        <w:t>Scientific Reports</w:t>
      </w:r>
      <w:r w:rsidRPr="00473D6B">
        <w:rPr>
          <w:rFonts w:ascii="Times New Roman" w:hAnsi="Times New Roman" w:cs="Times New Roman"/>
          <w:sz w:val="24"/>
          <w:szCs w:val="24"/>
        </w:rPr>
        <w:t>.</w:t>
      </w:r>
    </w:p>
    <w:p w14:paraId="2D502435"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Kumar, S., Shivani, Moray, R., Jain, S., &amp; Chennamsetti, S. (2025, January). Analysing Web 3.0-Based Metaverse Banking Services: Through the Lens of Diffusion of Innovation Theory. In </w:t>
      </w:r>
      <w:r w:rsidRPr="00473D6B">
        <w:rPr>
          <w:rFonts w:ascii="Times New Roman" w:hAnsi="Times New Roman" w:cs="Times New Roman"/>
          <w:i/>
          <w:iCs/>
          <w:sz w:val="24"/>
          <w:szCs w:val="24"/>
        </w:rPr>
        <w:t>International Conference on Smart Trends for Information Technology and Computer Communications</w:t>
      </w:r>
      <w:r w:rsidRPr="00473D6B">
        <w:rPr>
          <w:rFonts w:ascii="Times New Roman" w:hAnsi="Times New Roman" w:cs="Times New Roman"/>
          <w:sz w:val="24"/>
          <w:szCs w:val="24"/>
        </w:rPr>
        <w:t xml:space="preserve"> (pp. 285-297). Singapore: Springer Nature Singapore.</w:t>
      </w:r>
    </w:p>
    <w:p w14:paraId="7689D619"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Leonelli, S., Erdem, K. K., Gleber, A., Milosch, M., Rehman, F. U., Sindel, L., ... &amp; Uribe, N. (2026). </w:t>
      </w:r>
      <w:r w:rsidRPr="00473D6B">
        <w:rPr>
          <w:rFonts w:ascii="Times New Roman" w:hAnsi="Times New Roman" w:cs="Times New Roman"/>
          <w:i/>
          <w:iCs/>
          <w:sz w:val="24"/>
          <w:szCs w:val="24"/>
        </w:rPr>
        <w:t>From Data to Score: Prospects for AI in African Fintech (Rwanda, Kenya, Nigeria).</w:t>
      </w:r>
      <w:r w:rsidRPr="00473D6B">
        <w:rPr>
          <w:rFonts w:ascii="Times New Roman" w:hAnsi="Times New Roman" w:cs="Times New Roman"/>
          <w:sz w:val="24"/>
          <w:szCs w:val="24"/>
        </w:rPr>
        <w:t xml:space="preserve"> An Ethical Data Initiative Report, Technical University of Munich</w:t>
      </w:r>
    </w:p>
    <w:p w14:paraId="20E77CE9"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Limna, P. (2026). Shaping Sustainable. </w:t>
      </w:r>
      <w:r w:rsidRPr="00473D6B">
        <w:rPr>
          <w:rFonts w:ascii="Times New Roman" w:hAnsi="Times New Roman" w:cs="Times New Roman"/>
          <w:i/>
          <w:iCs/>
          <w:sz w:val="24"/>
          <w:szCs w:val="24"/>
        </w:rPr>
        <w:t>Technology Policy and Its Impact on Green Governance and Sustainability</w:t>
      </w:r>
      <w:r w:rsidRPr="00473D6B">
        <w:rPr>
          <w:rFonts w:ascii="Times New Roman" w:hAnsi="Times New Roman" w:cs="Times New Roman"/>
          <w:sz w:val="24"/>
          <w:szCs w:val="24"/>
        </w:rPr>
        <w:t>, 263.</w:t>
      </w:r>
    </w:p>
    <w:p w14:paraId="6BAFCBFC"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lastRenderedPageBreak/>
        <w:t xml:space="preserve">Nwachukwu, K. K., Ibrahim, S. O., Owu, G., Igiri, C. R., &amp; Dankurma, R. A. (2026). Artificial Intelligence Adoption And Equitable Financial Inclusion For Persons Living With Disabilities In Nigeria’s Banking Ecosystem. </w:t>
      </w:r>
      <w:r w:rsidRPr="00473D6B">
        <w:rPr>
          <w:rFonts w:ascii="Times New Roman" w:hAnsi="Times New Roman" w:cs="Times New Roman"/>
          <w:i/>
          <w:iCs/>
          <w:sz w:val="24"/>
          <w:szCs w:val="24"/>
        </w:rPr>
        <w:t>International Journal Of Financial Research And Business Development</w:t>
      </w:r>
      <w:r w:rsidRPr="00473D6B">
        <w:rPr>
          <w:rFonts w:ascii="Times New Roman" w:hAnsi="Times New Roman" w:cs="Times New Roman"/>
          <w:sz w:val="24"/>
          <w:szCs w:val="24"/>
        </w:rPr>
        <w:t>.</w:t>
      </w:r>
    </w:p>
    <w:p w14:paraId="52317E7A"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Onoja, W. D., Abba, M. I., Edeh, O. P., Akpadaka, O. S., &amp; Dang, D. Y. (2026). Artificial intelligence disclosure and bank performance: evidence from deposit money banks in an emerging market. </w:t>
      </w:r>
      <w:r w:rsidRPr="00473D6B">
        <w:rPr>
          <w:rFonts w:ascii="Times New Roman" w:hAnsi="Times New Roman" w:cs="Times New Roman"/>
          <w:i/>
          <w:iCs/>
          <w:sz w:val="24"/>
          <w:szCs w:val="24"/>
        </w:rPr>
        <w:t>African Journal of Economic and Management Studies</w:t>
      </w:r>
      <w:r w:rsidRPr="00473D6B">
        <w:rPr>
          <w:rFonts w:ascii="Times New Roman" w:hAnsi="Times New Roman" w:cs="Times New Roman"/>
          <w:sz w:val="24"/>
          <w:szCs w:val="24"/>
        </w:rPr>
        <w:t>, 1-17.</w:t>
      </w:r>
    </w:p>
    <w:p w14:paraId="4FCDF8F1"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Rama, T., &amp; Prinsloo, T. (2025). Fairness, Accountability, Transparency, and Ethics (FATE) in Artificial Intelligence Creation: A Systematic Literature Review. In </w:t>
      </w:r>
      <w:r w:rsidRPr="00473D6B">
        <w:rPr>
          <w:rFonts w:ascii="Times New Roman" w:hAnsi="Times New Roman" w:cs="Times New Roman"/>
          <w:i/>
          <w:iCs/>
          <w:sz w:val="24"/>
          <w:szCs w:val="24"/>
        </w:rPr>
        <w:t>International Conference on Entrepreneurship, Innovation, and Leadership</w:t>
      </w:r>
      <w:r w:rsidRPr="00473D6B">
        <w:rPr>
          <w:rFonts w:ascii="Times New Roman" w:hAnsi="Times New Roman" w:cs="Times New Roman"/>
          <w:sz w:val="24"/>
          <w:szCs w:val="24"/>
        </w:rPr>
        <w:t xml:space="preserve"> (pp. 153-167). Springer, Singapore. </w:t>
      </w:r>
    </w:p>
    <w:p w14:paraId="2BD42199"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Rana, R., &amp; Bhambri, P. (2026). Ensuring Ethical and Equitable AI: From Bias Mitigation to Algorithmic Auditing. In </w:t>
      </w:r>
      <w:r w:rsidRPr="00473D6B">
        <w:rPr>
          <w:rFonts w:ascii="Times New Roman" w:hAnsi="Times New Roman" w:cs="Times New Roman"/>
          <w:i/>
          <w:iCs/>
          <w:sz w:val="24"/>
          <w:szCs w:val="24"/>
        </w:rPr>
        <w:t>Ethical, Regulatory, and Intellectual Property Impacts on AI Development</w:t>
      </w:r>
      <w:r w:rsidRPr="00473D6B">
        <w:rPr>
          <w:rFonts w:ascii="Times New Roman" w:hAnsi="Times New Roman" w:cs="Times New Roman"/>
          <w:sz w:val="24"/>
          <w:szCs w:val="24"/>
        </w:rPr>
        <w:t xml:space="preserve"> (pp. 31-66). IGI Global Scientific Publishing. </w:t>
      </w:r>
    </w:p>
    <w:p w14:paraId="0419C194"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Randeniya, J. N., Haigh, R., &amp; Amaratunga, D. (2026). Responsible intelligence: ethical AI governance for climate prediction in the Australian context. </w:t>
      </w:r>
      <w:r w:rsidRPr="00473D6B">
        <w:rPr>
          <w:rFonts w:ascii="Times New Roman" w:hAnsi="Times New Roman" w:cs="Times New Roman"/>
          <w:i/>
          <w:iCs/>
          <w:sz w:val="24"/>
          <w:szCs w:val="24"/>
        </w:rPr>
        <w:t>AI and Ethics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6</w:t>
      </w:r>
      <w:r w:rsidRPr="00473D6B">
        <w:rPr>
          <w:rFonts w:ascii="Times New Roman" w:hAnsi="Times New Roman" w:cs="Times New Roman"/>
          <w:sz w:val="24"/>
          <w:szCs w:val="24"/>
        </w:rPr>
        <w:t>(1), 81.</w:t>
      </w:r>
    </w:p>
    <w:p w14:paraId="6B23F9D1"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Reis, J. F., &amp; Pinheiro, L. P. (2025). Institutional Theory (IT) and Diffusion of Innovation (DOI): A Theoretical Approach on Artificial Intelligence (AI). </w:t>
      </w:r>
      <w:r w:rsidRPr="00473D6B">
        <w:rPr>
          <w:rFonts w:ascii="Times New Roman" w:hAnsi="Times New Roman" w:cs="Times New Roman"/>
          <w:i/>
          <w:iCs/>
          <w:sz w:val="24"/>
          <w:szCs w:val="24"/>
        </w:rPr>
        <w:t>BAR-Brazilian Administration Review</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22</w:t>
      </w:r>
      <w:r w:rsidRPr="00473D6B">
        <w:rPr>
          <w:rFonts w:ascii="Times New Roman" w:hAnsi="Times New Roman" w:cs="Times New Roman"/>
          <w:sz w:val="24"/>
          <w:szCs w:val="24"/>
        </w:rPr>
        <w:t>(4), e250060.</w:t>
      </w:r>
    </w:p>
    <w:p w14:paraId="5E33C9D3"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Renshaw, C. M. (2026). Integrating Predictive Risk Scoring into Financially Sensitive Change Management Systems. </w:t>
      </w:r>
      <w:r w:rsidRPr="00473D6B">
        <w:rPr>
          <w:rFonts w:ascii="Times New Roman" w:hAnsi="Times New Roman" w:cs="Times New Roman"/>
          <w:i/>
          <w:iCs/>
          <w:sz w:val="24"/>
          <w:szCs w:val="24"/>
        </w:rPr>
        <w:t>Academic Reseach Library for International Journal of Economics Finance &amp; Management Science</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11</w:t>
      </w:r>
      <w:r w:rsidRPr="00473D6B">
        <w:rPr>
          <w:rFonts w:ascii="Times New Roman" w:hAnsi="Times New Roman" w:cs="Times New Roman"/>
          <w:sz w:val="24"/>
          <w:szCs w:val="24"/>
        </w:rPr>
        <w:t>(02), 39-45.</w:t>
      </w:r>
    </w:p>
    <w:p w14:paraId="03D28A15"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Rizinski, M., &amp; Trajanov, D. (2026). AI Agents in Finance and Fintech: A Scientific Review of Agent-Based Systems, Applications, and Future Horizons. </w:t>
      </w:r>
      <w:r w:rsidRPr="00473D6B">
        <w:rPr>
          <w:rFonts w:ascii="Times New Roman" w:hAnsi="Times New Roman" w:cs="Times New Roman"/>
          <w:i/>
          <w:iCs/>
          <w:sz w:val="24"/>
          <w:szCs w:val="24"/>
        </w:rPr>
        <w:t>Computers, Materials, &amp; Continua</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86</w:t>
      </w:r>
      <w:r w:rsidRPr="00473D6B">
        <w:rPr>
          <w:rFonts w:ascii="Times New Roman" w:hAnsi="Times New Roman" w:cs="Times New Roman"/>
          <w:sz w:val="24"/>
          <w:szCs w:val="24"/>
        </w:rPr>
        <w:t>(1), 1.</w:t>
      </w:r>
    </w:p>
    <w:p w14:paraId="3F0806B8"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Sabbineni, P. K. (2026). Sequence-Aware Behavioral Credit Engine (SABRE): Deep Learning for Continuous Affordability and Early Distress Detection in Digital Lending. </w:t>
      </w:r>
      <w:r w:rsidRPr="00473D6B">
        <w:rPr>
          <w:rFonts w:ascii="Times New Roman" w:hAnsi="Times New Roman" w:cs="Times New Roman"/>
          <w:i/>
          <w:iCs/>
          <w:sz w:val="24"/>
          <w:szCs w:val="24"/>
        </w:rPr>
        <w:t>Journal of Computational Analysis &amp; Applications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35</w:t>
      </w:r>
      <w:r w:rsidRPr="00473D6B">
        <w:rPr>
          <w:rFonts w:ascii="Times New Roman" w:hAnsi="Times New Roman" w:cs="Times New Roman"/>
          <w:sz w:val="24"/>
          <w:szCs w:val="24"/>
        </w:rPr>
        <w:t xml:space="preserve">(1). </w:t>
      </w:r>
    </w:p>
    <w:p w14:paraId="31F69870"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Sarkar, R. (2026). A Systematic Review of AI-Driven Credit Risk Assessment Models in Commercial Banking (2018–2026). </w:t>
      </w:r>
      <w:r w:rsidRPr="00473D6B">
        <w:rPr>
          <w:rFonts w:ascii="Times New Roman" w:hAnsi="Times New Roman" w:cs="Times New Roman"/>
          <w:i/>
          <w:iCs/>
          <w:sz w:val="24"/>
          <w:szCs w:val="24"/>
        </w:rPr>
        <w:t>American Journal of Interdisciplinary Studies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7</w:t>
      </w:r>
      <w:r w:rsidRPr="00473D6B">
        <w:rPr>
          <w:rFonts w:ascii="Times New Roman" w:hAnsi="Times New Roman" w:cs="Times New Roman"/>
          <w:sz w:val="24"/>
          <w:szCs w:val="24"/>
        </w:rPr>
        <w:t xml:space="preserve">(01), 459-495. </w:t>
      </w:r>
    </w:p>
    <w:p w14:paraId="5C42C120"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Shafik, W., Hidayatullah, A. F., Kalinaki, K., Gul, H., Zakari, R. Y., &amp; Tufail, A. (2026). A systematic literature review on transparency and interpretability of AI models in healthcare: </w:t>
      </w:r>
      <w:r w:rsidRPr="00473D6B">
        <w:rPr>
          <w:rFonts w:ascii="Times New Roman" w:hAnsi="Times New Roman" w:cs="Times New Roman"/>
          <w:sz w:val="24"/>
          <w:szCs w:val="24"/>
        </w:rPr>
        <w:lastRenderedPageBreak/>
        <w:t xml:space="preserve">taxonomies, tools, techniques, datasets, open research challenges, and future trends. </w:t>
      </w:r>
      <w:r w:rsidRPr="00473D6B">
        <w:rPr>
          <w:rFonts w:ascii="Times New Roman" w:hAnsi="Times New Roman" w:cs="Times New Roman"/>
          <w:i/>
          <w:iCs/>
          <w:sz w:val="24"/>
          <w:szCs w:val="24"/>
        </w:rPr>
        <w:t>Health and Technology</w:t>
      </w:r>
      <w:r w:rsidRPr="00473D6B">
        <w:rPr>
          <w:rFonts w:ascii="Times New Roman" w:hAnsi="Times New Roman" w:cs="Times New Roman"/>
          <w:sz w:val="24"/>
          <w:szCs w:val="24"/>
        </w:rPr>
        <w:t xml:space="preserve">, 1-22. </w:t>
      </w:r>
    </w:p>
    <w:p w14:paraId="07F7CA8F"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Singh, S., &amp; Strzelecki, A. (2026). Academics as adopters of generative AI: An application of diffusion of innovations theory. </w:t>
      </w:r>
      <w:r w:rsidRPr="00473D6B">
        <w:rPr>
          <w:rFonts w:ascii="Times New Roman" w:hAnsi="Times New Roman" w:cs="Times New Roman"/>
          <w:i/>
          <w:iCs/>
          <w:sz w:val="24"/>
          <w:szCs w:val="24"/>
        </w:rPr>
        <w:t>Education and Information Technologies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31</w:t>
      </w:r>
      <w:r w:rsidRPr="00473D6B">
        <w:rPr>
          <w:rFonts w:ascii="Times New Roman" w:hAnsi="Times New Roman" w:cs="Times New Roman"/>
          <w:sz w:val="24"/>
          <w:szCs w:val="24"/>
        </w:rPr>
        <w:t xml:space="preserve">(2), 621-645. </w:t>
      </w:r>
    </w:p>
    <w:p w14:paraId="482292EF"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Stefanelli, V., &amp; Cotugno, M. (Eds.). (2026). </w:t>
      </w:r>
      <w:r w:rsidRPr="00473D6B">
        <w:rPr>
          <w:rFonts w:ascii="Times New Roman" w:hAnsi="Times New Roman" w:cs="Times New Roman"/>
          <w:i/>
          <w:iCs/>
          <w:sz w:val="24"/>
          <w:szCs w:val="24"/>
        </w:rPr>
        <w:t>Environmental, Social and Governance Practices in the FinTech Era: Credit Markets and the Future of Lending</w:t>
      </w:r>
      <w:r w:rsidRPr="00473D6B">
        <w:rPr>
          <w:rFonts w:ascii="Times New Roman" w:hAnsi="Times New Roman" w:cs="Times New Roman"/>
          <w:sz w:val="24"/>
          <w:szCs w:val="24"/>
        </w:rPr>
        <w:t>. Taylor &amp; Francis.</w:t>
      </w:r>
    </w:p>
    <w:p w14:paraId="716BC37F"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Sungkarungsri, P., &amp; Kiattisin, S. (2026). When Advice Isn’t Trusted: Privacy, Transparency, and Accountability Risks Driving AI Mistrust and Consumer Resistance in Financial Advisory Services. </w:t>
      </w:r>
      <w:r w:rsidRPr="00473D6B">
        <w:rPr>
          <w:rFonts w:ascii="Times New Roman" w:hAnsi="Times New Roman" w:cs="Times New Roman"/>
          <w:i/>
          <w:iCs/>
          <w:sz w:val="24"/>
          <w:szCs w:val="24"/>
        </w:rPr>
        <w:t>Sustainability</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18</w:t>
      </w:r>
      <w:r w:rsidRPr="00473D6B">
        <w:rPr>
          <w:rFonts w:ascii="Times New Roman" w:hAnsi="Times New Roman" w:cs="Times New Roman"/>
          <w:sz w:val="24"/>
          <w:szCs w:val="24"/>
        </w:rPr>
        <w:t xml:space="preserve">(3), 1354. </w:t>
      </w:r>
    </w:p>
    <w:p w14:paraId="4E37D5D3"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Tsogbe, D., Martin, T., &amp; Bernice Gyanmea, A. (2026). Adopting telehealth for mental health support in stroke rehabilitation in Sub-Saharan Africa: A conceptual analysis using Rogers’ Diffusion of Innovation Theory. </w:t>
      </w:r>
      <w:r w:rsidRPr="00473D6B">
        <w:rPr>
          <w:rFonts w:ascii="Times New Roman" w:hAnsi="Times New Roman" w:cs="Times New Roman"/>
          <w:i/>
          <w:iCs/>
          <w:sz w:val="24"/>
          <w:szCs w:val="24"/>
        </w:rPr>
        <w:t>PLOS Global Public Health</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6</w:t>
      </w:r>
      <w:r w:rsidRPr="00473D6B">
        <w:rPr>
          <w:rFonts w:ascii="Times New Roman" w:hAnsi="Times New Roman" w:cs="Times New Roman"/>
          <w:sz w:val="24"/>
          <w:szCs w:val="24"/>
        </w:rPr>
        <w:t>(2), e0005025.</w:t>
      </w:r>
    </w:p>
    <w:p w14:paraId="4F12CEB3"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Uzoamaka, C., &amp; Ade, B. S. (2026). Predictive Roles of Customer-Centric and Risk Management AI Applications in Optimizing Banking Operations in Nigeria. </w:t>
      </w:r>
      <w:r w:rsidRPr="00473D6B">
        <w:rPr>
          <w:rFonts w:ascii="Times New Roman" w:hAnsi="Times New Roman" w:cs="Times New Roman"/>
          <w:i/>
          <w:iCs/>
          <w:sz w:val="24"/>
          <w:szCs w:val="24"/>
        </w:rPr>
        <w:t>Journal of Business, IT, and Social Science</w:t>
      </w:r>
      <w:r w:rsidRPr="00473D6B">
        <w:rPr>
          <w:rFonts w:ascii="Times New Roman" w:hAnsi="Times New Roman" w:cs="Times New Roman"/>
          <w:sz w:val="24"/>
          <w:szCs w:val="24"/>
        </w:rPr>
        <w:t>.</w:t>
      </w:r>
    </w:p>
    <w:p w14:paraId="1F909B12"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Verma, L., Budhiraja, A., Singh, S., &amp; Dar, M. A. (2025, February). Pioneering Advances in AI, Machine Learning, and Big Data Analytics: A Review. In </w:t>
      </w:r>
      <w:r w:rsidRPr="00473D6B">
        <w:rPr>
          <w:rFonts w:ascii="Times New Roman" w:hAnsi="Times New Roman" w:cs="Times New Roman"/>
          <w:i/>
          <w:iCs/>
          <w:sz w:val="24"/>
          <w:szCs w:val="24"/>
        </w:rPr>
        <w:t>NIELIT's International Conference on Communication, Electronics and Digital Technologies</w:t>
      </w:r>
      <w:r w:rsidRPr="00473D6B">
        <w:rPr>
          <w:rFonts w:ascii="Times New Roman" w:hAnsi="Times New Roman" w:cs="Times New Roman"/>
          <w:sz w:val="24"/>
          <w:szCs w:val="24"/>
        </w:rPr>
        <w:t xml:space="preserve"> (pp. 509-534). Singapore: Springer Nature Singapore. </w:t>
      </w:r>
    </w:p>
    <w:p w14:paraId="0999C68D"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Vyas, A. (2025). Revolutionizing risk: The role of artificial intelligence in financial risk management, forecasting, and global implementation. </w:t>
      </w:r>
      <w:r w:rsidRPr="00473D6B">
        <w:rPr>
          <w:rFonts w:ascii="Times New Roman" w:hAnsi="Times New Roman" w:cs="Times New Roman"/>
          <w:i/>
          <w:iCs/>
          <w:sz w:val="24"/>
          <w:szCs w:val="24"/>
        </w:rPr>
        <w:t>Forecasting, and Global Implementation (April 21, 2025)</w:t>
      </w:r>
      <w:r w:rsidRPr="00473D6B">
        <w:rPr>
          <w:rFonts w:ascii="Times New Roman" w:hAnsi="Times New Roman" w:cs="Times New Roman"/>
          <w:sz w:val="24"/>
          <w:szCs w:val="24"/>
        </w:rPr>
        <w:t>.</w:t>
      </w:r>
    </w:p>
    <w:p w14:paraId="6B62CDDC"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Wahyuni, S. (2026). Trends and Patterns in Artificial Intelligence Applications for Financial Technology: A Global Bibliometric Analysis (2000–2025). </w:t>
      </w:r>
      <w:r w:rsidRPr="00473D6B">
        <w:rPr>
          <w:rFonts w:ascii="Times New Roman" w:hAnsi="Times New Roman" w:cs="Times New Roman"/>
          <w:i/>
          <w:iCs/>
          <w:sz w:val="24"/>
          <w:szCs w:val="24"/>
        </w:rPr>
        <w:t>MAESTRO: Management, Information System, Strategy &amp; Operations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w:t>
      </w:r>
      <w:r w:rsidRPr="00473D6B">
        <w:rPr>
          <w:rFonts w:ascii="Times New Roman" w:hAnsi="Times New Roman" w:cs="Times New Roman"/>
          <w:sz w:val="24"/>
          <w:szCs w:val="24"/>
        </w:rPr>
        <w:t>(1), 15-37.</w:t>
      </w:r>
    </w:p>
    <w:p w14:paraId="48806B6E"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Yahaya, O. A. (2026). Effect of Energy Efficiency Reporting on the Financial Performance of Nigerian Listed Firms. </w:t>
      </w:r>
      <w:r w:rsidRPr="00473D6B">
        <w:rPr>
          <w:rFonts w:ascii="Times New Roman" w:hAnsi="Times New Roman" w:cs="Times New Roman"/>
          <w:i/>
          <w:iCs/>
          <w:sz w:val="24"/>
          <w:szCs w:val="24"/>
        </w:rPr>
        <w:t>International Journal of Accounting and Finance Studies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11</w:t>
      </w:r>
      <w:r w:rsidRPr="00473D6B">
        <w:rPr>
          <w:rFonts w:ascii="Times New Roman" w:hAnsi="Times New Roman" w:cs="Times New Roman"/>
          <w:sz w:val="24"/>
          <w:szCs w:val="24"/>
        </w:rPr>
        <w:t>(2), 60-88.</w:t>
      </w:r>
    </w:p>
    <w:p w14:paraId="19F70202" w14:textId="2001154C" w:rsidR="00261A68" w:rsidRPr="008C74D4" w:rsidRDefault="00261A68" w:rsidP="00261A68">
      <w:pPr>
        <w:jc w:val="both"/>
        <w:rPr>
          <w:rFonts w:ascii="Times New Roman" w:hAnsi="Times New Roman" w:cs="Times New Roman"/>
          <w:i/>
          <w:iCs/>
          <w:sz w:val="24"/>
          <w:szCs w:val="24"/>
        </w:rPr>
      </w:pPr>
      <w:r w:rsidRPr="00473D6B">
        <w:rPr>
          <w:rFonts w:ascii="Times New Roman" w:hAnsi="Times New Roman" w:cs="Times New Roman"/>
          <w:sz w:val="24"/>
          <w:szCs w:val="24"/>
        </w:rPr>
        <w:t xml:space="preserve">Yahaya, O. A. (2026). The Dual-Edged Sword: R&amp;D Intensity, Moderating Controls, and Nonlinear Effects on Financial Performance in Nigerian Technology-Intensive Firms. </w:t>
      </w:r>
      <w:r w:rsidRPr="00473D6B">
        <w:rPr>
          <w:rFonts w:ascii="Times New Roman" w:hAnsi="Times New Roman" w:cs="Times New Roman"/>
          <w:i/>
          <w:iCs/>
          <w:sz w:val="24"/>
          <w:szCs w:val="24"/>
        </w:rPr>
        <w:t>Journal of Economics and Management Sciences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2</w:t>
      </w:r>
      <w:r w:rsidRPr="00473D6B">
        <w:rPr>
          <w:rFonts w:ascii="Times New Roman" w:hAnsi="Times New Roman" w:cs="Times New Roman"/>
          <w:sz w:val="24"/>
          <w:szCs w:val="24"/>
        </w:rPr>
        <w:t>(2), 76-100.</w:t>
      </w:r>
      <w:r>
        <w:rPr>
          <w:rFonts w:ascii="Times New Roman" w:hAnsi="Times New Roman" w:cs="Times New Roman"/>
          <w:i/>
          <w:iCs/>
          <w:sz w:val="24"/>
          <w:szCs w:val="24"/>
        </w:rPr>
        <w:t xml:space="preserve"> </w:t>
      </w:r>
    </w:p>
    <w:p w14:paraId="5674F91E" w14:textId="77777777" w:rsidR="008C74D4" w:rsidRPr="00261A68" w:rsidRDefault="008C74D4" w:rsidP="00261A68">
      <w:pPr>
        <w:spacing w:before="100" w:beforeAutospacing="1" w:after="100" w:afterAutospacing="1" w:line="240" w:lineRule="auto"/>
        <w:jc w:val="both"/>
        <w:rPr>
          <w:rFonts w:ascii="Times New Roman" w:eastAsia="Times New Roman" w:hAnsi="Times New Roman" w:cs="Times New Roman"/>
          <w:b/>
          <w:bCs/>
          <w:sz w:val="24"/>
          <w:szCs w:val="24"/>
        </w:rPr>
      </w:pPr>
    </w:p>
    <w:p w14:paraId="5A6C1CEB" w14:textId="009E399E" w:rsidR="005379BE" w:rsidRDefault="005379BE" w:rsidP="00600812">
      <w:pPr>
        <w:spacing w:before="100" w:beforeAutospacing="1" w:after="100" w:afterAutospacing="1" w:line="240" w:lineRule="auto"/>
        <w:jc w:val="both"/>
        <w:rPr>
          <w:rFonts w:ascii="Times New Roman" w:eastAsia="Times New Roman" w:hAnsi="Times New Roman" w:cs="Times New Roman"/>
          <w:sz w:val="24"/>
          <w:szCs w:val="24"/>
        </w:rPr>
      </w:pPr>
    </w:p>
    <w:p w14:paraId="1E8FF72E" w14:textId="77777777" w:rsidR="008A4259" w:rsidRPr="005379BE" w:rsidRDefault="008A4259" w:rsidP="00600812">
      <w:pPr>
        <w:jc w:val="both"/>
        <w:rPr>
          <w:rFonts w:ascii="Times New Roman" w:hAnsi="Times New Roman" w:cs="Times New Roman"/>
          <w:b/>
          <w:bCs/>
          <w:sz w:val="24"/>
          <w:szCs w:val="24"/>
        </w:rPr>
      </w:pPr>
    </w:p>
    <w:sectPr w:rsidR="008A4259" w:rsidRPr="005379B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38910" w14:textId="77777777" w:rsidR="00B75B48" w:rsidRDefault="00B75B48" w:rsidP="005379BE">
      <w:pPr>
        <w:spacing w:after="0" w:line="240" w:lineRule="auto"/>
      </w:pPr>
      <w:r>
        <w:separator/>
      </w:r>
    </w:p>
  </w:endnote>
  <w:endnote w:type="continuationSeparator" w:id="0">
    <w:p w14:paraId="612558A4" w14:textId="77777777" w:rsidR="00B75B48" w:rsidRDefault="00B75B48" w:rsidP="0053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675376"/>
      <w:docPartObj>
        <w:docPartGallery w:val="Page Numbers (Bottom of Page)"/>
        <w:docPartUnique/>
      </w:docPartObj>
    </w:sdtPr>
    <w:sdtEndPr>
      <w:rPr>
        <w:noProof/>
      </w:rPr>
    </w:sdtEndPr>
    <w:sdtContent>
      <w:p w14:paraId="2B4BCB7C" w14:textId="03B78409" w:rsidR="005379BE" w:rsidRDefault="005379BE">
        <w:pPr>
          <w:pStyle w:val="Footer"/>
          <w:jc w:val="center"/>
        </w:pPr>
        <w:r>
          <w:fldChar w:fldCharType="begin"/>
        </w:r>
        <w:r>
          <w:instrText xml:space="preserve"> PAGE   \* MERGEFORMAT </w:instrText>
        </w:r>
        <w:r>
          <w:fldChar w:fldCharType="separate"/>
        </w:r>
        <w:r w:rsidR="0023470C">
          <w:rPr>
            <w:noProof/>
          </w:rPr>
          <w:t>19</w:t>
        </w:r>
        <w:r>
          <w:rPr>
            <w:noProof/>
          </w:rPr>
          <w:fldChar w:fldCharType="end"/>
        </w:r>
      </w:p>
    </w:sdtContent>
  </w:sdt>
  <w:p w14:paraId="52E859A6" w14:textId="77777777" w:rsidR="005379BE" w:rsidRDefault="00537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B7914" w14:textId="77777777" w:rsidR="00B75B48" w:rsidRDefault="00B75B48" w:rsidP="005379BE">
      <w:pPr>
        <w:spacing w:after="0" w:line="240" w:lineRule="auto"/>
      </w:pPr>
      <w:r>
        <w:separator/>
      </w:r>
    </w:p>
  </w:footnote>
  <w:footnote w:type="continuationSeparator" w:id="0">
    <w:p w14:paraId="323812C7" w14:textId="77777777" w:rsidR="00B75B48" w:rsidRDefault="00B75B48" w:rsidP="00537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31540"/>
    <w:multiLevelType w:val="multilevel"/>
    <w:tmpl w:val="B39E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0F6EB5"/>
    <w:multiLevelType w:val="multilevel"/>
    <w:tmpl w:val="AB5EB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C99"/>
    <w:rsid w:val="000D1C99"/>
    <w:rsid w:val="00195C39"/>
    <w:rsid w:val="0023470C"/>
    <w:rsid w:val="00261A68"/>
    <w:rsid w:val="0026613C"/>
    <w:rsid w:val="00415B04"/>
    <w:rsid w:val="00476E64"/>
    <w:rsid w:val="0050140D"/>
    <w:rsid w:val="00503AE3"/>
    <w:rsid w:val="00530D1B"/>
    <w:rsid w:val="005379BE"/>
    <w:rsid w:val="005C3CAC"/>
    <w:rsid w:val="005D331C"/>
    <w:rsid w:val="00600812"/>
    <w:rsid w:val="007549CF"/>
    <w:rsid w:val="00896B85"/>
    <w:rsid w:val="008A4259"/>
    <w:rsid w:val="008C74D4"/>
    <w:rsid w:val="009539B7"/>
    <w:rsid w:val="0096592A"/>
    <w:rsid w:val="009F04F7"/>
    <w:rsid w:val="00A53574"/>
    <w:rsid w:val="00A735F8"/>
    <w:rsid w:val="00B33056"/>
    <w:rsid w:val="00B4676B"/>
    <w:rsid w:val="00B677C8"/>
    <w:rsid w:val="00B75B48"/>
    <w:rsid w:val="00B777E8"/>
    <w:rsid w:val="00BD64B7"/>
    <w:rsid w:val="00BE1C7A"/>
    <w:rsid w:val="00BE4282"/>
    <w:rsid w:val="00BF498B"/>
    <w:rsid w:val="00C46BFB"/>
    <w:rsid w:val="00C67304"/>
    <w:rsid w:val="00D31835"/>
    <w:rsid w:val="00D408A5"/>
    <w:rsid w:val="00DB6345"/>
    <w:rsid w:val="00DE4569"/>
    <w:rsid w:val="00EA598B"/>
    <w:rsid w:val="00F0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3">
    <w:name w:val="heading 3"/>
    <w:basedOn w:val="Normal"/>
    <w:link w:val="Heading3Char"/>
    <w:uiPriority w:val="9"/>
    <w:qFormat/>
    <w:rsid w:val="00C6730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539B7"/>
    <w:pPr>
      <w:ind w:left="720"/>
      <w:contextualSpacing/>
    </w:pPr>
  </w:style>
  <w:style w:type="character" w:customStyle="1" w:styleId="Heading3Char">
    <w:name w:val="Heading 3 Char"/>
    <w:basedOn w:val="DefaultParagraphFont"/>
    <w:link w:val="Heading3"/>
    <w:uiPriority w:val="9"/>
    <w:rsid w:val="00C67304"/>
    <w:rPr>
      <w:rFonts w:ascii="Times New Roman" w:eastAsia="Times New Roman" w:hAnsi="Times New Roman" w:cs="Times New Roman"/>
      <w:b/>
      <w:bCs/>
      <w:sz w:val="27"/>
      <w:szCs w:val="27"/>
    </w:rPr>
  </w:style>
  <w:style w:type="character" w:customStyle="1" w:styleId="whitespace-normal">
    <w:name w:val="whitespace-normal"/>
    <w:basedOn w:val="DefaultParagraphFont"/>
    <w:rsid w:val="00C46BFB"/>
  </w:style>
  <w:style w:type="paragraph" w:styleId="NoSpacing">
    <w:name w:val="No Spacing"/>
    <w:link w:val="NoSpacingChar"/>
    <w:uiPriority w:val="1"/>
    <w:qFormat/>
    <w:rsid w:val="00503AE3"/>
    <w:pPr>
      <w:spacing w:after="0" w:line="240" w:lineRule="auto"/>
    </w:pPr>
    <w:rPr>
      <w:lang w:val="en-GB"/>
    </w:rPr>
  </w:style>
  <w:style w:type="character" w:styleId="Strong">
    <w:name w:val="Strong"/>
    <w:basedOn w:val="DefaultParagraphFont"/>
    <w:uiPriority w:val="22"/>
    <w:qFormat/>
    <w:rsid w:val="00503AE3"/>
    <w:rPr>
      <w:b/>
      <w:bCs/>
    </w:rPr>
  </w:style>
  <w:style w:type="character" w:customStyle="1" w:styleId="NoSpacingChar">
    <w:name w:val="No Spacing Char"/>
    <w:link w:val="NoSpacing"/>
    <w:uiPriority w:val="1"/>
    <w:locked/>
    <w:rsid w:val="00503AE3"/>
    <w:rPr>
      <w:lang w:val="en-GB"/>
    </w:rPr>
  </w:style>
  <w:style w:type="paragraph" w:styleId="z-TopofForm">
    <w:name w:val="HTML Top of Form"/>
    <w:basedOn w:val="Normal"/>
    <w:next w:val="Normal"/>
    <w:link w:val="z-TopofFormChar"/>
    <w:hidden/>
    <w:uiPriority w:val="99"/>
    <w:semiHidden/>
    <w:unhideWhenUsed/>
    <w:rsid w:val="00503AE3"/>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503AE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03AE3"/>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503AE3"/>
    <w:rPr>
      <w:rFonts w:ascii="Arial" w:eastAsia="Times New Roman" w:hAnsi="Arial" w:cs="Arial"/>
      <w:vanish/>
      <w:sz w:val="16"/>
      <w:szCs w:val="16"/>
    </w:rPr>
  </w:style>
  <w:style w:type="table" w:styleId="TableGrid">
    <w:name w:val="Table Grid"/>
    <w:basedOn w:val="TableNormal"/>
    <w:uiPriority w:val="59"/>
    <w:rsid w:val="00503AE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BF498B"/>
  </w:style>
  <w:style w:type="character" w:customStyle="1" w:styleId="mord">
    <w:name w:val="mord"/>
    <w:basedOn w:val="DefaultParagraphFont"/>
    <w:rsid w:val="00BF498B"/>
  </w:style>
  <w:style w:type="character" w:customStyle="1" w:styleId="mrel">
    <w:name w:val="mrel"/>
    <w:basedOn w:val="DefaultParagraphFont"/>
    <w:rsid w:val="00BF498B"/>
  </w:style>
  <w:style w:type="character" w:customStyle="1" w:styleId="vlist-s">
    <w:name w:val="vlist-s"/>
    <w:basedOn w:val="DefaultParagraphFont"/>
    <w:rsid w:val="00BF498B"/>
  </w:style>
  <w:style w:type="character" w:customStyle="1" w:styleId="mbin">
    <w:name w:val="mbin"/>
    <w:basedOn w:val="DefaultParagraphFont"/>
    <w:rsid w:val="00BF498B"/>
  </w:style>
  <w:style w:type="character" w:customStyle="1" w:styleId="mpunct">
    <w:name w:val="mpunct"/>
    <w:basedOn w:val="DefaultParagraphFont"/>
    <w:rsid w:val="00BF498B"/>
  </w:style>
  <w:style w:type="paragraph" w:styleId="Header">
    <w:name w:val="header"/>
    <w:basedOn w:val="Normal"/>
    <w:link w:val="HeaderChar"/>
    <w:uiPriority w:val="99"/>
    <w:unhideWhenUsed/>
    <w:rsid w:val="00537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9BE"/>
    <w:rPr>
      <w:lang w:val="en-GB"/>
    </w:rPr>
  </w:style>
  <w:style w:type="paragraph" w:styleId="Footer">
    <w:name w:val="footer"/>
    <w:basedOn w:val="Normal"/>
    <w:link w:val="FooterChar"/>
    <w:uiPriority w:val="99"/>
    <w:unhideWhenUsed/>
    <w:rsid w:val="00537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9BE"/>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3">
    <w:name w:val="heading 3"/>
    <w:basedOn w:val="Normal"/>
    <w:link w:val="Heading3Char"/>
    <w:uiPriority w:val="9"/>
    <w:qFormat/>
    <w:rsid w:val="00C6730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539B7"/>
    <w:pPr>
      <w:ind w:left="720"/>
      <w:contextualSpacing/>
    </w:pPr>
  </w:style>
  <w:style w:type="character" w:customStyle="1" w:styleId="Heading3Char">
    <w:name w:val="Heading 3 Char"/>
    <w:basedOn w:val="DefaultParagraphFont"/>
    <w:link w:val="Heading3"/>
    <w:uiPriority w:val="9"/>
    <w:rsid w:val="00C67304"/>
    <w:rPr>
      <w:rFonts w:ascii="Times New Roman" w:eastAsia="Times New Roman" w:hAnsi="Times New Roman" w:cs="Times New Roman"/>
      <w:b/>
      <w:bCs/>
      <w:sz w:val="27"/>
      <w:szCs w:val="27"/>
    </w:rPr>
  </w:style>
  <w:style w:type="character" w:customStyle="1" w:styleId="whitespace-normal">
    <w:name w:val="whitespace-normal"/>
    <w:basedOn w:val="DefaultParagraphFont"/>
    <w:rsid w:val="00C46BFB"/>
  </w:style>
  <w:style w:type="paragraph" w:styleId="NoSpacing">
    <w:name w:val="No Spacing"/>
    <w:link w:val="NoSpacingChar"/>
    <w:uiPriority w:val="1"/>
    <w:qFormat/>
    <w:rsid w:val="00503AE3"/>
    <w:pPr>
      <w:spacing w:after="0" w:line="240" w:lineRule="auto"/>
    </w:pPr>
    <w:rPr>
      <w:lang w:val="en-GB"/>
    </w:rPr>
  </w:style>
  <w:style w:type="character" w:styleId="Strong">
    <w:name w:val="Strong"/>
    <w:basedOn w:val="DefaultParagraphFont"/>
    <w:uiPriority w:val="22"/>
    <w:qFormat/>
    <w:rsid w:val="00503AE3"/>
    <w:rPr>
      <w:b/>
      <w:bCs/>
    </w:rPr>
  </w:style>
  <w:style w:type="character" w:customStyle="1" w:styleId="NoSpacingChar">
    <w:name w:val="No Spacing Char"/>
    <w:link w:val="NoSpacing"/>
    <w:uiPriority w:val="1"/>
    <w:locked/>
    <w:rsid w:val="00503AE3"/>
    <w:rPr>
      <w:lang w:val="en-GB"/>
    </w:rPr>
  </w:style>
  <w:style w:type="paragraph" w:styleId="z-TopofForm">
    <w:name w:val="HTML Top of Form"/>
    <w:basedOn w:val="Normal"/>
    <w:next w:val="Normal"/>
    <w:link w:val="z-TopofFormChar"/>
    <w:hidden/>
    <w:uiPriority w:val="99"/>
    <w:semiHidden/>
    <w:unhideWhenUsed/>
    <w:rsid w:val="00503AE3"/>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503AE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03AE3"/>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503AE3"/>
    <w:rPr>
      <w:rFonts w:ascii="Arial" w:eastAsia="Times New Roman" w:hAnsi="Arial" w:cs="Arial"/>
      <w:vanish/>
      <w:sz w:val="16"/>
      <w:szCs w:val="16"/>
    </w:rPr>
  </w:style>
  <w:style w:type="table" w:styleId="TableGrid">
    <w:name w:val="Table Grid"/>
    <w:basedOn w:val="TableNormal"/>
    <w:uiPriority w:val="59"/>
    <w:rsid w:val="00503AE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BF498B"/>
  </w:style>
  <w:style w:type="character" w:customStyle="1" w:styleId="mord">
    <w:name w:val="mord"/>
    <w:basedOn w:val="DefaultParagraphFont"/>
    <w:rsid w:val="00BF498B"/>
  </w:style>
  <w:style w:type="character" w:customStyle="1" w:styleId="mrel">
    <w:name w:val="mrel"/>
    <w:basedOn w:val="DefaultParagraphFont"/>
    <w:rsid w:val="00BF498B"/>
  </w:style>
  <w:style w:type="character" w:customStyle="1" w:styleId="vlist-s">
    <w:name w:val="vlist-s"/>
    <w:basedOn w:val="DefaultParagraphFont"/>
    <w:rsid w:val="00BF498B"/>
  </w:style>
  <w:style w:type="character" w:customStyle="1" w:styleId="mbin">
    <w:name w:val="mbin"/>
    <w:basedOn w:val="DefaultParagraphFont"/>
    <w:rsid w:val="00BF498B"/>
  </w:style>
  <w:style w:type="character" w:customStyle="1" w:styleId="mpunct">
    <w:name w:val="mpunct"/>
    <w:basedOn w:val="DefaultParagraphFont"/>
    <w:rsid w:val="00BF498B"/>
  </w:style>
  <w:style w:type="paragraph" w:styleId="Header">
    <w:name w:val="header"/>
    <w:basedOn w:val="Normal"/>
    <w:link w:val="HeaderChar"/>
    <w:uiPriority w:val="99"/>
    <w:unhideWhenUsed/>
    <w:rsid w:val="00537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9BE"/>
    <w:rPr>
      <w:lang w:val="en-GB"/>
    </w:rPr>
  </w:style>
  <w:style w:type="paragraph" w:styleId="Footer">
    <w:name w:val="footer"/>
    <w:basedOn w:val="Normal"/>
    <w:link w:val="FooterChar"/>
    <w:uiPriority w:val="99"/>
    <w:unhideWhenUsed/>
    <w:rsid w:val="00537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9B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8050">
      <w:bodyDiv w:val="1"/>
      <w:marLeft w:val="0"/>
      <w:marRight w:val="0"/>
      <w:marTop w:val="0"/>
      <w:marBottom w:val="0"/>
      <w:divBdr>
        <w:top w:val="none" w:sz="0" w:space="0" w:color="auto"/>
        <w:left w:val="none" w:sz="0" w:space="0" w:color="auto"/>
        <w:bottom w:val="none" w:sz="0" w:space="0" w:color="auto"/>
        <w:right w:val="none" w:sz="0" w:space="0" w:color="auto"/>
      </w:divBdr>
      <w:divsChild>
        <w:div w:id="918248992">
          <w:marLeft w:val="0"/>
          <w:marRight w:val="0"/>
          <w:marTop w:val="0"/>
          <w:marBottom w:val="0"/>
          <w:divBdr>
            <w:top w:val="none" w:sz="0" w:space="0" w:color="auto"/>
            <w:left w:val="none" w:sz="0" w:space="0" w:color="auto"/>
            <w:bottom w:val="none" w:sz="0" w:space="0" w:color="auto"/>
            <w:right w:val="none" w:sz="0" w:space="0" w:color="auto"/>
          </w:divBdr>
          <w:divsChild>
            <w:div w:id="962081123">
              <w:marLeft w:val="0"/>
              <w:marRight w:val="0"/>
              <w:marTop w:val="0"/>
              <w:marBottom w:val="0"/>
              <w:divBdr>
                <w:top w:val="none" w:sz="0" w:space="0" w:color="auto"/>
                <w:left w:val="none" w:sz="0" w:space="0" w:color="auto"/>
                <w:bottom w:val="none" w:sz="0" w:space="0" w:color="auto"/>
                <w:right w:val="none" w:sz="0" w:space="0" w:color="auto"/>
              </w:divBdr>
              <w:divsChild>
                <w:div w:id="549615869">
                  <w:marLeft w:val="0"/>
                  <w:marRight w:val="0"/>
                  <w:marTop w:val="0"/>
                  <w:marBottom w:val="0"/>
                  <w:divBdr>
                    <w:top w:val="none" w:sz="0" w:space="0" w:color="auto"/>
                    <w:left w:val="none" w:sz="0" w:space="0" w:color="auto"/>
                    <w:bottom w:val="none" w:sz="0" w:space="0" w:color="auto"/>
                    <w:right w:val="none" w:sz="0" w:space="0" w:color="auto"/>
                  </w:divBdr>
                  <w:divsChild>
                    <w:div w:id="411701056">
                      <w:marLeft w:val="0"/>
                      <w:marRight w:val="0"/>
                      <w:marTop w:val="0"/>
                      <w:marBottom w:val="0"/>
                      <w:divBdr>
                        <w:top w:val="none" w:sz="0" w:space="0" w:color="auto"/>
                        <w:left w:val="none" w:sz="0" w:space="0" w:color="auto"/>
                        <w:bottom w:val="none" w:sz="0" w:space="0" w:color="auto"/>
                        <w:right w:val="none" w:sz="0" w:space="0" w:color="auto"/>
                      </w:divBdr>
                      <w:divsChild>
                        <w:div w:id="1052387455">
                          <w:marLeft w:val="0"/>
                          <w:marRight w:val="0"/>
                          <w:marTop w:val="0"/>
                          <w:marBottom w:val="0"/>
                          <w:divBdr>
                            <w:top w:val="none" w:sz="0" w:space="0" w:color="auto"/>
                            <w:left w:val="none" w:sz="0" w:space="0" w:color="auto"/>
                            <w:bottom w:val="none" w:sz="0" w:space="0" w:color="auto"/>
                            <w:right w:val="none" w:sz="0" w:space="0" w:color="auto"/>
                          </w:divBdr>
                          <w:divsChild>
                            <w:div w:id="1004286037">
                              <w:marLeft w:val="0"/>
                              <w:marRight w:val="0"/>
                              <w:marTop w:val="0"/>
                              <w:marBottom w:val="0"/>
                              <w:divBdr>
                                <w:top w:val="none" w:sz="0" w:space="0" w:color="auto"/>
                                <w:left w:val="none" w:sz="0" w:space="0" w:color="auto"/>
                                <w:bottom w:val="none" w:sz="0" w:space="0" w:color="auto"/>
                                <w:right w:val="none" w:sz="0" w:space="0" w:color="auto"/>
                              </w:divBdr>
                              <w:divsChild>
                                <w:div w:id="1834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72336">
      <w:bodyDiv w:val="1"/>
      <w:marLeft w:val="0"/>
      <w:marRight w:val="0"/>
      <w:marTop w:val="0"/>
      <w:marBottom w:val="0"/>
      <w:divBdr>
        <w:top w:val="none" w:sz="0" w:space="0" w:color="auto"/>
        <w:left w:val="none" w:sz="0" w:space="0" w:color="auto"/>
        <w:bottom w:val="none" w:sz="0" w:space="0" w:color="auto"/>
        <w:right w:val="none" w:sz="0" w:space="0" w:color="auto"/>
      </w:divBdr>
      <w:divsChild>
        <w:div w:id="956720979">
          <w:marLeft w:val="0"/>
          <w:marRight w:val="0"/>
          <w:marTop w:val="0"/>
          <w:marBottom w:val="0"/>
          <w:divBdr>
            <w:top w:val="none" w:sz="0" w:space="0" w:color="auto"/>
            <w:left w:val="none" w:sz="0" w:space="0" w:color="auto"/>
            <w:bottom w:val="none" w:sz="0" w:space="0" w:color="auto"/>
            <w:right w:val="none" w:sz="0" w:space="0" w:color="auto"/>
          </w:divBdr>
          <w:divsChild>
            <w:div w:id="233441519">
              <w:marLeft w:val="0"/>
              <w:marRight w:val="0"/>
              <w:marTop w:val="0"/>
              <w:marBottom w:val="0"/>
              <w:divBdr>
                <w:top w:val="none" w:sz="0" w:space="0" w:color="auto"/>
                <w:left w:val="none" w:sz="0" w:space="0" w:color="auto"/>
                <w:bottom w:val="none" w:sz="0" w:space="0" w:color="auto"/>
                <w:right w:val="none" w:sz="0" w:space="0" w:color="auto"/>
              </w:divBdr>
              <w:divsChild>
                <w:div w:id="261647084">
                  <w:marLeft w:val="0"/>
                  <w:marRight w:val="0"/>
                  <w:marTop w:val="0"/>
                  <w:marBottom w:val="0"/>
                  <w:divBdr>
                    <w:top w:val="none" w:sz="0" w:space="0" w:color="auto"/>
                    <w:left w:val="none" w:sz="0" w:space="0" w:color="auto"/>
                    <w:bottom w:val="none" w:sz="0" w:space="0" w:color="auto"/>
                    <w:right w:val="none" w:sz="0" w:space="0" w:color="auto"/>
                  </w:divBdr>
                  <w:divsChild>
                    <w:div w:id="128717262">
                      <w:marLeft w:val="0"/>
                      <w:marRight w:val="0"/>
                      <w:marTop w:val="0"/>
                      <w:marBottom w:val="0"/>
                      <w:divBdr>
                        <w:top w:val="none" w:sz="0" w:space="0" w:color="auto"/>
                        <w:left w:val="none" w:sz="0" w:space="0" w:color="auto"/>
                        <w:bottom w:val="none" w:sz="0" w:space="0" w:color="auto"/>
                        <w:right w:val="none" w:sz="0" w:space="0" w:color="auto"/>
                      </w:divBdr>
                      <w:divsChild>
                        <w:div w:id="1672485523">
                          <w:marLeft w:val="0"/>
                          <w:marRight w:val="0"/>
                          <w:marTop w:val="0"/>
                          <w:marBottom w:val="0"/>
                          <w:divBdr>
                            <w:top w:val="none" w:sz="0" w:space="0" w:color="auto"/>
                            <w:left w:val="none" w:sz="0" w:space="0" w:color="auto"/>
                            <w:bottom w:val="none" w:sz="0" w:space="0" w:color="auto"/>
                            <w:right w:val="none" w:sz="0" w:space="0" w:color="auto"/>
                          </w:divBdr>
                          <w:divsChild>
                            <w:div w:id="2020232704">
                              <w:marLeft w:val="0"/>
                              <w:marRight w:val="0"/>
                              <w:marTop w:val="0"/>
                              <w:marBottom w:val="0"/>
                              <w:divBdr>
                                <w:top w:val="none" w:sz="0" w:space="0" w:color="auto"/>
                                <w:left w:val="none" w:sz="0" w:space="0" w:color="auto"/>
                                <w:bottom w:val="none" w:sz="0" w:space="0" w:color="auto"/>
                                <w:right w:val="none" w:sz="0" w:space="0" w:color="auto"/>
                              </w:divBdr>
                              <w:divsChild>
                                <w:div w:id="13773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759">
      <w:bodyDiv w:val="1"/>
      <w:marLeft w:val="0"/>
      <w:marRight w:val="0"/>
      <w:marTop w:val="0"/>
      <w:marBottom w:val="0"/>
      <w:divBdr>
        <w:top w:val="none" w:sz="0" w:space="0" w:color="auto"/>
        <w:left w:val="none" w:sz="0" w:space="0" w:color="auto"/>
        <w:bottom w:val="none" w:sz="0" w:space="0" w:color="auto"/>
        <w:right w:val="none" w:sz="0" w:space="0" w:color="auto"/>
      </w:divBdr>
    </w:div>
    <w:div w:id="304355824">
      <w:bodyDiv w:val="1"/>
      <w:marLeft w:val="0"/>
      <w:marRight w:val="0"/>
      <w:marTop w:val="0"/>
      <w:marBottom w:val="0"/>
      <w:divBdr>
        <w:top w:val="none" w:sz="0" w:space="0" w:color="auto"/>
        <w:left w:val="none" w:sz="0" w:space="0" w:color="auto"/>
        <w:bottom w:val="none" w:sz="0" w:space="0" w:color="auto"/>
        <w:right w:val="none" w:sz="0" w:space="0" w:color="auto"/>
      </w:divBdr>
    </w:div>
    <w:div w:id="370888020">
      <w:bodyDiv w:val="1"/>
      <w:marLeft w:val="0"/>
      <w:marRight w:val="0"/>
      <w:marTop w:val="0"/>
      <w:marBottom w:val="0"/>
      <w:divBdr>
        <w:top w:val="none" w:sz="0" w:space="0" w:color="auto"/>
        <w:left w:val="none" w:sz="0" w:space="0" w:color="auto"/>
        <w:bottom w:val="none" w:sz="0" w:space="0" w:color="auto"/>
        <w:right w:val="none" w:sz="0" w:space="0" w:color="auto"/>
      </w:divBdr>
    </w:div>
    <w:div w:id="385448434">
      <w:bodyDiv w:val="1"/>
      <w:marLeft w:val="0"/>
      <w:marRight w:val="0"/>
      <w:marTop w:val="0"/>
      <w:marBottom w:val="0"/>
      <w:divBdr>
        <w:top w:val="none" w:sz="0" w:space="0" w:color="auto"/>
        <w:left w:val="none" w:sz="0" w:space="0" w:color="auto"/>
        <w:bottom w:val="none" w:sz="0" w:space="0" w:color="auto"/>
        <w:right w:val="none" w:sz="0" w:space="0" w:color="auto"/>
      </w:divBdr>
    </w:div>
    <w:div w:id="587154812">
      <w:bodyDiv w:val="1"/>
      <w:marLeft w:val="0"/>
      <w:marRight w:val="0"/>
      <w:marTop w:val="0"/>
      <w:marBottom w:val="0"/>
      <w:divBdr>
        <w:top w:val="none" w:sz="0" w:space="0" w:color="auto"/>
        <w:left w:val="none" w:sz="0" w:space="0" w:color="auto"/>
        <w:bottom w:val="none" w:sz="0" w:space="0" w:color="auto"/>
        <w:right w:val="none" w:sz="0" w:space="0" w:color="auto"/>
      </w:divBdr>
      <w:divsChild>
        <w:div w:id="598373398">
          <w:marLeft w:val="0"/>
          <w:marRight w:val="0"/>
          <w:marTop w:val="0"/>
          <w:marBottom w:val="0"/>
          <w:divBdr>
            <w:top w:val="none" w:sz="0" w:space="0" w:color="auto"/>
            <w:left w:val="none" w:sz="0" w:space="0" w:color="auto"/>
            <w:bottom w:val="none" w:sz="0" w:space="0" w:color="auto"/>
            <w:right w:val="none" w:sz="0" w:space="0" w:color="auto"/>
          </w:divBdr>
          <w:divsChild>
            <w:div w:id="1182860783">
              <w:marLeft w:val="0"/>
              <w:marRight w:val="0"/>
              <w:marTop w:val="0"/>
              <w:marBottom w:val="0"/>
              <w:divBdr>
                <w:top w:val="none" w:sz="0" w:space="0" w:color="auto"/>
                <w:left w:val="none" w:sz="0" w:space="0" w:color="auto"/>
                <w:bottom w:val="none" w:sz="0" w:space="0" w:color="auto"/>
                <w:right w:val="none" w:sz="0" w:space="0" w:color="auto"/>
              </w:divBdr>
              <w:divsChild>
                <w:div w:id="1848591830">
                  <w:marLeft w:val="0"/>
                  <w:marRight w:val="0"/>
                  <w:marTop w:val="0"/>
                  <w:marBottom w:val="0"/>
                  <w:divBdr>
                    <w:top w:val="none" w:sz="0" w:space="0" w:color="auto"/>
                    <w:left w:val="none" w:sz="0" w:space="0" w:color="auto"/>
                    <w:bottom w:val="none" w:sz="0" w:space="0" w:color="auto"/>
                    <w:right w:val="none" w:sz="0" w:space="0" w:color="auto"/>
                  </w:divBdr>
                  <w:divsChild>
                    <w:div w:id="1023507701">
                      <w:marLeft w:val="0"/>
                      <w:marRight w:val="0"/>
                      <w:marTop w:val="0"/>
                      <w:marBottom w:val="0"/>
                      <w:divBdr>
                        <w:top w:val="none" w:sz="0" w:space="0" w:color="auto"/>
                        <w:left w:val="none" w:sz="0" w:space="0" w:color="auto"/>
                        <w:bottom w:val="none" w:sz="0" w:space="0" w:color="auto"/>
                        <w:right w:val="none" w:sz="0" w:space="0" w:color="auto"/>
                      </w:divBdr>
                      <w:divsChild>
                        <w:div w:id="1314606107">
                          <w:marLeft w:val="0"/>
                          <w:marRight w:val="0"/>
                          <w:marTop w:val="0"/>
                          <w:marBottom w:val="0"/>
                          <w:divBdr>
                            <w:top w:val="none" w:sz="0" w:space="0" w:color="auto"/>
                            <w:left w:val="none" w:sz="0" w:space="0" w:color="auto"/>
                            <w:bottom w:val="none" w:sz="0" w:space="0" w:color="auto"/>
                            <w:right w:val="none" w:sz="0" w:space="0" w:color="auto"/>
                          </w:divBdr>
                          <w:divsChild>
                            <w:div w:id="942613125">
                              <w:marLeft w:val="0"/>
                              <w:marRight w:val="0"/>
                              <w:marTop w:val="0"/>
                              <w:marBottom w:val="0"/>
                              <w:divBdr>
                                <w:top w:val="none" w:sz="0" w:space="0" w:color="auto"/>
                                <w:left w:val="none" w:sz="0" w:space="0" w:color="auto"/>
                                <w:bottom w:val="none" w:sz="0" w:space="0" w:color="auto"/>
                                <w:right w:val="none" w:sz="0" w:space="0" w:color="auto"/>
                              </w:divBdr>
                              <w:divsChild>
                                <w:div w:id="13046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668746">
      <w:bodyDiv w:val="1"/>
      <w:marLeft w:val="0"/>
      <w:marRight w:val="0"/>
      <w:marTop w:val="0"/>
      <w:marBottom w:val="0"/>
      <w:divBdr>
        <w:top w:val="none" w:sz="0" w:space="0" w:color="auto"/>
        <w:left w:val="none" w:sz="0" w:space="0" w:color="auto"/>
        <w:bottom w:val="none" w:sz="0" w:space="0" w:color="auto"/>
        <w:right w:val="none" w:sz="0" w:space="0" w:color="auto"/>
      </w:divBdr>
      <w:divsChild>
        <w:div w:id="600533958">
          <w:marLeft w:val="0"/>
          <w:marRight w:val="0"/>
          <w:marTop w:val="0"/>
          <w:marBottom w:val="0"/>
          <w:divBdr>
            <w:top w:val="none" w:sz="0" w:space="0" w:color="auto"/>
            <w:left w:val="none" w:sz="0" w:space="0" w:color="auto"/>
            <w:bottom w:val="none" w:sz="0" w:space="0" w:color="auto"/>
            <w:right w:val="none" w:sz="0" w:space="0" w:color="auto"/>
          </w:divBdr>
          <w:divsChild>
            <w:div w:id="721713104">
              <w:marLeft w:val="0"/>
              <w:marRight w:val="0"/>
              <w:marTop w:val="0"/>
              <w:marBottom w:val="0"/>
              <w:divBdr>
                <w:top w:val="none" w:sz="0" w:space="0" w:color="auto"/>
                <w:left w:val="none" w:sz="0" w:space="0" w:color="auto"/>
                <w:bottom w:val="none" w:sz="0" w:space="0" w:color="auto"/>
                <w:right w:val="none" w:sz="0" w:space="0" w:color="auto"/>
              </w:divBdr>
              <w:divsChild>
                <w:div w:id="1238252229">
                  <w:marLeft w:val="0"/>
                  <w:marRight w:val="0"/>
                  <w:marTop w:val="0"/>
                  <w:marBottom w:val="0"/>
                  <w:divBdr>
                    <w:top w:val="none" w:sz="0" w:space="0" w:color="auto"/>
                    <w:left w:val="none" w:sz="0" w:space="0" w:color="auto"/>
                    <w:bottom w:val="none" w:sz="0" w:space="0" w:color="auto"/>
                    <w:right w:val="none" w:sz="0" w:space="0" w:color="auto"/>
                  </w:divBdr>
                  <w:divsChild>
                    <w:div w:id="2077388733">
                      <w:marLeft w:val="0"/>
                      <w:marRight w:val="0"/>
                      <w:marTop w:val="0"/>
                      <w:marBottom w:val="0"/>
                      <w:divBdr>
                        <w:top w:val="none" w:sz="0" w:space="0" w:color="auto"/>
                        <w:left w:val="none" w:sz="0" w:space="0" w:color="auto"/>
                        <w:bottom w:val="none" w:sz="0" w:space="0" w:color="auto"/>
                        <w:right w:val="none" w:sz="0" w:space="0" w:color="auto"/>
                      </w:divBdr>
                      <w:divsChild>
                        <w:div w:id="1672367206">
                          <w:marLeft w:val="0"/>
                          <w:marRight w:val="0"/>
                          <w:marTop w:val="0"/>
                          <w:marBottom w:val="0"/>
                          <w:divBdr>
                            <w:top w:val="none" w:sz="0" w:space="0" w:color="auto"/>
                            <w:left w:val="none" w:sz="0" w:space="0" w:color="auto"/>
                            <w:bottom w:val="none" w:sz="0" w:space="0" w:color="auto"/>
                            <w:right w:val="none" w:sz="0" w:space="0" w:color="auto"/>
                          </w:divBdr>
                          <w:divsChild>
                            <w:div w:id="1008485533">
                              <w:marLeft w:val="0"/>
                              <w:marRight w:val="0"/>
                              <w:marTop w:val="0"/>
                              <w:marBottom w:val="0"/>
                              <w:divBdr>
                                <w:top w:val="none" w:sz="0" w:space="0" w:color="auto"/>
                                <w:left w:val="none" w:sz="0" w:space="0" w:color="auto"/>
                                <w:bottom w:val="none" w:sz="0" w:space="0" w:color="auto"/>
                                <w:right w:val="none" w:sz="0" w:space="0" w:color="auto"/>
                              </w:divBdr>
                              <w:divsChild>
                                <w:div w:id="18655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049917">
      <w:bodyDiv w:val="1"/>
      <w:marLeft w:val="0"/>
      <w:marRight w:val="0"/>
      <w:marTop w:val="0"/>
      <w:marBottom w:val="0"/>
      <w:divBdr>
        <w:top w:val="none" w:sz="0" w:space="0" w:color="auto"/>
        <w:left w:val="none" w:sz="0" w:space="0" w:color="auto"/>
        <w:bottom w:val="none" w:sz="0" w:space="0" w:color="auto"/>
        <w:right w:val="none" w:sz="0" w:space="0" w:color="auto"/>
      </w:divBdr>
    </w:div>
    <w:div w:id="804852235">
      <w:bodyDiv w:val="1"/>
      <w:marLeft w:val="0"/>
      <w:marRight w:val="0"/>
      <w:marTop w:val="0"/>
      <w:marBottom w:val="0"/>
      <w:divBdr>
        <w:top w:val="none" w:sz="0" w:space="0" w:color="auto"/>
        <w:left w:val="none" w:sz="0" w:space="0" w:color="auto"/>
        <w:bottom w:val="none" w:sz="0" w:space="0" w:color="auto"/>
        <w:right w:val="none" w:sz="0" w:space="0" w:color="auto"/>
      </w:divBdr>
    </w:div>
    <w:div w:id="844323153">
      <w:bodyDiv w:val="1"/>
      <w:marLeft w:val="0"/>
      <w:marRight w:val="0"/>
      <w:marTop w:val="0"/>
      <w:marBottom w:val="0"/>
      <w:divBdr>
        <w:top w:val="none" w:sz="0" w:space="0" w:color="auto"/>
        <w:left w:val="none" w:sz="0" w:space="0" w:color="auto"/>
        <w:bottom w:val="none" w:sz="0" w:space="0" w:color="auto"/>
        <w:right w:val="none" w:sz="0" w:space="0" w:color="auto"/>
      </w:divBdr>
      <w:divsChild>
        <w:div w:id="738939377">
          <w:marLeft w:val="0"/>
          <w:marRight w:val="0"/>
          <w:marTop w:val="0"/>
          <w:marBottom w:val="0"/>
          <w:divBdr>
            <w:top w:val="none" w:sz="0" w:space="0" w:color="auto"/>
            <w:left w:val="none" w:sz="0" w:space="0" w:color="auto"/>
            <w:bottom w:val="none" w:sz="0" w:space="0" w:color="auto"/>
            <w:right w:val="none" w:sz="0" w:space="0" w:color="auto"/>
          </w:divBdr>
          <w:divsChild>
            <w:div w:id="1549142218">
              <w:marLeft w:val="0"/>
              <w:marRight w:val="0"/>
              <w:marTop w:val="0"/>
              <w:marBottom w:val="0"/>
              <w:divBdr>
                <w:top w:val="none" w:sz="0" w:space="0" w:color="auto"/>
                <w:left w:val="none" w:sz="0" w:space="0" w:color="auto"/>
                <w:bottom w:val="none" w:sz="0" w:space="0" w:color="auto"/>
                <w:right w:val="none" w:sz="0" w:space="0" w:color="auto"/>
              </w:divBdr>
              <w:divsChild>
                <w:div w:id="695080056">
                  <w:marLeft w:val="0"/>
                  <w:marRight w:val="0"/>
                  <w:marTop w:val="0"/>
                  <w:marBottom w:val="0"/>
                  <w:divBdr>
                    <w:top w:val="none" w:sz="0" w:space="0" w:color="auto"/>
                    <w:left w:val="none" w:sz="0" w:space="0" w:color="auto"/>
                    <w:bottom w:val="none" w:sz="0" w:space="0" w:color="auto"/>
                    <w:right w:val="none" w:sz="0" w:space="0" w:color="auto"/>
                  </w:divBdr>
                  <w:divsChild>
                    <w:div w:id="1680278029">
                      <w:marLeft w:val="0"/>
                      <w:marRight w:val="0"/>
                      <w:marTop w:val="0"/>
                      <w:marBottom w:val="0"/>
                      <w:divBdr>
                        <w:top w:val="none" w:sz="0" w:space="0" w:color="auto"/>
                        <w:left w:val="none" w:sz="0" w:space="0" w:color="auto"/>
                        <w:bottom w:val="none" w:sz="0" w:space="0" w:color="auto"/>
                        <w:right w:val="none" w:sz="0" w:space="0" w:color="auto"/>
                      </w:divBdr>
                      <w:divsChild>
                        <w:div w:id="485047640">
                          <w:marLeft w:val="0"/>
                          <w:marRight w:val="0"/>
                          <w:marTop w:val="0"/>
                          <w:marBottom w:val="0"/>
                          <w:divBdr>
                            <w:top w:val="none" w:sz="0" w:space="0" w:color="auto"/>
                            <w:left w:val="none" w:sz="0" w:space="0" w:color="auto"/>
                            <w:bottom w:val="none" w:sz="0" w:space="0" w:color="auto"/>
                            <w:right w:val="none" w:sz="0" w:space="0" w:color="auto"/>
                          </w:divBdr>
                          <w:divsChild>
                            <w:div w:id="543636385">
                              <w:marLeft w:val="0"/>
                              <w:marRight w:val="0"/>
                              <w:marTop w:val="0"/>
                              <w:marBottom w:val="0"/>
                              <w:divBdr>
                                <w:top w:val="none" w:sz="0" w:space="0" w:color="auto"/>
                                <w:left w:val="none" w:sz="0" w:space="0" w:color="auto"/>
                                <w:bottom w:val="none" w:sz="0" w:space="0" w:color="auto"/>
                                <w:right w:val="none" w:sz="0" w:space="0" w:color="auto"/>
                              </w:divBdr>
                              <w:divsChild>
                                <w:div w:id="5521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744561">
      <w:bodyDiv w:val="1"/>
      <w:marLeft w:val="0"/>
      <w:marRight w:val="0"/>
      <w:marTop w:val="0"/>
      <w:marBottom w:val="0"/>
      <w:divBdr>
        <w:top w:val="none" w:sz="0" w:space="0" w:color="auto"/>
        <w:left w:val="none" w:sz="0" w:space="0" w:color="auto"/>
        <w:bottom w:val="none" w:sz="0" w:space="0" w:color="auto"/>
        <w:right w:val="none" w:sz="0" w:space="0" w:color="auto"/>
      </w:divBdr>
    </w:div>
    <w:div w:id="1353801099">
      <w:bodyDiv w:val="1"/>
      <w:marLeft w:val="0"/>
      <w:marRight w:val="0"/>
      <w:marTop w:val="0"/>
      <w:marBottom w:val="0"/>
      <w:divBdr>
        <w:top w:val="none" w:sz="0" w:space="0" w:color="auto"/>
        <w:left w:val="none" w:sz="0" w:space="0" w:color="auto"/>
        <w:bottom w:val="none" w:sz="0" w:space="0" w:color="auto"/>
        <w:right w:val="none" w:sz="0" w:space="0" w:color="auto"/>
      </w:divBdr>
    </w:div>
    <w:div w:id="1501118788">
      <w:bodyDiv w:val="1"/>
      <w:marLeft w:val="0"/>
      <w:marRight w:val="0"/>
      <w:marTop w:val="0"/>
      <w:marBottom w:val="0"/>
      <w:divBdr>
        <w:top w:val="none" w:sz="0" w:space="0" w:color="auto"/>
        <w:left w:val="none" w:sz="0" w:space="0" w:color="auto"/>
        <w:bottom w:val="none" w:sz="0" w:space="0" w:color="auto"/>
        <w:right w:val="none" w:sz="0" w:space="0" w:color="auto"/>
      </w:divBdr>
    </w:div>
    <w:div w:id="1513912130">
      <w:bodyDiv w:val="1"/>
      <w:marLeft w:val="0"/>
      <w:marRight w:val="0"/>
      <w:marTop w:val="0"/>
      <w:marBottom w:val="0"/>
      <w:divBdr>
        <w:top w:val="none" w:sz="0" w:space="0" w:color="auto"/>
        <w:left w:val="none" w:sz="0" w:space="0" w:color="auto"/>
        <w:bottom w:val="none" w:sz="0" w:space="0" w:color="auto"/>
        <w:right w:val="none" w:sz="0" w:space="0" w:color="auto"/>
      </w:divBdr>
    </w:div>
    <w:div w:id="1638342254">
      <w:bodyDiv w:val="1"/>
      <w:marLeft w:val="0"/>
      <w:marRight w:val="0"/>
      <w:marTop w:val="0"/>
      <w:marBottom w:val="0"/>
      <w:divBdr>
        <w:top w:val="none" w:sz="0" w:space="0" w:color="auto"/>
        <w:left w:val="none" w:sz="0" w:space="0" w:color="auto"/>
        <w:bottom w:val="none" w:sz="0" w:space="0" w:color="auto"/>
        <w:right w:val="none" w:sz="0" w:space="0" w:color="auto"/>
      </w:divBdr>
    </w:div>
    <w:div w:id="1757282427">
      <w:bodyDiv w:val="1"/>
      <w:marLeft w:val="0"/>
      <w:marRight w:val="0"/>
      <w:marTop w:val="0"/>
      <w:marBottom w:val="0"/>
      <w:divBdr>
        <w:top w:val="none" w:sz="0" w:space="0" w:color="auto"/>
        <w:left w:val="none" w:sz="0" w:space="0" w:color="auto"/>
        <w:bottom w:val="none" w:sz="0" w:space="0" w:color="auto"/>
        <w:right w:val="none" w:sz="0" w:space="0" w:color="auto"/>
      </w:divBdr>
    </w:div>
    <w:div w:id="1783915338">
      <w:bodyDiv w:val="1"/>
      <w:marLeft w:val="0"/>
      <w:marRight w:val="0"/>
      <w:marTop w:val="0"/>
      <w:marBottom w:val="0"/>
      <w:divBdr>
        <w:top w:val="none" w:sz="0" w:space="0" w:color="auto"/>
        <w:left w:val="none" w:sz="0" w:space="0" w:color="auto"/>
        <w:bottom w:val="none" w:sz="0" w:space="0" w:color="auto"/>
        <w:right w:val="none" w:sz="0" w:space="0" w:color="auto"/>
      </w:divBdr>
    </w:div>
    <w:div w:id="1934704561">
      <w:bodyDiv w:val="1"/>
      <w:marLeft w:val="0"/>
      <w:marRight w:val="0"/>
      <w:marTop w:val="0"/>
      <w:marBottom w:val="0"/>
      <w:divBdr>
        <w:top w:val="none" w:sz="0" w:space="0" w:color="auto"/>
        <w:left w:val="none" w:sz="0" w:space="0" w:color="auto"/>
        <w:bottom w:val="none" w:sz="0" w:space="0" w:color="auto"/>
        <w:right w:val="none" w:sz="0" w:space="0" w:color="auto"/>
      </w:divBdr>
    </w:div>
    <w:div w:id="2009942082">
      <w:bodyDiv w:val="1"/>
      <w:marLeft w:val="0"/>
      <w:marRight w:val="0"/>
      <w:marTop w:val="0"/>
      <w:marBottom w:val="0"/>
      <w:divBdr>
        <w:top w:val="none" w:sz="0" w:space="0" w:color="auto"/>
        <w:left w:val="none" w:sz="0" w:space="0" w:color="auto"/>
        <w:bottom w:val="none" w:sz="0" w:space="0" w:color="auto"/>
        <w:right w:val="none" w:sz="0" w:space="0" w:color="auto"/>
      </w:divBdr>
    </w:div>
    <w:div w:id="2097827516">
      <w:bodyDiv w:val="1"/>
      <w:marLeft w:val="0"/>
      <w:marRight w:val="0"/>
      <w:marTop w:val="0"/>
      <w:marBottom w:val="0"/>
      <w:divBdr>
        <w:top w:val="none" w:sz="0" w:space="0" w:color="auto"/>
        <w:left w:val="none" w:sz="0" w:space="0" w:color="auto"/>
        <w:bottom w:val="none" w:sz="0" w:space="0" w:color="auto"/>
        <w:right w:val="none" w:sz="0" w:space="0" w:color="auto"/>
      </w:divBdr>
    </w:div>
    <w:div w:id="2123575309">
      <w:bodyDiv w:val="1"/>
      <w:marLeft w:val="0"/>
      <w:marRight w:val="0"/>
      <w:marTop w:val="0"/>
      <w:marBottom w:val="0"/>
      <w:divBdr>
        <w:top w:val="none" w:sz="0" w:space="0" w:color="auto"/>
        <w:left w:val="none" w:sz="0" w:space="0" w:color="auto"/>
        <w:bottom w:val="none" w:sz="0" w:space="0" w:color="auto"/>
        <w:right w:val="none" w:sz="0" w:space="0" w:color="auto"/>
      </w:divBdr>
    </w:div>
    <w:div w:id="213058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21</Pages>
  <Words>8645</Words>
  <Characters>49280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11</cp:revision>
  <dcterms:created xsi:type="dcterms:W3CDTF">2026-03-02T01:49:00Z</dcterms:created>
  <dcterms:modified xsi:type="dcterms:W3CDTF">2026-03-17T08:27:00Z</dcterms:modified>
</cp:coreProperties>
</file>