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B8193D" w14:textId="04C9ABC5" w:rsidR="00BE36B6" w:rsidRDefault="004913D6" w:rsidP="00CE67BB">
      <w:pPr>
        <w:spacing w:before="240" w:after="240" w:line="240" w:lineRule="auto"/>
        <w:ind w:left="1440" w:right="1440"/>
        <w:jc w:val="center"/>
        <w:rPr>
          <w:rFonts w:ascii="Times New Roman" w:hAnsi="Times New Roman" w:cs="Times New Roman"/>
          <w:b/>
          <w:bCs/>
          <w:sz w:val="36"/>
          <w:szCs w:val="36"/>
        </w:rPr>
      </w:pPr>
      <w:r w:rsidRPr="004913D6">
        <w:rPr>
          <w:rFonts w:ascii="Times New Roman" w:hAnsi="Times New Roman" w:cs="Times New Roman"/>
          <w:b/>
          <w:bCs/>
          <w:sz w:val="36"/>
          <w:szCs w:val="36"/>
        </w:rPr>
        <w:t>Community-Based Collective Care and Resilience Among LGBTQ Populations in Rural Nigeria: The Calabar Case Study</w:t>
      </w:r>
    </w:p>
    <w:p w14:paraId="7619068E" w14:textId="445E53F9" w:rsidR="001C0E96" w:rsidRDefault="00593CCC" w:rsidP="001C0E96">
      <w:pPr>
        <w:spacing w:before="240" w:after="240" w:line="240" w:lineRule="auto"/>
        <w:ind w:left="1440" w:right="1440"/>
        <w:rPr>
          <w:rFonts w:ascii="Times New Roman" w:hAnsi="Times New Roman" w:cs="Times New Roman"/>
          <w:b/>
          <w:bCs/>
        </w:rPr>
      </w:pPr>
      <w:bookmarkStart w:id="0" w:name="_GoBack"/>
      <w:bookmarkEnd w:id="0"/>
      <w:r>
        <w:rPr>
          <w:rFonts w:ascii="Times New Roman" w:hAnsi="Times New Roman" w:cs="Times New Roman"/>
          <w:b/>
          <w:bCs/>
        </w:rPr>
        <w:t xml:space="preserve"> </w:t>
      </w:r>
    </w:p>
    <w:p w14:paraId="2EDB375A" w14:textId="423493DB" w:rsidR="001C0E96" w:rsidRPr="00596AE5" w:rsidRDefault="001C0E96" w:rsidP="001C0E96">
      <w:pPr>
        <w:spacing w:before="240" w:after="240" w:line="240" w:lineRule="auto"/>
        <w:ind w:left="1440" w:right="1440"/>
        <w:rPr>
          <w:rFonts w:ascii="Times New Roman" w:hAnsi="Times New Roman" w:cs="Times New Roman"/>
          <w:b/>
          <w:bCs/>
          <w:sz w:val="28"/>
          <w:szCs w:val="28"/>
        </w:rPr>
      </w:pPr>
      <w:r w:rsidRPr="00596AE5">
        <w:rPr>
          <w:rFonts w:ascii="Times New Roman" w:hAnsi="Times New Roman" w:cs="Times New Roman"/>
          <w:b/>
          <w:bCs/>
          <w:sz w:val="28"/>
          <w:szCs w:val="28"/>
        </w:rPr>
        <w:t xml:space="preserve">ABSTRACT </w:t>
      </w:r>
    </w:p>
    <w:p w14:paraId="53175C16" w14:textId="73DCDAE0" w:rsidR="001C0E96" w:rsidRDefault="00FE28C8" w:rsidP="00FE28C8">
      <w:pPr>
        <w:spacing w:before="240" w:after="240" w:line="240" w:lineRule="auto"/>
        <w:ind w:left="1440" w:right="1440"/>
        <w:jc w:val="both"/>
        <w:rPr>
          <w:rFonts w:ascii="Times New Roman" w:hAnsi="Times New Roman" w:cs="Times New Roman"/>
        </w:rPr>
      </w:pPr>
      <w:r w:rsidRPr="00FE28C8">
        <w:rPr>
          <w:rFonts w:ascii="Times New Roman" w:hAnsi="Times New Roman" w:cs="Times New Roman"/>
        </w:rPr>
        <w:t xml:space="preserve">Marginalized </w:t>
      </w:r>
      <w:r>
        <w:rPr>
          <w:rFonts w:ascii="Times New Roman" w:hAnsi="Times New Roman" w:cs="Times New Roman"/>
        </w:rPr>
        <w:t>communities often develop adaptive support systems to maintain wellbeing in environments characterized by stigma, legal restrictions, and limited institutional protection. In Nigeria, the Same Sex Marriage (Prohibition) Act has contributed to heightened social exclusion and barriers to healthcare for LGBTQ populations, particularly in rural areas. This study examines how community-based collective care initiatives support resilience, psychosocial wellbeing, and continuity of HIV-related services among LGBTQ individuals in Calabar, Cross River State. Using a community-based case study design, the research documents crisis-response strategies implemented after the vandalization of a community center serving LGBTQ individuals. The intervention framework included peer-led psychosocial support, mutual aid mechanisms, safety protocol development, and participatory governance through community-led crisis committee. Psychosocial outcomes were assessed using the Generalized Anxiety Disorder Scale (GAD-7) among participants (n</w:t>
      </w:r>
      <w:r w:rsidR="00286DBA">
        <w:rPr>
          <w:rFonts w:ascii="Times New Roman" w:hAnsi="Times New Roman" w:cs="Times New Roman"/>
        </w:rPr>
        <w:t xml:space="preserve"> </w:t>
      </w:r>
      <w:r>
        <w:rPr>
          <w:rFonts w:ascii="Times New Roman" w:hAnsi="Times New Roman" w:cs="Times New Roman"/>
        </w:rPr>
        <w:t>=</w:t>
      </w:r>
      <w:r w:rsidR="00286DBA">
        <w:rPr>
          <w:rFonts w:ascii="Times New Roman" w:hAnsi="Times New Roman" w:cs="Times New Roman"/>
        </w:rPr>
        <w:t xml:space="preserve"> </w:t>
      </w:r>
      <w:r>
        <w:rPr>
          <w:rFonts w:ascii="Times New Roman" w:hAnsi="Times New Roman" w:cs="Times New Roman"/>
        </w:rPr>
        <w:t xml:space="preserve">50), while perceived social isolation was measured using the UCLA Loneliness Scale among a subset of </w:t>
      </w:r>
      <w:r w:rsidR="009B523C">
        <w:rPr>
          <w:rFonts w:ascii="Times New Roman" w:hAnsi="Times New Roman" w:cs="Times New Roman"/>
        </w:rPr>
        <w:t>participants (n</w:t>
      </w:r>
      <w:r w:rsidR="00286DBA">
        <w:rPr>
          <w:rFonts w:ascii="Times New Roman" w:hAnsi="Times New Roman" w:cs="Times New Roman"/>
        </w:rPr>
        <w:t xml:space="preserve"> </w:t>
      </w:r>
      <w:r w:rsidR="009B523C">
        <w:rPr>
          <w:rFonts w:ascii="Times New Roman" w:hAnsi="Times New Roman" w:cs="Times New Roman"/>
        </w:rPr>
        <w:t>=</w:t>
      </w:r>
      <w:r w:rsidR="00286DBA">
        <w:rPr>
          <w:rFonts w:ascii="Times New Roman" w:hAnsi="Times New Roman" w:cs="Times New Roman"/>
        </w:rPr>
        <w:t xml:space="preserve"> </w:t>
      </w:r>
      <w:r w:rsidR="009B523C">
        <w:rPr>
          <w:rFonts w:ascii="Times New Roman" w:hAnsi="Times New Roman" w:cs="Times New Roman"/>
        </w:rPr>
        <w:t>30) through pre- and post-intervention surveys, Results indicate improvements in psychosocial wellbeing and social connectedness, with anxiety symptoms decreasing by approximately 30% and loneliness scores declining by 40% following the intervention. These findings highlight the role of community-led collective care models in strengthening resilience and sustaining essential health services among marginalized populations in restrictive social environments.</w:t>
      </w:r>
    </w:p>
    <w:p w14:paraId="697F34B5" w14:textId="0CC2897F" w:rsidR="001057BA" w:rsidRPr="001057BA" w:rsidRDefault="001057BA" w:rsidP="00FE28C8">
      <w:pPr>
        <w:spacing w:before="240" w:after="240" w:line="240" w:lineRule="auto"/>
        <w:ind w:left="1440" w:right="1440"/>
        <w:jc w:val="both"/>
        <w:rPr>
          <w:rFonts w:ascii="Times New Roman" w:hAnsi="Times New Roman" w:cs="Times New Roman"/>
          <w:b/>
          <w:bCs/>
        </w:rPr>
      </w:pPr>
      <w:r w:rsidRPr="001057BA">
        <w:rPr>
          <w:rFonts w:ascii="Times New Roman" w:hAnsi="Times New Roman" w:cs="Times New Roman"/>
          <w:b/>
          <w:bCs/>
        </w:rPr>
        <w:t>Keywords:</w:t>
      </w:r>
      <w:r>
        <w:rPr>
          <w:rFonts w:ascii="Times New Roman" w:hAnsi="Times New Roman" w:cs="Times New Roman"/>
          <w:b/>
          <w:bCs/>
        </w:rPr>
        <w:t xml:space="preserve"> </w:t>
      </w:r>
      <w:r w:rsidRPr="001057BA">
        <w:rPr>
          <w:rFonts w:ascii="Times New Roman" w:hAnsi="Times New Roman" w:cs="Times New Roman"/>
        </w:rPr>
        <w:t>Collective Care, Community Resilience, LGBTQ Health, HIV service Delivery</w:t>
      </w:r>
    </w:p>
    <w:p w14:paraId="7D02ED06" w14:textId="77777777" w:rsidR="00055F55" w:rsidRDefault="00055F55" w:rsidP="00FE28C8">
      <w:pPr>
        <w:spacing w:before="240" w:after="240" w:line="240" w:lineRule="auto"/>
        <w:ind w:left="1440" w:right="1440"/>
        <w:jc w:val="both"/>
        <w:rPr>
          <w:rFonts w:ascii="Times New Roman" w:hAnsi="Times New Roman" w:cs="Times New Roman"/>
          <w:b/>
          <w:bCs/>
        </w:rPr>
      </w:pPr>
    </w:p>
    <w:p w14:paraId="221E2986" w14:textId="77777777" w:rsidR="00055F55" w:rsidRDefault="00055F55" w:rsidP="00FE28C8">
      <w:pPr>
        <w:spacing w:before="240" w:after="240" w:line="240" w:lineRule="auto"/>
        <w:ind w:left="1440" w:right="1440"/>
        <w:jc w:val="both"/>
        <w:rPr>
          <w:rFonts w:ascii="Times New Roman" w:hAnsi="Times New Roman" w:cs="Times New Roman"/>
          <w:b/>
          <w:bCs/>
        </w:rPr>
      </w:pPr>
    </w:p>
    <w:p w14:paraId="7B508A29" w14:textId="77777777" w:rsidR="00055F55" w:rsidRDefault="00055F55" w:rsidP="00FE28C8">
      <w:pPr>
        <w:spacing w:before="240" w:after="240" w:line="240" w:lineRule="auto"/>
        <w:ind w:left="1440" w:right="1440"/>
        <w:jc w:val="both"/>
        <w:rPr>
          <w:rFonts w:ascii="Times New Roman" w:hAnsi="Times New Roman" w:cs="Times New Roman"/>
          <w:b/>
          <w:bCs/>
        </w:rPr>
      </w:pPr>
    </w:p>
    <w:p w14:paraId="07D7CDDE" w14:textId="77777777" w:rsidR="00055F55" w:rsidRDefault="00055F55" w:rsidP="00FE28C8">
      <w:pPr>
        <w:spacing w:before="240" w:after="240" w:line="240" w:lineRule="auto"/>
        <w:ind w:left="1440" w:right="1440"/>
        <w:jc w:val="both"/>
        <w:rPr>
          <w:rFonts w:ascii="Times New Roman" w:hAnsi="Times New Roman" w:cs="Times New Roman"/>
          <w:b/>
          <w:bCs/>
        </w:rPr>
      </w:pPr>
    </w:p>
    <w:p w14:paraId="38E266E1" w14:textId="77777777" w:rsidR="00055F55" w:rsidRDefault="00055F55" w:rsidP="00FE28C8">
      <w:pPr>
        <w:spacing w:before="240" w:after="240" w:line="240" w:lineRule="auto"/>
        <w:ind w:left="1440" w:right="1440"/>
        <w:jc w:val="both"/>
        <w:rPr>
          <w:rFonts w:ascii="Times New Roman" w:hAnsi="Times New Roman" w:cs="Times New Roman"/>
          <w:b/>
          <w:bCs/>
        </w:rPr>
      </w:pPr>
    </w:p>
    <w:p w14:paraId="4C171449" w14:textId="77777777" w:rsidR="00055F55" w:rsidRDefault="00055F55" w:rsidP="00FE28C8">
      <w:pPr>
        <w:spacing w:before="240" w:after="240" w:line="240" w:lineRule="auto"/>
        <w:ind w:left="1440" w:right="1440"/>
        <w:jc w:val="both"/>
        <w:rPr>
          <w:rFonts w:ascii="Times New Roman" w:hAnsi="Times New Roman" w:cs="Times New Roman"/>
          <w:b/>
          <w:bCs/>
        </w:rPr>
      </w:pPr>
    </w:p>
    <w:p w14:paraId="2D89BD83" w14:textId="77777777" w:rsidR="00055F55" w:rsidRDefault="00055F55" w:rsidP="00FE28C8">
      <w:pPr>
        <w:spacing w:before="240" w:after="240" w:line="240" w:lineRule="auto"/>
        <w:ind w:left="1440" w:right="1440"/>
        <w:jc w:val="both"/>
        <w:rPr>
          <w:rFonts w:ascii="Times New Roman" w:hAnsi="Times New Roman" w:cs="Times New Roman"/>
          <w:b/>
          <w:bCs/>
        </w:rPr>
      </w:pPr>
    </w:p>
    <w:p w14:paraId="38D54FEF" w14:textId="77777777" w:rsidR="00055F55" w:rsidRDefault="00055F55" w:rsidP="00A75591">
      <w:pPr>
        <w:spacing w:before="240" w:after="240" w:line="240" w:lineRule="auto"/>
        <w:ind w:right="1440"/>
        <w:jc w:val="both"/>
        <w:rPr>
          <w:rFonts w:ascii="Times New Roman" w:hAnsi="Times New Roman" w:cs="Times New Roman"/>
          <w:b/>
          <w:bCs/>
        </w:rPr>
      </w:pPr>
    </w:p>
    <w:p w14:paraId="786DCB11" w14:textId="1838099B" w:rsidR="00596AE5" w:rsidRPr="007E56A8" w:rsidRDefault="007E56A8" w:rsidP="00FE28C8">
      <w:pPr>
        <w:spacing w:before="240" w:after="240" w:line="240" w:lineRule="auto"/>
        <w:ind w:left="1440" w:right="1440"/>
        <w:jc w:val="both"/>
        <w:rPr>
          <w:rFonts w:ascii="Times New Roman" w:hAnsi="Times New Roman" w:cs="Times New Roman"/>
          <w:b/>
          <w:bCs/>
        </w:rPr>
      </w:pPr>
      <w:r w:rsidRPr="007E56A8">
        <w:rPr>
          <w:rFonts w:ascii="Times New Roman" w:hAnsi="Times New Roman" w:cs="Times New Roman"/>
          <w:b/>
          <w:bCs/>
        </w:rPr>
        <w:t xml:space="preserve">INTRODUCTION </w:t>
      </w:r>
    </w:p>
    <w:p w14:paraId="65D63852" w14:textId="764B3C79" w:rsidR="009B523C" w:rsidRDefault="00CF56F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 xml:space="preserve">Marginalized populations frequently encounter structural barriers that affect access to healthcare, </w:t>
      </w:r>
      <w:r w:rsidR="00A23650">
        <w:rPr>
          <w:rFonts w:ascii="Times New Roman" w:hAnsi="Times New Roman" w:cs="Times New Roman"/>
        </w:rPr>
        <w:t xml:space="preserve">social protection, and community wellbeing. In Nigeria, sexual and gender minorities face heightened vulnerability due to legal restrictions, social stigma, and discrimination. The Same Sex Marriage (Prohibition) Act has been widely associated with increased surveillance, harassment, and exclusion of </w:t>
      </w:r>
      <w:r w:rsidR="008718DD">
        <w:rPr>
          <w:rFonts w:ascii="Times New Roman" w:hAnsi="Times New Roman" w:cs="Times New Roman"/>
        </w:rPr>
        <w:t xml:space="preserve">LGBTQ individuals from essential services, including healthcare and HIV supported programs </w:t>
      </w:r>
      <w:r w:rsidR="008718DD" w:rsidRPr="002954F0">
        <w:rPr>
          <w:rFonts w:ascii="Times New Roman" w:hAnsi="Times New Roman" w:cs="Times New Roman"/>
        </w:rPr>
        <w:t>[</w:t>
      </w:r>
      <w:r w:rsidR="001642A0" w:rsidRPr="002954F0">
        <w:rPr>
          <w:rFonts w:ascii="Times New Roman" w:hAnsi="Times New Roman" w:cs="Times New Roman"/>
        </w:rPr>
        <w:t>5,17</w:t>
      </w:r>
      <w:r w:rsidR="008718DD" w:rsidRPr="002954F0">
        <w:rPr>
          <w:rFonts w:ascii="Times New Roman" w:hAnsi="Times New Roman" w:cs="Times New Roman"/>
        </w:rPr>
        <w:t>]</w:t>
      </w:r>
      <w:r w:rsidR="000A2BF0" w:rsidRPr="002954F0">
        <w:rPr>
          <w:rFonts w:ascii="Times New Roman" w:hAnsi="Times New Roman" w:cs="Times New Roman"/>
        </w:rPr>
        <w:t>. Research suggests that such legal and social environments can intensify minority stress and discourage engagement with formal healthcare systems [</w:t>
      </w:r>
      <w:r w:rsidR="001642A0" w:rsidRPr="002954F0">
        <w:rPr>
          <w:rFonts w:ascii="Times New Roman" w:hAnsi="Times New Roman" w:cs="Times New Roman"/>
        </w:rPr>
        <w:t>9,13</w:t>
      </w:r>
      <w:r w:rsidR="000A2BF0" w:rsidRPr="002954F0">
        <w:rPr>
          <w:rFonts w:ascii="Times New Roman" w:hAnsi="Times New Roman" w:cs="Times New Roman"/>
        </w:rPr>
        <w:t>].</w:t>
      </w:r>
    </w:p>
    <w:p w14:paraId="1AD90FD4" w14:textId="0E697C7D" w:rsidR="003300FF" w:rsidRDefault="00894B82"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In rural settings, these challenges are often amplified by limited healthcare infrastructure and </w:t>
      </w:r>
      <w:r w:rsidR="00D10B5C">
        <w:rPr>
          <w:rFonts w:ascii="Times New Roman" w:hAnsi="Times New Roman" w:cs="Times New Roman"/>
        </w:rPr>
        <w:t>more</w:t>
      </w:r>
      <w:r>
        <w:rPr>
          <w:rFonts w:ascii="Times New Roman" w:hAnsi="Times New Roman" w:cs="Times New Roman"/>
        </w:rPr>
        <w:t xml:space="preserve"> conservative social norms. As a result, marginalized populations frequently rely on </w:t>
      </w:r>
      <w:r w:rsidR="003300FF">
        <w:rPr>
          <w:rFonts w:ascii="Times New Roman" w:hAnsi="Times New Roman" w:cs="Times New Roman"/>
        </w:rPr>
        <w:t>informal networks of solidarity and support to navigate everyday risks and maintain access to resources. Community-based organizations and peer-led initiatives have therefore emerged as important actors in addressing health disparities and sustaining rural support systems among marginalized g</w:t>
      </w:r>
      <w:r w:rsidR="003300FF" w:rsidRPr="002954F0">
        <w:rPr>
          <w:rFonts w:ascii="Times New Roman" w:hAnsi="Times New Roman" w:cs="Times New Roman"/>
        </w:rPr>
        <w:t>roups [</w:t>
      </w:r>
      <w:r w:rsidR="001642A0" w:rsidRPr="002954F0">
        <w:rPr>
          <w:rFonts w:ascii="Times New Roman" w:hAnsi="Times New Roman" w:cs="Times New Roman"/>
        </w:rPr>
        <w:t>2,20</w:t>
      </w:r>
      <w:r w:rsidR="003300FF" w:rsidRPr="002954F0">
        <w:rPr>
          <w:rFonts w:ascii="Times New Roman" w:hAnsi="Times New Roman" w:cs="Times New Roman"/>
        </w:rPr>
        <w:t>].</w:t>
      </w:r>
    </w:p>
    <w:p w14:paraId="0F0876D9" w14:textId="636A3A85" w:rsidR="006111D8" w:rsidRDefault="006111D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A growing body of literature has examined the intersection between structural stigma, health disparities, and resilience among sexual and gender minority populations. Research has consistently demonstrated that LGBTQ individuals often experience higher levels of mental health challenges compared to the general population, largely due to social exclusion, discrimination, and institutional barriers to healthcare access [3,9]. Structural stigma, including restrictive laws and discriminatory policies, can further intensify these disparities by discouraging individuals from accessing health services or participating openly in community support systems.</w:t>
      </w:r>
    </w:p>
    <w:p w14:paraId="15B6D8C4" w14:textId="1C214238" w:rsidR="00A17193" w:rsidRDefault="00A17193" w:rsidP="00A9262F">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Within the context of HIV prevention and care, marginalized populations such as men who have sex with men (MSM), transgender, and other sexual minorities have been shown to experience disproportionate vulnerability to HIV infection. Global epidemiological studies indicate that these populations often face barriers to HIV testing, prevention services, and treatment programs due to stigma, criminalization, and discrimination within healthcare systems [1,11]. </w:t>
      </w:r>
    </w:p>
    <w:p w14:paraId="6560CCDA" w14:textId="28FC1CBD" w:rsidR="00894B82" w:rsidRPr="002954F0" w:rsidRDefault="003300FF" w:rsidP="00FE28C8">
      <w:pPr>
        <w:spacing w:before="240" w:after="240" w:line="240" w:lineRule="auto"/>
        <w:ind w:left="1440" w:right="1440"/>
        <w:jc w:val="both"/>
        <w:rPr>
          <w:rFonts w:ascii="Times New Roman" w:hAnsi="Times New Roman" w:cs="Times New Roman"/>
        </w:rPr>
      </w:pPr>
      <w:r w:rsidRPr="002954F0">
        <w:rPr>
          <w:rFonts w:ascii="Times New Roman" w:hAnsi="Times New Roman" w:cs="Times New Roman"/>
        </w:rPr>
        <w:t>Collective car</w:t>
      </w:r>
      <w:r>
        <w:rPr>
          <w:rFonts w:ascii="Times New Roman" w:hAnsi="Times New Roman" w:cs="Times New Roman"/>
        </w:rPr>
        <w:t xml:space="preserve">e refers to community-driven practices that emphasize shared responsibility, mutual support, and solidarity in responding to social and health challenges. Scholars have described collective care as an approach that shifts the focus of wellbeing from individual responsibility towards community-based support systems, particularly in contexts where institutional protection is limited </w:t>
      </w:r>
      <w:r w:rsidRPr="002954F0">
        <w:rPr>
          <w:rFonts w:ascii="Times New Roman" w:hAnsi="Times New Roman" w:cs="Times New Roman"/>
        </w:rPr>
        <w:t>[</w:t>
      </w:r>
      <w:r w:rsidR="001642A0" w:rsidRPr="002954F0">
        <w:rPr>
          <w:rFonts w:ascii="Times New Roman" w:hAnsi="Times New Roman" w:cs="Times New Roman"/>
        </w:rPr>
        <w:t>10</w:t>
      </w:r>
      <w:r w:rsidRPr="002954F0">
        <w:rPr>
          <w:rFonts w:ascii="Times New Roman" w:hAnsi="Times New Roman" w:cs="Times New Roman"/>
        </w:rPr>
        <w:t xml:space="preserve">]. Within </w:t>
      </w:r>
      <w:r w:rsidR="0059318F" w:rsidRPr="002954F0">
        <w:rPr>
          <w:rFonts w:ascii="Times New Roman" w:hAnsi="Times New Roman" w:cs="Times New Roman"/>
        </w:rPr>
        <w:t xml:space="preserve">public health research collective care frameworks have increasingly </w:t>
      </w:r>
      <w:r w:rsidR="0059318F">
        <w:rPr>
          <w:rFonts w:ascii="Times New Roman" w:hAnsi="Times New Roman" w:cs="Times New Roman"/>
        </w:rPr>
        <w:t>been recognized as strategies capable of strengthening</w:t>
      </w:r>
      <w:r w:rsidR="0059318F" w:rsidRPr="002954F0">
        <w:rPr>
          <w:rFonts w:ascii="Times New Roman" w:hAnsi="Times New Roman" w:cs="Times New Roman"/>
        </w:rPr>
        <w:t xml:space="preserve"> resilience and improving psychosocial outcomes among marginalized populations [</w:t>
      </w:r>
      <w:r w:rsidR="001642A0" w:rsidRPr="002954F0">
        <w:rPr>
          <w:rFonts w:ascii="Times New Roman" w:hAnsi="Times New Roman" w:cs="Times New Roman"/>
        </w:rPr>
        <w:t>4,8</w:t>
      </w:r>
      <w:r w:rsidR="0059318F" w:rsidRPr="002954F0">
        <w:rPr>
          <w:rFonts w:ascii="Times New Roman" w:hAnsi="Times New Roman" w:cs="Times New Roman"/>
        </w:rPr>
        <w:t>].</w:t>
      </w:r>
    </w:p>
    <w:p w14:paraId="285F190A" w14:textId="63505F69" w:rsidR="000876BE" w:rsidRDefault="001642A0" w:rsidP="000876BE">
      <w:pPr>
        <w:spacing w:before="240" w:after="240" w:line="240" w:lineRule="auto"/>
        <w:ind w:left="1440" w:right="1440"/>
        <w:jc w:val="both"/>
        <w:rPr>
          <w:rFonts w:ascii="Times New Roman" w:hAnsi="Times New Roman" w:cs="Times New Roman"/>
        </w:rPr>
      </w:pPr>
      <w:r w:rsidRPr="002954F0">
        <w:rPr>
          <w:rFonts w:ascii="Times New Roman" w:hAnsi="Times New Roman" w:cs="Times New Roman"/>
        </w:rPr>
        <w:t>Research on HIV vulnerability among marginalized po</w:t>
      </w:r>
      <w:r>
        <w:rPr>
          <w:rFonts w:ascii="Times New Roman" w:hAnsi="Times New Roman" w:cs="Times New Roman"/>
        </w:rPr>
        <w:t>pulations has consistently highlighted the intersection of stigma, discrimination, and structural barriers to healthcare access. Studies have shown that men who have sex with men (MSM)</w:t>
      </w:r>
      <w:r w:rsidR="00805905">
        <w:rPr>
          <w:rFonts w:ascii="Times New Roman" w:hAnsi="Times New Roman" w:cs="Times New Roman"/>
        </w:rPr>
        <w:t xml:space="preserve"> and transgender populations often experience disproportionate HIV burden due to limited access to inclusive health services and supportive social environments [1,11]. Structural stigma and discriminatory legal frameworks can discourage individuals from accessing HIV testing, prevention services, and treatment programs [3].</w:t>
      </w:r>
    </w:p>
    <w:p w14:paraId="27DAE59D" w14:textId="77777777" w:rsidR="002411FE" w:rsidRDefault="002411FE"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Minority stress theory provides an important framework for understanding the psychosocial challenges faced by LGBTQ populations. According to this theory, </w:t>
      </w:r>
      <w:r>
        <w:rPr>
          <w:rFonts w:ascii="Times New Roman" w:hAnsi="Times New Roman" w:cs="Times New Roman"/>
        </w:rPr>
        <w:lastRenderedPageBreak/>
        <w:t>individuals belonging to stigmatized groups experience chronic stress arising from prejudice, discrimination, and social exclusion, which may negatively affect mental and physical health outcomes [9]. These experiences are often intensified in environment where legal protections are limited and where social hostility toward sexual minorities persists [6].</w:t>
      </w:r>
    </w:p>
    <w:p w14:paraId="0F977505" w14:textId="77777777" w:rsidR="008C0D00" w:rsidRDefault="002411FE"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Community-based resilience strategies have therefore become critical mechanisms for addressing these challenges. Mutual aid </w:t>
      </w:r>
      <w:r w:rsidR="008C0D00">
        <w:rPr>
          <w:rFonts w:ascii="Times New Roman" w:hAnsi="Times New Roman" w:cs="Times New Roman"/>
        </w:rPr>
        <w:t>systems and peer-led support structures have been documented as effective community responses that provide emotional support, material assistance, and social protection for marginalized populations [10]. Such collective practices have historically emerged during periods of crisis or institutional neglect and can strengthen social cohesion within vulnerable communities [4].</w:t>
      </w:r>
    </w:p>
    <w:p w14:paraId="4D273B8E" w14:textId="77777777" w:rsidR="008C0D00" w:rsidRDefault="008C0D0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Empirical research also demonstrates that community-led health initiatives can improve access to HIV prevention and care services among marginalized populations. Peer outreach, community education, and safe referral networks often serve as bridges between vulnerable populations and formal healthcare systems [15,19]. These interventions have been particularly effective in contexts where stigma and discrimination create barriers to institutional care [12].</w:t>
      </w:r>
    </w:p>
    <w:p w14:paraId="4424A73F" w14:textId="1961FDD2" w:rsidR="001642A0" w:rsidRDefault="008C0D0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Despite growing recognition of the importance of community-driven health responses, relatively few studies have examined how collective care interventions operate within rural LGBTQ communities in Nigeria. This study contributes to literature by documenting a case study of collective care strategies implemented in Calabar, Cross River State, following a crisis affecting a community-based organization. </w:t>
      </w:r>
      <w:r w:rsidR="00805905">
        <w:rPr>
          <w:rFonts w:ascii="Times New Roman" w:hAnsi="Times New Roman" w:cs="Times New Roman"/>
        </w:rPr>
        <w:t xml:space="preserve"> </w:t>
      </w:r>
    </w:p>
    <w:p w14:paraId="2678901C" w14:textId="0F076E85" w:rsidR="00DF13F7" w:rsidRDefault="00CF6842"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Conceptual Framework</w:t>
      </w:r>
    </w:p>
    <w:p w14:paraId="2A082C22" w14:textId="7FD9751D" w:rsidR="00CF6842" w:rsidRDefault="00CF6842"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This study is guided by a conceptual framework that links collective care practices to psychosocial resilience and continuity of health service delivery among marginalized populations. Collective care refers to community-driven mechanisms through which individuals share responsibility for emotional, social, and mental support during periods of crisis or structural marginalization. Previous research suggests that collective care systems, including peer support, mutual aid networks, and participatory governance structures, can serve as protective mechanism</w:t>
      </w:r>
      <w:r w:rsidR="00D10B5C">
        <w:rPr>
          <w:rFonts w:ascii="Times New Roman" w:hAnsi="Times New Roman" w:cs="Times New Roman"/>
        </w:rPr>
        <w:t>s</w:t>
      </w:r>
      <w:r>
        <w:rPr>
          <w:rFonts w:ascii="Times New Roman" w:hAnsi="Times New Roman" w:cs="Times New Roman"/>
        </w:rPr>
        <w:t xml:space="preserve"> that buffer the effects of stigma, discrimination, and social exclusion experienced by marginalized populations [4,5].</w:t>
      </w:r>
    </w:p>
    <w:p w14:paraId="2DE88387" w14:textId="127AEAFA" w:rsidR="0042541C" w:rsidRDefault="0042541C"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Within this framework, collective care interventions function as mediating mechanisms that influence psychosocial and organizational outcomes. Peer-led psychosocial support may reduce anxiety and emotional distress among community members by creating safe spaces for shared experiences and mutual validation. Mutual aid systems provide immediate material assistance that stabilizes living conditions and reduces vulnerability during crises. Participatory governance structures strengthen organizational resilience by promoting inclusive decision-making and coordinated crisis responses. </w:t>
      </w:r>
    </w:p>
    <w:p w14:paraId="626B7EF8" w14:textId="29ECFDBC" w:rsidR="0042541C" w:rsidRDefault="0042541C" w:rsidP="005C6BE9">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framework therefore proposes that the integration of these collective care mechanisms contributes to improved psychosocial wellbeing, strengthened social connectedness, and sustained access to HIV and sexual and reproductive health services. Figure 1 illustrates the conceptual relationship between community crisis events, collective care interventions, and resilience outcomes within marginalized communities. </w:t>
      </w:r>
    </w:p>
    <w:p w14:paraId="48C125DD" w14:textId="13BD13A7" w:rsidR="00BB02B7" w:rsidRDefault="002C4F33" w:rsidP="000876BE">
      <w:pPr>
        <w:spacing w:before="240" w:after="240" w:line="240" w:lineRule="auto"/>
        <w:ind w:left="1440" w:right="1440"/>
        <w:jc w:val="both"/>
        <w:rPr>
          <w:rFonts w:ascii="Times New Roman" w:hAnsi="Times New Roman" w:cs="Times New Roman"/>
        </w:rPr>
      </w:pPr>
      <w:r>
        <w:rPr>
          <w:noProof/>
          <w:lang w:val="en-IN" w:eastAsia="en-IN"/>
        </w:rPr>
        <w:lastRenderedPageBreak/>
        <mc:AlternateContent>
          <mc:Choice Requires="wps">
            <w:drawing>
              <wp:anchor distT="0" distB="0" distL="114300" distR="114300" simplePos="0" relativeHeight="251663360" behindDoc="1" locked="0" layoutInCell="1" allowOverlap="1" wp14:anchorId="57A79B73" wp14:editId="5964D0DC">
                <wp:simplePos x="0" y="0"/>
                <wp:positionH relativeFrom="column">
                  <wp:posOffset>1057275</wp:posOffset>
                </wp:positionH>
                <wp:positionV relativeFrom="paragraph">
                  <wp:posOffset>2733040</wp:posOffset>
                </wp:positionV>
                <wp:extent cx="4422775" cy="635"/>
                <wp:effectExtent l="0" t="0" r="0" b="0"/>
                <wp:wrapNone/>
                <wp:docPr id="1156738203" name="Text Box 1"/>
                <wp:cNvGraphicFramePr/>
                <a:graphic xmlns:a="http://schemas.openxmlformats.org/drawingml/2006/main">
                  <a:graphicData uri="http://schemas.microsoft.com/office/word/2010/wordprocessingShape">
                    <wps:wsp>
                      <wps:cNvSpPr txBox="1"/>
                      <wps:spPr>
                        <a:xfrm>
                          <a:off x="0" y="0"/>
                          <a:ext cx="4422775" cy="635"/>
                        </a:xfrm>
                        <a:prstGeom prst="rect">
                          <a:avLst/>
                        </a:prstGeom>
                        <a:solidFill>
                          <a:prstClr val="white"/>
                        </a:solidFill>
                        <a:ln>
                          <a:noFill/>
                        </a:ln>
                      </wps:spPr>
                      <wps:txbx>
                        <w:txbxContent>
                          <w:p w14:paraId="2797559D" w14:textId="44C6C25B" w:rsidR="002C4F33" w:rsidRPr="002C4F33" w:rsidRDefault="002C4F33" w:rsidP="002C4F33">
                            <w:pPr>
                              <w:pStyle w:val="Caption"/>
                              <w:rPr>
                                <w:rFonts w:ascii="Times New Roman" w:hAnsi="Times New Roman" w:cs="Times New Roman"/>
                                <w:b/>
                                <w:bCs/>
                                <w:noProof/>
                                <w:sz w:val="24"/>
                                <w:szCs w:val="24"/>
                              </w:rPr>
                            </w:pPr>
                            <w:r w:rsidRPr="002C4F33">
                              <w:rPr>
                                <w:rFonts w:ascii="Times New Roman" w:hAnsi="Times New Roman" w:cs="Times New Roman"/>
                                <w:b/>
                                <w:bCs/>
                                <w:sz w:val="24"/>
                                <w:szCs w:val="24"/>
                              </w:rPr>
                              <w:t xml:space="preserve">Figure </w:t>
                            </w:r>
                            <w:r w:rsidRPr="002C4F33">
                              <w:rPr>
                                <w:rFonts w:ascii="Times New Roman" w:hAnsi="Times New Roman" w:cs="Times New Roman"/>
                                <w:b/>
                                <w:bCs/>
                                <w:sz w:val="24"/>
                                <w:szCs w:val="24"/>
                              </w:rPr>
                              <w:fldChar w:fldCharType="begin"/>
                            </w:r>
                            <w:r w:rsidRPr="002C4F33">
                              <w:rPr>
                                <w:rFonts w:ascii="Times New Roman" w:hAnsi="Times New Roman" w:cs="Times New Roman"/>
                                <w:b/>
                                <w:bCs/>
                                <w:sz w:val="24"/>
                                <w:szCs w:val="24"/>
                              </w:rPr>
                              <w:instrText xml:space="preserve"> SEQ Figure \* ARABIC </w:instrText>
                            </w:r>
                            <w:r w:rsidRPr="002C4F33">
                              <w:rPr>
                                <w:rFonts w:ascii="Times New Roman" w:hAnsi="Times New Roman" w:cs="Times New Roman"/>
                                <w:b/>
                                <w:bCs/>
                                <w:sz w:val="24"/>
                                <w:szCs w:val="24"/>
                              </w:rPr>
                              <w:fldChar w:fldCharType="separate"/>
                            </w:r>
                            <w:r w:rsidR="00442D2B">
                              <w:rPr>
                                <w:rFonts w:ascii="Times New Roman" w:hAnsi="Times New Roman" w:cs="Times New Roman"/>
                                <w:b/>
                                <w:bCs/>
                                <w:noProof/>
                                <w:sz w:val="24"/>
                                <w:szCs w:val="24"/>
                              </w:rPr>
                              <w:t>1</w:t>
                            </w:r>
                            <w:r w:rsidRPr="002C4F33">
                              <w:rPr>
                                <w:rFonts w:ascii="Times New Roman" w:hAnsi="Times New Roman" w:cs="Times New Roman"/>
                                <w:b/>
                                <w:bCs/>
                                <w:sz w:val="24"/>
                                <w:szCs w:val="24"/>
                              </w:rPr>
                              <w:fldChar w:fldCharType="end"/>
                            </w:r>
                            <w:r w:rsidRPr="002C4F33">
                              <w:rPr>
                                <w:rFonts w:ascii="Times New Roman" w:hAnsi="Times New Roman" w:cs="Times New Roman"/>
                                <w:b/>
                                <w:bCs/>
                                <w:sz w:val="24"/>
                                <w:szCs w:val="24"/>
                              </w:rPr>
                              <w:t xml:space="preserve"> Conceptual Framework of Collective Care and Community Resilience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A79B73" id="_x0000_t202" coordsize="21600,21600" o:spt="202" path="m,l,21600r21600,l21600,xe">
                <v:stroke joinstyle="miter"/>
                <v:path gradientshapeok="t" o:connecttype="rect"/>
              </v:shapetype>
              <v:shape id="Text Box 1" o:spid="_x0000_s1026" type="#_x0000_t202" style="position:absolute;left:0;text-align:left;margin-left:83.25pt;margin-top:215.2pt;width:348.25pt;height:.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" stroked="f">
                <v:textbox style="mso-fit-shape-to-text:t" inset="0,0,0,0">
                  <w:txbxContent>
                    <w:p w14:paraId="2797559D" w14:textId="44C6C25B" w:rsidR="002C4F33" w:rsidRPr="002C4F33" w:rsidRDefault="002C4F33" w:rsidP="002C4F33">
                      <w:pPr>
                        <w:pStyle w:val="Caption"/>
                        <w:rPr>
                          <w:rFonts w:ascii="Times New Roman" w:hAnsi="Times New Roman" w:cs="Times New Roman"/>
                          <w:b/>
                          <w:bCs/>
                          <w:noProof/>
                          <w:sz w:val="24"/>
                          <w:szCs w:val="24"/>
                        </w:rPr>
                      </w:pPr>
                      <w:r w:rsidRPr="002C4F33">
                        <w:rPr>
                          <w:rFonts w:ascii="Times New Roman" w:hAnsi="Times New Roman" w:cs="Times New Roman"/>
                          <w:b/>
                          <w:bCs/>
                          <w:sz w:val="24"/>
                          <w:szCs w:val="24"/>
                        </w:rPr>
                        <w:t xml:space="preserve">Figure </w:t>
                      </w:r>
                      <w:r w:rsidRPr="002C4F33">
                        <w:rPr>
                          <w:rFonts w:ascii="Times New Roman" w:hAnsi="Times New Roman" w:cs="Times New Roman"/>
                          <w:b/>
                          <w:bCs/>
                          <w:sz w:val="24"/>
                          <w:szCs w:val="24"/>
                        </w:rPr>
                        <w:fldChar w:fldCharType="begin"/>
                      </w:r>
                      <w:r w:rsidRPr="002C4F33">
                        <w:rPr>
                          <w:rFonts w:ascii="Times New Roman" w:hAnsi="Times New Roman" w:cs="Times New Roman"/>
                          <w:b/>
                          <w:bCs/>
                          <w:sz w:val="24"/>
                          <w:szCs w:val="24"/>
                        </w:rPr>
                        <w:instrText xml:space="preserve"> SEQ Figure \* ARABIC </w:instrText>
                      </w:r>
                      <w:r w:rsidRPr="002C4F33">
                        <w:rPr>
                          <w:rFonts w:ascii="Times New Roman" w:hAnsi="Times New Roman" w:cs="Times New Roman"/>
                          <w:b/>
                          <w:bCs/>
                          <w:sz w:val="24"/>
                          <w:szCs w:val="24"/>
                        </w:rPr>
                        <w:fldChar w:fldCharType="separate"/>
                      </w:r>
                      <w:r w:rsidR="00442D2B">
                        <w:rPr>
                          <w:rFonts w:ascii="Times New Roman" w:hAnsi="Times New Roman" w:cs="Times New Roman"/>
                          <w:b/>
                          <w:bCs/>
                          <w:noProof/>
                          <w:sz w:val="24"/>
                          <w:szCs w:val="24"/>
                        </w:rPr>
                        <w:t>1</w:t>
                      </w:r>
                      <w:r w:rsidRPr="002C4F33">
                        <w:rPr>
                          <w:rFonts w:ascii="Times New Roman" w:hAnsi="Times New Roman" w:cs="Times New Roman"/>
                          <w:b/>
                          <w:bCs/>
                          <w:sz w:val="24"/>
                          <w:szCs w:val="24"/>
                        </w:rPr>
                        <w:fldChar w:fldCharType="end"/>
                      </w:r>
                      <w:r w:rsidRPr="002C4F33">
                        <w:rPr>
                          <w:rFonts w:ascii="Times New Roman" w:hAnsi="Times New Roman" w:cs="Times New Roman"/>
                          <w:b/>
                          <w:bCs/>
                          <w:sz w:val="24"/>
                          <w:szCs w:val="24"/>
                        </w:rPr>
                        <w:t xml:space="preserve"> Conceptual Framework of Collective Care and Community Resilience </w:t>
                      </w:r>
                    </w:p>
                  </w:txbxContent>
                </v:textbox>
              </v:shape>
            </w:pict>
          </mc:Fallback>
        </mc:AlternateContent>
      </w:r>
      <w:r w:rsidR="00BB02B7">
        <w:rPr>
          <w:noProof/>
          <w:lang w:val="en-IN" w:eastAsia="en-IN"/>
        </w:rPr>
        <mc:AlternateContent>
          <mc:Choice Requires="wpg">
            <w:drawing>
              <wp:anchor distT="0" distB="0" distL="114300" distR="114300" simplePos="0" relativeHeight="251659264" behindDoc="1" locked="0" layoutInCell="1" allowOverlap="1" wp14:anchorId="6013ABC7" wp14:editId="39DE1BCF">
                <wp:simplePos x="0" y="0"/>
                <wp:positionH relativeFrom="column">
                  <wp:posOffset>1057275</wp:posOffset>
                </wp:positionH>
                <wp:positionV relativeFrom="paragraph">
                  <wp:posOffset>151765</wp:posOffset>
                </wp:positionV>
                <wp:extent cx="4422880" cy="2524501"/>
                <wp:effectExtent l="19050" t="19050" r="15875" b="28575"/>
                <wp:wrapNone/>
                <wp:docPr id="830514310" name="Group 7"/>
                <wp:cNvGraphicFramePr/>
                <a:graphic xmlns:a="http://schemas.openxmlformats.org/drawingml/2006/main">
                  <a:graphicData uri="http://schemas.microsoft.com/office/word/2010/wordprocessingGroup">
                    <wpg:wgp>
                      <wpg:cNvGrpSpPr/>
                      <wpg:grpSpPr>
                        <a:xfrm>
                          <a:off x="0" y="0"/>
                          <a:ext cx="4422880" cy="2524501"/>
                          <a:chOff x="0" y="-14310"/>
                          <a:chExt cx="6689744" cy="2778332"/>
                        </a:xfrm>
                      </wpg:grpSpPr>
                      <wps:wsp>
                        <wps:cNvPr id="1375003747" name="Rectangle: Rounded Corners 1"/>
                        <wps:cNvSpPr/>
                        <wps:spPr>
                          <a:xfrm>
                            <a:off x="1477767" y="-14310"/>
                            <a:ext cx="2790824" cy="1266825"/>
                          </a:xfrm>
                          <a:prstGeom prst="roundRect">
                            <a:avLst/>
                          </a:prstGeom>
                          <a:ln w="28575">
                            <a:solidFill>
                              <a:schemeClr val="accent6">
                                <a:lumMod val="50000"/>
                              </a:schemeClr>
                            </a:solidFill>
                          </a:ln>
                        </wps:spPr>
                        <wps:style>
                          <a:lnRef idx="1">
                            <a:schemeClr val="dk1"/>
                          </a:lnRef>
                          <a:fillRef idx="2">
                            <a:schemeClr val="dk1"/>
                          </a:fillRef>
                          <a:effectRef idx="1">
                            <a:schemeClr val="dk1"/>
                          </a:effectRef>
                          <a:fontRef idx="minor">
                            <a:schemeClr val="dk1"/>
                          </a:fontRef>
                        </wps:style>
                        <wps:txbx>
                          <w:txbxContent>
                            <w:p w14:paraId="43494894"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Care Intervention</w:t>
                              </w:r>
                            </w:p>
                            <w:p w14:paraId="6D722A49"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 support</w:t>
                              </w:r>
                            </w:p>
                            <w:p w14:paraId="4FCD13A0"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Mutual aid</w:t>
                              </w:r>
                            </w:p>
                            <w:p w14:paraId="0976CA8E"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protocols </w:t>
                              </w:r>
                            </w:p>
                            <w:p w14:paraId="2D454C81"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committee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075967" name="Rectangle: Rounded Corners 2"/>
                        <wps:cNvSpPr/>
                        <wps:spPr>
                          <a:xfrm>
                            <a:off x="0" y="1190846"/>
                            <a:ext cx="1828800" cy="1085850"/>
                          </a:xfrm>
                          <a:prstGeom prst="roundRect">
                            <a:avLst/>
                          </a:prstGeom>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94BD10"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event </w:t>
                              </w:r>
                            </w:p>
                            <w:p w14:paraId="2326049A"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Vandalization, stigma, legal risks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821292" name="Rectangle: Rounded Corners 3"/>
                        <wps:cNvSpPr/>
                        <wps:spPr>
                          <a:xfrm>
                            <a:off x="4269641" y="340242"/>
                            <a:ext cx="2247900" cy="1076102"/>
                          </a:xfrm>
                          <a:prstGeom prst="roundRect">
                            <a:avLst/>
                          </a:prstGeom>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8B501B"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Psychosocial outcome</w:t>
                              </w:r>
                            </w:p>
                            <w:p w14:paraId="6F8CCC36"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Reduced anxiety </w:t>
                              </w:r>
                            </w:p>
                            <w:p w14:paraId="07831A7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Reduced loneliness</w:t>
                              </w:r>
                            </w:p>
                            <w:p w14:paraId="4B9C3CB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4424483" name="Rectangle: Rounded Corners 3"/>
                        <wps:cNvSpPr/>
                        <wps:spPr>
                          <a:xfrm>
                            <a:off x="4232294" y="1754372"/>
                            <a:ext cx="2457450" cy="1009650"/>
                          </a:xfrm>
                          <a:prstGeom prst="roundRect">
                            <a:avLst/>
                          </a:prstGeom>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3D35795"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resilience </w:t>
                              </w:r>
                            </w:p>
                            <w:p w14:paraId="1DD3D40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continuity </w:t>
                              </w:r>
                            </w:p>
                            <w:p w14:paraId="627B10A0"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HIV/SRHR access</w:t>
                              </w:r>
                            </w:p>
                            <w:p w14:paraId="2639A76A"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cohesion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8974619" name="Straight Arrow Connector 4"/>
                        <wps:cNvCnPr/>
                        <wps:spPr>
                          <a:xfrm>
                            <a:off x="3721395" y="287079"/>
                            <a:ext cx="419100" cy="361950"/>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s:wsp>
                        <wps:cNvPr id="33556578" name="Straight Arrow Connector 5"/>
                        <wps:cNvCnPr/>
                        <wps:spPr>
                          <a:xfrm>
                            <a:off x="3721308" y="297702"/>
                            <a:ext cx="785023" cy="1456618"/>
                          </a:xfrm>
                          <a:prstGeom prst="straightConnector1">
                            <a:avLst/>
                          </a:prstGeom>
                          <a:ln w="38100">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13ABC7" id="Group 7" o:spid="_x0000_s1027" style="position:absolute;left:0;text-align:left;margin-left:83.25pt;margin-top:11.95pt;width:348.25pt;height:198.8pt;z-index:-251657216;mso-width-relative:margin;mso-height-relative:margin" coordorigin=",-143" coordsize="66897,27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">
                <v:roundrect id="Rectangle: Rounded Corners 1" o:spid="_x0000_s1028" style="position:absolute;left:14777;top:-143;width:27908;height:1266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" fillcolor="#555 [2160]" strokecolor="#375623 [1609]" strokeweight="2.25pt">
                  <v:fill color2="#313131 [2608]" rotate="t" colors="0 #9b9b9b;.5 #8e8e8e;1 #797979" focus="100%" type="gradient">
                    <o:fill v:ext="view" type="gradientUnscaled"/>
                  </v:fill>
                  <v:stroke joinstyle="miter"/>
                  <v:textbox>
                    <w:txbxContent>
                      <w:p w14:paraId="43494894"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Collective Care Intervention</w:t>
                        </w:r>
                      </w:p>
                      <w:p w14:paraId="6D722A49"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 support</w:t>
                        </w:r>
                      </w:p>
                      <w:p w14:paraId="4FCD13A0"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Mutual aid</w:t>
                        </w:r>
                      </w:p>
                      <w:p w14:paraId="0976CA8E"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Safety protocols </w:t>
                        </w:r>
                      </w:p>
                      <w:p w14:paraId="2D454C81" w14:textId="77777777" w:rsidR="00BB02B7" w:rsidRPr="00B70985" w:rsidRDefault="00BB02B7" w:rsidP="00BB02B7">
                        <w:pPr>
                          <w:pStyle w:val="ListParagraph"/>
                          <w:numPr>
                            <w:ilvl w:val="0"/>
                            <w:numId w:val="4"/>
                          </w:num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committee </w:t>
                        </w:r>
                      </w:p>
                    </w:txbxContent>
                  </v:textbox>
                </v:roundrect>
                <v:roundrect id="Rectangle: Rounded Corners 2" o:spid="_x0000_s1029" style="position:absolute;top:11908;width:18288;height:10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" fillcolor="#4472c4 [3204]" strokecolor="#375623 [1609]" strokeweight="2.25pt">
                  <v:stroke joinstyle="miter"/>
                  <v:textbox>
                    <w:txbxContent>
                      <w:p w14:paraId="5694BD10"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Crisis event </w:t>
                        </w:r>
                      </w:p>
                      <w:p w14:paraId="2326049A" w14:textId="77777777" w:rsidR="00BB02B7" w:rsidRPr="00B70985" w:rsidRDefault="00BB02B7" w:rsidP="00BB02B7">
                        <w:pPr>
                          <w:spacing w:after="0" w:line="240" w:lineRule="auto"/>
                          <w:jc w:val="center"/>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Vandalization, stigma, legal risks</w:t>
                        </w:r>
                      </w:p>
                    </w:txbxContent>
                  </v:textbox>
                </v:roundrect>
                <v:roundrect id="Rectangle: Rounded Corners 3" o:spid="_x0000_s1030" style="position:absolute;left:42696;top:3402;width:22479;height:1076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" fillcolor="#4472c4 [3204]" strokecolor="#375623 [1609]" strokeweight="2.25pt">
                  <v:stroke joinstyle="miter"/>
                  <v:textbox>
                    <w:txbxContent>
                      <w:p w14:paraId="048B501B"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Psychosocial outcome</w:t>
                        </w:r>
                      </w:p>
                      <w:p w14:paraId="6F8CCC36"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Reduced anxiety </w:t>
                        </w:r>
                      </w:p>
                      <w:p w14:paraId="07831A7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Reduced loneliness</w:t>
                        </w:r>
                      </w:p>
                      <w:p w14:paraId="4B9C3CB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Social support </w:t>
                        </w:r>
                      </w:p>
                    </w:txbxContent>
                  </v:textbox>
                </v:roundrect>
                <v:roundrect id="Rectangle: Rounded Corners 3" o:spid="_x0000_s1031" style="position:absolute;left:42322;top:17543;width:24575;height:10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" fillcolor="#4472c4 [3204]" strokecolor="#375623 [1609]" strokeweight="2.25pt">
                  <v:stroke joinstyle="miter"/>
                  <v:textbox>
                    <w:txbxContent>
                      <w:p w14:paraId="43D35795"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resilience </w:t>
                        </w:r>
                      </w:p>
                      <w:p w14:paraId="1DD3D40F"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Service continuity </w:t>
                        </w:r>
                      </w:p>
                      <w:p w14:paraId="627B10A0"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HIV/SRHR access</w:t>
                        </w:r>
                      </w:p>
                      <w:p w14:paraId="2639A76A" w14:textId="77777777" w:rsidR="00BB02B7" w:rsidRPr="00B70985" w:rsidRDefault="00BB02B7" w:rsidP="00BB02B7">
                        <w:pPr>
                          <w:spacing w:after="0" w:line="240" w:lineRule="auto"/>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7098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Community cohesion </w:t>
                        </w:r>
                      </w:p>
                    </w:txbxContent>
                  </v:textbox>
                </v:roundrect>
                <v:shapetype id="_x0000_t32" coordsize="21600,21600" o:spt="32" o:oned="t" path="m,l21600,21600e" filled="f">
                  <v:path arrowok="t" fillok="f" o:connecttype="none"/>
                  <o:lock v:ext="edit" shapetype="t"/>
                </v:shapetype>
                <v:shape id="Straight Arrow Connector 4" o:spid="_x0000_s1032" type="#_x0000_t32" style="position:absolute;left:37213;top:2870;width:4191;height:36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" strokecolor="#4472c4 [3204]" strokeweight="3pt">
                  <v:stroke endarrow="block" joinstyle="miter"/>
                </v:shape>
                <v:shape id="Straight Arrow Connector 5" o:spid="_x0000_s1033" type="#_x0000_t32" style="position:absolute;left:37213;top:2977;width:7850;height:145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" strokecolor="#4472c4 [3204]" strokeweight="3pt">
                  <v:stroke endarrow="block" joinstyle="miter"/>
                </v:shape>
              </v:group>
            </w:pict>
          </mc:Fallback>
        </mc:AlternateContent>
      </w:r>
    </w:p>
    <w:p w14:paraId="2117E403" w14:textId="7C4F62A3" w:rsidR="00BB02B7" w:rsidRDefault="00BB02B7" w:rsidP="000876BE">
      <w:pPr>
        <w:spacing w:before="240" w:after="240" w:line="240" w:lineRule="auto"/>
        <w:ind w:left="1440" w:right="1440"/>
        <w:jc w:val="both"/>
        <w:rPr>
          <w:rFonts w:ascii="Times New Roman" w:hAnsi="Times New Roman" w:cs="Times New Roman"/>
        </w:rPr>
      </w:pPr>
    </w:p>
    <w:p w14:paraId="22382996" w14:textId="54DB0D7D" w:rsidR="00BB02B7" w:rsidRDefault="00BB02B7" w:rsidP="000876BE">
      <w:pPr>
        <w:spacing w:before="240" w:after="240" w:line="240" w:lineRule="auto"/>
        <w:ind w:left="1440" w:right="1440"/>
        <w:jc w:val="both"/>
        <w:rPr>
          <w:rFonts w:ascii="Times New Roman" w:hAnsi="Times New Roman" w:cs="Times New Roman"/>
        </w:rPr>
      </w:pPr>
    </w:p>
    <w:p w14:paraId="1BF03B2A" w14:textId="05A45AE3" w:rsidR="00BB02B7" w:rsidRDefault="00BB02B7" w:rsidP="000876BE">
      <w:pPr>
        <w:spacing w:before="240" w:after="240" w:line="240" w:lineRule="auto"/>
        <w:ind w:left="1440" w:right="1440"/>
        <w:jc w:val="both"/>
        <w:rPr>
          <w:rFonts w:ascii="Times New Roman" w:hAnsi="Times New Roman" w:cs="Times New Roman"/>
        </w:rPr>
      </w:pPr>
    </w:p>
    <w:p w14:paraId="795BEF20" w14:textId="1CC914FF" w:rsidR="00BB02B7" w:rsidRDefault="00BB02B7" w:rsidP="000876BE">
      <w:pPr>
        <w:spacing w:before="240" w:after="240" w:line="240" w:lineRule="auto"/>
        <w:ind w:left="1440" w:right="1440"/>
        <w:jc w:val="both"/>
        <w:rPr>
          <w:rFonts w:ascii="Times New Roman" w:hAnsi="Times New Roman" w:cs="Times New Roman"/>
        </w:rPr>
      </w:pPr>
    </w:p>
    <w:p w14:paraId="67F79BE6" w14:textId="488D1AA5" w:rsidR="00BB02B7" w:rsidRDefault="00BB02B7" w:rsidP="000876BE">
      <w:pPr>
        <w:spacing w:before="240" w:after="240" w:line="240" w:lineRule="auto"/>
        <w:ind w:left="1440" w:right="1440"/>
        <w:jc w:val="both"/>
        <w:rPr>
          <w:rFonts w:ascii="Times New Roman" w:hAnsi="Times New Roman" w:cs="Times New Roman"/>
        </w:rPr>
      </w:pPr>
    </w:p>
    <w:p w14:paraId="19CA5F15" w14:textId="28738D18" w:rsidR="00BB02B7" w:rsidRDefault="001B0373" w:rsidP="000876BE">
      <w:pPr>
        <w:spacing w:before="240" w:after="240" w:line="240" w:lineRule="auto"/>
        <w:ind w:left="1440" w:right="1440"/>
        <w:jc w:val="both"/>
        <w:rPr>
          <w:rFonts w:ascii="Times New Roman" w:hAnsi="Times New Roman" w:cs="Times New Roman"/>
        </w:rPr>
      </w:pPr>
      <w:r>
        <w:rPr>
          <w:noProof/>
          <w:lang w:val="en-IN" w:eastAsia="en-IN"/>
        </w:rPr>
        <mc:AlternateContent>
          <mc:Choice Requires="wps">
            <w:drawing>
              <wp:anchor distT="0" distB="0" distL="114300" distR="114300" simplePos="0" relativeHeight="251661312" behindDoc="0" locked="0" layoutInCell="1" allowOverlap="1" wp14:anchorId="6BDDDD57" wp14:editId="62E60FF7">
                <wp:simplePos x="0" y="0"/>
                <wp:positionH relativeFrom="column">
                  <wp:posOffset>2253293</wp:posOffset>
                </wp:positionH>
                <wp:positionV relativeFrom="paragraph">
                  <wp:posOffset>188595</wp:posOffset>
                </wp:positionV>
                <wp:extent cx="838200" cy="0"/>
                <wp:effectExtent l="0" t="76200" r="19050" b="76200"/>
                <wp:wrapNone/>
                <wp:docPr id="366777724" name="Straight Arrow Connector 8"/>
                <wp:cNvGraphicFramePr/>
                <a:graphic xmlns:a="http://schemas.openxmlformats.org/drawingml/2006/main">
                  <a:graphicData uri="http://schemas.microsoft.com/office/word/2010/wordprocessingShape">
                    <wps:wsp>
                      <wps:cNvCnPr/>
                      <wps:spPr>
                        <a:xfrm>
                          <a:off x="0" y="0"/>
                          <a:ext cx="838200" cy="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DB18DA3" id="Straight Arrow Connector 8" o:spid="_x0000_s1026" type="#_x0000_t32" style="position:absolute;margin-left:177.4pt;margin-top:14.85pt;width:6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" strokecolor="#4472c4 [3204]" strokeweight="2.25pt">
                <v:stroke endarrow="block" joinstyle="miter"/>
              </v:shape>
            </w:pict>
          </mc:Fallback>
        </mc:AlternateContent>
      </w:r>
    </w:p>
    <w:p w14:paraId="5743591D" w14:textId="1F80BA30" w:rsidR="00BB02B7" w:rsidRDefault="00BB02B7" w:rsidP="000876BE">
      <w:pPr>
        <w:spacing w:before="240" w:after="240" w:line="240" w:lineRule="auto"/>
        <w:ind w:left="1440" w:right="1440"/>
        <w:jc w:val="both"/>
        <w:rPr>
          <w:rFonts w:ascii="Times New Roman" w:hAnsi="Times New Roman" w:cs="Times New Roman"/>
        </w:rPr>
      </w:pPr>
    </w:p>
    <w:p w14:paraId="70770FBC" w14:textId="77777777" w:rsidR="00BB02B7" w:rsidRDefault="00BB02B7" w:rsidP="001B0373">
      <w:pPr>
        <w:spacing w:before="240" w:after="240" w:line="240" w:lineRule="auto"/>
        <w:ind w:right="1440"/>
        <w:jc w:val="both"/>
        <w:rPr>
          <w:rFonts w:ascii="Times New Roman" w:hAnsi="Times New Roman" w:cs="Times New Roman"/>
        </w:rPr>
      </w:pPr>
    </w:p>
    <w:p w14:paraId="13F90B13" w14:textId="77777777" w:rsidR="00BB02B7" w:rsidRDefault="00BB02B7" w:rsidP="000876BE">
      <w:pPr>
        <w:spacing w:before="240" w:after="240" w:line="240" w:lineRule="auto"/>
        <w:ind w:left="1440" w:right="1440"/>
        <w:jc w:val="both"/>
        <w:rPr>
          <w:rFonts w:ascii="Times New Roman" w:hAnsi="Times New Roman" w:cs="Times New Roman"/>
        </w:rPr>
      </w:pPr>
    </w:p>
    <w:p w14:paraId="37130297" w14:textId="3B2FDFEF" w:rsidR="00BB02B7" w:rsidRPr="001642A0" w:rsidRDefault="00DF13F7" w:rsidP="00C119A3">
      <w:pPr>
        <w:spacing w:before="240" w:after="240" w:line="240" w:lineRule="auto"/>
        <w:ind w:left="1440" w:right="1440"/>
        <w:jc w:val="both"/>
        <w:rPr>
          <w:rFonts w:ascii="Times New Roman" w:hAnsi="Times New Roman" w:cs="Times New Roman"/>
        </w:rPr>
      </w:pPr>
      <w:r>
        <w:rPr>
          <w:rFonts w:ascii="Times New Roman" w:hAnsi="Times New Roman" w:cs="Times New Roman"/>
        </w:rPr>
        <w:t>The conceptual model illustrates the relationship between crisis events affecting marginalized communities, collective care interventions, and psychosocial and service continuity outcomes</w:t>
      </w:r>
      <w:r w:rsidR="000876BE">
        <w:rPr>
          <w:rFonts w:ascii="Times New Roman" w:hAnsi="Times New Roman" w:cs="Times New Roman"/>
        </w:rPr>
        <w:t xml:space="preserve">. As illustrated in Figure 1, the framework positions community crisis events as triggering factors that activate collective care responses. These responses include peer support, mutual aid networks, safety protocols, and participatory governance mechanisms. Together, these interventions </w:t>
      </w:r>
      <w:r w:rsidR="002C78D7">
        <w:rPr>
          <w:rFonts w:ascii="Times New Roman" w:hAnsi="Times New Roman" w:cs="Times New Roman"/>
        </w:rPr>
        <w:t>contribute</w:t>
      </w:r>
      <w:r w:rsidR="000876BE">
        <w:rPr>
          <w:rFonts w:ascii="Times New Roman" w:hAnsi="Times New Roman" w:cs="Times New Roman"/>
        </w:rPr>
        <w:t xml:space="preserve"> to improved psychosocial wellbeing, reduced social isolation, strengthened community cohesion, and continuity of HIV and SRHR service interventions. </w:t>
      </w:r>
    </w:p>
    <w:p w14:paraId="5B5D7C9A" w14:textId="5F6FE264" w:rsidR="004F711C" w:rsidRDefault="0070021C"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Calabar Case Study </w:t>
      </w:r>
    </w:p>
    <w:p w14:paraId="28576881" w14:textId="6C5E357C" w:rsidR="00611DE4" w:rsidRDefault="00611DE4" w:rsidP="00D12EEE">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In late 2025, </w:t>
      </w:r>
      <w:r w:rsidR="00EF5361">
        <w:rPr>
          <w:rFonts w:ascii="Times New Roman" w:hAnsi="Times New Roman" w:cs="Times New Roman"/>
        </w:rPr>
        <w:t>l</w:t>
      </w:r>
      <w:r w:rsidR="00EB0E5A">
        <w:rPr>
          <w:rFonts w:ascii="Times New Roman" w:hAnsi="Times New Roman" w:cs="Times New Roman"/>
        </w:rPr>
        <w:t>ocal anti-</w:t>
      </w:r>
      <w:r w:rsidR="00EF5361">
        <w:rPr>
          <w:rFonts w:ascii="Times New Roman" w:hAnsi="Times New Roman" w:cs="Times New Roman"/>
        </w:rPr>
        <w:t>LGBTQ</w:t>
      </w:r>
      <w:r w:rsidR="00EB0E5A">
        <w:rPr>
          <w:rFonts w:ascii="Times New Roman" w:hAnsi="Times New Roman" w:cs="Times New Roman"/>
        </w:rPr>
        <w:t xml:space="preserve"> group </w:t>
      </w:r>
      <w:r w:rsidR="00EF5361">
        <w:rPr>
          <w:rFonts w:ascii="Times New Roman" w:hAnsi="Times New Roman" w:cs="Times New Roman"/>
        </w:rPr>
        <w:t xml:space="preserve">vandalized community center </w:t>
      </w:r>
      <w:r w:rsidR="0004610C">
        <w:rPr>
          <w:rFonts w:ascii="Times New Roman" w:hAnsi="Times New Roman" w:cs="Times New Roman"/>
        </w:rPr>
        <w:t xml:space="preserve">used by members of LGBTQ population to access HIV and sexual and reproductive health services. </w:t>
      </w:r>
      <w:r w:rsidR="00EF5361">
        <w:rPr>
          <w:rFonts w:ascii="Times New Roman" w:hAnsi="Times New Roman" w:cs="Times New Roman"/>
        </w:rPr>
        <w:t>They damaged electrical wiring, facility equipment, building windows, doors, and stole valuable assets. The property owner, however, instead of support, threatened legal action, citing activities involving LGBTQ people as illegal. This incident severely traumatized staff and frontlines members, disrupted HIV and SRHR planned activities</w:t>
      </w:r>
      <w:r w:rsidR="004D1F2F">
        <w:rPr>
          <w:rFonts w:ascii="Times New Roman" w:hAnsi="Times New Roman" w:cs="Times New Roman"/>
        </w:rPr>
        <w:t xml:space="preserve">, put </w:t>
      </w:r>
      <w:r w:rsidR="00E903CF">
        <w:rPr>
          <w:rFonts w:ascii="Times New Roman" w:hAnsi="Times New Roman" w:cs="Times New Roman"/>
        </w:rPr>
        <w:t>client’s</w:t>
      </w:r>
      <w:r w:rsidR="004D1F2F">
        <w:rPr>
          <w:rFonts w:ascii="Times New Roman" w:hAnsi="Times New Roman" w:cs="Times New Roman"/>
        </w:rPr>
        <w:t xml:space="preserve"> confidential information at risk of leakage to unauthorize personnel, and increase organization’s vulnerability to external threats. </w:t>
      </w:r>
      <w:r w:rsidR="008C15A5">
        <w:rPr>
          <w:rFonts w:ascii="Times New Roman" w:hAnsi="Times New Roman" w:cs="Times New Roman"/>
        </w:rPr>
        <w:t xml:space="preserve">The incident highlighted ongoing vulnerabilities affecting sexual and gender minorities in restrictive environments. </w:t>
      </w:r>
      <w:r w:rsidR="00DB24C7">
        <w:rPr>
          <w:rFonts w:ascii="Times New Roman" w:hAnsi="Times New Roman" w:cs="Times New Roman"/>
        </w:rPr>
        <w:t>In response, the organization implemented several community-based collective care interventions aimed at ensuring safety, sustaining HIV</w:t>
      </w:r>
      <w:r w:rsidR="00947709">
        <w:rPr>
          <w:rFonts w:ascii="Times New Roman" w:hAnsi="Times New Roman" w:cs="Times New Roman"/>
        </w:rPr>
        <w:t>,</w:t>
      </w:r>
      <w:r w:rsidR="00DB24C7">
        <w:rPr>
          <w:rFonts w:ascii="Times New Roman" w:hAnsi="Times New Roman" w:cs="Times New Roman"/>
        </w:rPr>
        <w:t xml:space="preserve"> and sexual </w:t>
      </w:r>
      <w:r w:rsidR="00947709">
        <w:rPr>
          <w:rFonts w:ascii="Times New Roman" w:hAnsi="Times New Roman" w:cs="Times New Roman"/>
        </w:rPr>
        <w:t xml:space="preserve">and </w:t>
      </w:r>
      <w:r w:rsidR="00DB24C7">
        <w:rPr>
          <w:rFonts w:ascii="Times New Roman" w:hAnsi="Times New Roman" w:cs="Times New Roman"/>
        </w:rPr>
        <w:t>reproductive health and rights-related work</w:t>
      </w:r>
      <w:r w:rsidR="00D12EEE">
        <w:rPr>
          <w:rFonts w:ascii="Times New Roman" w:hAnsi="Times New Roman" w:cs="Times New Roman"/>
        </w:rPr>
        <w:t xml:space="preserve">. </w:t>
      </w:r>
      <w:r w:rsidR="008C15A5">
        <w:rPr>
          <w:rFonts w:ascii="Times New Roman" w:hAnsi="Times New Roman" w:cs="Times New Roman"/>
        </w:rPr>
        <w:t>This study examines the role of these interventions in supporting resilience, improving psychosocial wellbeing, and sustaining responses to HIV epidemic and sexual and reproductive health and rights within the affected community.</w:t>
      </w:r>
      <w:r w:rsidR="003915D7">
        <w:rPr>
          <w:rFonts w:ascii="Times New Roman" w:hAnsi="Times New Roman" w:cs="Times New Roman"/>
        </w:rPr>
        <w:t xml:space="preserve"> The case study approach was selected because it allows for an in-depth examination of community responses within real-life social and institutional contexts, particularly when studying marginalized populations operating in restrictive environments. </w:t>
      </w:r>
    </w:p>
    <w:p w14:paraId="6EA4CAF6" w14:textId="77777777" w:rsidR="00ED621A" w:rsidRDefault="00ED621A" w:rsidP="00FE28C8">
      <w:pPr>
        <w:spacing w:before="240" w:after="240" w:line="240" w:lineRule="auto"/>
        <w:ind w:left="1440" w:right="1440"/>
        <w:jc w:val="both"/>
        <w:rPr>
          <w:rFonts w:ascii="Times New Roman" w:hAnsi="Times New Roman" w:cs="Times New Roman"/>
          <w:b/>
          <w:bCs/>
        </w:rPr>
      </w:pPr>
    </w:p>
    <w:p w14:paraId="4753DA36" w14:textId="28CA2972" w:rsidR="00EB0E5A" w:rsidRPr="00B60D13" w:rsidRDefault="002D1C43" w:rsidP="00FE28C8">
      <w:pPr>
        <w:spacing w:before="240" w:after="240" w:line="240" w:lineRule="auto"/>
        <w:ind w:left="1440" w:right="1440"/>
        <w:jc w:val="both"/>
        <w:rPr>
          <w:rFonts w:ascii="Times New Roman" w:hAnsi="Times New Roman" w:cs="Times New Roman"/>
          <w:b/>
          <w:bCs/>
        </w:rPr>
      </w:pPr>
      <w:r w:rsidRPr="00B60D13">
        <w:rPr>
          <w:rFonts w:ascii="Times New Roman" w:hAnsi="Times New Roman" w:cs="Times New Roman"/>
          <w:b/>
          <w:bCs/>
        </w:rPr>
        <w:t>METHODOLOGY</w:t>
      </w:r>
    </w:p>
    <w:p w14:paraId="1CBDEBE0" w14:textId="7549AF7A" w:rsidR="00EB0E5A" w:rsidRPr="002954F0" w:rsidRDefault="00F62F43"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 xml:space="preserve">This study employed a community-based case study design to examine collective care interventions implemented by a local </w:t>
      </w:r>
      <w:proofErr w:type="spellStart"/>
      <w:r>
        <w:rPr>
          <w:rFonts w:ascii="Times New Roman" w:hAnsi="Times New Roman" w:cs="Times New Roman"/>
        </w:rPr>
        <w:t>TransLBQ</w:t>
      </w:r>
      <w:proofErr w:type="spellEnd"/>
      <w:r>
        <w:rPr>
          <w:rFonts w:ascii="Times New Roman" w:hAnsi="Times New Roman" w:cs="Times New Roman"/>
        </w:rPr>
        <w:t xml:space="preserve">-led organization in </w:t>
      </w:r>
      <w:proofErr w:type="spellStart"/>
      <w:r>
        <w:rPr>
          <w:rFonts w:ascii="Times New Roman" w:hAnsi="Times New Roman" w:cs="Times New Roman"/>
        </w:rPr>
        <w:t>Calabar</w:t>
      </w:r>
      <w:proofErr w:type="spellEnd"/>
      <w:r>
        <w:rPr>
          <w:rFonts w:ascii="Times New Roman" w:hAnsi="Times New Roman" w:cs="Times New Roman"/>
        </w:rPr>
        <w:t xml:space="preserve">, Cross River State, Nigeria. Case study approaches </w:t>
      </w:r>
      <w:r w:rsidR="003D4E90">
        <w:rPr>
          <w:rFonts w:ascii="Times New Roman" w:hAnsi="Times New Roman" w:cs="Times New Roman"/>
        </w:rPr>
        <w:t>are useful for understanding complex social processes and contextual responses to community crises. Participants included staff members and community beneficiaries of the organization’s HIV and SRHR programs.</w:t>
      </w:r>
      <w:r w:rsidR="008138F5">
        <w:rPr>
          <w:rFonts w:ascii="Times New Roman" w:hAnsi="Times New Roman" w:cs="Times New Roman"/>
        </w:rPr>
        <w:t xml:space="preserve"> Participants were recruited through purposive sampling based on their direct involvement in the organization’s activities and their experience of the crisis event and subsequent collective care interventions.</w:t>
      </w:r>
      <w:r w:rsidR="003D4E90">
        <w:rPr>
          <w:rFonts w:ascii="Times New Roman" w:hAnsi="Times New Roman" w:cs="Times New Roman"/>
        </w:rPr>
        <w:t xml:space="preserve"> A total of 50 individuals participated in psychosocial assessments measuring anxiety levels. A subset of 30 participants completed additional assessments relating to social connectedness and loneliness. </w:t>
      </w:r>
      <w:r w:rsidR="00671DA8">
        <w:rPr>
          <w:rFonts w:ascii="Times New Roman" w:hAnsi="Times New Roman" w:cs="Times New Roman"/>
        </w:rPr>
        <w:t>Data collection occurred between October and December 2025</w:t>
      </w:r>
      <w:r w:rsidR="00ED621A">
        <w:rPr>
          <w:rFonts w:ascii="Times New Roman" w:hAnsi="Times New Roman" w:cs="Times New Roman"/>
        </w:rPr>
        <w:t xml:space="preserve">. The collective care intervention was implemented over the same period </w:t>
      </w:r>
      <w:r w:rsidR="00671DA8">
        <w:rPr>
          <w:rFonts w:ascii="Times New Roman" w:hAnsi="Times New Roman" w:cs="Times New Roman"/>
        </w:rPr>
        <w:t xml:space="preserve">following the vandalization </w:t>
      </w:r>
      <w:r w:rsidR="00ED621A">
        <w:rPr>
          <w:rFonts w:ascii="Times New Roman" w:hAnsi="Times New Roman" w:cs="Times New Roman"/>
        </w:rPr>
        <w:t xml:space="preserve">incident, allowing for pre- and post-intervention psychosocial assessments among participating </w:t>
      </w:r>
      <w:r w:rsidR="003C0B8C">
        <w:rPr>
          <w:rFonts w:ascii="Times New Roman" w:hAnsi="Times New Roman" w:cs="Times New Roman"/>
        </w:rPr>
        <w:t xml:space="preserve">staff and </w:t>
      </w:r>
      <w:r w:rsidR="00ED621A">
        <w:rPr>
          <w:rFonts w:ascii="Times New Roman" w:hAnsi="Times New Roman" w:cs="Times New Roman"/>
        </w:rPr>
        <w:t>community members</w:t>
      </w:r>
      <w:r w:rsidR="00671DA8">
        <w:rPr>
          <w:rFonts w:ascii="Times New Roman" w:hAnsi="Times New Roman" w:cs="Times New Roman"/>
        </w:rPr>
        <w:t xml:space="preserve">. The collective care intervention consisted of </w:t>
      </w:r>
      <w:r w:rsidR="00446F6C">
        <w:rPr>
          <w:rFonts w:ascii="Times New Roman" w:hAnsi="Times New Roman" w:cs="Times New Roman"/>
        </w:rPr>
        <w:t>peer-led psychosocial support through trained community peer supporters, safety protocol development to secure confidential client record</w:t>
      </w:r>
      <w:r w:rsidR="004D5F6F">
        <w:rPr>
          <w:rFonts w:ascii="Times New Roman" w:hAnsi="Times New Roman" w:cs="Times New Roman"/>
        </w:rPr>
        <w:t>s</w:t>
      </w:r>
      <w:r w:rsidR="00446F6C">
        <w:rPr>
          <w:rFonts w:ascii="Times New Roman" w:hAnsi="Times New Roman" w:cs="Times New Roman"/>
        </w:rPr>
        <w:t xml:space="preserve"> and improve organizational security, mutual aid systems that provided food, emergency financial support, and temporary accommodation, participatory </w:t>
      </w:r>
      <w:r w:rsidR="004D5F6F">
        <w:rPr>
          <w:rFonts w:ascii="Times New Roman" w:hAnsi="Times New Roman" w:cs="Times New Roman"/>
        </w:rPr>
        <w:t>governance including</w:t>
      </w:r>
      <w:r w:rsidR="00446F6C">
        <w:rPr>
          <w:rFonts w:ascii="Times New Roman" w:hAnsi="Times New Roman" w:cs="Times New Roman"/>
        </w:rPr>
        <w:t xml:space="preserve"> </w:t>
      </w:r>
      <w:r w:rsidR="00E86A47">
        <w:rPr>
          <w:rFonts w:ascii="Times New Roman" w:hAnsi="Times New Roman" w:cs="Times New Roman"/>
        </w:rPr>
        <w:t>a crisis committee composed of trained staff and representatives from focal communities</w:t>
      </w:r>
      <w:r w:rsidR="008B1DA1">
        <w:rPr>
          <w:rFonts w:ascii="Times New Roman" w:hAnsi="Times New Roman" w:cs="Times New Roman"/>
        </w:rPr>
        <w:t xml:space="preserve">. </w:t>
      </w:r>
      <w:r w:rsidR="008C126D">
        <w:rPr>
          <w:rFonts w:ascii="Times New Roman" w:hAnsi="Times New Roman" w:cs="Times New Roman"/>
        </w:rPr>
        <w:t>Psychosocial wellbeing was measured using the Generalized Anxiety Disorder Scale (GAD-7), a widely validated and internationally used screening tool for assessing anxiety symptoms</w:t>
      </w:r>
      <w:r w:rsidR="008C126D" w:rsidRPr="002954F0">
        <w:rPr>
          <w:rFonts w:ascii="Times New Roman" w:hAnsi="Times New Roman" w:cs="Times New Roman"/>
        </w:rPr>
        <w:t xml:space="preserve"> [</w:t>
      </w:r>
      <w:r w:rsidR="00D1590D" w:rsidRPr="002954F0">
        <w:rPr>
          <w:rFonts w:ascii="Times New Roman" w:hAnsi="Times New Roman" w:cs="Times New Roman"/>
        </w:rPr>
        <w:t>14</w:t>
      </w:r>
      <w:r w:rsidR="008C126D" w:rsidRPr="002954F0">
        <w:rPr>
          <w:rFonts w:ascii="Times New Roman" w:hAnsi="Times New Roman" w:cs="Times New Roman"/>
        </w:rPr>
        <w:t>]. Perceived social isolation was measured using the UCLA loneliness Sca</w:t>
      </w:r>
      <w:r w:rsidR="008C126D">
        <w:rPr>
          <w:rFonts w:ascii="Times New Roman" w:hAnsi="Times New Roman" w:cs="Times New Roman"/>
        </w:rPr>
        <w:t xml:space="preserve">le, a standardized instrument widely applied in psychosocial research to evaluate subjective loneliness </w:t>
      </w:r>
      <w:r w:rsidR="00056445">
        <w:rPr>
          <w:rFonts w:ascii="Times New Roman" w:hAnsi="Times New Roman" w:cs="Times New Roman"/>
        </w:rPr>
        <w:t xml:space="preserve">and social connectedness </w:t>
      </w:r>
      <w:r w:rsidR="00056445" w:rsidRPr="002954F0">
        <w:rPr>
          <w:rFonts w:ascii="Times New Roman" w:hAnsi="Times New Roman" w:cs="Times New Roman"/>
        </w:rPr>
        <w:t>[</w:t>
      </w:r>
      <w:r w:rsidR="00D1590D" w:rsidRPr="002954F0">
        <w:rPr>
          <w:rFonts w:ascii="Times New Roman" w:hAnsi="Times New Roman" w:cs="Times New Roman"/>
        </w:rPr>
        <w:t>12</w:t>
      </w:r>
      <w:r w:rsidR="00056445" w:rsidRPr="002954F0">
        <w:rPr>
          <w:rFonts w:ascii="Times New Roman" w:hAnsi="Times New Roman" w:cs="Times New Roman"/>
        </w:rPr>
        <w:t>].</w:t>
      </w:r>
      <w:r w:rsidR="008C126D" w:rsidRPr="002954F0">
        <w:rPr>
          <w:rFonts w:ascii="Times New Roman" w:hAnsi="Times New Roman" w:cs="Times New Roman"/>
        </w:rPr>
        <w:t xml:space="preserve"> </w:t>
      </w:r>
      <w:r w:rsidR="008E496F">
        <w:rPr>
          <w:rFonts w:ascii="Times New Roman" w:hAnsi="Times New Roman" w:cs="Times New Roman"/>
        </w:rPr>
        <w:t xml:space="preserve">These tools have been widely used in psychosocial and public health research and provide </w:t>
      </w:r>
      <w:r w:rsidR="00A26BE7">
        <w:rPr>
          <w:rFonts w:ascii="Times New Roman" w:hAnsi="Times New Roman" w:cs="Times New Roman"/>
        </w:rPr>
        <w:t xml:space="preserve">reliable measures for assessing anxiety symptoms and perceived social isolation across diverse populations. </w:t>
      </w:r>
    </w:p>
    <w:p w14:paraId="158B5828" w14:textId="5AE09E14" w:rsidR="000F2210" w:rsidRDefault="005E52B6"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D</w:t>
      </w:r>
      <w:r w:rsidR="000F2210">
        <w:rPr>
          <w:rFonts w:ascii="Times New Roman" w:hAnsi="Times New Roman" w:cs="Times New Roman"/>
        </w:rPr>
        <w:t>ata Analysis: Pre- and post-intervention scores were compared using descriptive statistical analysis.</w:t>
      </w:r>
      <w:r w:rsidR="00ED621A">
        <w:rPr>
          <w:rFonts w:ascii="Times New Roman" w:hAnsi="Times New Roman" w:cs="Times New Roman"/>
        </w:rPr>
        <w:t xml:space="preserve"> Given the exploratory nature of the study and the relatively small sample size, descriptive statistics were used to provide an initial assessment of psychosocial changes associated with the intervention.</w:t>
      </w:r>
      <w:r w:rsidR="000F2210">
        <w:rPr>
          <w:rFonts w:ascii="Times New Roman" w:hAnsi="Times New Roman" w:cs="Times New Roman"/>
        </w:rPr>
        <w:t xml:space="preserve"> Percentage changes were calculated to evaluate the impact of the interventions on anxiety levels and loneliness scores</w:t>
      </w:r>
    </w:p>
    <w:p w14:paraId="15898AFD" w14:textId="6DB8DCCB" w:rsidR="00092ECF" w:rsidRDefault="000F2210"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Ethical Consideration: confidentiality was strictly maintained due to the sensitivity of the population involved. Participants </w:t>
      </w:r>
      <w:r w:rsidR="006733DB">
        <w:rPr>
          <w:rFonts w:ascii="Times New Roman" w:hAnsi="Times New Roman" w:cs="Times New Roman"/>
        </w:rPr>
        <w:t xml:space="preserve">provided </w:t>
      </w:r>
      <w:r>
        <w:rPr>
          <w:rFonts w:ascii="Times New Roman" w:hAnsi="Times New Roman" w:cs="Times New Roman"/>
        </w:rPr>
        <w:t>informed consent prior to participating in the study, an</w:t>
      </w:r>
      <w:r w:rsidR="006733DB">
        <w:rPr>
          <w:rFonts w:ascii="Times New Roman" w:hAnsi="Times New Roman" w:cs="Times New Roman"/>
        </w:rPr>
        <w:t>d</w:t>
      </w:r>
      <w:r>
        <w:rPr>
          <w:rFonts w:ascii="Times New Roman" w:hAnsi="Times New Roman" w:cs="Times New Roman"/>
        </w:rPr>
        <w:t xml:space="preserve"> all identifying information was anonymized. </w:t>
      </w:r>
    </w:p>
    <w:p w14:paraId="6B16B084" w14:textId="3FAFEF24" w:rsidR="005E52B6" w:rsidRDefault="00092ECF" w:rsidP="00FE28C8">
      <w:pPr>
        <w:spacing w:before="240" w:after="240" w:line="240" w:lineRule="auto"/>
        <w:ind w:left="1440" w:right="1440"/>
        <w:jc w:val="both"/>
        <w:rPr>
          <w:rFonts w:ascii="Times New Roman" w:hAnsi="Times New Roman" w:cs="Times New Roman"/>
          <w:b/>
          <w:bCs/>
        </w:rPr>
      </w:pPr>
      <w:r w:rsidRPr="00092ECF">
        <w:rPr>
          <w:rFonts w:ascii="Times New Roman" w:hAnsi="Times New Roman" w:cs="Times New Roman"/>
          <w:b/>
          <w:bCs/>
        </w:rPr>
        <w:t>RESULT</w:t>
      </w:r>
      <w:r w:rsidR="005E52B6" w:rsidRPr="00092ECF">
        <w:rPr>
          <w:rFonts w:ascii="Times New Roman" w:hAnsi="Times New Roman" w:cs="Times New Roman"/>
          <w:b/>
          <w:bCs/>
        </w:rPr>
        <w:t xml:space="preserve"> </w:t>
      </w:r>
    </w:p>
    <w:p w14:paraId="5668BCA7" w14:textId="56C41A60"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Data collected between October and December 2025 assessed the psychosocial and community outcomes associated with the collective care interventions implemented after the vandalization incident. The results focus on changes in anxiety levels, perceived loneliness, and the reach of community-based support interventions.</w:t>
      </w:r>
    </w:p>
    <w:p w14:paraId="7E1D25FC" w14:textId="77777777" w:rsidR="002614F7" w:rsidRDefault="002614F7" w:rsidP="00FE28C8">
      <w:pPr>
        <w:spacing w:before="240" w:after="240" w:line="240" w:lineRule="auto"/>
        <w:ind w:left="1440" w:right="1440"/>
        <w:jc w:val="both"/>
        <w:rPr>
          <w:rFonts w:ascii="Times New Roman" w:hAnsi="Times New Roman" w:cs="Times New Roman"/>
        </w:rPr>
      </w:pPr>
    </w:p>
    <w:p w14:paraId="27415835" w14:textId="77777777" w:rsidR="002614F7" w:rsidRDefault="002614F7" w:rsidP="00FE28C8">
      <w:pPr>
        <w:spacing w:before="240" w:after="240" w:line="240" w:lineRule="auto"/>
        <w:ind w:left="1440" w:right="1440"/>
        <w:jc w:val="both"/>
        <w:rPr>
          <w:rFonts w:ascii="Times New Roman" w:hAnsi="Times New Roman" w:cs="Times New Roman"/>
        </w:rPr>
      </w:pPr>
    </w:p>
    <w:p w14:paraId="61CA0408" w14:textId="5EA527D1" w:rsidR="000F439A" w:rsidRPr="000F439A" w:rsidRDefault="000F439A" w:rsidP="00FE28C8">
      <w:pPr>
        <w:spacing w:before="240" w:after="240" w:line="240" w:lineRule="auto"/>
        <w:ind w:left="1440" w:right="1440"/>
        <w:jc w:val="both"/>
        <w:rPr>
          <w:rFonts w:ascii="Times New Roman" w:hAnsi="Times New Roman" w:cs="Times New Roman"/>
          <w:b/>
          <w:bCs/>
        </w:rPr>
      </w:pPr>
      <w:r w:rsidRPr="000F439A">
        <w:rPr>
          <w:rFonts w:ascii="Times New Roman" w:hAnsi="Times New Roman" w:cs="Times New Roman"/>
          <w:b/>
          <w:bCs/>
        </w:rPr>
        <w:t>Table 1. Changes in Anxiety Levels (GAD-7</w:t>
      </w:r>
      <w:r>
        <w:rPr>
          <w:rFonts w:ascii="Times New Roman" w:hAnsi="Times New Roman" w:cs="Times New Roman"/>
          <w:b/>
          <w:bCs/>
        </w:rPr>
        <w:t xml:space="preserve"> S</w:t>
      </w:r>
      <w:r w:rsidRPr="000F439A">
        <w:rPr>
          <w:rFonts w:ascii="Times New Roman" w:hAnsi="Times New Roman" w:cs="Times New Roman"/>
          <w:b/>
          <w:bCs/>
        </w:rPr>
        <w:t>core)</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3065"/>
        <w:gridCol w:w="2492"/>
        <w:gridCol w:w="2785"/>
      </w:tblGrid>
      <w:tr w:rsidR="000F439A" w14:paraId="4C78D358" w14:textId="77777777" w:rsidTr="00A651B1">
        <w:trPr>
          <w:trHeight w:val="616"/>
        </w:trPr>
        <w:tc>
          <w:tcPr>
            <w:tcW w:w="2782" w:type="dxa"/>
          </w:tcPr>
          <w:p w14:paraId="0D6189A1" w14:textId="21981482" w:rsidR="000F439A" w:rsidRPr="003D7DBC" w:rsidRDefault="000F439A" w:rsidP="000F439A">
            <w:pPr>
              <w:spacing w:before="240" w:after="240"/>
              <w:ind w:right="1440"/>
              <w:jc w:val="both"/>
              <w:rPr>
                <w:rFonts w:ascii="Times New Roman" w:hAnsi="Times New Roman" w:cs="Times New Roman"/>
                <w:b/>
                <w:bCs/>
              </w:rPr>
            </w:pPr>
            <w:r w:rsidRPr="003D7DBC">
              <w:rPr>
                <w:rFonts w:ascii="Times New Roman" w:hAnsi="Times New Roman" w:cs="Times New Roman"/>
                <w:b/>
                <w:bCs/>
              </w:rPr>
              <w:lastRenderedPageBreak/>
              <w:t>Measurement Period</w:t>
            </w:r>
          </w:p>
        </w:tc>
        <w:tc>
          <w:tcPr>
            <w:tcW w:w="2262" w:type="dxa"/>
          </w:tcPr>
          <w:p w14:paraId="71E9ADF1" w14:textId="0907AF41" w:rsidR="000F439A" w:rsidRPr="003D7DBC" w:rsidRDefault="000F439A" w:rsidP="000F439A">
            <w:pPr>
              <w:spacing w:before="240" w:after="240"/>
              <w:ind w:right="1440"/>
              <w:jc w:val="both"/>
              <w:rPr>
                <w:rFonts w:ascii="Times New Roman" w:hAnsi="Times New Roman" w:cs="Times New Roman"/>
                <w:b/>
                <w:bCs/>
              </w:rPr>
            </w:pPr>
            <w:r w:rsidRPr="003D7DBC">
              <w:rPr>
                <w:rFonts w:ascii="Times New Roman" w:hAnsi="Times New Roman" w:cs="Times New Roman"/>
                <w:b/>
                <w:bCs/>
              </w:rPr>
              <w:t xml:space="preserve">Average Anxiety Score </w:t>
            </w:r>
          </w:p>
        </w:tc>
        <w:tc>
          <w:tcPr>
            <w:tcW w:w="2527" w:type="dxa"/>
          </w:tcPr>
          <w:p w14:paraId="2CC2E931" w14:textId="17A46DC9" w:rsidR="000F439A" w:rsidRPr="003D7DBC" w:rsidRDefault="000F439A" w:rsidP="000F439A">
            <w:pPr>
              <w:spacing w:before="240" w:after="240"/>
              <w:ind w:right="1440"/>
              <w:jc w:val="both"/>
              <w:rPr>
                <w:rFonts w:ascii="Times New Roman" w:hAnsi="Times New Roman" w:cs="Times New Roman"/>
                <w:b/>
                <w:bCs/>
              </w:rPr>
            </w:pPr>
            <w:r w:rsidRPr="003D7DBC">
              <w:rPr>
                <w:rFonts w:ascii="Times New Roman" w:hAnsi="Times New Roman" w:cs="Times New Roman"/>
                <w:b/>
                <w:bCs/>
              </w:rPr>
              <w:t>Percentage Change (%)</w:t>
            </w:r>
          </w:p>
        </w:tc>
      </w:tr>
      <w:tr w:rsidR="000F439A" w14:paraId="1032825B" w14:textId="77777777" w:rsidTr="00A651B1">
        <w:trPr>
          <w:trHeight w:val="616"/>
        </w:trPr>
        <w:tc>
          <w:tcPr>
            <w:tcW w:w="2782" w:type="dxa"/>
          </w:tcPr>
          <w:p w14:paraId="5250A8F1" w14:textId="6305A684"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 xml:space="preserve">Pre-intervention </w:t>
            </w:r>
          </w:p>
        </w:tc>
        <w:tc>
          <w:tcPr>
            <w:tcW w:w="2262" w:type="dxa"/>
          </w:tcPr>
          <w:p w14:paraId="7B6DF472" w14:textId="7D799EE6"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13.20</w:t>
            </w:r>
          </w:p>
        </w:tc>
        <w:tc>
          <w:tcPr>
            <w:tcW w:w="2527" w:type="dxa"/>
          </w:tcPr>
          <w:p w14:paraId="4447C3E2" w14:textId="6F562921"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w:t>
            </w:r>
          </w:p>
        </w:tc>
      </w:tr>
      <w:tr w:rsidR="000F439A" w14:paraId="46338255" w14:textId="77777777" w:rsidTr="00A651B1">
        <w:trPr>
          <w:trHeight w:val="616"/>
        </w:trPr>
        <w:tc>
          <w:tcPr>
            <w:tcW w:w="2782" w:type="dxa"/>
          </w:tcPr>
          <w:p w14:paraId="7CBF9AF2" w14:textId="627F189B"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 xml:space="preserve">Post-intervention </w:t>
            </w:r>
          </w:p>
        </w:tc>
        <w:tc>
          <w:tcPr>
            <w:tcW w:w="2262" w:type="dxa"/>
          </w:tcPr>
          <w:p w14:paraId="5DA83777" w14:textId="3BACCD8B"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9.20</w:t>
            </w:r>
          </w:p>
        </w:tc>
        <w:tc>
          <w:tcPr>
            <w:tcW w:w="2527" w:type="dxa"/>
          </w:tcPr>
          <w:p w14:paraId="1964AC52" w14:textId="3947DAEC" w:rsidR="000F439A" w:rsidRDefault="000F439A" w:rsidP="000F439A">
            <w:pPr>
              <w:spacing w:before="240" w:after="240"/>
              <w:ind w:right="1440"/>
              <w:jc w:val="both"/>
              <w:rPr>
                <w:rFonts w:ascii="Times New Roman" w:hAnsi="Times New Roman" w:cs="Times New Roman"/>
              </w:rPr>
            </w:pPr>
            <w:r>
              <w:rPr>
                <w:rFonts w:ascii="Times New Roman" w:hAnsi="Times New Roman" w:cs="Times New Roman"/>
              </w:rPr>
              <w:t>30</w:t>
            </w:r>
          </w:p>
        </w:tc>
      </w:tr>
    </w:tbl>
    <w:p w14:paraId="209FB0FC" w14:textId="77777777" w:rsidR="0033276A" w:rsidRDefault="0033276A" w:rsidP="00FE28C8">
      <w:pPr>
        <w:spacing w:before="240" w:after="240" w:line="240" w:lineRule="auto"/>
        <w:ind w:left="1440" w:right="1440"/>
        <w:jc w:val="both"/>
        <w:rPr>
          <w:rFonts w:ascii="Times New Roman" w:hAnsi="Times New Roman" w:cs="Times New Roman"/>
        </w:rPr>
      </w:pPr>
    </w:p>
    <w:p w14:paraId="4AE9021F" w14:textId="5B9FE84D"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Psychosocial Outcomes</w:t>
      </w:r>
    </w:p>
    <w:p w14:paraId="57E424A3" w14:textId="67B14477" w:rsidR="009D1478" w:rsidRPr="00CB1D27" w:rsidRDefault="007359F1" w:rsidP="00CB1D27">
      <w:pPr>
        <w:spacing w:before="240" w:after="240" w:line="240" w:lineRule="auto"/>
        <w:ind w:left="1440" w:right="1440"/>
        <w:jc w:val="both"/>
        <w:rPr>
          <w:rFonts w:ascii="Times New Roman" w:hAnsi="Times New Roman" w:cs="Times New Roman"/>
        </w:rPr>
      </w:pPr>
      <w:r>
        <w:rPr>
          <w:rFonts w:ascii="Times New Roman" w:hAnsi="Times New Roman" w:cs="Times New Roman"/>
        </w:rPr>
        <w:t>Analysis of the Generalized Anxiety Disorder Scale (GAD-7) scores among participants (n</w:t>
      </w:r>
      <w:r w:rsidR="006D550C">
        <w:rPr>
          <w:rFonts w:ascii="Times New Roman" w:hAnsi="Times New Roman" w:cs="Times New Roman"/>
        </w:rPr>
        <w:t xml:space="preserve"> </w:t>
      </w:r>
      <w:r>
        <w:rPr>
          <w:rFonts w:ascii="Times New Roman" w:hAnsi="Times New Roman" w:cs="Times New Roman"/>
        </w:rPr>
        <w:t>=</w:t>
      </w:r>
      <w:r w:rsidR="006D550C">
        <w:rPr>
          <w:rFonts w:ascii="Times New Roman" w:hAnsi="Times New Roman" w:cs="Times New Roman"/>
        </w:rPr>
        <w:t xml:space="preserve"> </w:t>
      </w:r>
      <w:r>
        <w:rPr>
          <w:rFonts w:ascii="Times New Roman" w:hAnsi="Times New Roman" w:cs="Times New Roman"/>
        </w:rPr>
        <w:t xml:space="preserve">50) revealed a notable improvement in psychological wellbeing following the intervention period. Prior to the implementation of the collective care framework, participants reported moderate to high anxiety levels associated with the security incident, disruption of services, and fears related to confidentiality breaches. After the intervention, the average anxiety score decreased from 13.2 to 9.2, representing approximately a 30% reduction in anxiety symptoms. Participants reported that peer support sessions and collective reflection spaces contributed significantly to emotional coping and reduced stress. </w:t>
      </w:r>
    </w:p>
    <w:p w14:paraId="7393E2D6" w14:textId="6192CD8A" w:rsidR="00730437" w:rsidRPr="000F439A" w:rsidRDefault="000F439A" w:rsidP="00FE28C8">
      <w:pPr>
        <w:spacing w:before="240" w:after="240" w:line="240" w:lineRule="auto"/>
        <w:ind w:left="1440" w:right="1440"/>
        <w:jc w:val="both"/>
        <w:rPr>
          <w:rFonts w:ascii="Times New Roman" w:hAnsi="Times New Roman" w:cs="Times New Roman"/>
          <w:b/>
          <w:bCs/>
        </w:rPr>
      </w:pPr>
      <w:r w:rsidRPr="000F439A">
        <w:rPr>
          <w:rFonts w:ascii="Times New Roman" w:hAnsi="Times New Roman" w:cs="Times New Roman"/>
          <w:b/>
          <w:bCs/>
        </w:rPr>
        <w:t>Table 2. Changes in Loneliness Scores (UCLA Scale)</w:t>
      </w:r>
    </w:p>
    <w:tbl>
      <w:tblPr>
        <w:tblStyle w:val="TableGrid"/>
        <w:tblpPr w:leftFromText="180" w:rightFromText="180" w:vertAnchor="text" w:horzAnchor="margin" w:tblpXSpec="center" w:tblpY="50"/>
        <w:tblW w:w="0" w:type="auto"/>
        <w:tblLook w:val="04A0" w:firstRow="1" w:lastRow="0" w:firstColumn="1" w:lastColumn="0" w:noHBand="0" w:noVBand="1"/>
      </w:tblPr>
      <w:tblGrid>
        <w:gridCol w:w="3065"/>
        <w:gridCol w:w="2737"/>
        <w:gridCol w:w="2785"/>
      </w:tblGrid>
      <w:tr w:rsidR="00F413F9" w:rsidRPr="00554F2C" w14:paraId="23EE9DE0" w14:textId="77777777" w:rsidTr="00703F4A">
        <w:trPr>
          <w:trHeight w:val="972"/>
        </w:trPr>
        <w:tc>
          <w:tcPr>
            <w:tcW w:w="2674" w:type="dxa"/>
          </w:tcPr>
          <w:p w14:paraId="44B8214D" w14:textId="77777777" w:rsidR="000F439A" w:rsidRPr="00554F2C" w:rsidRDefault="000F439A" w:rsidP="000F439A">
            <w:pPr>
              <w:spacing w:before="240" w:after="240"/>
              <w:ind w:right="1440"/>
              <w:jc w:val="both"/>
              <w:rPr>
                <w:rFonts w:ascii="Times New Roman" w:hAnsi="Times New Roman" w:cs="Times New Roman"/>
                <w:b/>
                <w:bCs/>
              </w:rPr>
            </w:pPr>
            <w:r w:rsidRPr="00554F2C">
              <w:rPr>
                <w:rFonts w:ascii="Times New Roman" w:hAnsi="Times New Roman" w:cs="Times New Roman"/>
                <w:b/>
                <w:bCs/>
              </w:rPr>
              <w:t>Measurement Period</w:t>
            </w:r>
          </w:p>
        </w:tc>
        <w:tc>
          <w:tcPr>
            <w:tcW w:w="2401" w:type="dxa"/>
          </w:tcPr>
          <w:p w14:paraId="66E25CEA" w14:textId="77777777" w:rsidR="000F439A" w:rsidRPr="00554F2C" w:rsidRDefault="000F439A" w:rsidP="000F439A">
            <w:pPr>
              <w:spacing w:before="240" w:after="240"/>
              <w:ind w:right="1440"/>
              <w:jc w:val="both"/>
              <w:rPr>
                <w:rFonts w:ascii="Times New Roman" w:hAnsi="Times New Roman" w:cs="Times New Roman"/>
                <w:b/>
                <w:bCs/>
              </w:rPr>
            </w:pPr>
            <w:r w:rsidRPr="00554F2C">
              <w:rPr>
                <w:rFonts w:ascii="Times New Roman" w:hAnsi="Times New Roman" w:cs="Times New Roman"/>
                <w:b/>
                <w:bCs/>
              </w:rPr>
              <w:t>Average Loneliness Score</w:t>
            </w:r>
          </w:p>
        </w:tc>
        <w:tc>
          <w:tcPr>
            <w:tcW w:w="2441" w:type="dxa"/>
          </w:tcPr>
          <w:p w14:paraId="151363F6" w14:textId="77777777" w:rsidR="000F439A" w:rsidRPr="00554F2C" w:rsidRDefault="000F439A" w:rsidP="000F439A">
            <w:pPr>
              <w:spacing w:before="240" w:after="240"/>
              <w:ind w:right="1440"/>
              <w:jc w:val="both"/>
              <w:rPr>
                <w:rFonts w:ascii="Times New Roman" w:hAnsi="Times New Roman" w:cs="Times New Roman"/>
                <w:b/>
                <w:bCs/>
              </w:rPr>
            </w:pPr>
            <w:r w:rsidRPr="00554F2C">
              <w:rPr>
                <w:rFonts w:ascii="Times New Roman" w:hAnsi="Times New Roman" w:cs="Times New Roman"/>
                <w:b/>
                <w:bCs/>
              </w:rPr>
              <w:t>Percentage Change (%)</w:t>
            </w:r>
          </w:p>
        </w:tc>
      </w:tr>
      <w:tr w:rsidR="00F413F9" w:rsidRPr="00554F2C" w14:paraId="32707487" w14:textId="77777777" w:rsidTr="00703F4A">
        <w:trPr>
          <w:trHeight w:val="777"/>
        </w:trPr>
        <w:tc>
          <w:tcPr>
            <w:tcW w:w="2674" w:type="dxa"/>
          </w:tcPr>
          <w:p w14:paraId="142B551F"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 xml:space="preserve">Pre-intervention </w:t>
            </w:r>
          </w:p>
        </w:tc>
        <w:tc>
          <w:tcPr>
            <w:tcW w:w="2401" w:type="dxa"/>
          </w:tcPr>
          <w:p w14:paraId="5D6D4952"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52.40</w:t>
            </w:r>
          </w:p>
        </w:tc>
        <w:tc>
          <w:tcPr>
            <w:tcW w:w="2441" w:type="dxa"/>
          </w:tcPr>
          <w:p w14:paraId="44A2BE6F"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w:t>
            </w:r>
          </w:p>
        </w:tc>
      </w:tr>
      <w:tr w:rsidR="00F413F9" w:rsidRPr="00554F2C" w14:paraId="26745BD5" w14:textId="77777777" w:rsidTr="00703F4A">
        <w:trPr>
          <w:trHeight w:val="399"/>
        </w:trPr>
        <w:tc>
          <w:tcPr>
            <w:tcW w:w="2674" w:type="dxa"/>
          </w:tcPr>
          <w:p w14:paraId="1F332E78"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 xml:space="preserve">Post-intervention </w:t>
            </w:r>
          </w:p>
        </w:tc>
        <w:tc>
          <w:tcPr>
            <w:tcW w:w="2401" w:type="dxa"/>
          </w:tcPr>
          <w:p w14:paraId="098A79C1"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31.50</w:t>
            </w:r>
          </w:p>
        </w:tc>
        <w:tc>
          <w:tcPr>
            <w:tcW w:w="2441" w:type="dxa"/>
          </w:tcPr>
          <w:p w14:paraId="206D9185" w14:textId="77777777" w:rsidR="000F439A" w:rsidRPr="00554F2C" w:rsidRDefault="000F439A" w:rsidP="000F439A">
            <w:pPr>
              <w:spacing w:before="240" w:after="240"/>
              <w:ind w:right="1440"/>
              <w:jc w:val="both"/>
              <w:rPr>
                <w:rFonts w:ascii="Times New Roman" w:hAnsi="Times New Roman" w:cs="Times New Roman"/>
              </w:rPr>
            </w:pPr>
            <w:r w:rsidRPr="00554F2C">
              <w:rPr>
                <w:rFonts w:ascii="Times New Roman" w:hAnsi="Times New Roman" w:cs="Times New Roman"/>
              </w:rPr>
              <w:t>40</w:t>
            </w:r>
          </w:p>
        </w:tc>
      </w:tr>
    </w:tbl>
    <w:p w14:paraId="347766F9" w14:textId="77777777" w:rsidR="00730437" w:rsidRDefault="00730437" w:rsidP="00977D26">
      <w:pPr>
        <w:spacing w:before="240" w:after="240" w:line="240" w:lineRule="auto"/>
        <w:ind w:right="1440"/>
        <w:jc w:val="both"/>
        <w:rPr>
          <w:rFonts w:ascii="Times New Roman" w:hAnsi="Times New Roman" w:cs="Times New Roman"/>
        </w:rPr>
      </w:pPr>
    </w:p>
    <w:p w14:paraId="0C7F8375" w14:textId="77777777" w:rsidR="00977D26" w:rsidRDefault="00977D26" w:rsidP="00977D26">
      <w:pPr>
        <w:spacing w:before="240" w:after="240" w:line="240" w:lineRule="auto"/>
        <w:ind w:right="1440"/>
        <w:jc w:val="both"/>
        <w:rPr>
          <w:rFonts w:ascii="Times New Roman" w:hAnsi="Times New Roman" w:cs="Times New Roman"/>
        </w:rPr>
      </w:pPr>
    </w:p>
    <w:p w14:paraId="25F23442" w14:textId="77777777" w:rsidR="00977D26" w:rsidRDefault="00977D26" w:rsidP="00977D26">
      <w:pPr>
        <w:spacing w:before="240" w:after="240" w:line="240" w:lineRule="auto"/>
        <w:ind w:right="1440"/>
        <w:jc w:val="both"/>
        <w:rPr>
          <w:rFonts w:ascii="Times New Roman" w:hAnsi="Times New Roman" w:cs="Times New Roman"/>
        </w:rPr>
      </w:pPr>
    </w:p>
    <w:p w14:paraId="37AD1BE3" w14:textId="77777777" w:rsidR="00977D26" w:rsidRDefault="00977D26" w:rsidP="00977D26">
      <w:pPr>
        <w:spacing w:before="240" w:after="240" w:line="240" w:lineRule="auto"/>
        <w:ind w:right="1440"/>
        <w:jc w:val="both"/>
        <w:rPr>
          <w:rFonts w:ascii="Times New Roman" w:hAnsi="Times New Roman" w:cs="Times New Roman"/>
        </w:rPr>
      </w:pPr>
    </w:p>
    <w:p w14:paraId="682B4BA5" w14:textId="77777777" w:rsidR="00977D26" w:rsidRDefault="00977D26" w:rsidP="00977D26">
      <w:pPr>
        <w:spacing w:before="240" w:after="240" w:line="240" w:lineRule="auto"/>
        <w:ind w:right="1440"/>
        <w:jc w:val="both"/>
        <w:rPr>
          <w:rFonts w:ascii="Times New Roman" w:hAnsi="Times New Roman" w:cs="Times New Roman"/>
        </w:rPr>
      </w:pPr>
    </w:p>
    <w:p w14:paraId="2D86322F" w14:textId="77777777" w:rsidR="00D3046F" w:rsidRDefault="00D3046F" w:rsidP="00FE28C8">
      <w:pPr>
        <w:spacing w:before="240" w:after="240" w:line="240" w:lineRule="auto"/>
        <w:ind w:left="1440" w:right="1440"/>
        <w:jc w:val="both"/>
        <w:rPr>
          <w:rFonts w:ascii="Times New Roman" w:hAnsi="Times New Roman" w:cs="Times New Roman"/>
        </w:rPr>
      </w:pPr>
    </w:p>
    <w:p w14:paraId="280455CC" w14:textId="77777777" w:rsidR="003F618D" w:rsidRDefault="003F618D" w:rsidP="00FE28C8">
      <w:pPr>
        <w:spacing w:before="240" w:after="240" w:line="240" w:lineRule="auto"/>
        <w:ind w:left="1440" w:right="1440"/>
        <w:jc w:val="both"/>
        <w:rPr>
          <w:rFonts w:ascii="Times New Roman" w:hAnsi="Times New Roman" w:cs="Times New Roman"/>
        </w:rPr>
      </w:pPr>
    </w:p>
    <w:p w14:paraId="751AB6C8" w14:textId="77777777" w:rsidR="003F618D" w:rsidRDefault="003F618D" w:rsidP="00FE28C8">
      <w:pPr>
        <w:spacing w:before="240" w:after="240" w:line="240" w:lineRule="auto"/>
        <w:ind w:left="1440" w:right="1440"/>
        <w:jc w:val="both"/>
        <w:rPr>
          <w:rFonts w:ascii="Times New Roman" w:hAnsi="Times New Roman" w:cs="Times New Roman"/>
        </w:rPr>
      </w:pPr>
    </w:p>
    <w:p w14:paraId="4F106652" w14:textId="77777777" w:rsidR="003F618D" w:rsidRDefault="003F618D" w:rsidP="00FE28C8">
      <w:pPr>
        <w:spacing w:before="240" w:after="240" w:line="240" w:lineRule="auto"/>
        <w:ind w:left="1440" w:right="1440"/>
        <w:jc w:val="both"/>
        <w:rPr>
          <w:rFonts w:ascii="Times New Roman" w:hAnsi="Times New Roman" w:cs="Times New Roman"/>
        </w:rPr>
      </w:pPr>
    </w:p>
    <w:p w14:paraId="78A0D3E8" w14:textId="77777777" w:rsidR="003F618D" w:rsidRDefault="003F618D" w:rsidP="00FE28C8">
      <w:pPr>
        <w:spacing w:before="240" w:after="240" w:line="240" w:lineRule="auto"/>
        <w:ind w:left="1440" w:right="1440"/>
        <w:jc w:val="both"/>
        <w:rPr>
          <w:rFonts w:ascii="Times New Roman" w:hAnsi="Times New Roman" w:cs="Times New Roman"/>
        </w:rPr>
      </w:pPr>
    </w:p>
    <w:p w14:paraId="6F903D62" w14:textId="77777777" w:rsidR="003F618D" w:rsidRDefault="003F618D" w:rsidP="00FE28C8">
      <w:pPr>
        <w:spacing w:before="240" w:after="240" w:line="240" w:lineRule="auto"/>
        <w:ind w:left="1440" w:right="1440"/>
        <w:jc w:val="both"/>
        <w:rPr>
          <w:rFonts w:ascii="Times New Roman" w:hAnsi="Times New Roman" w:cs="Times New Roman"/>
        </w:rPr>
      </w:pPr>
    </w:p>
    <w:p w14:paraId="2674E011" w14:textId="77777777" w:rsidR="003F618D" w:rsidRDefault="003F618D" w:rsidP="00FE28C8">
      <w:pPr>
        <w:spacing w:before="240" w:after="240" w:line="240" w:lineRule="auto"/>
        <w:ind w:left="1440" w:right="1440"/>
        <w:jc w:val="both"/>
        <w:rPr>
          <w:rFonts w:ascii="Times New Roman" w:hAnsi="Times New Roman" w:cs="Times New Roman"/>
        </w:rPr>
      </w:pPr>
    </w:p>
    <w:p w14:paraId="7E8488F2" w14:textId="393B03A7" w:rsidR="00876A3E" w:rsidRPr="008645C0" w:rsidRDefault="00876A3E" w:rsidP="00876A3E">
      <w:pPr>
        <w:spacing w:before="240" w:after="240" w:line="240" w:lineRule="auto"/>
        <w:ind w:left="1440" w:right="1440"/>
        <w:jc w:val="both"/>
        <w:rPr>
          <w:rFonts w:ascii="Times New Roman" w:hAnsi="Times New Roman" w:cs="Times New Roman"/>
          <w:b/>
          <w:bCs/>
        </w:rPr>
      </w:pPr>
      <w:r w:rsidRPr="008645C0">
        <w:rPr>
          <w:rFonts w:ascii="Times New Roman" w:hAnsi="Times New Roman" w:cs="Times New Roman"/>
          <w:b/>
          <w:bCs/>
        </w:rPr>
        <w:t xml:space="preserve">Table 3. Community Support and Mutual Aid </w:t>
      </w:r>
    </w:p>
    <w:tbl>
      <w:tblPr>
        <w:tblStyle w:val="TableGrid"/>
        <w:tblpPr w:leftFromText="180" w:rightFromText="180" w:vertAnchor="text" w:horzAnchor="margin" w:tblpXSpec="center" w:tblpY="31"/>
        <w:tblW w:w="0" w:type="auto"/>
        <w:tblLook w:val="04A0" w:firstRow="1" w:lastRow="0" w:firstColumn="1" w:lastColumn="0" w:noHBand="0" w:noVBand="1"/>
      </w:tblPr>
      <w:tblGrid>
        <w:gridCol w:w="3189"/>
        <w:gridCol w:w="2745"/>
        <w:gridCol w:w="2817"/>
      </w:tblGrid>
      <w:tr w:rsidR="00876A3E" w14:paraId="2B783185" w14:textId="77777777" w:rsidTr="00876A3E">
        <w:trPr>
          <w:trHeight w:val="616"/>
        </w:trPr>
        <w:tc>
          <w:tcPr>
            <w:tcW w:w="3189" w:type="dxa"/>
          </w:tcPr>
          <w:p w14:paraId="6E5820D9" w14:textId="63082A5A" w:rsidR="00876A3E" w:rsidRPr="003D7DBC" w:rsidRDefault="00876A3E" w:rsidP="00276512">
            <w:pPr>
              <w:spacing w:before="240" w:after="240"/>
              <w:ind w:right="1440"/>
              <w:jc w:val="both"/>
              <w:rPr>
                <w:rFonts w:ascii="Times New Roman" w:hAnsi="Times New Roman" w:cs="Times New Roman"/>
                <w:b/>
                <w:bCs/>
              </w:rPr>
            </w:pPr>
            <w:r>
              <w:rPr>
                <w:rFonts w:ascii="Times New Roman" w:hAnsi="Times New Roman" w:cs="Times New Roman"/>
                <w:b/>
                <w:bCs/>
              </w:rPr>
              <w:lastRenderedPageBreak/>
              <w:t>Intervention</w:t>
            </w:r>
          </w:p>
        </w:tc>
        <w:tc>
          <w:tcPr>
            <w:tcW w:w="2745" w:type="dxa"/>
          </w:tcPr>
          <w:p w14:paraId="45F10F4E" w14:textId="5B31ED3E" w:rsidR="00876A3E" w:rsidRPr="003D7DBC" w:rsidRDefault="00876A3E" w:rsidP="00276512">
            <w:pPr>
              <w:spacing w:before="240" w:after="240"/>
              <w:ind w:right="1440"/>
              <w:jc w:val="both"/>
              <w:rPr>
                <w:rFonts w:ascii="Times New Roman" w:hAnsi="Times New Roman" w:cs="Times New Roman"/>
                <w:b/>
                <w:bCs/>
              </w:rPr>
            </w:pPr>
            <w:r>
              <w:rPr>
                <w:rFonts w:ascii="Times New Roman" w:hAnsi="Times New Roman" w:cs="Times New Roman"/>
                <w:b/>
                <w:bCs/>
              </w:rPr>
              <w:t>Number of Staff and frontliners</w:t>
            </w:r>
          </w:p>
        </w:tc>
        <w:tc>
          <w:tcPr>
            <w:tcW w:w="2527" w:type="dxa"/>
          </w:tcPr>
          <w:p w14:paraId="4BE50185" w14:textId="745817FA" w:rsidR="00876A3E" w:rsidRPr="003D7DBC" w:rsidRDefault="00876A3E" w:rsidP="00276512">
            <w:pPr>
              <w:spacing w:before="240" w:after="240"/>
              <w:ind w:right="1440"/>
              <w:jc w:val="both"/>
              <w:rPr>
                <w:rFonts w:ascii="Times New Roman" w:hAnsi="Times New Roman" w:cs="Times New Roman"/>
                <w:b/>
                <w:bCs/>
              </w:rPr>
            </w:pPr>
            <w:r>
              <w:rPr>
                <w:rFonts w:ascii="Times New Roman" w:hAnsi="Times New Roman" w:cs="Times New Roman"/>
                <w:b/>
                <w:bCs/>
              </w:rPr>
              <w:t>Support Provide</w:t>
            </w:r>
          </w:p>
        </w:tc>
      </w:tr>
      <w:tr w:rsidR="00876A3E" w14:paraId="33088C3D" w14:textId="77777777" w:rsidTr="00876A3E">
        <w:trPr>
          <w:trHeight w:val="616"/>
        </w:trPr>
        <w:tc>
          <w:tcPr>
            <w:tcW w:w="3189" w:type="dxa"/>
          </w:tcPr>
          <w:p w14:paraId="3D108BDD" w14:textId="1243EB7B"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Emergency food assistance </w:t>
            </w:r>
          </w:p>
        </w:tc>
        <w:tc>
          <w:tcPr>
            <w:tcW w:w="2745" w:type="dxa"/>
          </w:tcPr>
          <w:p w14:paraId="3ED2813D" w14:textId="638FBD52"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18</w:t>
            </w:r>
          </w:p>
        </w:tc>
        <w:tc>
          <w:tcPr>
            <w:tcW w:w="2527" w:type="dxa"/>
          </w:tcPr>
          <w:p w14:paraId="2CB4E6D7" w14:textId="72526917"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Distribution of food supplies to affected staff and frontliners </w:t>
            </w:r>
          </w:p>
        </w:tc>
      </w:tr>
      <w:tr w:rsidR="00876A3E" w14:paraId="1ABBFF3A" w14:textId="77777777" w:rsidTr="00876A3E">
        <w:trPr>
          <w:trHeight w:val="616"/>
        </w:trPr>
        <w:tc>
          <w:tcPr>
            <w:tcW w:w="3189" w:type="dxa"/>
          </w:tcPr>
          <w:p w14:paraId="69F8DA99" w14:textId="0C22A0FF"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Temporary accommodation  </w:t>
            </w:r>
          </w:p>
        </w:tc>
        <w:tc>
          <w:tcPr>
            <w:tcW w:w="2745" w:type="dxa"/>
          </w:tcPr>
          <w:p w14:paraId="0AE702A4" w14:textId="584201C2"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6</w:t>
            </w:r>
          </w:p>
        </w:tc>
        <w:tc>
          <w:tcPr>
            <w:tcW w:w="2527" w:type="dxa"/>
          </w:tcPr>
          <w:p w14:paraId="5B5D05FF" w14:textId="4CF14930"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Short-term housing support for displaced individuals after the incident </w:t>
            </w:r>
          </w:p>
        </w:tc>
      </w:tr>
      <w:tr w:rsidR="00876A3E" w14:paraId="286903DA" w14:textId="77777777" w:rsidTr="00876A3E">
        <w:trPr>
          <w:trHeight w:val="616"/>
        </w:trPr>
        <w:tc>
          <w:tcPr>
            <w:tcW w:w="3189" w:type="dxa"/>
          </w:tcPr>
          <w:p w14:paraId="03CEC1E5" w14:textId="5E55923E"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Transportation logistics </w:t>
            </w:r>
          </w:p>
        </w:tc>
        <w:tc>
          <w:tcPr>
            <w:tcW w:w="2745" w:type="dxa"/>
          </w:tcPr>
          <w:p w14:paraId="2DF125FA" w14:textId="774A5154"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4</w:t>
            </w:r>
          </w:p>
        </w:tc>
        <w:tc>
          <w:tcPr>
            <w:tcW w:w="2527" w:type="dxa"/>
          </w:tcPr>
          <w:p w14:paraId="174AB75C" w14:textId="78FF1995"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Small emergency stipends and basic needs for staff and frontliners </w:t>
            </w:r>
          </w:p>
        </w:tc>
      </w:tr>
      <w:tr w:rsidR="00876A3E" w14:paraId="3E90FD37" w14:textId="77777777" w:rsidTr="00876A3E">
        <w:trPr>
          <w:trHeight w:val="616"/>
        </w:trPr>
        <w:tc>
          <w:tcPr>
            <w:tcW w:w="3189" w:type="dxa"/>
          </w:tcPr>
          <w:p w14:paraId="2CCE428D" w14:textId="1D0C61AC"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Peer psychosocial educational sessions </w:t>
            </w:r>
          </w:p>
        </w:tc>
        <w:tc>
          <w:tcPr>
            <w:tcW w:w="2745" w:type="dxa"/>
          </w:tcPr>
          <w:p w14:paraId="7FDBF1D6" w14:textId="37262CD9"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50</w:t>
            </w:r>
          </w:p>
        </w:tc>
        <w:tc>
          <w:tcPr>
            <w:tcW w:w="2527" w:type="dxa"/>
          </w:tcPr>
          <w:p w14:paraId="33D99E0C" w14:textId="7208B8D9" w:rsidR="00876A3E" w:rsidRDefault="00876A3E" w:rsidP="00276512">
            <w:pPr>
              <w:spacing w:before="240" w:after="240"/>
              <w:ind w:right="1440"/>
              <w:jc w:val="both"/>
              <w:rPr>
                <w:rFonts w:ascii="Times New Roman" w:hAnsi="Times New Roman" w:cs="Times New Roman"/>
              </w:rPr>
            </w:pPr>
            <w:r>
              <w:rPr>
                <w:rFonts w:ascii="Times New Roman" w:hAnsi="Times New Roman" w:cs="Times New Roman"/>
              </w:rPr>
              <w:t xml:space="preserve">Group and one-on-one mental health sessions facilitated by trained peer supporters  </w:t>
            </w:r>
          </w:p>
        </w:tc>
      </w:tr>
    </w:tbl>
    <w:p w14:paraId="5CC8D447" w14:textId="77777777" w:rsidR="00D3046F" w:rsidRDefault="00D3046F" w:rsidP="00AA2BB7">
      <w:pPr>
        <w:spacing w:before="240" w:after="240" w:line="240" w:lineRule="auto"/>
        <w:ind w:right="1440"/>
        <w:jc w:val="both"/>
        <w:rPr>
          <w:rFonts w:ascii="Times New Roman" w:hAnsi="Times New Roman" w:cs="Times New Roman"/>
        </w:rPr>
      </w:pPr>
    </w:p>
    <w:p w14:paraId="0A6FE251" w14:textId="77777777" w:rsidR="00AA2BB7" w:rsidRDefault="00AA2BB7" w:rsidP="00AA2BB7">
      <w:pPr>
        <w:spacing w:before="240" w:after="240" w:line="240" w:lineRule="auto"/>
        <w:ind w:right="1440"/>
        <w:jc w:val="both"/>
        <w:rPr>
          <w:rFonts w:ascii="Times New Roman" w:hAnsi="Times New Roman" w:cs="Times New Roman"/>
        </w:rPr>
      </w:pPr>
    </w:p>
    <w:p w14:paraId="0ECDC705" w14:textId="77777777" w:rsidR="00AA2BB7" w:rsidRDefault="00AA2BB7" w:rsidP="00AA2BB7">
      <w:pPr>
        <w:spacing w:before="240" w:after="240" w:line="240" w:lineRule="auto"/>
        <w:ind w:right="1440"/>
        <w:jc w:val="both"/>
        <w:rPr>
          <w:rFonts w:ascii="Times New Roman" w:hAnsi="Times New Roman" w:cs="Times New Roman"/>
        </w:rPr>
      </w:pPr>
    </w:p>
    <w:p w14:paraId="3D23C820" w14:textId="77777777" w:rsidR="00BA1F2D" w:rsidRDefault="00BA1F2D" w:rsidP="00FE28C8">
      <w:pPr>
        <w:spacing w:before="240" w:after="240" w:line="240" w:lineRule="auto"/>
        <w:ind w:left="1440" w:right="1440"/>
        <w:jc w:val="both"/>
        <w:rPr>
          <w:rFonts w:ascii="Times New Roman" w:hAnsi="Times New Roman" w:cs="Times New Roman"/>
        </w:rPr>
      </w:pPr>
    </w:p>
    <w:p w14:paraId="33A74BD9" w14:textId="3B801EA1"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Social Connectedness</w:t>
      </w:r>
    </w:p>
    <w:p w14:paraId="68857646" w14:textId="27113305" w:rsidR="007359F1" w:rsidRDefault="007359F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Perceived social isolation was measured using the UCLA Loneliness Scale among a subset </w:t>
      </w:r>
      <w:r w:rsidR="001E3ED9">
        <w:rPr>
          <w:rFonts w:ascii="Times New Roman" w:hAnsi="Times New Roman" w:cs="Times New Roman"/>
        </w:rPr>
        <w:t>participant (n = 30)</w:t>
      </w:r>
      <w:r>
        <w:rPr>
          <w:rFonts w:ascii="Times New Roman" w:hAnsi="Times New Roman" w:cs="Times New Roman"/>
        </w:rPr>
        <w:t xml:space="preserve">. The findings showed a marked </w:t>
      </w:r>
      <w:r w:rsidR="00206903">
        <w:rPr>
          <w:rFonts w:ascii="Times New Roman" w:hAnsi="Times New Roman" w:cs="Times New Roman"/>
        </w:rPr>
        <w:t xml:space="preserve">improvement in social connectedness following the implementation of community-based care activities. The average loneliness score decreased from 52.4 before the intervention to 31.5 after the intervention, representing an approximate 40% reduction in perceived loneliness. Participants indicated that community meetings, shared reflection sessions, and mutual aid activities helped rebuild trust and strengthen interpersonal relationship within the community. </w:t>
      </w:r>
    </w:p>
    <w:p w14:paraId="495964CC" w14:textId="67D741A2" w:rsidR="00206903" w:rsidRDefault="00DD777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Community Support and Mutual Aid Outcomes</w:t>
      </w:r>
    </w:p>
    <w:p w14:paraId="13F2846A" w14:textId="77777777" w:rsidR="00DB7DA1" w:rsidRDefault="00DD777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 xml:space="preserve">Mutual aid initiatives played a critical role in stabilizing the wellbeing of affected staff and frontline community members. A total of 28 individuals received emergency support, including food supplies, temporary </w:t>
      </w:r>
      <w:r w:rsidR="0021271F">
        <w:rPr>
          <w:rFonts w:ascii="Times New Roman" w:hAnsi="Times New Roman" w:cs="Times New Roman"/>
        </w:rPr>
        <w:t>accommodation, and financial assistance. These interventions were coordinated through peer networks and supported by community volunteers. Participants reported that mutual aid system provided immediate relief during the crisis and helped maintain basic living conditions while the organization relocated to a safer operational space.</w:t>
      </w:r>
    </w:p>
    <w:p w14:paraId="6D0C9957" w14:textId="123D3E14" w:rsidR="00DD7778" w:rsidRDefault="00DB7DA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Organizational Response and Service Continuity </w:t>
      </w:r>
    </w:p>
    <w:p w14:paraId="70545397" w14:textId="6606B21D" w:rsidR="00C17371" w:rsidRPr="00F15E06" w:rsidRDefault="00124E10" w:rsidP="00F15E06">
      <w:pPr>
        <w:spacing w:before="240" w:after="240" w:line="240" w:lineRule="auto"/>
        <w:ind w:left="1440" w:right="1440"/>
        <w:jc w:val="both"/>
        <w:rPr>
          <w:rFonts w:ascii="Times New Roman" w:hAnsi="Times New Roman" w:cs="Times New Roman"/>
        </w:rPr>
      </w:pPr>
      <w:r>
        <w:rPr>
          <w:rFonts w:ascii="Times New Roman" w:hAnsi="Times New Roman" w:cs="Times New Roman"/>
        </w:rPr>
        <w:t>Despite the disruption caused by the vandalization of the community center, the establishment of a 12-member crisis response committee facilitated rapid organizational coordination and decision-making. The committee implemented safety protocols to protect sensitive records and reorganized program activities to ensure continuity of HIV and sexual and reproductive health and rights services. As a result, the organization was able to resume service delivery within a short period, ensuring community members continued to access HIV prevention support, counseling, and referrals to friendly healthcare providers</w:t>
      </w:r>
      <w:r w:rsidR="00C17371">
        <w:rPr>
          <w:rFonts w:ascii="Times New Roman" w:hAnsi="Times New Roman" w:cs="Times New Roman"/>
        </w:rPr>
        <w:t>.</w:t>
      </w:r>
    </w:p>
    <w:p w14:paraId="2B183B19" w14:textId="77777777" w:rsidR="0033276A" w:rsidRDefault="0033276A" w:rsidP="0033276A">
      <w:pPr>
        <w:spacing w:before="240" w:after="240" w:line="240" w:lineRule="auto"/>
        <w:ind w:right="1440"/>
        <w:jc w:val="both"/>
        <w:rPr>
          <w:rFonts w:ascii="Times New Roman" w:hAnsi="Times New Roman" w:cs="Times New Roman"/>
          <w:b/>
          <w:bCs/>
        </w:rPr>
      </w:pPr>
    </w:p>
    <w:p w14:paraId="0A1F5959" w14:textId="65488B63" w:rsidR="00C17371" w:rsidRPr="00C17371" w:rsidRDefault="00C17371" w:rsidP="00FE28C8">
      <w:pPr>
        <w:spacing w:before="240" w:after="240" w:line="240" w:lineRule="auto"/>
        <w:ind w:left="1440" w:right="1440"/>
        <w:jc w:val="both"/>
        <w:rPr>
          <w:rFonts w:ascii="Times New Roman" w:hAnsi="Times New Roman" w:cs="Times New Roman"/>
          <w:b/>
          <w:bCs/>
        </w:rPr>
      </w:pPr>
      <w:r w:rsidRPr="00C17371">
        <w:rPr>
          <w:rFonts w:ascii="Times New Roman" w:hAnsi="Times New Roman" w:cs="Times New Roman"/>
          <w:b/>
          <w:bCs/>
        </w:rPr>
        <w:t xml:space="preserve">DISCUSSION </w:t>
      </w:r>
    </w:p>
    <w:p w14:paraId="3E7646A7" w14:textId="491F856F" w:rsidR="00C17371" w:rsidRDefault="00C1737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This study examined the role of community-based collective care interventions in supporting psychosocial wellbeing, strengthening social connectedness, and sustaining HIV and sexual and reproductive health and rights services among LGBTQ populations in Calabar, Cross River State, Nigeria. The findings demonstrate that collective care strategies implemented following the vandalization of a community center were associated with measurable improvements among participants as well as the continuity of essential community health services.</w:t>
      </w:r>
    </w:p>
    <w:p w14:paraId="3E699E35" w14:textId="4B9BE054" w:rsidR="00C17371" w:rsidRDefault="00C1737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Psychosocial Wellbeing and Minority Stress </w:t>
      </w:r>
    </w:p>
    <w:p w14:paraId="4E22290E" w14:textId="7D4CC6E8" w:rsidR="00C17371" w:rsidRPr="00B35BDA" w:rsidRDefault="00C17371"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One of the key findings of this study is the 30% reduction in anxiety symptoms among participants following the implementation of peer-led psychosocial support and collective activities. These results are consistent with minority stress theory, which suggests that individuals belonging to stigmatized social groups experience chronic stress arising from discrimination, stigma, and social exclusion </w:t>
      </w:r>
      <w:r w:rsidRPr="00B35BDA">
        <w:rPr>
          <w:rFonts w:ascii="Times New Roman" w:hAnsi="Times New Roman" w:cs="Times New Roman"/>
        </w:rPr>
        <w:t>[</w:t>
      </w:r>
      <w:r w:rsidR="00B34A42" w:rsidRPr="00B35BDA">
        <w:rPr>
          <w:rFonts w:ascii="Times New Roman" w:hAnsi="Times New Roman" w:cs="Times New Roman"/>
        </w:rPr>
        <w:t>9</w:t>
      </w:r>
      <w:r w:rsidRPr="00B35BDA">
        <w:rPr>
          <w:rFonts w:ascii="Times New Roman" w:hAnsi="Times New Roman" w:cs="Times New Roman"/>
        </w:rPr>
        <w:t>]</w:t>
      </w:r>
      <w:r w:rsidRPr="00C17371">
        <w:rPr>
          <w:rFonts w:ascii="Times New Roman" w:hAnsi="Times New Roman" w:cs="Times New Roman"/>
          <w:b/>
          <w:bCs/>
        </w:rPr>
        <w:t>.</w:t>
      </w:r>
      <w:r w:rsidR="00604A1E">
        <w:rPr>
          <w:rFonts w:ascii="Times New Roman" w:hAnsi="Times New Roman" w:cs="Times New Roman"/>
          <w:b/>
          <w:bCs/>
        </w:rPr>
        <w:t xml:space="preserve"> </w:t>
      </w:r>
      <w:r w:rsidR="00604A1E">
        <w:rPr>
          <w:rFonts w:ascii="Times New Roman" w:hAnsi="Times New Roman" w:cs="Times New Roman"/>
        </w:rPr>
        <w:t xml:space="preserve">In restrictive socio-legal environments such as Nigeria, where legislation like the Same Sex Marriage (Prohibition) Act contributes to social marginalization such stressors can significantly affect the psychological wellbeing and access to healthcare services </w:t>
      </w:r>
      <w:r w:rsidR="00604A1E" w:rsidRPr="00B35BDA">
        <w:rPr>
          <w:rFonts w:ascii="Times New Roman" w:hAnsi="Times New Roman" w:cs="Times New Roman"/>
        </w:rPr>
        <w:t>[</w:t>
      </w:r>
      <w:r w:rsidR="00B34A42" w:rsidRPr="00B35BDA">
        <w:rPr>
          <w:rFonts w:ascii="Times New Roman" w:hAnsi="Times New Roman" w:cs="Times New Roman"/>
        </w:rPr>
        <w:t>5,17</w:t>
      </w:r>
      <w:r w:rsidR="00604A1E" w:rsidRPr="00B35BDA">
        <w:rPr>
          <w:rFonts w:ascii="Times New Roman" w:hAnsi="Times New Roman" w:cs="Times New Roman"/>
        </w:rPr>
        <w:t>].</w:t>
      </w:r>
    </w:p>
    <w:p w14:paraId="3E6C079F" w14:textId="6D4333ED" w:rsidR="00604A1E" w:rsidRPr="00B35BDA" w:rsidRDefault="00604A1E" w:rsidP="00FE28C8">
      <w:pPr>
        <w:spacing w:before="240" w:after="240" w:line="240" w:lineRule="auto"/>
        <w:ind w:left="1440" w:right="1440"/>
        <w:jc w:val="both"/>
        <w:rPr>
          <w:rFonts w:ascii="Times New Roman" w:hAnsi="Times New Roman" w:cs="Times New Roman"/>
        </w:rPr>
      </w:pPr>
      <w:r w:rsidRPr="00B35BDA">
        <w:rPr>
          <w:rFonts w:ascii="Times New Roman" w:hAnsi="Times New Roman" w:cs="Times New Roman"/>
        </w:rPr>
        <w:t xml:space="preserve">Peer-led psychosocial support appears to have played a role in reducing distress among participants. Peer support models have been widely recognized in public health literature as effective </w:t>
      </w:r>
      <w:r w:rsidR="005813DA" w:rsidRPr="00B35BDA">
        <w:rPr>
          <w:rFonts w:ascii="Times New Roman" w:hAnsi="Times New Roman" w:cs="Times New Roman"/>
        </w:rPr>
        <w:t>mechanisms for delivering culturally relevant me</w:t>
      </w:r>
      <w:r w:rsidR="00B91CD2" w:rsidRPr="00B35BDA">
        <w:rPr>
          <w:rFonts w:ascii="Times New Roman" w:hAnsi="Times New Roman" w:cs="Times New Roman"/>
        </w:rPr>
        <w:t>n</w:t>
      </w:r>
      <w:r w:rsidR="005813DA" w:rsidRPr="00B35BDA">
        <w:rPr>
          <w:rFonts w:ascii="Times New Roman" w:hAnsi="Times New Roman" w:cs="Times New Roman"/>
        </w:rPr>
        <w:t>tal health support within marginalized communities. These modes allow individuals to share experiences with trusted community members who understand their social realities, thereby enhancing emotional validation, coping capacity, and resilience. Similar findings have been reported in studies examining community-based mental health interventions among marginalized populations in low-resource settings [</w:t>
      </w:r>
      <w:r w:rsidR="00B34A42" w:rsidRPr="00B35BDA">
        <w:rPr>
          <w:rFonts w:ascii="Times New Roman" w:hAnsi="Times New Roman" w:cs="Times New Roman"/>
        </w:rPr>
        <w:t>7,8</w:t>
      </w:r>
      <w:r w:rsidR="005813DA" w:rsidRPr="00B35BDA">
        <w:rPr>
          <w:rFonts w:ascii="Times New Roman" w:hAnsi="Times New Roman" w:cs="Times New Roman"/>
        </w:rPr>
        <w:t>].</w:t>
      </w:r>
    </w:p>
    <w:p w14:paraId="696B0BC2" w14:textId="7DB5798D" w:rsidR="005C30D5" w:rsidRDefault="005C30D5"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 xml:space="preserve">Social Connectedness and Collective Support </w:t>
      </w:r>
    </w:p>
    <w:p w14:paraId="7C4E58F6" w14:textId="0F5717B3" w:rsidR="005C30D5" w:rsidRDefault="005C30D5" w:rsidP="00C864BD">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40% reduction in loneliness scores observed in this study highlights the important of social connectedness in promoting psychological wellbeing. Loneliness and social isolation have been widely associated with negative mental health outcomes, including depression, anxiety, and reduced engagement with health services </w:t>
      </w:r>
      <w:r w:rsidRPr="00E67BBD">
        <w:rPr>
          <w:rFonts w:ascii="Times New Roman" w:hAnsi="Times New Roman" w:cs="Times New Roman"/>
        </w:rPr>
        <w:t>[</w:t>
      </w:r>
      <w:r w:rsidR="00B34A42" w:rsidRPr="00E67BBD">
        <w:rPr>
          <w:rFonts w:ascii="Times New Roman" w:hAnsi="Times New Roman" w:cs="Times New Roman"/>
        </w:rPr>
        <w:t>12</w:t>
      </w:r>
      <w:r w:rsidRPr="00E67BBD">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Within marginalized communities, particularly those experiencing stigma and discrimination, collective social spaces often serve as essential platforms for emotional support, identity affirmation, and resource sharing</w:t>
      </w:r>
      <w:r w:rsidR="00B34A42">
        <w:rPr>
          <w:rFonts w:ascii="Times New Roman" w:hAnsi="Times New Roman" w:cs="Times New Roman"/>
        </w:rPr>
        <w:t xml:space="preserve"> [3,13]</w:t>
      </w:r>
      <w:r>
        <w:rPr>
          <w:rFonts w:ascii="Times New Roman" w:hAnsi="Times New Roman" w:cs="Times New Roman"/>
        </w:rPr>
        <w:t>. The collective reflection sessions and community gatherings implemented as part of the intervention helped rebuild social bonds that were temporarily disrupted by the vandalization incident. S</w:t>
      </w:r>
      <w:r w:rsidR="00D45CAC">
        <w:rPr>
          <w:rFonts w:ascii="Times New Roman" w:hAnsi="Times New Roman" w:cs="Times New Roman"/>
        </w:rPr>
        <w:t>c</w:t>
      </w:r>
      <w:r>
        <w:rPr>
          <w:rFonts w:ascii="Times New Roman" w:hAnsi="Times New Roman" w:cs="Times New Roman"/>
        </w:rPr>
        <w:t xml:space="preserve">holars have emphasized that community-based support networks can function as protective factors that mitigate the harmful effects of social exclusion </w:t>
      </w:r>
      <w:r w:rsidRPr="00E67BBD">
        <w:rPr>
          <w:rFonts w:ascii="Times New Roman" w:hAnsi="Times New Roman" w:cs="Times New Roman"/>
        </w:rPr>
        <w:t>[</w:t>
      </w:r>
      <w:r w:rsidR="00B34A42" w:rsidRPr="00E67BBD">
        <w:rPr>
          <w:rFonts w:ascii="Times New Roman" w:hAnsi="Times New Roman" w:cs="Times New Roman"/>
        </w:rPr>
        <w:t>3,4</w:t>
      </w:r>
      <w:r w:rsidRPr="00E67BBD">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In this study, collective care activities strengthened interpersonal relationships and restores trust among community members, which likely contributed to the reduction of loneliness levels observed during the post-intervention assessment. </w:t>
      </w:r>
    </w:p>
    <w:p w14:paraId="687E7BC9" w14:textId="40C67A50" w:rsidR="005C30D5" w:rsidRDefault="005C30D5"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Role of Mutual Aid in Crisis Response</w:t>
      </w:r>
    </w:p>
    <w:p w14:paraId="5D8AD649" w14:textId="1D2F1359" w:rsidR="001C1C95" w:rsidRPr="00C52EDF" w:rsidRDefault="005C30D5" w:rsidP="00C52EDF">
      <w:pPr>
        <w:spacing w:before="240" w:after="240" w:line="240" w:lineRule="auto"/>
        <w:ind w:left="1440" w:right="1440"/>
        <w:jc w:val="both"/>
        <w:rPr>
          <w:rFonts w:ascii="Times New Roman" w:hAnsi="Times New Roman" w:cs="Times New Roman"/>
          <w:b/>
          <w:bCs/>
        </w:rPr>
      </w:pPr>
      <w:r>
        <w:rPr>
          <w:rFonts w:ascii="Times New Roman" w:hAnsi="Times New Roman" w:cs="Times New Roman"/>
        </w:rPr>
        <w:t>Mutual aid initiatives emerged as another important component of the collective care framework. The provision of emergency food supplies, temporary accommodation, and financial assistance helped stabilize the living conditions of affected staff and community members at the forefront</w:t>
      </w:r>
      <w:r w:rsidR="001C1C95">
        <w:rPr>
          <w:rFonts w:ascii="Times New Roman" w:hAnsi="Times New Roman" w:cs="Times New Roman"/>
        </w:rPr>
        <w:t xml:space="preserve">. Mutual aid systems have historically been used by marginalized communities to address immediate material needs when formal institutions are inaccessible or unresponsive </w:t>
      </w:r>
      <w:r w:rsidR="001C1C95" w:rsidRPr="00E67BBD">
        <w:rPr>
          <w:rFonts w:ascii="Times New Roman" w:hAnsi="Times New Roman" w:cs="Times New Roman"/>
        </w:rPr>
        <w:t>[</w:t>
      </w:r>
      <w:r w:rsidR="00B34A42" w:rsidRPr="00E67BBD">
        <w:rPr>
          <w:rFonts w:ascii="Times New Roman" w:hAnsi="Times New Roman" w:cs="Times New Roman"/>
        </w:rPr>
        <w:t>10</w:t>
      </w:r>
      <w:r w:rsidR="001C1C95" w:rsidRPr="00E67BBD">
        <w:rPr>
          <w:rFonts w:ascii="Times New Roman" w:hAnsi="Times New Roman" w:cs="Times New Roman"/>
        </w:rPr>
        <w:t>].</w:t>
      </w:r>
      <w:r w:rsidR="00C52EDF">
        <w:rPr>
          <w:rFonts w:ascii="Times New Roman" w:hAnsi="Times New Roman" w:cs="Times New Roman"/>
          <w:b/>
          <w:bCs/>
        </w:rPr>
        <w:t xml:space="preserve"> </w:t>
      </w:r>
      <w:r w:rsidR="001C1C95">
        <w:rPr>
          <w:rFonts w:ascii="Times New Roman" w:hAnsi="Times New Roman" w:cs="Times New Roman"/>
        </w:rPr>
        <w:t xml:space="preserve">In the context of this study, mutual aid served not only as a practical support mechanism but also a means of reinforcing solidarity and shared responsibility within the community. This aligns with previous research suggesting that collective resource-sharing practices can strengthen community cohesion and resilience during crises </w:t>
      </w:r>
      <w:r w:rsidR="001C1C95" w:rsidRPr="00E67BBD">
        <w:rPr>
          <w:rFonts w:ascii="Times New Roman" w:hAnsi="Times New Roman" w:cs="Times New Roman"/>
        </w:rPr>
        <w:t>[</w:t>
      </w:r>
      <w:r w:rsidR="00B34A42" w:rsidRPr="00E67BBD">
        <w:rPr>
          <w:rFonts w:ascii="Times New Roman" w:hAnsi="Times New Roman" w:cs="Times New Roman"/>
        </w:rPr>
        <w:t>4,16</w:t>
      </w:r>
      <w:r w:rsidR="001C1C95" w:rsidRPr="00E67BBD">
        <w:rPr>
          <w:rFonts w:ascii="Times New Roman" w:hAnsi="Times New Roman" w:cs="Times New Roman"/>
        </w:rPr>
        <w:t>].</w:t>
      </w:r>
      <w:r w:rsidR="001C1C95">
        <w:rPr>
          <w:rFonts w:ascii="Times New Roman" w:hAnsi="Times New Roman" w:cs="Times New Roman"/>
          <w:b/>
          <w:bCs/>
        </w:rPr>
        <w:t xml:space="preserve"> </w:t>
      </w:r>
      <w:r w:rsidR="001C1C95">
        <w:rPr>
          <w:rFonts w:ascii="Times New Roman" w:hAnsi="Times New Roman" w:cs="Times New Roman"/>
        </w:rPr>
        <w:t xml:space="preserve">By mobilizing internal networks and community volunteers, the organization was able to provide rapid assistance to individuals affected by the security incident. </w:t>
      </w:r>
    </w:p>
    <w:p w14:paraId="2C804D77" w14:textId="7D2B8398" w:rsidR="00FE79C8" w:rsidRDefault="00FE79C8"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Participatory Governance and Organizational Resilience</w:t>
      </w:r>
    </w:p>
    <w:p w14:paraId="56F9213A" w14:textId="3CDBAB3F" w:rsidR="00C17371" w:rsidRDefault="00FE79C8" w:rsidP="00C909C0">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 establishment of a community-led crisis response committee further strengthened the organization’s ability to respond to the crisis effectively. Participatory governance structure has been associated with improved decision-making increased accountability, and stronger community ownership of programs </w:t>
      </w:r>
      <w:r w:rsidRPr="00D95B91">
        <w:rPr>
          <w:rFonts w:ascii="Times New Roman" w:hAnsi="Times New Roman" w:cs="Times New Roman"/>
        </w:rPr>
        <w:t>[</w:t>
      </w:r>
      <w:r w:rsidR="0018331D" w:rsidRPr="00D95B91">
        <w:rPr>
          <w:rFonts w:ascii="Times New Roman" w:hAnsi="Times New Roman" w:cs="Times New Roman"/>
        </w:rPr>
        <w:t>16</w:t>
      </w:r>
      <w:r w:rsidRPr="00D95B91">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 xml:space="preserve">In this study, the committee facilitated coordinated responses to security threats, supported the implementation of safety protocols, and ensured the continuation of HIV and SRHR services. </w:t>
      </w:r>
      <w:r w:rsidR="008968DB">
        <w:rPr>
          <w:rFonts w:ascii="Times New Roman" w:hAnsi="Times New Roman" w:cs="Times New Roman"/>
        </w:rPr>
        <w:t>Inclusive decision-making processes also contributed to rebuilding trust among staff and community members affect the vandalization incident. When communities participate</w:t>
      </w:r>
      <w:r w:rsidR="00DD756F">
        <w:rPr>
          <w:rFonts w:ascii="Times New Roman" w:hAnsi="Times New Roman" w:cs="Times New Roman"/>
        </w:rPr>
        <w:t xml:space="preserve"> in </w:t>
      </w:r>
      <w:r w:rsidR="008968DB">
        <w:rPr>
          <w:rFonts w:ascii="Times New Roman" w:hAnsi="Times New Roman" w:cs="Times New Roman"/>
        </w:rPr>
        <w:t xml:space="preserve">shaping responses to crises that affect </w:t>
      </w:r>
      <w:r w:rsidR="007B4DAB">
        <w:rPr>
          <w:rFonts w:ascii="Times New Roman" w:hAnsi="Times New Roman" w:cs="Times New Roman"/>
        </w:rPr>
        <w:t>them,</w:t>
      </w:r>
      <w:r w:rsidR="008968DB">
        <w:rPr>
          <w:rFonts w:ascii="Times New Roman" w:hAnsi="Times New Roman" w:cs="Times New Roman"/>
        </w:rPr>
        <w:t xml:space="preserve"> they are more likely to remain engaged in collective problem-solving and support mechanisms. </w:t>
      </w:r>
    </w:p>
    <w:p w14:paraId="38ED7EA3" w14:textId="547A1685" w:rsidR="007B4DAB"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Continuity of HIV and SRHR Services</w:t>
      </w:r>
    </w:p>
    <w:p w14:paraId="26000A26" w14:textId="786BB287" w:rsidR="007B4DAB" w:rsidRPr="00B35BDA" w:rsidRDefault="007B4DAB" w:rsidP="00907579">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An important outcome of the collective care interventions was the continuity of HIV and SRHR service intervention activities despite the disruption caused by the vandalization to the community center. In many contexts where marginalized populations face stigma and discrimination, community-based organizations play a critical role in connecting individuals to safe healthcare services and providing </w:t>
      </w:r>
      <w:r>
        <w:rPr>
          <w:rFonts w:ascii="Times New Roman" w:hAnsi="Times New Roman" w:cs="Times New Roman"/>
        </w:rPr>
        <w:lastRenderedPageBreak/>
        <w:t>peer-based health education</w:t>
      </w:r>
      <w:r w:rsidR="0018331D">
        <w:rPr>
          <w:rFonts w:ascii="Times New Roman" w:hAnsi="Times New Roman" w:cs="Times New Roman"/>
        </w:rPr>
        <w:t xml:space="preserve"> [15,18]</w:t>
      </w:r>
      <w:r>
        <w:rPr>
          <w:rFonts w:ascii="Times New Roman" w:hAnsi="Times New Roman" w:cs="Times New Roman"/>
        </w:rPr>
        <w:t>.</w:t>
      </w:r>
      <w:r w:rsidR="00907579">
        <w:rPr>
          <w:rFonts w:ascii="Times New Roman" w:hAnsi="Times New Roman" w:cs="Times New Roman"/>
        </w:rPr>
        <w:t xml:space="preserve"> </w:t>
      </w:r>
      <w:r>
        <w:rPr>
          <w:rFonts w:ascii="Times New Roman" w:hAnsi="Times New Roman" w:cs="Times New Roman"/>
        </w:rPr>
        <w:t xml:space="preserve">The rapid implementation of safety protocols and relocation strategies enabled the organization to resume operations and maintain essential services for LGBTQ community members. This finding supports previous research indicating that community-led health initiatives can complement formal healthcare systems and </w:t>
      </w:r>
      <w:r w:rsidRPr="00B35BDA">
        <w:rPr>
          <w:rFonts w:ascii="Times New Roman" w:hAnsi="Times New Roman" w:cs="Times New Roman"/>
        </w:rPr>
        <w:t>enhance access to services for populations that experience barriers to institutional care [</w:t>
      </w:r>
      <w:r w:rsidR="0018331D" w:rsidRPr="00B35BDA">
        <w:rPr>
          <w:rFonts w:ascii="Times New Roman" w:hAnsi="Times New Roman" w:cs="Times New Roman"/>
        </w:rPr>
        <w:t>1,2,19</w:t>
      </w:r>
      <w:r w:rsidRPr="00B35BDA">
        <w:rPr>
          <w:rFonts w:ascii="Times New Roman" w:hAnsi="Times New Roman" w:cs="Times New Roman"/>
        </w:rPr>
        <w:t>].</w:t>
      </w:r>
    </w:p>
    <w:p w14:paraId="12D65319" w14:textId="763CA93B" w:rsidR="008968DB" w:rsidRDefault="007B4DAB" w:rsidP="00FE28C8">
      <w:pPr>
        <w:spacing w:before="240" w:after="240" w:line="240" w:lineRule="auto"/>
        <w:ind w:left="1440" w:right="1440"/>
        <w:jc w:val="both"/>
        <w:rPr>
          <w:rFonts w:ascii="Times New Roman" w:hAnsi="Times New Roman" w:cs="Times New Roman"/>
        </w:rPr>
      </w:pPr>
      <w:r w:rsidRPr="00B35BDA">
        <w:rPr>
          <w:rFonts w:ascii="Times New Roman" w:hAnsi="Times New Roman" w:cs="Times New Roman"/>
        </w:rPr>
        <w:t>Implications for Community-Based Health Resp</w:t>
      </w:r>
      <w:r>
        <w:rPr>
          <w:rFonts w:ascii="Times New Roman" w:hAnsi="Times New Roman" w:cs="Times New Roman"/>
        </w:rPr>
        <w:t>onses</w:t>
      </w:r>
    </w:p>
    <w:p w14:paraId="61D7B3D4" w14:textId="51127817" w:rsidR="007B4DAB"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The findings of this study contribute to growing evidence that collective care frameworks can strengthen resilience and improve wellbeing among marginalized populations, particularly in contexts characterized by restrictive legal environments and limited institutional support</w:t>
      </w:r>
      <w:r w:rsidR="0018331D">
        <w:rPr>
          <w:rFonts w:ascii="Times New Roman" w:hAnsi="Times New Roman" w:cs="Times New Roman"/>
        </w:rPr>
        <w:t xml:space="preserve"> [4,10]</w:t>
      </w:r>
      <w:r>
        <w:rPr>
          <w:rFonts w:ascii="Times New Roman" w:hAnsi="Times New Roman" w:cs="Times New Roman"/>
        </w:rPr>
        <w:t xml:space="preserve">. By integrating psychosocial support, mutual aid, and participatory governance, collective care initiatives address both the emotional and </w:t>
      </w:r>
      <w:r w:rsidR="0023564A">
        <w:rPr>
          <w:rFonts w:ascii="Times New Roman" w:hAnsi="Times New Roman" w:cs="Times New Roman"/>
        </w:rPr>
        <w:t>structural</w:t>
      </w:r>
      <w:r>
        <w:rPr>
          <w:rFonts w:ascii="Times New Roman" w:hAnsi="Times New Roman" w:cs="Times New Roman"/>
        </w:rPr>
        <w:t xml:space="preserve"> challenges faced by vulnerable communities. </w:t>
      </w:r>
    </w:p>
    <w:p w14:paraId="71F37C82" w14:textId="23C1A0DC" w:rsidR="0023564A"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For policymakers and </w:t>
      </w:r>
      <w:r w:rsidR="0023564A">
        <w:rPr>
          <w:rFonts w:ascii="Times New Roman" w:hAnsi="Times New Roman" w:cs="Times New Roman"/>
        </w:rPr>
        <w:t>public</w:t>
      </w:r>
      <w:r>
        <w:rPr>
          <w:rFonts w:ascii="Times New Roman" w:hAnsi="Times New Roman" w:cs="Times New Roman"/>
        </w:rPr>
        <w:t xml:space="preserve"> health </w:t>
      </w:r>
      <w:r w:rsidR="0023564A">
        <w:rPr>
          <w:rFonts w:ascii="Times New Roman" w:hAnsi="Times New Roman" w:cs="Times New Roman"/>
        </w:rPr>
        <w:t>practitioner</w:t>
      </w:r>
      <w:r>
        <w:rPr>
          <w:rFonts w:ascii="Times New Roman" w:hAnsi="Times New Roman" w:cs="Times New Roman"/>
        </w:rPr>
        <w:t xml:space="preserve"> these findings highlight the importance of supporting community-led initiatives that prioritize peer engagement and local knowledge. Such approaches may be particularly </w:t>
      </w:r>
      <w:r w:rsidR="0023564A">
        <w:rPr>
          <w:rFonts w:ascii="Times New Roman" w:hAnsi="Times New Roman" w:cs="Times New Roman"/>
        </w:rPr>
        <w:t>relevant</w:t>
      </w:r>
      <w:r>
        <w:rPr>
          <w:rFonts w:ascii="Times New Roman" w:hAnsi="Times New Roman" w:cs="Times New Roman"/>
        </w:rPr>
        <w:t xml:space="preserve"> in rural and resource-</w:t>
      </w:r>
      <w:r w:rsidR="0023564A">
        <w:rPr>
          <w:rFonts w:ascii="Times New Roman" w:hAnsi="Times New Roman" w:cs="Times New Roman"/>
        </w:rPr>
        <w:t>constrained</w:t>
      </w:r>
      <w:r>
        <w:rPr>
          <w:rFonts w:ascii="Times New Roman" w:hAnsi="Times New Roman" w:cs="Times New Roman"/>
        </w:rPr>
        <w:t xml:space="preserve"> settings where formal support system</w:t>
      </w:r>
      <w:r w:rsidR="00E464DF">
        <w:rPr>
          <w:rFonts w:ascii="Times New Roman" w:hAnsi="Times New Roman" w:cs="Times New Roman"/>
        </w:rPr>
        <w:t>s</w:t>
      </w:r>
      <w:r>
        <w:rPr>
          <w:rFonts w:ascii="Times New Roman" w:hAnsi="Times New Roman" w:cs="Times New Roman"/>
        </w:rPr>
        <w:t xml:space="preserve"> are </w:t>
      </w:r>
      <w:r w:rsidR="0023564A">
        <w:rPr>
          <w:rFonts w:ascii="Times New Roman" w:hAnsi="Times New Roman" w:cs="Times New Roman"/>
        </w:rPr>
        <w:t>limited</w:t>
      </w:r>
      <w:r w:rsidR="0018331D">
        <w:rPr>
          <w:rFonts w:ascii="Times New Roman" w:hAnsi="Times New Roman" w:cs="Times New Roman"/>
        </w:rPr>
        <w:t xml:space="preserve"> [18,19]</w:t>
      </w:r>
      <w:r>
        <w:rPr>
          <w:rFonts w:ascii="Times New Roman" w:hAnsi="Times New Roman" w:cs="Times New Roman"/>
        </w:rPr>
        <w:t>.</w:t>
      </w:r>
    </w:p>
    <w:p w14:paraId="65F9E984" w14:textId="49EE46EB" w:rsidR="007C2585" w:rsidRDefault="007C2585" w:rsidP="007C2585">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Study Limitation </w:t>
      </w:r>
    </w:p>
    <w:p w14:paraId="4E94B203" w14:textId="63D6586D" w:rsidR="007C2585" w:rsidRDefault="007C2585" w:rsidP="007C2585">
      <w:pPr>
        <w:spacing w:before="240" w:after="240" w:line="240" w:lineRule="auto"/>
        <w:ind w:left="1440" w:right="1440"/>
        <w:jc w:val="both"/>
        <w:rPr>
          <w:rFonts w:ascii="Times New Roman" w:hAnsi="Times New Roman" w:cs="Times New Roman"/>
        </w:rPr>
      </w:pPr>
      <w:r>
        <w:rPr>
          <w:rFonts w:ascii="Times New Roman" w:hAnsi="Times New Roman" w:cs="Times New Roman"/>
        </w:rPr>
        <w:t>While the findings provide valuable insights into the role of collective care interventions, several limitations should be acknowledged. First, the study relied on a relatively small sample size</w:t>
      </w:r>
      <w:r w:rsidR="00397F74">
        <w:rPr>
          <w:rFonts w:ascii="Times New Roman" w:hAnsi="Times New Roman" w:cs="Times New Roman"/>
        </w:rPr>
        <w:t>,</w:t>
      </w:r>
      <w:r>
        <w:rPr>
          <w:rFonts w:ascii="Times New Roman" w:hAnsi="Times New Roman" w:cs="Times New Roman"/>
        </w:rPr>
        <w:t xml:space="preserve"> which limits the generalizability of the </w:t>
      </w:r>
      <w:r w:rsidR="00397F74">
        <w:rPr>
          <w:rFonts w:ascii="Times New Roman" w:hAnsi="Times New Roman" w:cs="Times New Roman"/>
        </w:rPr>
        <w:t>findings</w:t>
      </w:r>
      <w:r>
        <w:rPr>
          <w:rFonts w:ascii="Times New Roman" w:hAnsi="Times New Roman" w:cs="Times New Roman"/>
        </w:rPr>
        <w:t xml:space="preserve"> to other contexts. </w:t>
      </w:r>
      <w:r w:rsidR="009A4F53">
        <w:rPr>
          <w:rFonts w:ascii="Times New Roman" w:hAnsi="Times New Roman" w:cs="Times New Roman"/>
        </w:rPr>
        <w:t xml:space="preserve">The limited sample size reflects the sensitive nature of research involving marginalized populations in restrictive legal environments where participation in research may expose individuals to social or legal risks. </w:t>
      </w:r>
      <w:r>
        <w:rPr>
          <w:rFonts w:ascii="Times New Roman" w:hAnsi="Times New Roman" w:cs="Times New Roman"/>
        </w:rPr>
        <w:t xml:space="preserve">Second, the use of descriptive statistical analysis means that causal relationships between the interventions and observed outcomes cannot be definitively established. Finally, the study focused on a </w:t>
      </w:r>
      <w:r w:rsidR="009A4F53">
        <w:rPr>
          <w:rFonts w:ascii="Times New Roman" w:hAnsi="Times New Roman" w:cs="Times New Roman"/>
        </w:rPr>
        <w:t>single</w:t>
      </w:r>
      <w:r>
        <w:rPr>
          <w:rFonts w:ascii="Times New Roman" w:hAnsi="Times New Roman" w:cs="Times New Roman"/>
        </w:rPr>
        <w:t xml:space="preserve"> case study organization in Calabar and experiences in other regions may differ due to variations in social and institutional contexts.</w:t>
      </w:r>
      <w:r w:rsidR="00A26BE7">
        <w:rPr>
          <w:rFonts w:ascii="Times New Roman" w:hAnsi="Times New Roman" w:cs="Times New Roman"/>
        </w:rPr>
        <w:t xml:space="preserve"> The study did not include a control </w:t>
      </w:r>
      <w:r w:rsidR="003C4B71">
        <w:rPr>
          <w:rFonts w:ascii="Times New Roman" w:hAnsi="Times New Roman" w:cs="Times New Roman"/>
        </w:rPr>
        <w:t>group;</w:t>
      </w:r>
      <w:r w:rsidR="00A26BE7">
        <w:rPr>
          <w:rFonts w:ascii="Times New Roman" w:hAnsi="Times New Roman" w:cs="Times New Roman"/>
        </w:rPr>
        <w:t xml:space="preserve"> </w:t>
      </w:r>
      <w:r w:rsidR="003C4B71">
        <w:rPr>
          <w:rFonts w:ascii="Times New Roman" w:hAnsi="Times New Roman" w:cs="Times New Roman"/>
        </w:rPr>
        <w:t>therefore,</w:t>
      </w:r>
      <w:r w:rsidR="00A26BE7">
        <w:rPr>
          <w:rFonts w:ascii="Times New Roman" w:hAnsi="Times New Roman" w:cs="Times New Roman"/>
        </w:rPr>
        <w:t xml:space="preserve"> the findings should be interpreted as indicative associations rather than definitive causal effects of the intervention. </w:t>
      </w:r>
    </w:p>
    <w:p w14:paraId="5ED94549" w14:textId="6F4A8ACB" w:rsidR="000F3064" w:rsidRDefault="000F3064" w:rsidP="007C2585">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Future Direction </w:t>
      </w:r>
    </w:p>
    <w:p w14:paraId="0FAE84EA" w14:textId="100C21B8" w:rsidR="007C2585" w:rsidRDefault="007C2585" w:rsidP="00E622FE">
      <w:pPr>
        <w:spacing w:before="240" w:after="240" w:line="240" w:lineRule="auto"/>
        <w:ind w:left="1440" w:right="1440"/>
        <w:jc w:val="both"/>
        <w:rPr>
          <w:rFonts w:ascii="Times New Roman" w:hAnsi="Times New Roman" w:cs="Times New Roman"/>
        </w:rPr>
      </w:pPr>
      <w:r>
        <w:rPr>
          <w:rFonts w:ascii="Times New Roman" w:hAnsi="Times New Roman" w:cs="Times New Roman"/>
        </w:rPr>
        <w:t>Future research could expand on this work by examining similar interventions across multiple community organizations and incorporating longitudinal research designs to assess long-term outcomes.</w:t>
      </w:r>
      <w:r w:rsidR="00E622FE">
        <w:rPr>
          <w:rFonts w:ascii="Times New Roman" w:hAnsi="Times New Roman" w:cs="Times New Roman"/>
        </w:rPr>
        <w:t xml:space="preserve"> </w:t>
      </w:r>
      <w:r>
        <w:rPr>
          <w:rFonts w:ascii="Times New Roman" w:hAnsi="Times New Roman" w:cs="Times New Roman"/>
        </w:rPr>
        <w:t xml:space="preserve">Overall, the discussion highlights how collective care </w:t>
      </w:r>
      <w:r w:rsidR="006F3076">
        <w:rPr>
          <w:rFonts w:ascii="Times New Roman" w:hAnsi="Times New Roman" w:cs="Times New Roman"/>
        </w:rPr>
        <w:t>interventions</w:t>
      </w:r>
      <w:r>
        <w:rPr>
          <w:rFonts w:ascii="Times New Roman" w:hAnsi="Times New Roman" w:cs="Times New Roman"/>
        </w:rPr>
        <w:t xml:space="preserve"> helped address both psychological distress and social isolation while sustaining essential health services with the LGBTQ community in Calabar. The combination of peer-led support, mutual aid networks, and participatory governance created a community-based response that strengthened resilience</w:t>
      </w:r>
      <w:r w:rsidR="00D40B9D">
        <w:rPr>
          <w:rFonts w:ascii="Times New Roman" w:hAnsi="Times New Roman" w:cs="Times New Roman"/>
        </w:rPr>
        <w:t xml:space="preserve"> during a period of crisis. These findings reinforce the potential value of collective care frameworks in supporting marginalized </w:t>
      </w:r>
      <w:r w:rsidR="006F3076">
        <w:rPr>
          <w:rFonts w:ascii="Times New Roman" w:hAnsi="Times New Roman" w:cs="Times New Roman"/>
        </w:rPr>
        <w:t>populations</w:t>
      </w:r>
      <w:r w:rsidR="00D40B9D">
        <w:rPr>
          <w:rFonts w:ascii="Times New Roman" w:hAnsi="Times New Roman" w:cs="Times New Roman"/>
        </w:rPr>
        <w:t xml:space="preserve"> facing structural barriers to health and wellbeing.</w:t>
      </w:r>
    </w:p>
    <w:p w14:paraId="5027BF30" w14:textId="002FBFD0" w:rsidR="00022037" w:rsidRDefault="0054249C" w:rsidP="00747613">
      <w:pPr>
        <w:spacing w:before="240" w:after="240" w:line="240" w:lineRule="auto"/>
        <w:ind w:left="1440" w:right="1440"/>
        <w:jc w:val="both"/>
        <w:rPr>
          <w:rFonts w:ascii="Times New Roman" w:hAnsi="Times New Roman" w:cs="Times New Roman"/>
          <w:b/>
          <w:bCs/>
        </w:rPr>
      </w:pPr>
      <w:r w:rsidRPr="001E3A83">
        <w:rPr>
          <w:rFonts w:ascii="Times New Roman" w:hAnsi="Times New Roman" w:cs="Times New Roman"/>
          <w:b/>
          <w:bCs/>
        </w:rPr>
        <w:t xml:space="preserve">CONCLUSION </w:t>
      </w:r>
    </w:p>
    <w:p w14:paraId="60BE2C27" w14:textId="381438AA" w:rsidR="00747613" w:rsidRDefault="00747613" w:rsidP="00747613">
      <w:pPr>
        <w:spacing w:before="240" w:after="240" w:line="240" w:lineRule="auto"/>
        <w:ind w:left="1440" w:right="1440"/>
        <w:jc w:val="both"/>
        <w:rPr>
          <w:rFonts w:ascii="Times New Roman" w:hAnsi="Times New Roman" w:cs="Times New Roman"/>
        </w:rPr>
      </w:pPr>
      <w:r>
        <w:rPr>
          <w:rFonts w:ascii="Times New Roman" w:hAnsi="Times New Roman" w:cs="Times New Roman"/>
        </w:rPr>
        <w:lastRenderedPageBreak/>
        <w:t xml:space="preserve">This study examined the role of community-based collective care interventions in strengthening resilience, improving psychosocial wellbeing, and sustaining HIV and sexual and reproductivity health and rights services among LGBTQ populations in Calabar, Cross River State, Nigeria. The findings demonstrated that collective care strategies implemented in response to the vandalization of a community center contributed to measurable improvements in mental health and social connectedness among participants. Specifically, the study observed a reduction in anxiety levels and perceived loneliness following the introduction of peer-led psychosocial support, mutual aid mechanisms, safety protocols, and participatory governance structures. </w:t>
      </w:r>
    </w:p>
    <w:p w14:paraId="45236439" w14:textId="732A8167" w:rsidR="00747613" w:rsidRDefault="00747613" w:rsidP="00747613">
      <w:pPr>
        <w:spacing w:before="240" w:after="240" w:line="240" w:lineRule="auto"/>
        <w:ind w:left="1440" w:right="1440"/>
        <w:jc w:val="both"/>
        <w:rPr>
          <w:rFonts w:ascii="Times New Roman" w:hAnsi="Times New Roman" w:cs="Times New Roman"/>
        </w:rPr>
      </w:pPr>
      <w:r>
        <w:rPr>
          <w:rFonts w:ascii="Times New Roman" w:hAnsi="Times New Roman" w:cs="Times New Roman"/>
        </w:rPr>
        <w:t>The results highlight the importance of community-driven responses in contexts where marginalized populations face legal, social, and structural barriers to accessing formal health services. By mobilizing internal networks of solidarity and peer support, the organization was able address immediate psychosocial needs while ensuring the continuity of HIV prevention and SRHR services for community members. These findings reinforce the growing recognition that collective care frameworks can serve as effective complementary approaches to traditional public health interventions, particularly in rural and resource-constrained settings</w:t>
      </w:r>
      <w:r w:rsidR="00921115">
        <w:rPr>
          <w:rFonts w:ascii="Times New Roman" w:hAnsi="Times New Roman" w:cs="Times New Roman"/>
        </w:rPr>
        <w:t xml:space="preserve">. </w:t>
      </w:r>
    </w:p>
    <w:p w14:paraId="2F9EC0A7" w14:textId="412C7AD3" w:rsidR="00A62B4C" w:rsidRDefault="00921115" w:rsidP="00A26BE7">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Furthermore, the study underscores the value of peer engagement, community participation, and locally grounded knowledge in designing responsive health and social support systems. Strengthening such community-led initiatives can enhance resilience and improve health outcomes among populations experiencing social exclusion and discrimination. Although the study was limited to a single case study context, it provides important insights into how collective care practices can support marginalized communities during periods of crisis. </w:t>
      </w:r>
      <w:r w:rsidR="00A26BE7">
        <w:rPr>
          <w:rFonts w:ascii="Times New Roman" w:hAnsi="Times New Roman" w:cs="Times New Roman"/>
        </w:rPr>
        <w:t>Continued</w:t>
      </w:r>
      <w:r>
        <w:rPr>
          <w:rFonts w:ascii="Times New Roman" w:hAnsi="Times New Roman" w:cs="Times New Roman"/>
        </w:rPr>
        <w:t xml:space="preserve"> research and policy attention are needed to better understand how </w:t>
      </w:r>
      <w:r w:rsidR="00A26BE7">
        <w:rPr>
          <w:rFonts w:ascii="Times New Roman" w:hAnsi="Times New Roman" w:cs="Times New Roman"/>
        </w:rPr>
        <w:t>similar</w:t>
      </w:r>
      <w:r>
        <w:rPr>
          <w:rFonts w:ascii="Times New Roman" w:hAnsi="Times New Roman" w:cs="Times New Roman"/>
        </w:rPr>
        <w:t xml:space="preserve"> approaches can be adapted and scaled across different settings to support inclusive and community-centered health responses. </w:t>
      </w:r>
    </w:p>
    <w:p w14:paraId="5529F4BD" w14:textId="2C0DFC87" w:rsidR="00A26BE7" w:rsidRDefault="00A26BE7" w:rsidP="00A26BE7">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These findings suggest that community-led collective care models may represent a practical strategy for sustaining health services and psychosocial support among marginalized populations in restrictive socio-legal environments. </w:t>
      </w:r>
    </w:p>
    <w:p w14:paraId="497133C1" w14:textId="77777777" w:rsidR="00A62B4C" w:rsidRDefault="00A62B4C" w:rsidP="00A62B4C">
      <w:pPr>
        <w:spacing w:before="240" w:after="240" w:line="240" w:lineRule="auto"/>
        <w:ind w:left="1440" w:right="1440"/>
        <w:jc w:val="both"/>
        <w:rPr>
          <w:rFonts w:ascii="Times New Roman" w:hAnsi="Times New Roman" w:cs="Times New Roman"/>
        </w:rPr>
      </w:pPr>
      <w:r>
        <w:rPr>
          <w:rFonts w:ascii="Times New Roman" w:hAnsi="Times New Roman" w:cs="Times New Roman"/>
          <w:b/>
        </w:rPr>
        <w:t>Declaration</w:t>
      </w:r>
    </w:p>
    <w:p w14:paraId="29CC6311" w14:textId="77777777" w:rsidR="00A62B4C" w:rsidRDefault="00A62B4C" w:rsidP="00A62B4C">
      <w:pPr>
        <w:spacing w:before="240" w:after="240" w:line="240" w:lineRule="auto"/>
        <w:ind w:left="1440" w:right="1440"/>
        <w:jc w:val="both"/>
        <w:rPr>
          <w:rFonts w:ascii="Times New Roman" w:hAnsi="Times New Roman" w:cs="Times New Roman"/>
        </w:rPr>
      </w:pPr>
      <w:r>
        <w:rPr>
          <w:rFonts w:ascii="Times New Roman" w:eastAsiaTheme="minorEastAsia" w:hAnsi="Times New Roman" w:cs="Times New Roman"/>
          <w:b/>
          <w:bCs/>
        </w:rPr>
        <w:t>Conflicts</w:t>
      </w:r>
      <w:r>
        <w:rPr>
          <w:rFonts w:ascii="Times New Roman" w:hAnsi="Times New Roman" w:cs="Times New Roman"/>
          <w:b/>
          <w:bCs/>
        </w:rPr>
        <w:t xml:space="preserve"> of Competing Interest</w:t>
      </w:r>
      <w:r>
        <w:rPr>
          <w:rFonts w:ascii="Times New Roman" w:hAnsi="Times New Roman" w:cs="Times New Roman"/>
        </w:rPr>
        <w:t xml:space="preserve"> All </w:t>
      </w:r>
      <w:r>
        <w:rPr>
          <w:rFonts w:ascii="Times New Roman" w:eastAsia="Calibri" w:hAnsi="Times New Roman" w:cs="Times New Roman"/>
        </w:rPr>
        <w:t xml:space="preserve">the </w:t>
      </w:r>
      <w:r>
        <w:rPr>
          <w:rFonts w:ascii="Times New Roman" w:hAnsi="Times New Roman" w:cs="Times New Roman"/>
        </w:rPr>
        <w:t xml:space="preserve">authors declare zero financial or interpersonal </w:t>
      </w:r>
      <w:r>
        <w:rPr>
          <w:rFonts w:ascii="Times New Roman" w:eastAsiaTheme="minorEastAsia" w:hAnsi="Times New Roman" w:cs="Times New Roman"/>
        </w:rPr>
        <w:t>conflicts</w:t>
      </w:r>
      <w:r>
        <w:rPr>
          <w:rFonts w:ascii="Times New Roman" w:hAnsi="Times New Roman" w:cs="Times New Roman"/>
        </w:rPr>
        <w:t xml:space="preserve"> of interest that could have influenced the research or </w:t>
      </w:r>
      <w:r>
        <w:rPr>
          <w:rFonts w:ascii="Times New Roman" w:eastAsiaTheme="minorEastAsia" w:hAnsi="Times New Roman" w:cs="Times New Roman"/>
        </w:rPr>
        <w:t xml:space="preserve">the </w:t>
      </w:r>
      <w:r>
        <w:rPr>
          <w:rFonts w:ascii="Times New Roman" w:hAnsi="Times New Roman" w:cs="Times New Roman"/>
        </w:rPr>
        <w:t>results reported in this research paper.</w:t>
      </w:r>
    </w:p>
    <w:p w14:paraId="18530768" w14:textId="24D1042C" w:rsidR="00A62B4C" w:rsidRDefault="00A62B4C" w:rsidP="00A62B4C">
      <w:pPr>
        <w:spacing w:before="240" w:after="240" w:line="240" w:lineRule="auto"/>
        <w:ind w:left="1440" w:right="1440"/>
        <w:jc w:val="both"/>
        <w:rPr>
          <w:rFonts w:ascii="Times New Roman" w:hAnsi="Times New Roman" w:cs="Times New Roman"/>
        </w:rPr>
      </w:pPr>
      <w:r>
        <w:rPr>
          <w:rFonts w:ascii="Times New Roman" w:hAnsi="Times New Roman" w:cs="Times New Roman"/>
          <w:b/>
          <w:bCs/>
        </w:rPr>
        <w:t>Availability of data</w:t>
      </w:r>
      <w:r>
        <w:rPr>
          <w:rFonts w:ascii="Times New Roman" w:hAnsi="Times New Roman" w:cs="Times New Roman"/>
        </w:rPr>
        <w:t xml:space="preserve"> </w:t>
      </w:r>
      <w:r>
        <w:rPr>
          <w:rFonts w:ascii="Times New Roman" w:hAnsi="Times New Roman" w:cs="Times New Roman"/>
          <w:bCs/>
        </w:rPr>
        <w:t>All information regarding this study is presented in this document</w:t>
      </w:r>
      <w:r w:rsidR="00955B22">
        <w:rPr>
          <w:rFonts w:ascii="Times New Roman" w:hAnsi="Times New Roman" w:cs="Times New Roman"/>
          <w:bCs/>
        </w:rPr>
        <w:t>.</w:t>
      </w:r>
    </w:p>
    <w:p w14:paraId="2EC6F20B" w14:textId="7657FE78" w:rsidR="00A62B4C" w:rsidRDefault="00A62B4C" w:rsidP="00A62B4C">
      <w:pPr>
        <w:spacing w:before="240" w:after="240" w:line="240" w:lineRule="auto"/>
        <w:ind w:left="1440" w:right="1440"/>
        <w:jc w:val="both"/>
        <w:rPr>
          <w:rFonts w:ascii="Times New Roman" w:hAnsi="Times New Roman" w:cs="Times New Roman"/>
        </w:rPr>
      </w:pPr>
      <w:r>
        <w:rPr>
          <w:rFonts w:ascii="Times New Roman" w:hAnsi="Times New Roman" w:cs="Times New Roman"/>
          <w:b/>
        </w:rPr>
        <w:t>Ethical approval</w:t>
      </w:r>
      <w:r>
        <w:rPr>
          <w:rFonts w:ascii="Times New Roman" w:hAnsi="Times New Roman" w:cs="Times New Roman"/>
        </w:rPr>
        <w:t xml:space="preserve"> </w:t>
      </w:r>
      <w:r w:rsidR="00ED621A">
        <w:rPr>
          <w:rFonts w:ascii="Times New Roman" w:hAnsi="Times New Roman" w:cs="Times New Roman"/>
        </w:rPr>
        <w:t xml:space="preserve">Due to the programmatic and community-based nature of this assessment, formal institutional ethical review was not required. However, the study adhered to ethical research principles including voluntary participation, informed consent, confidentiality, and the anonymization of all identifying information to protect participants. </w:t>
      </w:r>
    </w:p>
    <w:p w14:paraId="75AB4452" w14:textId="2BCB774B" w:rsidR="00A62B4C" w:rsidRPr="009D2B13" w:rsidRDefault="00A62B4C" w:rsidP="009D2B13">
      <w:pPr>
        <w:spacing w:before="240" w:after="240" w:line="240" w:lineRule="auto"/>
        <w:ind w:left="1440" w:right="1440"/>
        <w:jc w:val="both"/>
        <w:rPr>
          <w:rFonts w:ascii="Times New Roman" w:hAnsi="Times New Roman" w:cs="Times New Roman"/>
        </w:rPr>
      </w:pPr>
      <w:r>
        <w:rPr>
          <w:rFonts w:ascii="Times New Roman" w:hAnsi="Times New Roman" w:cs="Times New Roman"/>
          <w:b/>
          <w:bCs/>
        </w:rPr>
        <w:t>Funding</w:t>
      </w:r>
      <w:r>
        <w:rPr>
          <w:rFonts w:ascii="Times New Roman" w:hAnsi="Times New Roman" w:cs="Times New Roman"/>
        </w:rPr>
        <w:t xml:space="preserve"> </w:t>
      </w:r>
      <w:r w:rsidR="00074C53">
        <w:rPr>
          <w:rFonts w:ascii="Times New Roman" w:hAnsi="Times New Roman" w:cs="Times New Roman"/>
        </w:rPr>
        <w:t>Frontline AIDS</w:t>
      </w:r>
    </w:p>
    <w:p w14:paraId="23C1046A" w14:textId="77777777" w:rsidR="00783226" w:rsidRDefault="00925EAC" w:rsidP="00783226">
      <w:pPr>
        <w:spacing w:before="240" w:after="240" w:line="240" w:lineRule="auto"/>
        <w:ind w:left="1440" w:right="1440"/>
        <w:jc w:val="both"/>
        <w:rPr>
          <w:rFonts w:ascii="Times New Roman" w:hAnsi="Times New Roman" w:cs="Times New Roman"/>
          <w:b/>
          <w:bCs/>
        </w:rPr>
      </w:pPr>
      <w:r w:rsidRPr="001E3A83">
        <w:rPr>
          <w:rFonts w:ascii="Times New Roman" w:hAnsi="Times New Roman" w:cs="Times New Roman"/>
          <w:b/>
          <w:bCs/>
        </w:rPr>
        <w:t>REFERENCE</w:t>
      </w:r>
      <w:r w:rsidR="00AC2E72">
        <w:rPr>
          <w:rFonts w:ascii="Times New Roman" w:hAnsi="Times New Roman" w:cs="Times New Roman"/>
          <w:b/>
          <w:bCs/>
        </w:rPr>
        <w:t>S</w:t>
      </w:r>
    </w:p>
    <w:p w14:paraId="699F7B1A"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lastRenderedPageBreak/>
        <w:t xml:space="preserve">Baral, S., Beyrer, C., Muessig, K., Poteat, T., Wirtz, A., Decker, M., Sherman, S., &amp; Kerrigan, D. (2013). Burden of HIV among female sex workers in low-income and middle-income countries: A systematic review and meta-analysis. The Lancet Infectious Diseases, 12(7), 538–549. </w:t>
      </w:r>
      <w:hyperlink r:id="rId8" w:history="1">
        <w:r w:rsidRPr="00783226">
          <w:rPr>
            <w:rStyle w:val="Hyperlink"/>
            <w:rFonts w:ascii="Times New Roman" w:hAnsi="Times New Roman" w:cs="Times New Roman"/>
          </w:rPr>
          <w:t>https://doi.org/10.1016/S1473-3099(12)70066-X</w:t>
        </w:r>
      </w:hyperlink>
      <w:r w:rsidRPr="00783226">
        <w:rPr>
          <w:rFonts w:ascii="Times New Roman" w:hAnsi="Times New Roman" w:cs="Times New Roman"/>
        </w:rPr>
        <w:t xml:space="preserve"> </w:t>
      </w:r>
    </w:p>
    <w:p w14:paraId="0441214F"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Beyrer, C., Sullivan, P., Sanchez, J., Dowdy, D., Altman, D., </w:t>
      </w:r>
      <w:proofErr w:type="spellStart"/>
      <w:r w:rsidRPr="00783226">
        <w:rPr>
          <w:rFonts w:ascii="Times New Roman" w:hAnsi="Times New Roman" w:cs="Times New Roman"/>
        </w:rPr>
        <w:t>Trapence</w:t>
      </w:r>
      <w:proofErr w:type="spellEnd"/>
      <w:r w:rsidRPr="00783226">
        <w:rPr>
          <w:rFonts w:ascii="Times New Roman" w:hAnsi="Times New Roman" w:cs="Times New Roman"/>
        </w:rPr>
        <w:t xml:space="preserve">, G., Collins, C., </w:t>
      </w:r>
      <w:proofErr w:type="spellStart"/>
      <w:r w:rsidRPr="00783226">
        <w:rPr>
          <w:rFonts w:ascii="Times New Roman" w:hAnsi="Times New Roman" w:cs="Times New Roman"/>
        </w:rPr>
        <w:t>Katabira</w:t>
      </w:r>
      <w:proofErr w:type="spellEnd"/>
      <w:r w:rsidRPr="00783226">
        <w:rPr>
          <w:rFonts w:ascii="Times New Roman" w:hAnsi="Times New Roman" w:cs="Times New Roman"/>
        </w:rPr>
        <w:t xml:space="preserve">, E., </w:t>
      </w:r>
      <w:proofErr w:type="spellStart"/>
      <w:r w:rsidRPr="00783226">
        <w:rPr>
          <w:rFonts w:ascii="Times New Roman" w:hAnsi="Times New Roman" w:cs="Times New Roman"/>
        </w:rPr>
        <w:t>Kazatchkine</w:t>
      </w:r>
      <w:proofErr w:type="spellEnd"/>
      <w:r w:rsidRPr="00783226">
        <w:rPr>
          <w:rFonts w:ascii="Times New Roman" w:hAnsi="Times New Roman" w:cs="Times New Roman"/>
        </w:rPr>
        <w:t xml:space="preserve">, M., Sidibé, M., &amp; Mayer, K. (2012). The increase in global HIV epidemics in MSM. The Lancet, 380(9839), 367–377. </w:t>
      </w:r>
      <w:hyperlink r:id="rId9" w:history="1">
        <w:r w:rsidRPr="00783226">
          <w:rPr>
            <w:rStyle w:val="Hyperlink"/>
            <w:rFonts w:ascii="Times New Roman" w:hAnsi="Times New Roman" w:cs="Times New Roman"/>
          </w:rPr>
          <w:t>https://doi.org/10.1016/S0140-6736(12)60821-6</w:t>
        </w:r>
      </w:hyperlink>
      <w:r w:rsidRPr="00783226">
        <w:rPr>
          <w:rFonts w:ascii="Times New Roman" w:hAnsi="Times New Roman" w:cs="Times New Roman"/>
        </w:rPr>
        <w:t xml:space="preserve"> </w:t>
      </w:r>
    </w:p>
    <w:p w14:paraId="7C90CBF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Hatzenbuehler, M. L. (2016). Structural stigma and the health of lesbian, gay, and bisexual populations. Current Directions in Psychological Science, 23(2), 127–132. </w:t>
      </w:r>
      <w:hyperlink r:id="rId10" w:history="1">
        <w:r w:rsidRPr="00783226">
          <w:rPr>
            <w:rStyle w:val="Hyperlink"/>
            <w:rFonts w:ascii="Times New Roman" w:hAnsi="Times New Roman" w:cs="Times New Roman"/>
          </w:rPr>
          <w:t>https://doi.org/10.1177/0963721414523775</w:t>
        </w:r>
      </w:hyperlink>
      <w:r w:rsidRPr="00783226">
        <w:rPr>
          <w:rFonts w:ascii="Times New Roman" w:hAnsi="Times New Roman" w:cs="Times New Roman"/>
        </w:rPr>
        <w:t xml:space="preserve"> </w:t>
      </w:r>
    </w:p>
    <w:p w14:paraId="1AF76D92"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Hobart, H. J. K., &amp; Kneese, T. (2020). Radical care: Survival strategies for uncertain times. Social Text, 38(1), 1–16. </w:t>
      </w:r>
      <w:hyperlink r:id="rId11" w:history="1">
        <w:r w:rsidRPr="00783226">
          <w:rPr>
            <w:rStyle w:val="Hyperlink"/>
            <w:rFonts w:ascii="Times New Roman" w:hAnsi="Times New Roman" w:cs="Times New Roman"/>
          </w:rPr>
          <w:t>https://doi.org/10.1215/01642472-7971067</w:t>
        </w:r>
      </w:hyperlink>
      <w:r w:rsidRPr="00783226">
        <w:rPr>
          <w:rFonts w:ascii="Times New Roman" w:hAnsi="Times New Roman" w:cs="Times New Roman"/>
        </w:rPr>
        <w:t xml:space="preserve"> </w:t>
      </w:r>
    </w:p>
    <w:p w14:paraId="372BFAB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Human Rights Watch. (2016). “Tell me where I can be safe”: The impact of Nigeria’s Same Sex Marriage (Prohibition) Act. New York: Human Rights Watch </w:t>
      </w:r>
      <w:hyperlink r:id="rId12" w:history="1">
        <w:r w:rsidRPr="00783226">
          <w:rPr>
            <w:rStyle w:val="Hyperlink"/>
            <w:rFonts w:ascii="Times New Roman" w:hAnsi="Times New Roman" w:cs="Times New Roman"/>
          </w:rPr>
          <w:t>https://www.hrw.org/report/2016/10/20/tell-me-where-i-can-be-safe/impact-nigerias-same-sex-marriage-prohibition-act</w:t>
        </w:r>
      </w:hyperlink>
      <w:r w:rsidRPr="00783226">
        <w:rPr>
          <w:rFonts w:ascii="Times New Roman" w:hAnsi="Times New Roman" w:cs="Times New Roman"/>
        </w:rPr>
        <w:t xml:space="preserve"> </w:t>
      </w:r>
    </w:p>
    <w:p w14:paraId="7EE3066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International Lesbian, Gay, Bisexual, Trans and Intersex Association (ILGA). (2023). State-sponsored homophobia 2023: Global legislation overview update. Geneva: ILGA World. </w:t>
      </w:r>
      <w:hyperlink r:id="rId13" w:history="1">
        <w:r w:rsidRPr="00783226">
          <w:rPr>
            <w:rStyle w:val="Hyperlink"/>
            <w:rFonts w:ascii="Times New Roman" w:hAnsi="Times New Roman" w:cs="Times New Roman"/>
          </w:rPr>
          <w:t>https://ilga.org</w:t>
        </w:r>
      </w:hyperlink>
      <w:r w:rsidRPr="00783226">
        <w:rPr>
          <w:rFonts w:ascii="Times New Roman" w:hAnsi="Times New Roman" w:cs="Times New Roman"/>
        </w:rPr>
        <w:t xml:space="preserve"> </w:t>
      </w:r>
    </w:p>
    <w:p w14:paraId="3549AAD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proofErr w:type="spellStart"/>
      <w:r w:rsidRPr="00783226">
        <w:rPr>
          <w:rFonts w:ascii="Times New Roman" w:hAnsi="Times New Roman" w:cs="Times New Roman"/>
        </w:rPr>
        <w:t>Kirmayer</w:t>
      </w:r>
      <w:proofErr w:type="spellEnd"/>
      <w:r w:rsidRPr="00783226">
        <w:rPr>
          <w:rFonts w:ascii="Times New Roman" w:hAnsi="Times New Roman" w:cs="Times New Roman"/>
        </w:rPr>
        <w:t xml:space="preserve">, L. J., Dandeneau, S., Marshall, E., Phillips, M., &amp; Williamson, K. J. (2011). Rethinking resilience from Indigenous perspectives. The Canadian Journal of Psychiatry, 56(2), 84–91. </w:t>
      </w:r>
      <w:hyperlink r:id="rId14" w:history="1">
        <w:r w:rsidRPr="00783226">
          <w:rPr>
            <w:rStyle w:val="Hyperlink"/>
            <w:rFonts w:ascii="Times New Roman" w:hAnsi="Times New Roman" w:cs="Times New Roman"/>
          </w:rPr>
          <w:t>https://doi.org/10.1177/070674371105600203</w:t>
        </w:r>
      </w:hyperlink>
      <w:r w:rsidRPr="00783226">
        <w:rPr>
          <w:rFonts w:ascii="Times New Roman" w:hAnsi="Times New Roman" w:cs="Times New Roman"/>
        </w:rPr>
        <w:t xml:space="preserve"> </w:t>
      </w:r>
    </w:p>
    <w:p w14:paraId="47CFF5D7"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proofErr w:type="spellStart"/>
      <w:r w:rsidRPr="00783226">
        <w:rPr>
          <w:rFonts w:ascii="Times New Roman" w:hAnsi="Times New Roman" w:cs="Times New Roman"/>
        </w:rPr>
        <w:t>Logie</w:t>
      </w:r>
      <w:proofErr w:type="spellEnd"/>
      <w:r w:rsidRPr="00783226">
        <w:rPr>
          <w:rFonts w:ascii="Times New Roman" w:hAnsi="Times New Roman" w:cs="Times New Roman"/>
        </w:rPr>
        <w:t>, C. H., &amp; Earnshaw, V. A. (2015). Adapting stigma frameworks to understand intersectional stigma. Social Science &amp; Medicine, 146, 96–104.</w:t>
      </w:r>
      <w:hyperlink r:id="rId15" w:history="1">
        <w:r w:rsidRPr="00783226">
          <w:rPr>
            <w:rStyle w:val="Hyperlink"/>
            <w:rFonts w:ascii="Times New Roman" w:hAnsi="Times New Roman" w:cs="Times New Roman"/>
          </w:rPr>
          <w:t>https://doi.org/10.1016/j.socscimed.2015.11.011</w:t>
        </w:r>
      </w:hyperlink>
      <w:r w:rsidRPr="00783226">
        <w:rPr>
          <w:rFonts w:ascii="Times New Roman" w:hAnsi="Times New Roman" w:cs="Times New Roman"/>
        </w:rPr>
        <w:t xml:space="preserve"> </w:t>
      </w:r>
    </w:p>
    <w:p w14:paraId="4269FECE"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Meyer, I. H. (2015). Resilience in the study of minority stress and health of sexual and gender minorities. Psychology of Sexual Orientation and Gender Diversity, 2(3), 209–213. </w:t>
      </w:r>
      <w:hyperlink r:id="rId16" w:history="1">
        <w:r w:rsidRPr="00783226">
          <w:rPr>
            <w:rStyle w:val="Hyperlink"/>
            <w:rFonts w:ascii="Times New Roman" w:hAnsi="Times New Roman" w:cs="Times New Roman"/>
          </w:rPr>
          <w:t>https://doi.org/10.1037/sgd0000132</w:t>
        </w:r>
      </w:hyperlink>
      <w:r w:rsidRPr="00783226">
        <w:rPr>
          <w:rFonts w:ascii="Times New Roman" w:hAnsi="Times New Roman" w:cs="Times New Roman"/>
        </w:rPr>
        <w:t xml:space="preserve"> </w:t>
      </w:r>
    </w:p>
    <w:p w14:paraId="23549915"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Poteat, T., </w:t>
      </w:r>
      <w:proofErr w:type="spellStart"/>
      <w:r w:rsidRPr="00783226">
        <w:rPr>
          <w:rFonts w:ascii="Times New Roman" w:hAnsi="Times New Roman" w:cs="Times New Roman"/>
        </w:rPr>
        <w:t>Scheim</w:t>
      </w:r>
      <w:proofErr w:type="spellEnd"/>
      <w:r w:rsidRPr="00783226">
        <w:rPr>
          <w:rFonts w:ascii="Times New Roman" w:hAnsi="Times New Roman" w:cs="Times New Roman"/>
        </w:rPr>
        <w:t xml:space="preserve">, A., Xavier, J., Reisner, S., &amp; Baral, S. (2016). Global epidemiology of HIV infection and related </w:t>
      </w:r>
      <w:proofErr w:type="spellStart"/>
      <w:r w:rsidRPr="00783226">
        <w:rPr>
          <w:rFonts w:ascii="Times New Roman" w:hAnsi="Times New Roman" w:cs="Times New Roman"/>
        </w:rPr>
        <w:t>syndemics</w:t>
      </w:r>
      <w:proofErr w:type="spellEnd"/>
      <w:r w:rsidRPr="00783226">
        <w:rPr>
          <w:rFonts w:ascii="Times New Roman" w:hAnsi="Times New Roman" w:cs="Times New Roman"/>
        </w:rPr>
        <w:t xml:space="preserve"> affecting transgender people. Journal of Acquired Immune Deficiency Syndromes, 72(Suppl 3), S210–S219.</w:t>
      </w:r>
      <w:hyperlink r:id="rId17" w:history="1">
        <w:r w:rsidRPr="00783226">
          <w:rPr>
            <w:rStyle w:val="Hyperlink"/>
            <w:rFonts w:ascii="Times New Roman" w:hAnsi="Times New Roman" w:cs="Times New Roman"/>
          </w:rPr>
          <w:t>https://doi.org/10.1097/QAI.0000000000001087</w:t>
        </w:r>
      </w:hyperlink>
      <w:r w:rsidRPr="00783226">
        <w:rPr>
          <w:rFonts w:ascii="Times New Roman" w:hAnsi="Times New Roman" w:cs="Times New Roman"/>
        </w:rPr>
        <w:t xml:space="preserve"> </w:t>
      </w:r>
    </w:p>
    <w:p w14:paraId="5C9B19AF"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Russell, D. W. (1996). UCLA Loneliness Scale (Version 3): Reliability, validity, and factor structure. Journal of Personality Assessment, 66(1), 20–40. </w:t>
      </w:r>
      <w:hyperlink r:id="rId18" w:history="1">
        <w:r w:rsidRPr="00783226">
          <w:rPr>
            <w:rStyle w:val="Hyperlink"/>
            <w:rFonts w:ascii="Times New Roman" w:hAnsi="Times New Roman" w:cs="Times New Roman"/>
          </w:rPr>
          <w:t>https://doi.org/10.1207/s15327752jpa6601_2</w:t>
        </w:r>
      </w:hyperlink>
      <w:r w:rsidRPr="00783226">
        <w:rPr>
          <w:rFonts w:ascii="Times New Roman" w:hAnsi="Times New Roman" w:cs="Times New Roman"/>
        </w:rPr>
        <w:t xml:space="preserve"> </w:t>
      </w:r>
    </w:p>
    <w:p w14:paraId="7A78A4C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Spade, D. (2020). Mutual aid: Building solidarity during this crisis (and the next). London: Verso Books.</w:t>
      </w:r>
    </w:p>
    <w:p w14:paraId="74B8D805"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Spitzer, R. L., Kroenke, K., Williams, J. B., &amp; Löwe, B. (2006). A brief measure for assessing generalized anxiety disorder: The GAD-7. Archives of Internal Medicine, 166(10), 1092–1097. </w:t>
      </w:r>
      <w:hyperlink r:id="rId19" w:history="1">
        <w:r w:rsidRPr="00783226">
          <w:rPr>
            <w:rStyle w:val="Hyperlink"/>
            <w:rFonts w:ascii="Times New Roman" w:hAnsi="Times New Roman" w:cs="Times New Roman"/>
          </w:rPr>
          <w:t>https://doi.org/10.1001/archinte.166.10.1092</w:t>
        </w:r>
      </w:hyperlink>
      <w:r w:rsidRPr="00783226">
        <w:rPr>
          <w:rFonts w:ascii="Times New Roman" w:hAnsi="Times New Roman" w:cs="Times New Roman"/>
        </w:rPr>
        <w:t xml:space="preserve"> </w:t>
      </w:r>
    </w:p>
    <w:p w14:paraId="68F9D854"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Stangl, A. L., Earnshaw, V., Logie, C. H., Van Brakel, W., </w:t>
      </w:r>
      <w:proofErr w:type="spellStart"/>
      <w:r w:rsidRPr="00783226">
        <w:rPr>
          <w:rFonts w:ascii="Times New Roman" w:hAnsi="Times New Roman" w:cs="Times New Roman"/>
        </w:rPr>
        <w:t>Simbayi</w:t>
      </w:r>
      <w:proofErr w:type="spellEnd"/>
      <w:r w:rsidRPr="00783226">
        <w:rPr>
          <w:rFonts w:ascii="Times New Roman" w:hAnsi="Times New Roman" w:cs="Times New Roman"/>
        </w:rPr>
        <w:t xml:space="preserve">, L., Barré, I., &amp; Dovidio, J. F. (2019). The Health Stigma and Discrimination Framework. BMC Medicine, 17, 31. </w:t>
      </w:r>
      <w:hyperlink r:id="rId20" w:history="1">
        <w:r w:rsidRPr="00783226">
          <w:rPr>
            <w:rStyle w:val="Hyperlink"/>
            <w:rFonts w:ascii="Times New Roman" w:hAnsi="Times New Roman" w:cs="Times New Roman"/>
          </w:rPr>
          <w:t>https://doi.org/10.1186/s12916-019-1271-3</w:t>
        </w:r>
      </w:hyperlink>
      <w:r w:rsidRPr="00783226">
        <w:rPr>
          <w:rFonts w:ascii="Times New Roman" w:hAnsi="Times New Roman" w:cs="Times New Roman"/>
        </w:rPr>
        <w:t xml:space="preserve"> </w:t>
      </w:r>
    </w:p>
    <w:p w14:paraId="5003ED6F"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proofErr w:type="spellStart"/>
      <w:r w:rsidRPr="00783226">
        <w:rPr>
          <w:rFonts w:ascii="Times New Roman" w:hAnsi="Times New Roman" w:cs="Times New Roman"/>
        </w:rPr>
        <w:t>Tronto</w:t>
      </w:r>
      <w:proofErr w:type="spellEnd"/>
      <w:r w:rsidRPr="00783226">
        <w:rPr>
          <w:rFonts w:ascii="Times New Roman" w:hAnsi="Times New Roman" w:cs="Times New Roman"/>
        </w:rPr>
        <w:t>, J. (2013). Caring democracy: Markets, equality, and justice. New York: New York University Press.</w:t>
      </w:r>
    </w:p>
    <w:p w14:paraId="1B95C14B"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UNAIDS. (2022). In danger: UNAIDS global AIDS update 2022. Geneva: Joint United Nations </w:t>
      </w:r>
      <w:proofErr w:type="spellStart"/>
      <w:r w:rsidRPr="00783226">
        <w:rPr>
          <w:rFonts w:ascii="Times New Roman" w:hAnsi="Times New Roman" w:cs="Times New Roman"/>
        </w:rPr>
        <w:t>Programme</w:t>
      </w:r>
      <w:proofErr w:type="spellEnd"/>
      <w:r w:rsidRPr="00783226">
        <w:rPr>
          <w:rFonts w:ascii="Times New Roman" w:hAnsi="Times New Roman" w:cs="Times New Roman"/>
        </w:rPr>
        <w:t xml:space="preserve"> on </w:t>
      </w:r>
      <w:r w:rsidRPr="00783226">
        <w:rPr>
          <w:rFonts w:ascii="Times New Roman" w:hAnsi="Times New Roman" w:cs="Times New Roman"/>
        </w:rPr>
        <w:lastRenderedPageBreak/>
        <w:t>HIV/AIDS.</w:t>
      </w:r>
      <w:hyperlink r:id="rId21" w:history="1">
        <w:r w:rsidRPr="00783226">
          <w:rPr>
            <w:rStyle w:val="Hyperlink"/>
            <w:rFonts w:ascii="Times New Roman" w:hAnsi="Times New Roman" w:cs="Times New Roman"/>
          </w:rPr>
          <w:t>https://www.unaids.org/en/resources/documents/2022/in-danger-global-aids-update</w:t>
        </w:r>
      </w:hyperlink>
      <w:r w:rsidRPr="00783226">
        <w:rPr>
          <w:rFonts w:ascii="Times New Roman" w:hAnsi="Times New Roman" w:cs="Times New Roman"/>
        </w:rPr>
        <w:t xml:space="preserve"> </w:t>
      </w:r>
    </w:p>
    <w:p w14:paraId="444D3F00"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UNAIDS. (2023). Global AIDS update 2023: The path that ends AIDS. Geneva: Joint United Nations </w:t>
      </w:r>
      <w:proofErr w:type="spellStart"/>
      <w:r w:rsidRPr="00783226">
        <w:rPr>
          <w:rFonts w:ascii="Times New Roman" w:hAnsi="Times New Roman" w:cs="Times New Roman"/>
        </w:rPr>
        <w:t>Programme</w:t>
      </w:r>
      <w:proofErr w:type="spellEnd"/>
      <w:r w:rsidRPr="00783226">
        <w:rPr>
          <w:rFonts w:ascii="Times New Roman" w:hAnsi="Times New Roman" w:cs="Times New Roman"/>
        </w:rPr>
        <w:t xml:space="preserve"> on HIV/AIDS. </w:t>
      </w:r>
      <w:hyperlink r:id="rId22" w:history="1">
        <w:r w:rsidRPr="00783226">
          <w:rPr>
            <w:rStyle w:val="Hyperlink"/>
            <w:rFonts w:ascii="Times New Roman" w:hAnsi="Times New Roman" w:cs="Times New Roman"/>
          </w:rPr>
          <w:t>https://www.unaids.org</w:t>
        </w:r>
      </w:hyperlink>
      <w:r w:rsidRPr="00783226">
        <w:rPr>
          <w:rFonts w:ascii="Times New Roman" w:hAnsi="Times New Roman" w:cs="Times New Roman"/>
        </w:rPr>
        <w:t xml:space="preserve"> </w:t>
      </w:r>
    </w:p>
    <w:p w14:paraId="7676B212"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United Nations Development </w:t>
      </w:r>
      <w:proofErr w:type="spellStart"/>
      <w:r w:rsidRPr="00783226">
        <w:rPr>
          <w:rFonts w:ascii="Times New Roman" w:hAnsi="Times New Roman" w:cs="Times New Roman"/>
        </w:rPr>
        <w:t>Programme</w:t>
      </w:r>
      <w:proofErr w:type="spellEnd"/>
      <w:r w:rsidRPr="00783226">
        <w:rPr>
          <w:rFonts w:ascii="Times New Roman" w:hAnsi="Times New Roman" w:cs="Times New Roman"/>
        </w:rPr>
        <w:t xml:space="preserve"> (UNDP). (2019). Legal environment assessment for HIV and the law in Nigeria. New York: UNDP. </w:t>
      </w:r>
      <w:hyperlink r:id="rId23" w:history="1">
        <w:r w:rsidRPr="00783226">
          <w:rPr>
            <w:rStyle w:val="Hyperlink"/>
            <w:rFonts w:ascii="Times New Roman" w:hAnsi="Times New Roman" w:cs="Times New Roman"/>
          </w:rPr>
          <w:t>https://www.undp.org</w:t>
        </w:r>
      </w:hyperlink>
      <w:r w:rsidRPr="00783226">
        <w:rPr>
          <w:rFonts w:ascii="Times New Roman" w:hAnsi="Times New Roman" w:cs="Times New Roman"/>
        </w:rPr>
        <w:t xml:space="preserve"> </w:t>
      </w:r>
    </w:p>
    <w:p w14:paraId="68935FC8" w14:textId="77777777"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World Health Organization (WHO). (2022). Consolidated guidelines on HIV prevention, testing, treatment, service delivery and monitoring. Geneva: WHO. </w:t>
      </w:r>
      <w:hyperlink r:id="rId24" w:history="1">
        <w:r w:rsidRPr="00783226">
          <w:rPr>
            <w:rStyle w:val="Hyperlink"/>
            <w:rFonts w:ascii="Times New Roman" w:hAnsi="Times New Roman" w:cs="Times New Roman"/>
          </w:rPr>
          <w:t>https://www.who.int/publications</w:t>
        </w:r>
      </w:hyperlink>
      <w:r w:rsidRPr="00783226">
        <w:rPr>
          <w:rFonts w:ascii="Times New Roman" w:hAnsi="Times New Roman" w:cs="Times New Roman"/>
        </w:rPr>
        <w:t xml:space="preserve"> </w:t>
      </w:r>
    </w:p>
    <w:p w14:paraId="1C776F24" w14:textId="4DD4677F" w:rsidR="00783226" w:rsidRPr="00783226" w:rsidRDefault="00783226" w:rsidP="00783226">
      <w:pPr>
        <w:pStyle w:val="ListParagraph"/>
        <w:numPr>
          <w:ilvl w:val="0"/>
          <w:numId w:val="3"/>
        </w:numPr>
        <w:spacing w:before="240" w:after="240" w:line="240" w:lineRule="auto"/>
        <w:ind w:right="1440"/>
        <w:jc w:val="both"/>
        <w:rPr>
          <w:rFonts w:ascii="Times New Roman" w:hAnsi="Times New Roman" w:cs="Times New Roman"/>
          <w:b/>
          <w:bCs/>
        </w:rPr>
      </w:pPr>
      <w:r w:rsidRPr="00783226">
        <w:rPr>
          <w:rFonts w:ascii="Times New Roman" w:hAnsi="Times New Roman" w:cs="Times New Roman"/>
        </w:rPr>
        <w:t xml:space="preserve">Wirtz, A. L., Kamba, D., Jumbe, V., </w:t>
      </w:r>
      <w:proofErr w:type="spellStart"/>
      <w:r w:rsidRPr="00783226">
        <w:rPr>
          <w:rFonts w:ascii="Times New Roman" w:hAnsi="Times New Roman" w:cs="Times New Roman"/>
        </w:rPr>
        <w:t>Trapence</w:t>
      </w:r>
      <w:proofErr w:type="spellEnd"/>
      <w:r w:rsidRPr="00783226">
        <w:rPr>
          <w:rFonts w:ascii="Times New Roman" w:hAnsi="Times New Roman" w:cs="Times New Roman"/>
        </w:rPr>
        <w:t xml:space="preserve">, G., Gubin, R., Umar, E., </w:t>
      </w:r>
      <w:proofErr w:type="spellStart"/>
      <w:r w:rsidRPr="00783226">
        <w:rPr>
          <w:rFonts w:ascii="Times New Roman" w:hAnsi="Times New Roman" w:cs="Times New Roman"/>
        </w:rPr>
        <w:t>Ketende</w:t>
      </w:r>
      <w:proofErr w:type="spellEnd"/>
      <w:r w:rsidRPr="00783226">
        <w:rPr>
          <w:rFonts w:ascii="Times New Roman" w:hAnsi="Times New Roman" w:cs="Times New Roman"/>
        </w:rPr>
        <w:t xml:space="preserve">, S., Berry, M., Baral, S., &amp; Beyrer, C. (2017). A qualitative assessment of health seeking practices among and provision practices for men who have sex with men in Malawi. BMC International Health and Human Rights, 17, 20. </w:t>
      </w:r>
      <w:hyperlink r:id="rId25" w:history="1">
        <w:r w:rsidRPr="00783226">
          <w:rPr>
            <w:rStyle w:val="Hyperlink"/>
            <w:rFonts w:ascii="Times New Roman" w:hAnsi="Times New Roman" w:cs="Times New Roman"/>
          </w:rPr>
          <w:t>https://doi.org/10.1186/s12914-017-0121-5</w:t>
        </w:r>
      </w:hyperlink>
      <w:r w:rsidRPr="00783226">
        <w:rPr>
          <w:rFonts w:ascii="Times New Roman" w:hAnsi="Times New Roman" w:cs="Times New Roman"/>
        </w:rPr>
        <w:t xml:space="preserve"> </w:t>
      </w:r>
    </w:p>
    <w:p w14:paraId="308E660F" w14:textId="77777777" w:rsidR="00783226" w:rsidRDefault="00783226" w:rsidP="007C2585">
      <w:pPr>
        <w:spacing w:before="240" w:after="240" w:line="240" w:lineRule="auto"/>
        <w:ind w:left="1440" w:right="1440"/>
        <w:jc w:val="both"/>
        <w:rPr>
          <w:rFonts w:ascii="Times New Roman" w:hAnsi="Times New Roman" w:cs="Times New Roman"/>
          <w:b/>
          <w:bCs/>
        </w:rPr>
      </w:pPr>
    </w:p>
    <w:p w14:paraId="128A75A4" w14:textId="77777777" w:rsidR="00B2273E" w:rsidRPr="001E3A83" w:rsidRDefault="00B2273E" w:rsidP="007C2585">
      <w:pPr>
        <w:spacing w:before="240" w:after="240" w:line="240" w:lineRule="auto"/>
        <w:ind w:left="1440" w:right="1440"/>
        <w:jc w:val="both"/>
        <w:rPr>
          <w:rFonts w:ascii="Times New Roman" w:hAnsi="Times New Roman" w:cs="Times New Roman"/>
          <w:b/>
          <w:bCs/>
        </w:rPr>
      </w:pPr>
    </w:p>
    <w:p w14:paraId="3963A691" w14:textId="3D43ED4D" w:rsidR="007B4DAB" w:rsidRDefault="007B4DAB" w:rsidP="00FE28C8">
      <w:pPr>
        <w:spacing w:before="240" w:after="240" w:line="240" w:lineRule="auto"/>
        <w:ind w:left="1440" w:right="1440"/>
        <w:jc w:val="both"/>
        <w:rPr>
          <w:rFonts w:ascii="Times New Roman" w:hAnsi="Times New Roman" w:cs="Times New Roman"/>
        </w:rPr>
      </w:pPr>
      <w:r>
        <w:rPr>
          <w:rFonts w:ascii="Times New Roman" w:hAnsi="Times New Roman" w:cs="Times New Roman"/>
        </w:rPr>
        <w:t xml:space="preserve"> </w:t>
      </w:r>
    </w:p>
    <w:p w14:paraId="08A1A023" w14:textId="77777777" w:rsidR="007B4DAB" w:rsidRPr="007359F1" w:rsidRDefault="007B4DAB" w:rsidP="00FE28C8">
      <w:pPr>
        <w:spacing w:before="240" w:after="240" w:line="240" w:lineRule="auto"/>
        <w:ind w:left="1440" w:right="1440"/>
        <w:jc w:val="both"/>
        <w:rPr>
          <w:rFonts w:ascii="Times New Roman" w:hAnsi="Times New Roman" w:cs="Times New Roman"/>
        </w:rPr>
      </w:pPr>
    </w:p>
    <w:p w14:paraId="5341636F" w14:textId="77777777" w:rsidR="008C126D" w:rsidRDefault="008C126D" w:rsidP="00FE28C8">
      <w:pPr>
        <w:spacing w:before="240" w:after="240" w:line="240" w:lineRule="auto"/>
        <w:ind w:left="1440" w:right="1440"/>
        <w:jc w:val="both"/>
        <w:rPr>
          <w:rFonts w:ascii="Times New Roman" w:hAnsi="Times New Roman" w:cs="Times New Roman"/>
        </w:rPr>
      </w:pPr>
    </w:p>
    <w:p w14:paraId="22868FA6" w14:textId="77777777" w:rsidR="00EB0E5A" w:rsidRDefault="00EB0E5A" w:rsidP="00EB0E5A">
      <w:pPr>
        <w:pBdr>
          <w:top w:val="nil"/>
          <w:left w:val="nil"/>
          <w:bottom w:val="nil"/>
          <w:right w:val="nil"/>
          <w:between w:val="nil"/>
        </w:pBdr>
        <w:spacing w:line="276" w:lineRule="auto"/>
        <w:ind w:left="360"/>
        <w:jc w:val="both"/>
        <w:rPr>
          <w:rFonts w:ascii="Arial" w:eastAsia="Arial" w:hAnsi="Arial" w:cs="Arial"/>
          <w:bCs/>
          <w:color w:val="000000"/>
        </w:rPr>
      </w:pPr>
    </w:p>
    <w:p w14:paraId="1994BBC4" w14:textId="30E196FD" w:rsidR="00EB0E5A" w:rsidRPr="00EB0E5A" w:rsidRDefault="00EB0E5A" w:rsidP="00EB0E5A">
      <w:pPr>
        <w:pBdr>
          <w:top w:val="nil"/>
          <w:left w:val="nil"/>
          <w:bottom w:val="nil"/>
          <w:right w:val="nil"/>
          <w:between w:val="nil"/>
        </w:pBdr>
        <w:spacing w:line="276" w:lineRule="auto"/>
        <w:ind w:left="360"/>
        <w:jc w:val="both"/>
        <w:rPr>
          <w:rFonts w:ascii="Arial" w:eastAsia="Arial" w:hAnsi="Arial" w:cs="Arial"/>
          <w:bCs/>
          <w:color w:val="000000"/>
        </w:rPr>
      </w:pPr>
    </w:p>
    <w:sectPr w:rsidR="00EB0E5A" w:rsidRPr="00EB0E5A" w:rsidSect="00732053">
      <w:pgSz w:w="11906" w:h="16838" w:code="133"/>
      <w:pgMar w:top="1080" w:right="605" w:bottom="763"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A735B" w14:textId="77777777" w:rsidR="00CF40B2" w:rsidRDefault="00CF40B2" w:rsidP="00732053">
      <w:pPr>
        <w:spacing w:after="0" w:line="240" w:lineRule="auto"/>
      </w:pPr>
      <w:r>
        <w:separator/>
      </w:r>
    </w:p>
  </w:endnote>
  <w:endnote w:type="continuationSeparator" w:id="0">
    <w:p w14:paraId="7834D0F7" w14:textId="77777777" w:rsidR="00CF40B2" w:rsidRDefault="00CF40B2" w:rsidP="00732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7210C" w14:textId="77777777" w:rsidR="00CF40B2" w:rsidRDefault="00CF40B2" w:rsidP="00732053">
      <w:pPr>
        <w:spacing w:after="0" w:line="240" w:lineRule="auto"/>
      </w:pPr>
      <w:r>
        <w:separator/>
      </w:r>
    </w:p>
  </w:footnote>
  <w:footnote w:type="continuationSeparator" w:id="0">
    <w:p w14:paraId="46C7A1C3" w14:textId="77777777" w:rsidR="00CF40B2" w:rsidRDefault="00CF40B2" w:rsidP="007320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5679F"/>
    <w:multiLevelType w:val="hybridMultilevel"/>
    <w:tmpl w:val="2102B65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35CC1513"/>
    <w:multiLevelType w:val="hybridMultilevel"/>
    <w:tmpl w:val="48E4C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01028A"/>
    <w:multiLevelType w:val="multilevel"/>
    <w:tmpl w:val="C4A205E2"/>
    <w:lvl w:ilvl="0">
      <w:start w:val="1"/>
      <w:numFmt w:val="decimal"/>
      <w:lvlText w:val="%1."/>
      <w:lvlJc w:val="left"/>
      <w:pPr>
        <w:ind w:left="720" w:hanging="360"/>
      </w:pPr>
      <w:rPr>
        <w:b w:val="0"/>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70385F10"/>
    <w:multiLevelType w:val="hybridMultilevel"/>
    <w:tmpl w:val="818A1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68"/>
    <w:rsid w:val="00022037"/>
    <w:rsid w:val="00043C21"/>
    <w:rsid w:val="0004610C"/>
    <w:rsid w:val="00055F55"/>
    <w:rsid w:val="00056445"/>
    <w:rsid w:val="00074C53"/>
    <w:rsid w:val="000876BE"/>
    <w:rsid w:val="00092ECF"/>
    <w:rsid w:val="000A2BF0"/>
    <w:rsid w:val="000C794A"/>
    <w:rsid w:val="000D1247"/>
    <w:rsid w:val="000D39E6"/>
    <w:rsid w:val="000F2210"/>
    <w:rsid w:val="000F3064"/>
    <w:rsid w:val="000F439A"/>
    <w:rsid w:val="000F720C"/>
    <w:rsid w:val="001057BA"/>
    <w:rsid w:val="0011567E"/>
    <w:rsid w:val="00124E10"/>
    <w:rsid w:val="001451DF"/>
    <w:rsid w:val="001520FC"/>
    <w:rsid w:val="00155977"/>
    <w:rsid w:val="001642A0"/>
    <w:rsid w:val="00181697"/>
    <w:rsid w:val="0018331D"/>
    <w:rsid w:val="001B0373"/>
    <w:rsid w:val="001C0E96"/>
    <w:rsid w:val="001C1C95"/>
    <w:rsid w:val="001E3A83"/>
    <w:rsid w:val="001E3ED9"/>
    <w:rsid w:val="00206903"/>
    <w:rsid w:val="0021271F"/>
    <w:rsid w:val="0023564A"/>
    <w:rsid w:val="002411FE"/>
    <w:rsid w:val="0025129D"/>
    <w:rsid w:val="002614F7"/>
    <w:rsid w:val="002839A1"/>
    <w:rsid w:val="00286DBA"/>
    <w:rsid w:val="002954F0"/>
    <w:rsid w:val="002C4F33"/>
    <w:rsid w:val="002C78D7"/>
    <w:rsid w:val="002D1C43"/>
    <w:rsid w:val="00313017"/>
    <w:rsid w:val="003300FF"/>
    <w:rsid w:val="0033276A"/>
    <w:rsid w:val="00354F92"/>
    <w:rsid w:val="003915D7"/>
    <w:rsid w:val="00397F74"/>
    <w:rsid w:val="003C0B8C"/>
    <w:rsid w:val="003C4B71"/>
    <w:rsid w:val="003D4E90"/>
    <w:rsid w:val="003D7DBC"/>
    <w:rsid w:val="003F618D"/>
    <w:rsid w:val="0042541C"/>
    <w:rsid w:val="00442D2B"/>
    <w:rsid w:val="00446F6C"/>
    <w:rsid w:val="0046015F"/>
    <w:rsid w:val="004666AE"/>
    <w:rsid w:val="004913D6"/>
    <w:rsid w:val="00495F81"/>
    <w:rsid w:val="004B0392"/>
    <w:rsid w:val="004D09FE"/>
    <w:rsid w:val="004D1F2F"/>
    <w:rsid w:val="004D5F6F"/>
    <w:rsid w:val="004F711C"/>
    <w:rsid w:val="00525722"/>
    <w:rsid w:val="0054249C"/>
    <w:rsid w:val="00554F2C"/>
    <w:rsid w:val="005813DA"/>
    <w:rsid w:val="0059318F"/>
    <w:rsid w:val="00593CCC"/>
    <w:rsid w:val="00596AE5"/>
    <w:rsid w:val="005C30D5"/>
    <w:rsid w:val="005C6BE9"/>
    <w:rsid w:val="005E52B6"/>
    <w:rsid w:val="00604A1E"/>
    <w:rsid w:val="006111D8"/>
    <w:rsid w:val="00611DE4"/>
    <w:rsid w:val="00617FA5"/>
    <w:rsid w:val="00671DA8"/>
    <w:rsid w:val="006733DB"/>
    <w:rsid w:val="00673791"/>
    <w:rsid w:val="006765BD"/>
    <w:rsid w:val="006D550C"/>
    <w:rsid w:val="006F3076"/>
    <w:rsid w:val="0070021C"/>
    <w:rsid w:val="00703F4A"/>
    <w:rsid w:val="00730437"/>
    <w:rsid w:val="00732053"/>
    <w:rsid w:val="007359F1"/>
    <w:rsid w:val="00737419"/>
    <w:rsid w:val="00747613"/>
    <w:rsid w:val="007528E6"/>
    <w:rsid w:val="00783226"/>
    <w:rsid w:val="007B4DAB"/>
    <w:rsid w:val="007C2585"/>
    <w:rsid w:val="007D3E28"/>
    <w:rsid w:val="007E56A8"/>
    <w:rsid w:val="007E768B"/>
    <w:rsid w:val="00805905"/>
    <w:rsid w:val="008138F5"/>
    <w:rsid w:val="008245D7"/>
    <w:rsid w:val="0084132B"/>
    <w:rsid w:val="00841950"/>
    <w:rsid w:val="00850C32"/>
    <w:rsid w:val="00863412"/>
    <w:rsid w:val="008645C0"/>
    <w:rsid w:val="00866218"/>
    <w:rsid w:val="008718DD"/>
    <w:rsid w:val="00876A3E"/>
    <w:rsid w:val="00894B82"/>
    <w:rsid w:val="00895F2D"/>
    <w:rsid w:val="008968DB"/>
    <w:rsid w:val="008A003B"/>
    <w:rsid w:val="008B1DA1"/>
    <w:rsid w:val="008C0D00"/>
    <w:rsid w:val="008C126D"/>
    <w:rsid w:val="008C15A5"/>
    <w:rsid w:val="008E496F"/>
    <w:rsid w:val="00907579"/>
    <w:rsid w:val="00921115"/>
    <w:rsid w:val="00925EAC"/>
    <w:rsid w:val="00942968"/>
    <w:rsid w:val="00947709"/>
    <w:rsid w:val="00955B22"/>
    <w:rsid w:val="0097244D"/>
    <w:rsid w:val="009745C7"/>
    <w:rsid w:val="00977D26"/>
    <w:rsid w:val="009A2807"/>
    <w:rsid w:val="009A4F53"/>
    <w:rsid w:val="009B523C"/>
    <w:rsid w:val="009D1478"/>
    <w:rsid w:val="009D2B13"/>
    <w:rsid w:val="009D52D1"/>
    <w:rsid w:val="00A17193"/>
    <w:rsid w:val="00A23650"/>
    <w:rsid w:val="00A24CDD"/>
    <w:rsid w:val="00A26BE7"/>
    <w:rsid w:val="00A541C1"/>
    <w:rsid w:val="00A61E97"/>
    <w:rsid w:val="00A62B4C"/>
    <w:rsid w:val="00A651B1"/>
    <w:rsid w:val="00A654CE"/>
    <w:rsid w:val="00A73616"/>
    <w:rsid w:val="00A75591"/>
    <w:rsid w:val="00A9262F"/>
    <w:rsid w:val="00AA2BB7"/>
    <w:rsid w:val="00AC2E72"/>
    <w:rsid w:val="00AE0886"/>
    <w:rsid w:val="00AE1833"/>
    <w:rsid w:val="00B2273E"/>
    <w:rsid w:val="00B34A42"/>
    <w:rsid w:val="00B35BDA"/>
    <w:rsid w:val="00B60D13"/>
    <w:rsid w:val="00B670F2"/>
    <w:rsid w:val="00B91CD2"/>
    <w:rsid w:val="00BA1F2D"/>
    <w:rsid w:val="00BB02B7"/>
    <w:rsid w:val="00BE36B6"/>
    <w:rsid w:val="00BE5368"/>
    <w:rsid w:val="00C05C7B"/>
    <w:rsid w:val="00C119A3"/>
    <w:rsid w:val="00C17371"/>
    <w:rsid w:val="00C44730"/>
    <w:rsid w:val="00C52EDF"/>
    <w:rsid w:val="00C864BD"/>
    <w:rsid w:val="00C909C0"/>
    <w:rsid w:val="00CB1D27"/>
    <w:rsid w:val="00CD5555"/>
    <w:rsid w:val="00CE0360"/>
    <w:rsid w:val="00CE67BB"/>
    <w:rsid w:val="00CF40B2"/>
    <w:rsid w:val="00CF56F0"/>
    <w:rsid w:val="00CF6842"/>
    <w:rsid w:val="00D10B5C"/>
    <w:rsid w:val="00D12EEE"/>
    <w:rsid w:val="00D1590D"/>
    <w:rsid w:val="00D3046F"/>
    <w:rsid w:val="00D40B9D"/>
    <w:rsid w:val="00D41A0A"/>
    <w:rsid w:val="00D45CAC"/>
    <w:rsid w:val="00D95B91"/>
    <w:rsid w:val="00DB24C7"/>
    <w:rsid w:val="00DB7DA1"/>
    <w:rsid w:val="00DD756F"/>
    <w:rsid w:val="00DD7778"/>
    <w:rsid w:val="00DF13F7"/>
    <w:rsid w:val="00E464DF"/>
    <w:rsid w:val="00E622FE"/>
    <w:rsid w:val="00E64CD5"/>
    <w:rsid w:val="00E67BBD"/>
    <w:rsid w:val="00E80705"/>
    <w:rsid w:val="00E86A47"/>
    <w:rsid w:val="00E903CF"/>
    <w:rsid w:val="00EB0E5A"/>
    <w:rsid w:val="00EB13DF"/>
    <w:rsid w:val="00EC782F"/>
    <w:rsid w:val="00ED621A"/>
    <w:rsid w:val="00EF5361"/>
    <w:rsid w:val="00F15E06"/>
    <w:rsid w:val="00F413F9"/>
    <w:rsid w:val="00F62F43"/>
    <w:rsid w:val="00FE28C8"/>
    <w:rsid w:val="00FE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AF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2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968"/>
    <w:rPr>
      <w:rFonts w:eastAsiaTheme="majorEastAsia" w:cstheme="majorBidi"/>
      <w:color w:val="272727" w:themeColor="text1" w:themeTint="D8"/>
    </w:rPr>
  </w:style>
  <w:style w:type="paragraph" w:styleId="Title">
    <w:name w:val="Title"/>
    <w:basedOn w:val="Normal"/>
    <w:next w:val="Normal"/>
    <w:link w:val="TitleChar"/>
    <w:uiPriority w:val="10"/>
    <w:qFormat/>
    <w:rsid w:val="0094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968"/>
    <w:pPr>
      <w:spacing w:before="160"/>
      <w:jc w:val="center"/>
    </w:pPr>
    <w:rPr>
      <w:i/>
      <w:iCs/>
      <w:color w:val="404040" w:themeColor="text1" w:themeTint="BF"/>
    </w:rPr>
  </w:style>
  <w:style w:type="character" w:customStyle="1" w:styleId="QuoteChar">
    <w:name w:val="Quote Char"/>
    <w:basedOn w:val="DefaultParagraphFont"/>
    <w:link w:val="Quote"/>
    <w:uiPriority w:val="29"/>
    <w:rsid w:val="00942968"/>
    <w:rPr>
      <w:i/>
      <w:iCs/>
      <w:color w:val="404040" w:themeColor="text1" w:themeTint="BF"/>
    </w:rPr>
  </w:style>
  <w:style w:type="paragraph" w:styleId="ListParagraph">
    <w:name w:val="List Paragraph"/>
    <w:basedOn w:val="Normal"/>
    <w:uiPriority w:val="34"/>
    <w:qFormat/>
    <w:rsid w:val="00942968"/>
    <w:pPr>
      <w:ind w:left="720"/>
      <w:contextualSpacing/>
    </w:pPr>
  </w:style>
  <w:style w:type="character" w:styleId="IntenseEmphasis">
    <w:name w:val="Intense Emphasis"/>
    <w:basedOn w:val="DefaultParagraphFont"/>
    <w:uiPriority w:val="21"/>
    <w:qFormat/>
    <w:rsid w:val="00942968"/>
    <w:rPr>
      <w:i/>
      <w:iCs/>
      <w:color w:val="2F5496" w:themeColor="accent1" w:themeShade="BF"/>
    </w:rPr>
  </w:style>
  <w:style w:type="paragraph" w:styleId="IntenseQuote">
    <w:name w:val="Intense Quote"/>
    <w:basedOn w:val="Normal"/>
    <w:next w:val="Normal"/>
    <w:link w:val="IntenseQuoteChar"/>
    <w:uiPriority w:val="30"/>
    <w:qFormat/>
    <w:rsid w:val="00942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968"/>
    <w:rPr>
      <w:i/>
      <w:iCs/>
      <w:color w:val="2F5496" w:themeColor="accent1" w:themeShade="BF"/>
    </w:rPr>
  </w:style>
  <w:style w:type="character" w:styleId="IntenseReference">
    <w:name w:val="Intense Reference"/>
    <w:basedOn w:val="DefaultParagraphFont"/>
    <w:uiPriority w:val="32"/>
    <w:qFormat/>
    <w:rsid w:val="00942968"/>
    <w:rPr>
      <w:b/>
      <w:bCs/>
      <w:smallCaps/>
      <w:color w:val="2F5496" w:themeColor="accent1" w:themeShade="BF"/>
      <w:spacing w:val="5"/>
    </w:rPr>
  </w:style>
  <w:style w:type="paragraph" w:styleId="Header">
    <w:name w:val="header"/>
    <w:basedOn w:val="Normal"/>
    <w:link w:val="HeaderChar"/>
    <w:uiPriority w:val="99"/>
    <w:unhideWhenUsed/>
    <w:rsid w:val="0073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53"/>
  </w:style>
  <w:style w:type="paragraph" w:styleId="Footer">
    <w:name w:val="footer"/>
    <w:basedOn w:val="Normal"/>
    <w:link w:val="FooterChar"/>
    <w:uiPriority w:val="99"/>
    <w:unhideWhenUsed/>
    <w:rsid w:val="0073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53"/>
  </w:style>
  <w:style w:type="character" w:styleId="Hyperlink">
    <w:name w:val="Hyperlink"/>
    <w:basedOn w:val="DefaultParagraphFont"/>
    <w:uiPriority w:val="99"/>
    <w:unhideWhenUsed/>
    <w:rsid w:val="00593CCC"/>
    <w:rPr>
      <w:color w:val="0563C1" w:themeColor="hyperlink"/>
      <w:u w:val="single"/>
    </w:rPr>
  </w:style>
  <w:style w:type="character" w:customStyle="1" w:styleId="UnresolvedMention">
    <w:name w:val="Unresolved Mention"/>
    <w:basedOn w:val="DefaultParagraphFont"/>
    <w:uiPriority w:val="99"/>
    <w:semiHidden/>
    <w:unhideWhenUsed/>
    <w:rsid w:val="00593CCC"/>
    <w:rPr>
      <w:color w:val="605E5C"/>
      <w:shd w:val="clear" w:color="auto" w:fill="E1DFDD"/>
    </w:rPr>
  </w:style>
  <w:style w:type="table" w:styleId="TableGrid">
    <w:name w:val="Table Grid"/>
    <w:basedOn w:val="TableNormal"/>
    <w:uiPriority w:val="39"/>
    <w:rsid w:val="00730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C4F33"/>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429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29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29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29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29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29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9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9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9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9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29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29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29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29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29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9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9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968"/>
    <w:rPr>
      <w:rFonts w:eastAsiaTheme="majorEastAsia" w:cstheme="majorBidi"/>
      <w:color w:val="272727" w:themeColor="text1" w:themeTint="D8"/>
    </w:rPr>
  </w:style>
  <w:style w:type="paragraph" w:styleId="Title">
    <w:name w:val="Title"/>
    <w:basedOn w:val="Normal"/>
    <w:next w:val="Normal"/>
    <w:link w:val="TitleChar"/>
    <w:uiPriority w:val="10"/>
    <w:qFormat/>
    <w:rsid w:val="009429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9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9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9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968"/>
    <w:pPr>
      <w:spacing w:before="160"/>
      <w:jc w:val="center"/>
    </w:pPr>
    <w:rPr>
      <w:i/>
      <w:iCs/>
      <w:color w:val="404040" w:themeColor="text1" w:themeTint="BF"/>
    </w:rPr>
  </w:style>
  <w:style w:type="character" w:customStyle="1" w:styleId="QuoteChar">
    <w:name w:val="Quote Char"/>
    <w:basedOn w:val="DefaultParagraphFont"/>
    <w:link w:val="Quote"/>
    <w:uiPriority w:val="29"/>
    <w:rsid w:val="00942968"/>
    <w:rPr>
      <w:i/>
      <w:iCs/>
      <w:color w:val="404040" w:themeColor="text1" w:themeTint="BF"/>
    </w:rPr>
  </w:style>
  <w:style w:type="paragraph" w:styleId="ListParagraph">
    <w:name w:val="List Paragraph"/>
    <w:basedOn w:val="Normal"/>
    <w:uiPriority w:val="34"/>
    <w:qFormat/>
    <w:rsid w:val="00942968"/>
    <w:pPr>
      <w:ind w:left="720"/>
      <w:contextualSpacing/>
    </w:pPr>
  </w:style>
  <w:style w:type="character" w:styleId="IntenseEmphasis">
    <w:name w:val="Intense Emphasis"/>
    <w:basedOn w:val="DefaultParagraphFont"/>
    <w:uiPriority w:val="21"/>
    <w:qFormat/>
    <w:rsid w:val="00942968"/>
    <w:rPr>
      <w:i/>
      <w:iCs/>
      <w:color w:val="2F5496" w:themeColor="accent1" w:themeShade="BF"/>
    </w:rPr>
  </w:style>
  <w:style w:type="paragraph" w:styleId="IntenseQuote">
    <w:name w:val="Intense Quote"/>
    <w:basedOn w:val="Normal"/>
    <w:next w:val="Normal"/>
    <w:link w:val="IntenseQuoteChar"/>
    <w:uiPriority w:val="30"/>
    <w:qFormat/>
    <w:rsid w:val="009429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2968"/>
    <w:rPr>
      <w:i/>
      <w:iCs/>
      <w:color w:val="2F5496" w:themeColor="accent1" w:themeShade="BF"/>
    </w:rPr>
  </w:style>
  <w:style w:type="character" w:styleId="IntenseReference">
    <w:name w:val="Intense Reference"/>
    <w:basedOn w:val="DefaultParagraphFont"/>
    <w:uiPriority w:val="32"/>
    <w:qFormat/>
    <w:rsid w:val="00942968"/>
    <w:rPr>
      <w:b/>
      <w:bCs/>
      <w:smallCaps/>
      <w:color w:val="2F5496" w:themeColor="accent1" w:themeShade="BF"/>
      <w:spacing w:val="5"/>
    </w:rPr>
  </w:style>
  <w:style w:type="paragraph" w:styleId="Header">
    <w:name w:val="header"/>
    <w:basedOn w:val="Normal"/>
    <w:link w:val="HeaderChar"/>
    <w:uiPriority w:val="99"/>
    <w:unhideWhenUsed/>
    <w:rsid w:val="00732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053"/>
  </w:style>
  <w:style w:type="paragraph" w:styleId="Footer">
    <w:name w:val="footer"/>
    <w:basedOn w:val="Normal"/>
    <w:link w:val="FooterChar"/>
    <w:uiPriority w:val="99"/>
    <w:unhideWhenUsed/>
    <w:rsid w:val="00732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053"/>
  </w:style>
  <w:style w:type="character" w:styleId="Hyperlink">
    <w:name w:val="Hyperlink"/>
    <w:basedOn w:val="DefaultParagraphFont"/>
    <w:uiPriority w:val="99"/>
    <w:unhideWhenUsed/>
    <w:rsid w:val="00593CCC"/>
    <w:rPr>
      <w:color w:val="0563C1" w:themeColor="hyperlink"/>
      <w:u w:val="single"/>
    </w:rPr>
  </w:style>
  <w:style w:type="character" w:customStyle="1" w:styleId="UnresolvedMention">
    <w:name w:val="Unresolved Mention"/>
    <w:basedOn w:val="DefaultParagraphFont"/>
    <w:uiPriority w:val="99"/>
    <w:semiHidden/>
    <w:unhideWhenUsed/>
    <w:rsid w:val="00593CCC"/>
    <w:rPr>
      <w:color w:val="605E5C"/>
      <w:shd w:val="clear" w:color="auto" w:fill="E1DFDD"/>
    </w:rPr>
  </w:style>
  <w:style w:type="table" w:styleId="TableGrid">
    <w:name w:val="Table Grid"/>
    <w:basedOn w:val="TableNormal"/>
    <w:uiPriority w:val="39"/>
    <w:rsid w:val="00730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2C4F33"/>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S1473-3099(12)70066-X" TargetMode="External"/><Relationship Id="rId13" Type="http://schemas.openxmlformats.org/officeDocument/2006/relationships/hyperlink" Target="https://ilga.org" TargetMode="External"/><Relationship Id="rId18" Type="http://schemas.openxmlformats.org/officeDocument/2006/relationships/hyperlink" Target="https://doi.org/10.1207/s15327752jpa6601_2"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www.unaids.org/en/resources/documents/2022/in-danger-global-aids-update" TargetMode="External"/><Relationship Id="rId7" Type="http://schemas.openxmlformats.org/officeDocument/2006/relationships/endnotes" Target="endnotes.xml"/><Relationship Id="rId12" Type="http://schemas.openxmlformats.org/officeDocument/2006/relationships/hyperlink" Target="https://www.hrw.org/report/2016/10/20/tell-me-where-i-can-be-safe/impact-nigerias-same-sex-marriage-prohibition-act" TargetMode="External"/><Relationship Id="rId17" Type="http://schemas.openxmlformats.org/officeDocument/2006/relationships/hyperlink" Target="https://doi.org/10.1097/QAI.0000000000001087" TargetMode="External"/><Relationship Id="rId25" Type="http://schemas.openxmlformats.org/officeDocument/2006/relationships/hyperlink" Target="https://doi.org/10.1186/s12914-017-0121-5" TargetMode="External"/><Relationship Id="rId2" Type="http://schemas.openxmlformats.org/officeDocument/2006/relationships/styles" Target="styles.xml"/><Relationship Id="rId16" Type="http://schemas.openxmlformats.org/officeDocument/2006/relationships/hyperlink" Target="https://doi.org/10.1037/sgd0000132" TargetMode="External"/><Relationship Id="rId20" Type="http://schemas.openxmlformats.org/officeDocument/2006/relationships/hyperlink" Target="https://doi.org/10.1186/s12916-019-127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215/01642472-7971067" TargetMode="External"/><Relationship Id="rId24" Type="http://schemas.openxmlformats.org/officeDocument/2006/relationships/hyperlink" Target="https://www.who.int/publications" TargetMode="External"/><Relationship Id="rId5" Type="http://schemas.openxmlformats.org/officeDocument/2006/relationships/webSettings" Target="webSettings.xml"/><Relationship Id="rId15" Type="http://schemas.openxmlformats.org/officeDocument/2006/relationships/hyperlink" Target="https://doi.org/10.1016/j.socscimed.2015.11.011" TargetMode="External"/><Relationship Id="rId23" Type="http://schemas.openxmlformats.org/officeDocument/2006/relationships/hyperlink" Target="https://www.undp.org" TargetMode="External"/><Relationship Id="rId10" Type="http://schemas.openxmlformats.org/officeDocument/2006/relationships/hyperlink" Target="https://doi.org/10.1177/0963721414523775" TargetMode="External"/><Relationship Id="rId19" Type="http://schemas.openxmlformats.org/officeDocument/2006/relationships/hyperlink" Target="https://doi.org/10.1001/archinte.166.10.1092" TargetMode="External"/><Relationship Id="rId4" Type="http://schemas.openxmlformats.org/officeDocument/2006/relationships/settings" Target="settings.xml"/><Relationship Id="rId9" Type="http://schemas.openxmlformats.org/officeDocument/2006/relationships/hyperlink" Target="https://doi.org/10.1016/S0140-6736(12)60821-6" TargetMode="External"/><Relationship Id="rId14" Type="http://schemas.openxmlformats.org/officeDocument/2006/relationships/hyperlink" Target="https://doi.org/10.1177/070674371105600203" TargetMode="External"/><Relationship Id="rId22" Type="http://schemas.openxmlformats.org/officeDocument/2006/relationships/hyperlink" Target="https://www.unaids.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13</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Aondoakaa Lubem</dc:creator>
  <cp:keywords/>
  <dc:description/>
  <cp:lastModifiedBy>qwert</cp:lastModifiedBy>
  <cp:revision>154</cp:revision>
  <cp:lastPrinted>2026-03-16T16:54:00Z</cp:lastPrinted>
  <dcterms:created xsi:type="dcterms:W3CDTF">2026-03-15T05:59:00Z</dcterms:created>
  <dcterms:modified xsi:type="dcterms:W3CDTF">2026-03-17T08:49:00Z</dcterms:modified>
</cp:coreProperties>
</file>