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E037" w14:textId="317AD20E" w:rsidR="00637162" w:rsidRDefault="000441C1" w:rsidP="000441C1">
      <w:pPr>
        <w:jc w:val="center"/>
        <w:rPr>
          <w:rFonts w:ascii="Times New Roman" w:hAnsi="Times New Roman"/>
          <w:b/>
          <w:color w:val="000000" w:themeColor="text1"/>
          <w:sz w:val="24"/>
          <w:szCs w:val="24"/>
        </w:rPr>
      </w:pPr>
      <w:r w:rsidRPr="000441C1">
        <w:rPr>
          <w:rFonts w:ascii="Times New Roman" w:hAnsi="Times New Roman"/>
          <w:b/>
          <w:color w:val="000000" w:themeColor="text1"/>
          <w:sz w:val="24"/>
          <w:szCs w:val="24"/>
        </w:rPr>
        <w:t>ASYMMETRIC EFFECTS OF MONETARY POLICY SHOCKS: AN ECONOMETRIC ANALYSIS</w:t>
      </w:r>
    </w:p>
    <w:p w14:paraId="58DB661C" w14:textId="77777777" w:rsidR="000441C1" w:rsidRPr="000441C1" w:rsidRDefault="000441C1" w:rsidP="000441C1">
      <w:pPr>
        <w:jc w:val="center"/>
        <w:rPr>
          <w:rFonts w:ascii="Times New Roman" w:hAnsi="Times New Roman"/>
          <w:b/>
          <w:color w:val="000000" w:themeColor="text1"/>
          <w:sz w:val="24"/>
          <w:szCs w:val="24"/>
        </w:rPr>
      </w:pPr>
    </w:p>
    <w:p w14:paraId="464A0369" w14:textId="2071A053" w:rsidR="00412443" w:rsidRPr="00637162" w:rsidRDefault="00637162" w:rsidP="00637162">
      <w:pPr>
        <w:spacing w:line="360" w:lineRule="auto"/>
        <w:jc w:val="both"/>
        <w:rPr>
          <w:rFonts w:ascii="Times New Roman" w:hAnsi="Times New Roman"/>
          <w:bCs/>
          <w:color w:val="000000" w:themeColor="text1"/>
          <w:sz w:val="24"/>
          <w:szCs w:val="24"/>
        </w:rPr>
      </w:pPr>
      <w:r w:rsidRPr="00637162">
        <w:rPr>
          <w:rFonts w:ascii="Times New Roman" w:hAnsi="Times New Roman"/>
          <w:bCs/>
          <w:color w:val="000000" w:themeColor="text1"/>
          <w:sz w:val="24"/>
          <w:szCs w:val="24"/>
        </w:rPr>
        <w:t>Achieving price stability and sustainable economic growth is crucial for economies. Monetary policy plays a significant role in achieving these goals. In addition to monetary policy, shocks to monetary policy and their asymmetric effects are equally important. This study examines the asymmetric effects of monetary policy shocks on output and price levels in the Turkish economy. To determine whether these effects change in different periods, a threshold autoregressive (TAR) model and a nonlinear time series method were estimated. Two different models were constructed. In the first model, the dependent variable was output, whereas in the second model, the dependent variable was the price level. The findings reveal that the relationships between variables under the influence of monetary policy shocks exhibit different dynamics at different threshold periods. According to the results of Model 1, the effect of the price level on output was negative in all regimes, and this effect became more pronounced, especially in the last threshold periods. In contrast, it was found that the effects of the money supply and exchange rate on output were positive. This indicates that increases in the money supply support output, and increases in the exchange rate can increase production through the export channel. According to the results of Model 2, the effect of the exchange rate on the price level was strong. Furthermore, it was observed that the money supply had a positive effect on the price level. The effect of output on the price level differed according to the regimes, being negative in two periods and positive in the last threshold period. Moreover, the findings reveal that both the exchange rate and money supply are significant determinants of both the price level and output.</w:t>
      </w:r>
    </w:p>
    <w:p w14:paraId="68AAEAA3" w14:textId="6B538335" w:rsidR="004C31A4" w:rsidRPr="00412443" w:rsidRDefault="00637162" w:rsidP="00412443">
      <w:pPr>
        <w:spacing w:line="360" w:lineRule="auto"/>
        <w:jc w:val="both"/>
        <w:rPr>
          <w:rFonts w:ascii="Times New Roman" w:hAnsi="Times New Roman"/>
          <w:bCs/>
          <w:iCs/>
          <w:color w:val="000000" w:themeColor="text1"/>
          <w:sz w:val="24"/>
          <w:szCs w:val="24"/>
        </w:rPr>
        <w:sectPr w:rsidR="004C31A4" w:rsidRPr="00412443" w:rsidSect="00140C13">
          <w:headerReference w:type="first" r:id="rId8"/>
          <w:footerReference w:type="first" r:id="rId9"/>
          <w:pgSz w:w="11906" w:h="16838" w:code="9"/>
          <w:pgMar w:top="1701" w:right="1134" w:bottom="1701" w:left="2268" w:header="709" w:footer="709" w:gutter="0"/>
          <w:paperSrc w:first="7"/>
          <w:pgNumType w:fmt="upperRoman" w:start="1"/>
          <w:cols w:space="708"/>
          <w:titlePg/>
          <w:docGrid w:linePitch="360"/>
        </w:sectPr>
      </w:pPr>
      <w:r w:rsidRPr="00637162">
        <w:rPr>
          <w:rFonts w:ascii="Times New Roman" w:hAnsi="Times New Roman"/>
          <w:bCs/>
          <w:color w:val="000000" w:themeColor="text1"/>
          <w:sz w:val="24"/>
          <w:szCs w:val="24"/>
        </w:rPr>
        <w:t>Keywords: Monetary policy shocks, nonlinear time series, threshold autoregressive (TAR) model</w:t>
      </w:r>
    </w:p>
    <w:p w14:paraId="7FF85C88" w14:textId="45CFC0E6" w:rsidR="00AF6DCF" w:rsidRPr="008552F5" w:rsidRDefault="009548AA" w:rsidP="00E176D0">
      <w:pPr>
        <w:pStyle w:val="Heading1"/>
        <w:tabs>
          <w:tab w:val="left" w:pos="567"/>
        </w:tabs>
        <w:spacing w:before="120"/>
        <w:rPr>
          <w:b/>
          <w:color w:val="000000" w:themeColor="text1"/>
          <w:szCs w:val="24"/>
        </w:rPr>
      </w:pPr>
      <w:r>
        <w:rPr>
          <w:b/>
          <w:color w:val="000000" w:themeColor="text1"/>
          <w:szCs w:val="24"/>
        </w:rPr>
        <w:lastRenderedPageBreak/>
        <w:t>1. Introduction</w:t>
      </w:r>
    </w:p>
    <w:p w14:paraId="64B8A7A3" w14:textId="1E5EF3CE"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The determination and effective implementation of monetary policy by central banks is a fundamental policy tool for ensuring price stability in the economy, supporting economic growth, protecting the financial system, and managing economic fluctuations. Therefore, monetary policy decisions are a strategically important tool that directly affects not only financial markets but also production, investment, and consumption decisions.</w:t>
      </w:r>
      <w:r w:rsidR="00801642">
        <w:rPr>
          <w:rFonts w:ascii="Times New Roman" w:hAnsi="Times New Roman"/>
          <w:color w:val="000000" w:themeColor="text1"/>
          <w:sz w:val="24"/>
          <w:szCs w:val="24"/>
        </w:rPr>
        <w:t xml:space="preserve"> </w:t>
      </w:r>
      <w:r w:rsidRPr="00DE5BB1">
        <w:rPr>
          <w:rFonts w:ascii="Times New Roman" w:hAnsi="Times New Roman"/>
          <w:color w:val="000000" w:themeColor="text1"/>
          <w:sz w:val="24"/>
          <w:szCs w:val="24"/>
        </w:rPr>
        <w:t>In particular, monetary policies are too important to be ignored in terms of economic growth and price stability.</w:t>
      </w:r>
    </w:p>
    <w:p w14:paraId="1CFB1D07" w14:textId="5EDFE610"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While Keynesian fiscal policies were effective until the 1970s, negative developments during this period (such as the oil crisis and stagflation) led to questions about fiscal policies. In particular, after the oil crises of 1973, the simultaneous occurrence of high inflation and low growth in many economies revealed that the fiscal policies predicted by the Keynesian approach had limited effectiveness against such shocks. These developments highlight the importance of monetary policy in ensuring price stability and managing inflation and inflation expectations. Since the 1980s, the independence of central banks has strengthened in many countries, and monetary policy has emerged as a key policy tool for ensuring macroeconomic stability.</w:t>
      </w:r>
    </w:p>
    <w:p w14:paraId="4E9D15A3" w14:textId="35FA501B"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The effectiveness of monetary policy varies depending on whether it is expected or unexpected by economic entities. While unexpected increases in the money supply have an impact on the economy, new classical economists argue that expected monetary policies have no effect on the economy, stating that only unexpected monetary policies can affect the real level of production.</w:t>
      </w:r>
    </w:p>
    <w:p w14:paraId="00095FAD" w14:textId="28E6B6AA"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 xml:space="preserve">The positive effects of expansionary monetary policies on production and employment, and their potential pressure on inflation, clearly demonstrate the importance of monetary policy in economic management. Expansionary monetary policies, implemented by lowering interest rates and increasing liquidity, stimulate investment and consumption, leading to increased production and employment in the short term. However, this increase in aggregate demand, especially in economies with limited supply capacity, can create upward pressure on the general price level, leading to higher inflation. Therefore, monetary policy is a crucial tool for maintaining the delicate balance between economic growth and price stability. The primary task of central banks is to create a policy </w:t>
      </w:r>
      <w:r w:rsidRPr="00DE5BB1">
        <w:rPr>
          <w:rFonts w:ascii="Times New Roman" w:hAnsi="Times New Roman"/>
          <w:color w:val="000000" w:themeColor="text1"/>
          <w:sz w:val="24"/>
          <w:szCs w:val="24"/>
        </w:rPr>
        <w:lastRenderedPageBreak/>
        <w:t>framework that supports production and employment while maintaining this balance and simultaneously keeping inflation under control.</w:t>
      </w:r>
    </w:p>
    <w:p w14:paraId="78B4505F" w14:textId="4E281B82"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Contractions in production levels resulting from tight monetary policy may be larger and more permanent than the increases resulting from expansionary monetary policy, suggesting that negative and positive shocks have an asymmetric rather than a symmetric effect. The fact that the effects of monetary policy shocks on macroeconomic variables, particularly inflation and output, differ depending on the direction and economic conditions necessitates the consideration of asymmetric effects in monetary policy analyses.</w:t>
      </w:r>
    </w:p>
    <w:p w14:paraId="2F429B72" w14:textId="66356168"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This study aims to examine monetary policy shocks and their asymmetric effects. The impact of a shock on macroeconomic variables in an economy may differ from the impact of a shock of the same magnitude but with a reverse effect. In this case, it is more accurate to speak of an asymmetric shock rather than a symmetric shock. The difference in the positive and negative movements of variables, that is, the different rates, speeds, and intensities of contraction and expansion, is a phenomenon observed in the economy.</w:t>
      </w:r>
    </w:p>
    <w:p w14:paraId="24E64A30" w14:textId="75129D9C" w:rsidR="00DE5BB1" w:rsidRPr="00DE5BB1" w:rsidRDefault="00DE5BB1" w:rsidP="00DE5BB1">
      <w:pPr>
        <w:tabs>
          <w:tab w:val="left" w:pos="567"/>
        </w:tabs>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The study includes, in the introduction, monetary policy shocks and asymmetric monetary policy shocks; in the third section, econometric methods; in the fourth section, the estimation results of econometric tests; and in the fifth section, the conclusions and evaluation.</w:t>
      </w:r>
    </w:p>
    <w:p w14:paraId="1FDCDD45" w14:textId="67D540BB" w:rsidR="00DE5BB1" w:rsidRPr="00EB005F" w:rsidRDefault="00DE5BB1" w:rsidP="00DE5BB1">
      <w:pPr>
        <w:tabs>
          <w:tab w:val="left" w:pos="567"/>
        </w:tabs>
        <w:spacing w:after="120" w:line="360" w:lineRule="auto"/>
        <w:jc w:val="both"/>
        <w:rPr>
          <w:rFonts w:ascii="Times New Roman" w:hAnsi="Times New Roman"/>
          <w:b/>
          <w:bCs/>
          <w:color w:val="000000" w:themeColor="text1"/>
          <w:sz w:val="24"/>
          <w:szCs w:val="24"/>
        </w:rPr>
      </w:pPr>
      <w:r w:rsidRPr="00EB005F">
        <w:rPr>
          <w:rFonts w:ascii="Times New Roman" w:hAnsi="Times New Roman"/>
          <w:b/>
          <w:bCs/>
          <w:color w:val="000000" w:themeColor="text1"/>
          <w:sz w:val="24"/>
          <w:szCs w:val="24"/>
        </w:rPr>
        <w:t xml:space="preserve">2. Monetary </w:t>
      </w:r>
      <w:r w:rsidR="002906E0" w:rsidRPr="00EB005F">
        <w:rPr>
          <w:rFonts w:ascii="Times New Roman" w:hAnsi="Times New Roman"/>
          <w:b/>
          <w:bCs/>
          <w:color w:val="000000" w:themeColor="text1"/>
          <w:sz w:val="24"/>
          <w:szCs w:val="24"/>
        </w:rPr>
        <w:t>policy shocks and asymmetric monetary policy shocks</w:t>
      </w:r>
    </w:p>
    <w:p w14:paraId="305908AA" w14:textId="0A69CF54" w:rsidR="005024BB" w:rsidRPr="008552F5" w:rsidRDefault="00DE5BB1" w:rsidP="004B55DF">
      <w:pPr>
        <w:spacing w:after="120" w:line="360" w:lineRule="auto"/>
        <w:jc w:val="both"/>
        <w:rPr>
          <w:rFonts w:ascii="Times New Roman" w:hAnsi="Times New Roman"/>
          <w:color w:val="000000" w:themeColor="text1"/>
          <w:sz w:val="24"/>
          <w:szCs w:val="24"/>
        </w:rPr>
      </w:pPr>
      <w:r w:rsidRPr="00DE5BB1">
        <w:rPr>
          <w:rFonts w:ascii="Times New Roman" w:hAnsi="Times New Roman"/>
          <w:color w:val="000000" w:themeColor="text1"/>
          <w:sz w:val="24"/>
          <w:szCs w:val="24"/>
        </w:rPr>
        <w:t>Monetary policy shocks are unexpected and unpredictable changes made by central banks in their monetary policy tools (especially policy interest rates, money supply, or liquidity conditions). Monetary policy shocks can stem from the unexpected behavior of central banks, commercial banks, or individuals. If the monetary policy shock originates from the unexpected behavior of the central bank, it can be defined as originating from the monetary base; if it originates from the unexpected behavior of individuals or commercial banks, it can be defined as originating from the money multiplier (Ergeç, 2007).</w:t>
      </w:r>
    </w:p>
    <w:p w14:paraId="1FFE8B70" w14:textId="3C2A355F" w:rsidR="003D6373" w:rsidRPr="003D6373" w:rsidRDefault="003D6373" w:rsidP="003D6373">
      <w:pPr>
        <w:autoSpaceDE w:val="0"/>
        <w:autoSpaceDN w:val="0"/>
        <w:adjustRightInd w:val="0"/>
        <w:spacing w:after="120" w:line="360" w:lineRule="auto"/>
        <w:jc w:val="both"/>
        <w:rPr>
          <w:rFonts w:ascii="Times New Roman" w:hAnsi="Times New Roman"/>
          <w:iCs/>
          <w:color w:val="000000" w:themeColor="text1"/>
          <w:sz w:val="24"/>
          <w:szCs w:val="24"/>
        </w:rPr>
      </w:pPr>
      <w:r w:rsidRPr="003D6373">
        <w:rPr>
          <w:rFonts w:ascii="Times New Roman" w:hAnsi="Times New Roman"/>
          <w:iCs/>
          <w:color w:val="000000" w:themeColor="text1"/>
          <w:sz w:val="24"/>
          <w:szCs w:val="24"/>
        </w:rPr>
        <w:t xml:space="preserve">The reasons why monetary policy shocks originate from central banks can be listed as changes in central bank preferences, measurement errors, and changes in the interpretation of social costs. Changes in central bank preferences, that is, unexpected behavior, are among the most important causes of monetary policy shocks. Changes in </w:t>
      </w:r>
      <w:r w:rsidRPr="003D6373">
        <w:rPr>
          <w:rFonts w:ascii="Times New Roman" w:hAnsi="Times New Roman"/>
          <w:iCs/>
          <w:color w:val="000000" w:themeColor="text1"/>
          <w:sz w:val="24"/>
          <w:szCs w:val="24"/>
        </w:rPr>
        <w:lastRenderedPageBreak/>
        <w:t>the independent variables in the central bank</w:t>
      </w:r>
      <w:r w:rsidR="00934197">
        <w:rPr>
          <w:rFonts w:ascii="Times New Roman" w:hAnsi="Times New Roman"/>
          <w:iCs/>
          <w:color w:val="000000" w:themeColor="text1"/>
          <w:sz w:val="24"/>
          <w:szCs w:val="24"/>
        </w:rPr>
        <w:t>’</w:t>
      </w:r>
      <w:r w:rsidRPr="003D6373">
        <w:rPr>
          <w:rFonts w:ascii="Times New Roman" w:hAnsi="Times New Roman"/>
          <w:iCs/>
          <w:color w:val="000000" w:themeColor="text1"/>
          <w:sz w:val="24"/>
          <w:szCs w:val="24"/>
        </w:rPr>
        <w:t>s response function, or even changes in their weighting in the model, are among the most effective factors in changing the central bank</w:t>
      </w:r>
      <w:r w:rsidR="00934197">
        <w:rPr>
          <w:rFonts w:ascii="Times New Roman" w:hAnsi="Times New Roman"/>
          <w:iCs/>
          <w:color w:val="000000" w:themeColor="text1"/>
          <w:sz w:val="24"/>
          <w:szCs w:val="24"/>
        </w:rPr>
        <w:t>’</w:t>
      </w:r>
      <w:r w:rsidRPr="003D6373">
        <w:rPr>
          <w:rFonts w:ascii="Times New Roman" w:hAnsi="Times New Roman"/>
          <w:iCs/>
          <w:color w:val="000000" w:themeColor="text1"/>
          <w:sz w:val="24"/>
          <w:szCs w:val="24"/>
        </w:rPr>
        <w:t>s preference. Another factor that can cause a central bank-induced monetary policy shock is the assessment of certain social costs as unbearable in the central bank</w:t>
      </w:r>
      <w:r w:rsidR="00934197">
        <w:rPr>
          <w:rFonts w:ascii="Times New Roman" w:hAnsi="Times New Roman"/>
          <w:iCs/>
          <w:color w:val="000000" w:themeColor="text1"/>
          <w:sz w:val="24"/>
          <w:szCs w:val="24"/>
        </w:rPr>
        <w:t>’</w:t>
      </w:r>
      <w:r w:rsidRPr="003D6373">
        <w:rPr>
          <w:rFonts w:ascii="Times New Roman" w:hAnsi="Times New Roman"/>
          <w:iCs/>
          <w:color w:val="000000" w:themeColor="text1"/>
          <w:sz w:val="24"/>
          <w:szCs w:val="24"/>
        </w:rPr>
        <w:t>s decision-making processes (Ergeç, 2007). These reasons are elements within the control of the central bank. There are also factors outside the control of the central bank that can cause shocks. A central bank that is not independent may be subject to intervention by political authorities. Populist policies implemented can cause monetary policy shocks. Another reason among the causes of monetary policy shocks originating from the central bank is measurement errors. The central bank may have made measurement errors while collecting data. However, in addition to measurement errors, the incorrect establishment of the functional structure of the model to be predicted can also cause monetary policy shocks.</w:t>
      </w:r>
    </w:p>
    <w:p w14:paraId="19EF9ACA" w14:textId="27E030E0" w:rsidR="003D6373" w:rsidRPr="003D6373" w:rsidRDefault="003D6373" w:rsidP="003D6373">
      <w:pPr>
        <w:autoSpaceDE w:val="0"/>
        <w:autoSpaceDN w:val="0"/>
        <w:adjustRightInd w:val="0"/>
        <w:spacing w:after="120" w:line="360" w:lineRule="auto"/>
        <w:jc w:val="both"/>
        <w:rPr>
          <w:rFonts w:ascii="Times New Roman" w:hAnsi="Times New Roman"/>
          <w:iCs/>
          <w:color w:val="000000" w:themeColor="text1"/>
          <w:sz w:val="24"/>
          <w:szCs w:val="24"/>
        </w:rPr>
      </w:pPr>
      <w:r w:rsidRPr="003D6373">
        <w:rPr>
          <w:rFonts w:ascii="Times New Roman" w:hAnsi="Times New Roman"/>
          <w:iCs/>
          <w:color w:val="000000" w:themeColor="text1"/>
          <w:sz w:val="24"/>
          <w:szCs w:val="24"/>
        </w:rPr>
        <w:t>Another reason that can cause an unexpected monetary policy shock in the economy is a shock in the real sector. Shocks can be divided into two categories: real and nominal. Real shocks originate from supply and demand, whereas nominal shocks are caused by changes in the money supply. Accordingly, in the long run, the production level is affected only by aggregate supply shocks, the real exchange rate by aggregate supply and aggregate demand shocks, and the price level by all aggregate supply, aggregate demand, and nominal shocks (Alper, 2011).</w:t>
      </w:r>
    </w:p>
    <w:p w14:paraId="0363177B" w14:textId="6A62EA66" w:rsidR="003D6373" w:rsidRPr="003D6373" w:rsidRDefault="003D6373" w:rsidP="003D6373">
      <w:pPr>
        <w:autoSpaceDE w:val="0"/>
        <w:autoSpaceDN w:val="0"/>
        <w:adjustRightInd w:val="0"/>
        <w:spacing w:after="120" w:line="360" w:lineRule="auto"/>
        <w:jc w:val="both"/>
        <w:rPr>
          <w:rFonts w:ascii="Times New Roman" w:hAnsi="Times New Roman"/>
          <w:iCs/>
          <w:color w:val="000000" w:themeColor="text1"/>
          <w:sz w:val="24"/>
          <w:szCs w:val="24"/>
        </w:rPr>
      </w:pPr>
      <w:r w:rsidRPr="003D6373">
        <w:rPr>
          <w:rFonts w:ascii="Times New Roman" w:hAnsi="Times New Roman"/>
          <w:iCs/>
          <w:color w:val="000000" w:themeColor="text1"/>
          <w:sz w:val="24"/>
          <w:szCs w:val="24"/>
        </w:rPr>
        <w:t>Using the model developed by Lucas (1975), business cycle fluctuations were initially explained by monetary shocks. This was followed by Sargent and Wallace (1975) and Blinder-Fischer (1981). However, although the model that Kydland and Prescott (19</w:t>
      </w:r>
      <w:r w:rsidR="00006C4B">
        <w:rPr>
          <w:rFonts w:ascii="Times New Roman" w:hAnsi="Times New Roman"/>
          <w:iCs/>
          <w:color w:val="000000" w:themeColor="text1"/>
          <w:sz w:val="24"/>
          <w:szCs w:val="24"/>
        </w:rPr>
        <w:t>90</w:t>
      </w:r>
      <w:r w:rsidRPr="003D6373">
        <w:rPr>
          <w:rFonts w:ascii="Times New Roman" w:hAnsi="Times New Roman"/>
          <w:iCs/>
          <w:color w:val="000000" w:themeColor="text1"/>
          <w:sz w:val="24"/>
          <w:szCs w:val="24"/>
        </w:rPr>
        <w:t>) initially established was Lucas</w:t>
      </w:r>
      <w:r w:rsidR="00934197">
        <w:rPr>
          <w:rFonts w:ascii="Times New Roman" w:hAnsi="Times New Roman"/>
          <w:iCs/>
          <w:color w:val="000000" w:themeColor="text1"/>
          <w:sz w:val="24"/>
          <w:szCs w:val="24"/>
        </w:rPr>
        <w:t>’</w:t>
      </w:r>
      <w:r w:rsidRPr="003D6373">
        <w:rPr>
          <w:rFonts w:ascii="Times New Roman" w:hAnsi="Times New Roman"/>
          <w:iCs/>
          <w:color w:val="000000" w:themeColor="text1"/>
          <w:sz w:val="24"/>
          <w:szCs w:val="24"/>
        </w:rPr>
        <w:t xml:space="preserve">s, they explained the fluctuations with real shocks. Lastrapes (1992) stated that a large part of the fluctuations seen in real exchange rates are caused by real shocks. Chen and Wu (1997), Enders and Lee (1997), Erlat and Erlat (1998), Brahmasrene and Jiranyakul (2004), Chowdhury (2004), Ha et al. (2007), Ok et al. (2010), Moura and Da Silva (2011), and Nasir and Malik (2011) also highlighted the importance of real shocks. Soto (2003) emphasizes that nominal shocks are important in the short term, whereas real shocks are important in the long term. Rogers (1998) stated that real shocks can be divided into three types: fiscal, aggregate supply, and aggregate </w:t>
      </w:r>
      <w:r w:rsidRPr="003D6373">
        <w:rPr>
          <w:rFonts w:ascii="Times New Roman" w:hAnsi="Times New Roman"/>
          <w:iCs/>
          <w:color w:val="000000" w:themeColor="text1"/>
          <w:sz w:val="24"/>
          <w:szCs w:val="24"/>
        </w:rPr>
        <w:lastRenderedPageBreak/>
        <w:t>demand shocks, while nominal shocks can be divided into two types: monetary base and money multiplier shocks (Alper, 2011).</w:t>
      </w:r>
    </w:p>
    <w:p w14:paraId="0B886A81" w14:textId="0042759A" w:rsidR="003D6373" w:rsidRPr="003D6373" w:rsidRDefault="003D6373" w:rsidP="003D6373">
      <w:pPr>
        <w:autoSpaceDE w:val="0"/>
        <w:autoSpaceDN w:val="0"/>
        <w:adjustRightInd w:val="0"/>
        <w:spacing w:after="120" w:line="360" w:lineRule="auto"/>
        <w:jc w:val="both"/>
        <w:rPr>
          <w:rFonts w:ascii="Times New Roman" w:hAnsi="Times New Roman"/>
          <w:iCs/>
          <w:color w:val="000000" w:themeColor="text1"/>
          <w:sz w:val="24"/>
          <w:szCs w:val="24"/>
        </w:rPr>
      </w:pPr>
      <w:r w:rsidRPr="003D6373">
        <w:rPr>
          <w:rFonts w:ascii="Times New Roman" w:hAnsi="Times New Roman"/>
          <w:iCs/>
          <w:color w:val="000000" w:themeColor="text1"/>
          <w:sz w:val="24"/>
          <w:szCs w:val="24"/>
        </w:rPr>
        <w:t>Real business-cycle theory states that business-cycle fluctuations are caused by external shocks, and that the economy would be stagnant in the absence of these shocks. The concept of shock is explained by external technological shocks, which are defined by changes in productivity. Real business-cycle theory argues that business-cycle fluctuations are caused by real shocks rather than monetary shocks. Prescott (1986) considers the technological shock process to be external. Total factor productivity is considered an indicator of technological shocks. However, Hall (1988) states that using changes in total factor productivity alone as an indicator of an external technological shock may be incorrect</w:t>
      </w:r>
      <w:r w:rsidR="00DB24BA">
        <w:rPr>
          <w:rFonts w:ascii="Times New Roman" w:hAnsi="Times New Roman"/>
          <w:iCs/>
          <w:color w:val="000000" w:themeColor="text1"/>
          <w:sz w:val="24"/>
          <w:szCs w:val="24"/>
        </w:rPr>
        <w:t>.</w:t>
      </w:r>
    </w:p>
    <w:p w14:paraId="5608DC42" w14:textId="32C61A8E" w:rsidR="003D6373" w:rsidRPr="003D6373" w:rsidRDefault="003D6373" w:rsidP="003D6373">
      <w:pPr>
        <w:autoSpaceDE w:val="0"/>
        <w:autoSpaceDN w:val="0"/>
        <w:adjustRightInd w:val="0"/>
        <w:spacing w:after="120" w:line="360" w:lineRule="auto"/>
        <w:jc w:val="both"/>
        <w:rPr>
          <w:rFonts w:ascii="Times New Roman" w:hAnsi="Times New Roman"/>
          <w:iCs/>
          <w:color w:val="000000" w:themeColor="text1"/>
          <w:sz w:val="24"/>
          <w:szCs w:val="24"/>
        </w:rPr>
      </w:pPr>
      <w:r w:rsidRPr="003D6373">
        <w:rPr>
          <w:rFonts w:ascii="Times New Roman" w:hAnsi="Times New Roman"/>
          <w:iCs/>
          <w:color w:val="000000" w:themeColor="text1"/>
          <w:sz w:val="24"/>
          <w:szCs w:val="24"/>
        </w:rPr>
        <w:t>Real business cycle theory attributes shocks entirely to real factors. The theory points out that in an economy with perfectly competitive market conditions and no price rigidity, real shocks can cause business cycle movements (Kydland and Prescott, 19</w:t>
      </w:r>
      <w:r w:rsidR="00B262EB">
        <w:rPr>
          <w:rFonts w:ascii="Times New Roman" w:hAnsi="Times New Roman"/>
          <w:iCs/>
          <w:color w:val="000000" w:themeColor="text1"/>
          <w:sz w:val="24"/>
          <w:szCs w:val="24"/>
        </w:rPr>
        <w:t>90</w:t>
      </w:r>
      <w:r w:rsidRPr="003D6373">
        <w:rPr>
          <w:rFonts w:ascii="Times New Roman" w:hAnsi="Times New Roman"/>
          <w:iCs/>
          <w:color w:val="000000" w:themeColor="text1"/>
          <w:sz w:val="24"/>
          <w:szCs w:val="24"/>
        </w:rPr>
        <w:t>). Another factor that can cause unexpected monetary policy shocks in the economy is shocks originating from international markets, as well as shocks in the real sector.</w:t>
      </w:r>
    </w:p>
    <w:p w14:paraId="7E912075" w14:textId="0E02E6EB" w:rsidR="00E4378A" w:rsidRPr="008552F5" w:rsidRDefault="003D6373" w:rsidP="004B55DF">
      <w:pPr>
        <w:spacing w:after="120" w:line="360" w:lineRule="auto"/>
        <w:jc w:val="both"/>
        <w:rPr>
          <w:rFonts w:ascii="Times New Roman" w:hAnsi="Times New Roman"/>
          <w:bCs/>
          <w:color w:val="000000" w:themeColor="text1"/>
          <w:sz w:val="24"/>
          <w:szCs w:val="24"/>
        </w:rPr>
      </w:pPr>
      <w:r w:rsidRPr="003D6373">
        <w:rPr>
          <w:rFonts w:ascii="Times New Roman" w:hAnsi="Times New Roman"/>
          <w:iCs/>
          <w:color w:val="000000" w:themeColor="text1"/>
          <w:sz w:val="24"/>
          <w:szCs w:val="24"/>
        </w:rPr>
        <w:t>An external shock in oil prices or in international financial markets can also affect the attitudes of individuals and commercial banks, leading to changes in monetary policy indicators. The sudden increases in crude oil prices in 1974 and 1979 manifested as real sector-related international shocks for many oil-importing countries.</w:t>
      </w:r>
    </w:p>
    <w:p w14:paraId="58BA285A" w14:textId="77777777" w:rsidR="00D5438C" w:rsidRPr="00D5438C" w:rsidRDefault="00D5438C" w:rsidP="00D5438C">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 xml:space="preserve">Monetary policy shocks, as well as their asymmetric effects, play a very important role in the economy. The interactions between macroeconomic variables are not always in the same direction, nor are their intensities uniform. The response of variables may differ during periods of expansion and contraction. Although contractions in variables are generally shorter than expansions, they often elicit a more severe response. It can be said that variables enter expansion periods more smoothly, and the effect lasts longer. When an existing asymmetric relationship is estimated as if it were a symmetric relationship, it can lead to incorrect conclusions. Therefore, correctly defining the asymmetric relationship and accurately estimating its intensity and direction is crucial for the successful implementation of monetary policy. A positive monetary policy shock can be defined as an increase in monetary policy indicators, while a negative monetary policy </w:t>
      </w:r>
      <w:r w:rsidRPr="00D5438C">
        <w:rPr>
          <w:rFonts w:ascii="Times New Roman" w:hAnsi="Times New Roman"/>
          <w:color w:val="000000" w:themeColor="text1"/>
          <w:sz w:val="24"/>
          <w:szCs w:val="24"/>
        </w:rPr>
        <w:lastRenderedPageBreak/>
        <w:t>shock can be defined as a decrease in monetary policy. The effects of positive and negative monetary policy shocks on macroeconomic variables differ. For example, the effect of a negative monetary policy shock on output may be stronger than that of a positive monetary policy shock. Supply-side asymmetry is based on the short-term aggregate supply curve having a positive slope. The downward inelasticity of prices and wages causes monetary policy shocks to have asymmetric effects. Demand-side asymmetry, on the other hand, suggests that asymmetric behavior on the demand side of the economy causes monetary policy to have an asymmetric effect. Both of these views indicate that negative shocks have a stronger impact on output. In terms of prices, supply-side asymmetry is weaker, while demand-side asymmetry is strong (Ergeç, 2007).</w:t>
      </w:r>
    </w:p>
    <w:p w14:paraId="78AAD9F6" w14:textId="77777777" w:rsidR="00D5438C" w:rsidRPr="00D5438C" w:rsidRDefault="00D5438C" w:rsidP="00D5438C">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In the face of a positive demand shock, firms generally increase production, but sometimes they also increase prices. On the other hand, when there is a negative demand shock, the most common policy followed by firms is to reduce production, while lowering prices is a policy that firms sometimes resort to.</w:t>
      </w:r>
    </w:p>
    <w:p w14:paraId="4D78A754" w14:textId="77777777" w:rsidR="00D5438C" w:rsidRPr="00D5438C" w:rsidRDefault="00D5438C" w:rsidP="00D5438C">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Regarding the judgments about the asymmetric effect of monetary policy shocks on prices, according to the convex supply curve, a negative monetary policy shock has weaker effects on prices than positive shocks, while in the case of demand-side asymmetry, the effect of a negative monetary policy shock on prices is stronger than that of positive shocks. However, considering the impact of monetary policy shocks on prices, it is seen that the supply-side asymmetry situation is more dominant than the demand-side asymmetry on positive and negative shock asymmetry (Ergeç, 2007).</w:t>
      </w:r>
    </w:p>
    <w:p w14:paraId="28B83030" w14:textId="30D802D4" w:rsidR="00D5438C" w:rsidRPr="00302D0A" w:rsidRDefault="00D5438C" w:rsidP="00D5438C">
      <w:pPr>
        <w:spacing w:after="120" w:line="360" w:lineRule="auto"/>
        <w:jc w:val="both"/>
        <w:rPr>
          <w:rFonts w:ascii="Times New Roman" w:hAnsi="Times New Roman"/>
          <w:b/>
          <w:bCs/>
          <w:color w:val="000000" w:themeColor="text1"/>
          <w:sz w:val="24"/>
          <w:szCs w:val="24"/>
        </w:rPr>
      </w:pPr>
      <w:r w:rsidRPr="00302D0A">
        <w:rPr>
          <w:rFonts w:ascii="Times New Roman" w:hAnsi="Times New Roman"/>
          <w:b/>
          <w:bCs/>
          <w:color w:val="000000" w:themeColor="text1"/>
          <w:sz w:val="24"/>
          <w:szCs w:val="24"/>
        </w:rPr>
        <w:t xml:space="preserve">3. Econometric </w:t>
      </w:r>
      <w:r w:rsidR="00302D0A">
        <w:rPr>
          <w:rFonts w:ascii="Times New Roman" w:hAnsi="Times New Roman"/>
          <w:b/>
          <w:bCs/>
          <w:color w:val="000000" w:themeColor="text1"/>
          <w:sz w:val="24"/>
          <w:szCs w:val="24"/>
        </w:rPr>
        <w:t>m</w:t>
      </w:r>
      <w:r w:rsidRPr="00302D0A">
        <w:rPr>
          <w:rFonts w:ascii="Times New Roman" w:hAnsi="Times New Roman"/>
          <w:b/>
          <w:bCs/>
          <w:color w:val="000000" w:themeColor="text1"/>
          <w:sz w:val="24"/>
          <w:szCs w:val="24"/>
        </w:rPr>
        <w:t>ethods</w:t>
      </w:r>
    </w:p>
    <w:p w14:paraId="3D1D5FC7" w14:textId="5602D413" w:rsidR="00D5438C" w:rsidRPr="00D5438C" w:rsidRDefault="00D5438C" w:rsidP="00D5438C">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Neftçi (1984), who expressed the importance of nonlinear time series analysis in economics, expressed the cyclical asymmetry in economic variables by testing whether the transition probabilities in the Markov chain are equal in expansion and contraction periods for the US unemployment data. Hamilton</w:t>
      </w:r>
      <w:r w:rsidR="00934197">
        <w:rPr>
          <w:rFonts w:ascii="Times New Roman" w:hAnsi="Times New Roman"/>
          <w:color w:val="000000" w:themeColor="text1"/>
          <w:sz w:val="24"/>
          <w:szCs w:val="24"/>
        </w:rPr>
        <w:t>’</w:t>
      </w:r>
      <w:r w:rsidRPr="00D5438C">
        <w:rPr>
          <w:rFonts w:ascii="Times New Roman" w:hAnsi="Times New Roman"/>
          <w:color w:val="000000" w:themeColor="text1"/>
          <w:sz w:val="24"/>
          <w:szCs w:val="24"/>
        </w:rPr>
        <w:t>s (1989) Markov transition AR (MS-AR) model is an important nonlinear model with regime switching characteristics. Hamilton modeled the asymmetry exhibited by the US growth rate in cyclical movements using the transition probabilities in the Markov chain. In Hamilton</w:t>
      </w:r>
      <w:r w:rsidR="00934197">
        <w:rPr>
          <w:rFonts w:ascii="Times New Roman" w:hAnsi="Times New Roman"/>
          <w:color w:val="000000" w:themeColor="text1"/>
          <w:sz w:val="24"/>
          <w:szCs w:val="24"/>
        </w:rPr>
        <w:t>’</w:t>
      </w:r>
      <w:r w:rsidRPr="00D5438C">
        <w:rPr>
          <w:rFonts w:ascii="Times New Roman" w:hAnsi="Times New Roman"/>
          <w:color w:val="000000" w:themeColor="text1"/>
          <w:sz w:val="24"/>
          <w:szCs w:val="24"/>
        </w:rPr>
        <w:t xml:space="preserve">s model, the transition between regimes is determined by an unobservable process. However, there are also models where the transition between regimes is determined through an observed variable. </w:t>
      </w:r>
      <w:r w:rsidRPr="00D5438C">
        <w:rPr>
          <w:rFonts w:ascii="Times New Roman" w:hAnsi="Times New Roman"/>
          <w:color w:val="000000" w:themeColor="text1"/>
          <w:sz w:val="24"/>
          <w:szCs w:val="24"/>
        </w:rPr>
        <w:lastRenderedPageBreak/>
        <w:t>The TAR model proposed by Tsay (1989) and Tong (1990), and the STAR model presented by Teräsvirta and Anderson (1992), Granger and Teräsvirta (1993), and Teräsvirta (1994) are examples of such models (Karaduman, 2007).</w:t>
      </w:r>
    </w:p>
    <w:p w14:paraId="5C04F4BF" w14:textId="49844761" w:rsidR="00D5438C" w:rsidRPr="00D5438C" w:rsidRDefault="00D5438C" w:rsidP="00D5438C">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This study aims to analyze the asymmetric effects of monetary policy shocks on output and the general price level. The methods used to achieve this goal are presented in this section. Before this analysis, stationarity tests were conducted to determine whether the series contained unit roots.</w:t>
      </w:r>
    </w:p>
    <w:p w14:paraId="15CAC43F" w14:textId="6B82F460" w:rsidR="00D5438C" w:rsidRPr="00966D03" w:rsidRDefault="00D5438C" w:rsidP="00D5438C">
      <w:pPr>
        <w:spacing w:after="120" w:line="360" w:lineRule="auto"/>
        <w:jc w:val="both"/>
        <w:rPr>
          <w:rFonts w:ascii="Times New Roman" w:hAnsi="Times New Roman"/>
          <w:b/>
          <w:bCs/>
          <w:color w:val="000000" w:themeColor="text1"/>
          <w:sz w:val="24"/>
          <w:szCs w:val="24"/>
        </w:rPr>
      </w:pPr>
      <w:r w:rsidRPr="00966D03">
        <w:rPr>
          <w:rFonts w:ascii="Times New Roman" w:hAnsi="Times New Roman"/>
          <w:b/>
          <w:bCs/>
          <w:color w:val="000000" w:themeColor="text1"/>
          <w:sz w:val="24"/>
          <w:szCs w:val="24"/>
        </w:rPr>
        <w:t xml:space="preserve">3.1. Unit </w:t>
      </w:r>
      <w:r w:rsidR="00302D0A" w:rsidRPr="00966D03">
        <w:rPr>
          <w:rFonts w:ascii="Times New Roman" w:hAnsi="Times New Roman"/>
          <w:b/>
          <w:bCs/>
          <w:color w:val="000000" w:themeColor="text1"/>
          <w:sz w:val="24"/>
          <w:szCs w:val="24"/>
        </w:rPr>
        <w:t>root tests</w:t>
      </w:r>
    </w:p>
    <w:p w14:paraId="6BB6F844" w14:textId="550F2F70" w:rsidR="00E92D8F" w:rsidRDefault="00D5438C" w:rsidP="0029674B">
      <w:pPr>
        <w:spacing w:after="120" w:line="360" w:lineRule="auto"/>
        <w:jc w:val="both"/>
        <w:rPr>
          <w:rFonts w:ascii="Times New Roman" w:hAnsi="Times New Roman"/>
          <w:color w:val="000000" w:themeColor="text1"/>
          <w:sz w:val="24"/>
          <w:szCs w:val="24"/>
        </w:rPr>
      </w:pPr>
      <w:r w:rsidRPr="00D5438C">
        <w:rPr>
          <w:rFonts w:ascii="Times New Roman" w:hAnsi="Times New Roman"/>
          <w:color w:val="000000" w:themeColor="text1"/>
          <w:sz w:val="24"/>
          <w:szCs w:val="24"/>
        </w:rPr>
        <w:t xml:space="preserve">Stationarity can be defined as the process where the mean and variance of a time series do not change over time, and the covariance remains the same at each lag. If the </w:t>
      </w:r>
      <w:r w:rsidR="00E92D8F" w:rsidRPr="00E92D8F">
        <w:rPr>
          <w:rFonts w:ascii="Times New Roman" w:hAnsi="Times New Roman"/>
          <w:color w:val="000000" w:themeColor="text1"/>
          <w:sz w:val="24"/>
          <w:szCs w:val="24"/>
        </w:rPr>
        <w:t>X</w:t>
      </w:r>
      <w:r w:rsidR="00E92D8F" w:rsidRPr="00E92D8F">
        <w:rPr>
          <w:rFonts w:ascii="Times New Roman" w:hAnsi="Times New Roman"/>
          <w:color w:val="000000" w:themeColor="text1"/>
          <w:sz w:val="24"/>
          <w:szCs w:val="24"/>
          <w:vertAlign w:val="subscript"/>
        </w:rPr>
        <w:t>t</w:t>
      </w:r>
      <w:r w:rsidRPr="00D5438C">
        <w:rPr>
          <w:rFonts w:ascii="Times New Roman" w:hAnsi="Times New Roman"/>
          <w:color w:val="000000" w:themeColor="text1"/>
          <w:sz w:val="24"/>
          <w:szCs w:val="24"/>
        </w:rPr>
        <w:t xml:space="preserve"> series is stationary, it means that the mean, variance, and covariance of </w:t>
      </w:r>
      <w:r w:rsidR="003F3C82" w:rsidRPr="003F3C82">
        <w:rPr>
          <w:rFonts w:ascii="Times New Roman" w:hAnsi="Times New Roman"/>
          <w:color w:val="000000" w:themeColor="text1"/>
          <w:sz w:val="24"/>
          <w:szCs w:val="24"/>
        </w:rPr>
        <w:t>X</w:t>
      </w:r>
      <w:r w:rsidR="003F3C82" w:rsidRPr="003F3C82">
        <w:rPr>
          <w:rFonts w:ascii="Times New Roman" w:hAnsi="Times New Roman"/>
          <w:color w:val="000000" w:themeColor="text1"/>
          <w:sz w:val="24"/>
          <w:szCs w:val="24"/>
          <w:vertAlign w:val="subscript"/>
        </w:rPr>
        <w:t>t+m</w:t>
      </w:r>
      <w:r w:rsidRPr="00D5438C">
        <w:rPr>
          <w:rFonts w:ascii="Times New Roman" w:hAnsi="Times New Roman"/>
          <w:color w:val="000000" w:themeColor="text1"/>
          <w:sz w:val="24"/>
          <w:szCs w:val="24"/>
        </w:rPr>
        <w:t xml:space="preserve"> are the same as those of </w:t>
      </w:r>
      <w:r w:rsidR="003F3C82" w:rsidRPr="003F3C82">
        <w:rPr>
          <w:rFonts w:ascii="Times New Roman" w:hAnsi="Times New Roman"/>
          <w:color w:val="000000" w:themeColor="text1"/>
          <w:sz w:val="24"/>
          <w:szCs w:val="24"/>
        </w:rPr>
        <w:t>X</w:t>
      </w:r>
      <w:r w:rsidR="003F3C82" w:rsidRPr="003F3C82">
        <w:rPr>
          <w:rFonts w:ascii="Times New Roman" w:hAnsi="Times New Roman"/>
          <w:color w:val="000000" w:themeColor="text1"/>
          <w:sz w:val="24"/>
          <w:szCs w:val="24"/>
          <w:vertAlign w:val="subscript"/>
        </w:rPr>
        <w:t>t</w:t>
      </w:r>
      <w:r w:rsidRPr="00D5438C">
        <w:rPr>
          <w:rFonts w:ascii="Times New Roman" w:hAnsi="Times New Roman"/>
          <w:color w:val="000000" w:themeColor="text1"/>
          <w:sz w:val="24"/>
          <w:szCs w:val="24"/>
        </w:rPr>
        <w:t>. In short, stationarity means that the mean, variance, and covariance of a series have the same value whenever they are measured.</w:t>
      </w:r>
    </w:p>
    <w:p w14:paraId="7883B26D" w14:textId="4E453FEB" w:rsidR="004C4BB1" w:rsidRPr="008552F5" w:rsidRDefault="003F3C82" w:rsidP="00401B72">
      <w:pPr>
        <w:spacing w:after="120" w:line="360" w:lineRule="auto"/>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Mean</w:t>
      </w:r>
      <w:r w:rsidR="004C4BB1" w:rsidRPr="008552F5">
        <w:rPr>
          <w:rFonts w:ascii="Times New Roman" w:hAnsi="Times New Roman"/>
          <w:color w:val="000000" w:themeColor="text1"/>
          <w:sz w:val="24"/>
          <w:szCs w:val="24"/>
        </w:rPr>
        <w:t>:</w:t>
      </w:r>
      <w:r w:rsidR="00401B72">
        <w:rPr>
          <w:rFonts w:ascii="Times New Roman" w:hAnsi="Times New Roman"/>
          <w:color w:val="000000" w:themeColor="text1"/>
          <w:sz w:val="24"/>
          <w:szCs w:val="24"/>
        </w:rPr>
        <w:t xml:space="preserve"> </w:t>
      </w:r>
      <w:r w:rsidR="004C4BB1" w:rsidRPr="008552F5">
        <w:rPr>
          <w:rFonts w:ascii="Times New Roman" w:hAnsi="Times New Roman"/>
          <w:color w:val="000000" w:themeColor="text1"/>
          <w:sz w:val="24"/>
          <w:szCs w:val="24"/>
        </w:rPr>
        <w:t>E(X</w:t>
      </w:r>
      <w:r w:rsidR="004C4BB1" w:rsidRPr="008552F5">
        <w:rPr>
          <w:rFonts w:ascii="Times New Roman" w:hAnsi="Times New Roman"/>
          <w:color w:val="000000" w:themeColor="text1"/>
          <w:sz w:val="24"/>
          <w:szCs w:val="24"/>
          <w:vertAlign w:val="subscript"/>
        </w:rPr>
        <w:t>t</w:t>
      </w:r>
      <w:r w:rsidR="004C4BB1" w:rsidRPr="008552F5">
        <w:rPr>
          <w:rFonts w:ascii="Times New Roman" w:hAnsi="Times New Roman"/>
          <w:color w:val="000000" w:themeColor="text1"/>
          <w:sz w:val="24"/>
          <w:szCs w:val="24"/>
        </w:rPr>
        <w:t>)=µ</w:t>
      </w:r>
    </w:p>
    <w:p w14:paraId="6F60EC8A" w14:textId="06B4E6FA" w:rsidR="004C4BB1" w:rsidRPr="008552F5" w:rsidRDefault="0092424A" w:rsidP="00401B72">
      <w:pPr>
        <w:spacing w:after="120" w:line="360" w:lineRule="auto"/>
        <w:ind w:firstLine="567"/>
        <w:jc w:val="center"/>
        <w:rPr>
          <w:rFonts w:ascii="Times New Roman" w:hAnsi="Times New Roman"/>
          <w:color w:val="000000" w:themeColor="text1"/>
          <w:sz w:val="24"/>
          <w:szCs w:val="24"/>
        </w:rPr>
      </w:pPr>
      <w:r w:rsidRPr="0092424A">
        <w:rPr>
          <w:rFonts w:ascii="Times New Roman" w:hAnsi="Times New Roman"/>
          <w:color w:val="000000" w:themeColor="text1"/>
          <w:sz w:val="24"/>
          <w:szCs w:val="24"/>
        </w:rPr>
        <w:t>Variance</w:t>
      </w:r>
      <w:r w:rsidR="004C4BB1" w:rsidRPr="008552F5">
        <w:rPr>
          <w:rFonts w:ascii="Times New Roman" w:hAnsi="Times New Roman"/>
          <w:color w:val="000000" w:themeColor="text1"/>
          <w:sz w:val="24"/>
          <w:szCs w:val="24"/>
        </w:rPr>
        <w:t>:</w:t>
      </w:r>
      <w:r w:rsidR="00401B72">
        <w:rPr>
          <w:rFonts w:ascii="Times New Roman" w:hAnsi="Times New Roman"/>
          <w:color w:val="000000" w:themeColor="text1"/>
          <w:sz w:val="24"/>
          <w:szCs w:val="24"/>
        </w:rPr>
        <w:t xml:space="preserve"> </w:t>
      </w:r>
      <w:r w:rsidR="004C4BB1" w:rsidRPr="008552F5">
        <w:rPr>
          <w:rFonts w:ascii="Times New Roman" w:hAnsi="Times New Roman"/>
          <w:color w:val="000000" w:themeColor="text1"/>
          <w:sz w:val="24"/>
          <w:szCs w:val="24"/>
        </w:rPr>
        <w:t>Var(X</w:t>
      </w:r>
      <w:r w:rsidR="004C4BB1" w:rsidRPr="008552F5">
        <w:rPr>
          <w:rFonts w:ascii="Times New Roman" w:hAnsi="Times New Roman"/>
          <w:color w:val="000000" w:themeColor="text1"/>
          <w:sz w:val="24"/>
          <w:szCs w:val="24"/>
          <w:vertAlign w:val="subscript"/>
        </w:rPr>
        <w:t>t</w:t>
      </w:r>
      <w:r w:rsidR="004C4BB1" w:rsidRPr="008552F5">
        <w:rPr>
          <w:rFonts w:ascii="Times New Roman" w:hAnsi="Times New Roman"/>
          <w:color w:val="000000" w:themeColor="text1"/>
          <w:sz w:val="24"/>
          <w:szCs w:val="24"/>
        </w:rPr>
        <w:t>)=E(X</w:t>
      </w:r>
      <w:r w:rsidR="004C4BB1" w:rsidRPr="008552F5">
        <w:rPr>
          <w:rFonts w:ascii="Times New Roman" w:hAnsi="Times New Roman"/>
          <w:color w:val="000000" w:themeColor="text1"/>
          <w:sz w:val="24"/>
          <w:szCs w:val="24"/>
          <w:vertAlign w:val="subscript"/>
        </w:rPr>
        <w:t>t-µ</w:t>
      </w:r>
      <w:r w:rsidR="004C4BB1" w:rsidRPr="008552F5">
        <w:rPr>
          <w:rFonts w:ascii="Times New Roman" w:hAnsi="Times New Roman"/>
          <w:color w:val="000000" w:themeColor="text1"/>
          <w:sz w:val="24"/>
          <w:szCs w:val="24"/>
        </w:rPr>
        <w:t>)</w:t>
      </w:r>
      <w:r w:rsidR="004C4BB1" w:rsidRPr="008552F5">
        <w:rPr>
          <w:rFonts w:ascii="Times New Roman" w:hAnsi="Times New Roman"/>
          <w:color w:val="000000" w:themeColor="text1"/>
          <w:sz w:val="24"/>
          <w:szCs w:val="24"/>
          <w:vertAlign w:val="superscript"/>
        </w:rPr>
        <w:t>2</w:t>
      </w:r>
      <w:r w:rsidR="004C4BB1" w:rsidRPr="008552F5">
        <w:rPr>
          <w:rFonts w:ascii="Times New Roman" w:hAnsi="Times New Roman"/>
          <w:color w:val="000000" w:themeColor="text1"/>
          <w:sz w:val="24"/>
          <w:szCs w:val="24"/>
        </w:rPr>
        <w:t>=σ</w:t>
      </w:r>
      <w:r w:rsidR="004C4BB1" w:rsidRPr="008552F5">
        <w:rPr>
          <w:rFonts w:ascii="Times New Roman" w:hAnsi="Times New Roman"/>
          <w:color w:val="000000" w:themeColor="text1"/>
          <w:sz w:val="24"/>
          <w:szCs w:val="24"/>
          <w:vertAlign w:val="superscript"/>
        </w:rPr>
        <w:t>2</w:t>
      </w:r>
    </w:p>
    <w:p w14:paraId="0C1A7002" w14:textId="330170FE" w:rsidR="004C4BB1" w:rsidRPr="008552F5" w:rsidRDefault="0092424A" w:rsidP="00401B72">
      <w:pPr>
        <w:spacing w:after="120" w:line="360" w:lineRule="auto"/>
        <w:ind w:firstLine="567"/>
        <w:jc w:val="center"/>
        <w:rPr>
          <w:rFonts w:ascii="Times New Roman" w:hAnsi="Times New Roman"/>
          <w:color w:val="000000" w:themeColor="text1"/>
          <w:sz w:val="24"/>
          <w:szCs w:val="24"/>
        </w:rPr>
      </w:pPr>
      <w:r w:rsidRPr="0092424A">
        <w:rPr>
          <w:rFonts w:ascii="Times New Roman" w:hAnsi="Times New Roman"/>
          <w:color w:val="000000" w:themeColor="text1"/>
          <w:sz w:val="24"/>
          <w:szCs w:val="24"/>
        </w:rPr>
        <w:t>Covariance</w:t>
      </w:r>
      <w:r w:rsidR="004C4BB1" w:rsidRPr="008552F5">
        <w:rPr>
          <w:rFonts w:ascii="Times New Roman" w:hAnsi="Times New Roman"/>
          <w:color w:val="000000" w:themeColor="text1"/>
          <w:sz w:val="24"/>
          <w:szCs w:val="24"/>
        </w:rPr>
        <w:t>:</w:t>
      </w:r>
      <w:r w:rsidR="00401B72">
        <w:rPr>
          <w:rFonts w:ascii="Times New Roman" w:hAnsi="Times New Roman"/>
          <w:color w:val="000000" w:themeColor="text1"/>
          <w:sz w:val="24"/>
          <w:szCs w:val="24"/>
        </w:rPr>
        <w:t xml:space="preserve"> </w:t>
      </w:r>
      <w:r w:rsidR="004C4BB1" w:rsidRPr="008552F5">
        <w:rPr>
          <w:rFonts w:ascii="Times New Roman" w:hAnsi="Times New Roman"/>
          <w:color w:val="000000" w:themeColor="text1"/>
          <w:sz w:val="24"/>
          <w:szCs w:val="24"/>
        </w:rPr>
        <w:t>λ</w:t>
      </w:r>
      <w:r w:rsidR="004C4BB1" w:rsidRPr="008552F5">
        <w:rPr>
          <w:rFonts w:ascii="Times New Roman" w:hAnsi="Times New Roman"/>
          <w:color w:val="000000" w:themeColor="text1"/>
          <w:sz w:val="24"/>
          <w:szCs w:val="24"/>
          <w:vertAlign w:val="subscript"/>
        </w:rPr>
        <w:t>k</w:t>
      </w:r>
      <w:r w:rsidR="004C4BB1" w:rsidRPr="008552F5">
        <w:rPr>
          <w:rFonts w:ascii="Times New Roman" w:hAnsi="Times New Roman"/>
          <w:color w:val="000000" w:themeColor="text1"/>
          <w:sz w:val="24"/>
          <w:szCs w:val="24"/>
        </w:rPr>
        <w:t>=E[(X</w:t>
      </w:r>
      <w:r w:rsidR="004C4BB1" w:rsidRPr="008552F5">
        <w:rPr>
          <w:rFonts w:ascii="Times New Roman" w:hAnsi="Times New Roman"/>
          <w:color w:val="000000" w:themeColor="text1"/>
          <w:sz w:val="24"/>
          <w:szCs w:val="24"/>
          <w:vertAlign w:val="subscript"/>
        </w:rPr>
        <w:t>t-μ</w:t>
      </w:r>
      <w:r w:rsidR="004C4BB1" w:rsidRPr="008552F5">
        <w:rPr>
          <w:rFonts w:ascii="Times New Roman" w:hAnsi="Times New Roman"/>
          <w:color w:val="000000" w:themeColor="text1"/>
          <w:sz w:val="24"/>
          <w:szCs w:val="24"/>
        </w:rPr>
        <w:t>)(X</w:t>
      </w:r>
      <w:r w:rsidR="004C4BB1" w:rsidRPr="008552F5">
        <w:rPr>
          <w:rFonts w:ascii="Times New Roman" w:hAnsi="Times New Roman"/>
          <w:color w:val="000000" w:themeColor="text1"/>
          <w:sz w:val="24"/>
          <w:szCs w:val="24"/>
          <w:vertAlign w:val="subscript"/>
        </w:rPr>
        <w:t>t+m-μ</w:t>
      </w:r>
      <w:r w:rsidR="004C4BB1" w:rsidRPr="008552F5">
        <w:rPr>
          <w:rFonts w:ascii="Times New Roman" w:hAnsi="Times New Roman"/>
          <w:color w:val="000000" w:themeColor="text1"/>
          <w:sz w:val="24"/>
          <w:szCs w:val="24"/>
        </w:rPr>
        <w:t>)]</w:t>
      </w:r>
    </w:p>
    <w:p w14:paraId="24BE8CEA" w14:textId="67CAF871" w:rsidR="00321152" w:rsidRPr="00321152" w:rsidRDefault="00321152" w:rsidP="00321152">
      <w:pPr>
        <w:spacing w:after="120" w:line="360" w:lineRule="auto"/>
        <w:jc w:val="both"/>
        <w:rPr>
          <w:rFonts w:ascii="Times New Roman" w:hAnsi="Times New Roman"/>
          <w:color w:val="000000" w:themeColor="text1"/>
          <w:sz w:val="24"/>
          <w:szCs w:val="24"/>
        </w:rPr>
      </w:pPr>
      <w:r w:rsidRPr="00321152">
        <w:rPr>
          <w:rFonts w:ascii="Times New Roman" w:hAnsi="Times New Roman"/>
          <w:color w:val="000000" w:themeColor="text1"/>
          <w:sz w:val="24"/>
          <w:szCs w:val="24"/>
        </w:rPr>
        <w:t>A series containing a unit root (non-stationary) is called a random-walk time series. A time series with a random walk does not return to its long-term average level after a transient shock and follows a random course. Therefore, regression estimation with series exhibiting a random walk yields unrealistic results, and the assumptions of the least-squares method become invalid. In such a case, the estimated coefficients are not consistent. Therefore, to examine the asymmetric effect, the stationarity analysis of the series was first conducted using the augmented Dickey-Fuller (ADF), Phillips-Perron (PP), and KPSS tests.</w:t>
      </w:r>
    </w:p>
    <w:p w14:paraId="5DD2F433" w14:textId="4DFDAC59" w:rsidR="00C64E88" w:rsidRPr="008552F5" w:rsidRDefault="00321152" w:rsidP="003D69BD">
      <w:pPr>
        <w:spacing w:after="120" w:line="360" w:lineRule="auto"/>
        <w:jc w:val="both"/>
        <w:rPr>
          <w:rFonts w:ascii="Times New Roman" w:hAnsi="Times New Roman"/>
          <w:color w:val="000000" w:themeColor="text1"/>
          <w:sz w:val="24"/>
          <w:szCs w:val="24"/>
        </w:rPr>
      </w:pPr>
      <w:r w:rsidRPr="00321152">
        <w:rPr>
          <w:rFonts w:ascii="Times New Roman" w:hAnsi="Times New Roman"/>
          <w:color w:val="000000" w:themeColor="text1"/>
          <w:sz w:val="24"/>
          <w:szCs w:val="24"/>
        </w:rPr>
        <w:t xml:space="preserve">In the ADF test, three separate models are constructed to test whether a series is stationary: a model </w:t>
      </w:r>
      <w:r w:rsidR="00775375" w:rsidRPr="00C64E88">
        <w:rPr>
          <w:rFonts w:ascii="Times New Roman" w:hAnsi="Times New Roman"/>
          <w:color w:val="000000" w:themeColor="text1"/>
          <w:sz w:val="24"/>
          <w:szCs w:val="24"/>
        </w:rPr>
        <w:t>without a constant and without a trend</w:t>
      </w:r>
      <w:r w:rsidRPr="00321152">
        <w:rPr>
          <w:rFonts w:ascii="Times New Roman" w:hAnsi="Times New Roman"/>
          <w:color w:val="000000" w:themeColor="text1"/>
          <w:sz w:val="24"/>
          <w:szCs w:val="24"/>
        </w:rPr>
        <w:t>, a model without a trend, and a model with a trend.</w:t>
      </w:r>
    </w:p>
    <w:p w14:paraId="6342E0ED" w14:textId="391F5F14" w:rsidR="005A683D" w:rsidRPr="008552F5" w:rsidRDefault="005A683D" w:rsidP="005A683D">
      <w:pPr>
        <w:spacing w:after="120" w:line="360" w:lineRule="auto"/>
        <w:ind w:firstLine="567"/>
        <w:jc w:val="both"/>
        <w:rPr>
          <w:rFonts w:ascii="Times New Roman" w:hAnsi="Times New Roman"/>
          <w:color w:val="000000" w:themeColor="text1"/>
          <w:sz w:val="24"/>
          <w:szCs w:val="24"/>
        </w:rPr>
      </w:pPr>
      <w:r w:rsidRPr="008552F5">
        <w:rPr>
          <w:rFonts w:ascii="Times New Roman" w:hAnsi="Times New Roman"/>
          <w:color w:val="000000" w:themeColor="text1"/>
          <w:sz w:val="24"/>
          <w:szCs w:val="24"/>
        </w:rPr>
        <w:t xml:space="preserve">  </w:t>
      </w:r>
      <w:r w:rsidR="00780F19" w:rsidRPr="008552F5">
        <w:rPr>
          <w:rFonts w:ascii="Times New Roman" w:hAnsi="Times New Roman"/>
          <w:noProof/>
        </w:rPr>
        <w:object w:dxaOrig="1560" w:dyaOrig="360" w14:anchorId="68E7C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20.5pt" o:ole="">
            <v:imagedata r:id="rId10" o:title=""/>
          </v:shape>
          <o:OLEObject Type="Embed" ProgID="Equation.3" ShapeID="_x0000_i1025" DrawAspect="Content" ObjectID="_1835338331" r:id="rId11"/>
        </w:object>
      </w:r>
    </w:p>
    <w:p w14:paraId="17BBD338" w14:textId="60E46AD5" w:rsidR="005A683D" w:rsidRPr="008552F5" w:rsidRDefault="005A683D" w:rsidP="005A683D">
      <w:pPr>
        <w:spacing w:after="120" w:line="360" w:lineRule="auto"/>
        <w:ind w:firstLine="567"/>
        <w:jc w:val="both"/>
        <w:rPr>
          <w:rFonts w:ascii="Times New Roman" w:hAnsi="Times New Roman"/>
          <w:color w:val="000000" w:themeColor="text1"/>
          <w:sz w:val="24"/>
          <w:szCs w:val="24"/>
        </w:rPr>
      </w:pPr>
      <w:r w:rsidRPr="008552F5">
        <w:rPr>
          <w:rFonts w:ascii="Times New Roman" w:hAnsi="Times New Roman"/>
          <w:color w:val="000000" w:themeColor="text1"/>
          <w:sz w:val="24"/>
          <w:szCs w:val="24"/>
        </w:rPr>
        <w:t xml:space="preserve"> </w:t>
      </w:r>
      <w:r w:rsidR="00780F19" w:rsidRPr="008552F5">
        <w:rPr>
          <w:rFonts w:ascii="Times New Roman" w:hAnsi="Times New Roman"/>
          <w:noProof/>
        </w:rPr>
        <w:object w:dxaOrig="1939" w:dyaOrig="360" w14:anchorId="7D770C3B">
          <v:shape id="_x0000_i1026" type="#_x0000_t75" style="width:97.5pt;height:20.5pt" o:ole="">
            <v:imagedata r:id="rId12" o:title=""/>
          </v:shape>
          <o:OLEObject Type="Embed" ProgID="Equation.3" ShapeID="_x0000_i1026" DrawAspect="Content" ObjectID="_1835338332" r:id="rId13"/>
        </w:object>
      </w:r>
    </w:p>
    <w:p w14:paraId="1BA2CD22" w14:textId="0D2FCAC6" w:rsidR="005A683D" w:rsidRPr="008552F5" w:rsidRDefault="005A683D" w:rsidP="005A683D">
      <w:pPr>
        <w:spacing w:after="120" w:line="360" w:lineRule="auto"/>
        <w:ind w:firstLine="567"/>
        <w:jc w:val="both"/>
        <w:rPr>
          <w:rFonts w:ascii="Times New Roman" w:hAnsi="Times New Roman"/>
          <w:color w:val="000000" w:themeColor="text1"/>
          <w:sz w:val="24"/>
          <w:szCs w:val="24"/>
        </w:rPr>
      </w:pPr>
      <w:r w:rsidRPr="008552F5">
        <w:rPr>
          <w:rFonts w:ascii="Times New Roman" w:hAnsi="Times New Roman"/>
          <w:color w:val="000000" w:themeColor="text1"/>
          <w:sz w:val="24"/>
          <w:szCs w:val="24"/>
        </w:rPr>
        <w:lastRenderedPageBreak/>
        <w:t xml:space="preserve"> </w:t>
      </w:r>
      <w:r w:rsidR="00780F19" w:rsidRPr="008552F5">
        <w:rPr>
          <w:rFonts w:ascii="Times New Roman" w:hAnsi="Times New Roman"/>
          <w:noProof/>
        </w:rPr>
        <w:object w:dxaOrig="2480" w:dyaOrig="360" w14:anchorId="0D23DE03">
          <v:shape id="_x0000_i1027" type="#_x0000_t75" style="width:124pt;height:20.5pt" o:ole="">
            <v:imagedata r:id="rId14" o:title=""/>
          </v:shape>
          <o:OLEObject Type="Embed" ProgID="Equation.3" ShapeID="_x0000_i1027" DrawAspect="Content" ObjectID="_1835338333" r:id="rId15"/>
        </w:object>
      </w:r>
    </w:p>
    <w:p w14:paraId="39C4A7F1" w14:textId="09D76131" w:rsidR="001521D3" w:rsidRPr="001521D3" w:rsidRDefault="001521D3" w:rsidP="001521D3">
      <w:pPr>
        <w:spacing w:after="120" w:line="360" w:lineRule="auto"/>
        <w:jc w:val="both"/>
        <w:rPr>
          <w:rFonts w:ascii="Times New Roman" w:hAnsi="Times New Roman"/>
          <w:color w:val="000000" w:themeColor="text1"/>
          <w:sz w:val="24"/>
          <w:szCs w:val="24"/>
        </w:rPr>
      </w:pPr>
      <w:r w:rsidRPr="001521D3">
        <w:rPr>
          <w:rFonts w:ascii="Times New Roman" w:hAnsi="Times New Roman"/>
          <w:color w:val="000000" w:themeColor="text1"/>
          <w:sz w:val="24"/>
          <w:szCs w:val="24"/>
        </w:rPr>
        <w:t>Phillips-Perron (1988) proposed a nonparametric method for checking for high-order autocorrelation in a time series. Rather than being an alternative to the ADF test, the Phillips-Perron test (PP test), a complementary unit root test, performs stationarity analysis using nonparametric methods. Like the ADF test, the PP test uses three models for stationarity analysis. Since the Newey-West test is an adaptation estimator rather than determining the optimal lag length, the PP test does not add enough lagged values ​​of the dependent variable to eliminate autocorrelation; instead, it adapts the coefficient.</w:t>
      </w:r>
    </w:p>
    <w:p w14:paraId="63C60D8F" w14:textId="56A6B447" w:rsidR="001521D3" w:rsidRPr="001521D3" w:rsidRDefault="001521D3" w:rsidP="001521D3">
      <w:pPr>
        <w:spacing w:after="120" w:line="360" w:lineRule="auto"/>
        <w:jc w:val="both"/>
        <w:rPr>
          <w:rFonts w:ascii="Times New Roman" w:hAnsi="Times New Roman"/>
          <w:color w:val="000000" w:themeColor="text1"/>
          <w:sz w:val="24"/>
          <w:szCs w:val="24"/>
        </w:rPr>
      </w:pPr>
      <w:r w:rsidRPr="001521D3">
        <w:rPr>
          <w:rFonts w:ascii="Times New Roman" w:hAnsi="Times New Roman"/>
          <w:color w:val="000000" w:themeColor="text1"/>
          <w:sz w:val="24"/>
          <w:szCs w:val="24"/>
        </w:rPr>
        <w:t xml:space="preserve">The t-statistic calculated from the PP test is compared with the MacKinnon table value, as in the ADF test. If the t-statistic is greater than the table critical value, the </w:t>
      </w:r>
      <w:r w:rsidR="00EC6BA9" w:rsidRPr="001521D3">
        <w:rPr>
          <w:rFonts w:ascii="Times New Roman" w:hAnsi="Times New Roman"/>
          <w:color w:val="000000" w:themeColor="text1"/>
          <w:sz w:val="24"/>
          <w:szCs w:val="24"/>
        </w:rPr>
        <w:t>H</w:t>
      </w:r>
      <w:r w:rsidR="00EC6BA9" w:rsidRPr="00804BB0">
        <w:rPr>
          <w:rFonts w:ascii="Times New Roman" w:hAnsi="Times New Roman"/>
          <w:color w:val="000000" w:themeColor="text1"/>
          <w:sz w:val="24"/>
          <w:szCs w:val="24"/>
          <w:vertAlign w:val="subscript"/>
        </w:rPr>
        <w:t>0</w:t>
      </w:r>
      <w:r w:rsidRPr="001521D3">
        <w:rPr>
          <w:rFonts w:ascii="Times New Roman" w:hAnsi="Times New Roman"/>
          <w:color w:val="000000" w:themeColor="text1"/>
          <w:sz w:val="24"/>
          <w:szCs w:val="24"/>
        </w:rPr>
        <w:t xml:space="preserve"> hypothesis (</w:t>
      </w:r>
      <w:r w:rsidR="00BF2401" w:rsidRPr="001521D3">
        <w:rPr>
          <w:rFonts w:ascii="Times New Roman" w:hAnsi="Times New Roman"/>
          <w:color w:val="000000" w:themeColor="text1"/>
          <w:sz w:val="24"/>
          <w:szCs w:val="24"/>
        </w:rPr>
        <w:t>H</w:t>
      </w:r>
      <w:r w:rsidR="00BF2401" w:rsidRPr="00804BB0">
        <w:rPr>
          <w:rFonts w:ascii="Times New Roman" w:hAnsi="Times New Roman"/>
          <w:color w:val="000000" w:themeColor="text1"/>
          <w:sz w:val="24"/>
          <w:szCs w:val="24"/>
          <w:vertAlign w:val="subscript"/>
        </w:rPr>
        <w:t>0</w:t>
      </w:r>
      <w:r w:rsidR="00BF2401">
        <w:rPr>
          <w:rFonts w:ascii="Times New Roman" w:hAnsi="Times New Roman"/>
          <w:color w:val="000000" w:themeColor="text1"/>
          <w:sz w:val="24"/>
          <w:szCs w:val="24"/>
        </w:rPr>
        <w:t>:</w:t>
      </w:r>
      <w:r w:rsidR="00EC6BA9">
        <w:rPr>
          <w:rFonts w:ascii="Times New Roman" w:hAnsi="Times New Roman"/>
          <w:color w:val="000000" w:themeColor="text1"/>
          <w:sz w:val="24"/>
          <w:szCs w:val="24"/>
        </w:rPr>
        <w:t xml:space="preserve"> </w:t>
      </w:r>
      <w:r w:rsidRPr="001521D3">
        <w:rPr>
          <w:rFonts w:ascii="Times New Roman" w:hAnsi="Times New Roman"/>
          <w:color w:val="000000" w:themeColor="text1"/>
          <w:sz w:val="24"/>
          <w:szCs w:val="24"/>
        </w:rPr>
        <w:t xml:space="preserve">the series is not stationary) is rejected; otherwise, the </w:t>
      </w:r>
      <w:r w:rsidR="00EC6BA9" w:rsidRPr="001521D3">
        <w:rPr>
          <w:rFonts w:ascii="Times New Roman" w:hAnsi="Times New Roman"/>
          <w:color w:val="000000" w:themeColor="text1"/>
          <w:sz w:val="24"/>
          <w:szCs w:val="24"/>
        </w:rPr>
        <w:t>H</w:t>
      </w:r>
      <w:r w:rsidR="00EC6BA9" w:rsidRPr="00804BB0">
        <w:rPr>
          <w:rFonts w:ascii="Times New Roman" w:hAnsi="Times New Roman"/>
          <w:color w:val="000000" w:themeColor="text1"/>
          <w:sz w:val="24"/>
          <w:szCs w:val="24"/>
          <w:vertAlign w:val="subscript"/>
        </w:rPr>
        <w:t>0</w:t>
      </w:r>
      <w:r w:rsidRPr="001521D3">
        <w:rPr>
          <w:rFonts w:ascii="Times New Roman" w:hAnsi="Times New Roman"/>
          <w:color w:val="000000" w:themeColor="text1"/>
          <w:sz w:val="24"/>
          <w:szCs w:val="24"/>
        </w:rPr>
        <w:t xml:space="preserve"> hypothesis cannot be rejected, and it is concluded that the series is not stationary.</w:t>
      </w:r>
    </w:p>
    <w:p w14:paraId="51C00ED5" w14:textId="52D18ABD" w:rsidR="001521D3" w:rsidRPr="001521D3" w:rsidRDefault="001521D3" w:rsidP="001521D3">
      <w:pPr>
        <w:spacing w:after="120" w:line="360" w:lineRule="auto"/>
        <w:jc w:val="both"/>
        <w:rPr>
          <w:rFonts w:ascii="Times New Roman" w:hAnsi="Times New Roman"/>
          <w:color w:val="000000" w:themeColor="text1"/>
          <w:sz w:val="24"/>
          <w:szCs w:val="24"/>
        </w:rPr>
      </w:pPr>
      <w:r w:rsidRPr="001521D3">
        <w:rPr>
          <w:rFonts w:ascii="Times New Roman" w:hAnsi="Times New Roman"/>
          <w:color w:val="000000" w:themeColor="text1"/>
          <w:sz w:val="24"/>
          <w:szCs w:val="24"/>
        </w:rPr>
        <w:t xml:space="preserve">The KPSS test is one of the tests used to determine whether a series has a unit root. Schwert (1989) states that ADF tests have weak power and are very sensitive to the choice of lag length, while KPSS tests have greater power. Kwaiatkowski et al. (1992), while developing stationarity analysis, state that unlike other stationarity tests, the KPSS test consists of two parts expressing stationarity and trend stationarity. Unlike the ADF test, the hypothesis established in the KPSS test is </w:t>
      </w:r>
      <w:r w:rsidR="00EC6BA9" w:rsidRPr="001521D3">
        <w:rPr>
          <w:rFonts w:ascii="Times New Roman" w:hAnsi="Times New Roman"/>
          <w:color w:val="000000" w:themeColor="text1"/>
          <w:sz w:val="24"/>
          <w:szCs w:val="24"/>
        </w:rPr>
        <w:t>H</w:t>
      </w:r>
      <w:r w:rsidR="00EC6BA9" w:rsidRPr="00804BB0">
        <w:rPr>
          <w:rFonts w:ascii="Times New Roman" w:hAnsi="Times New Roman"/>
          <w:color w:val="000000" w:themeColor="text1"/>
          <w:sz w:val="24"/>
          <w:szCs w:val="24"/>
          <w:vertAlign w:val="subscript"/>
        </w:rPr>
        <w:t>0</w:t>
      </w:r>
      <w:r w:rsidRPr="001521D3">
        <w:rPr>
          <w:rFonts w:ascii="Times New Roman" w:hAnsi="Times New Roman"/>
          <w:color w:val="000000" w:themeColor="text1"/>
          <w:sz w:val="24"/>
          <w:szCs w:val="24"/>
        </w:rPr>
        <w:t xml:space="preserve">, which states that the series is stationary (does not contain a unit root), and </w:t>
      </w:r>
      <w:r w:rsidR="00A94988" w:rsidRPr="00A94988">
        <w:rPr>
          <w:rFonts w:ascii="Times New Roman" w:hAnsi="Times New Roman"/>
          <w:color w:val="000000" w:themeColor="text1"/>
          <w:sz w:val="24"/>
          <w:szCs w:val="24"/>
        </w:rPr>
        <w:t>H</w:t>
      </w:r>
      <w:r w:rsidR="00A94988">
        <w:rPr>
          <w:rFonts w:ascii="Times New Roman" w:hAnsi="Times New Roman"/>
          <w:color w:val="000000" w:themeColor="text1"/>
          <w:sz w:val="24"/>
          <w:szCs w:val="24"/>
          <w:vertAlign w:val="subscript"/>
        </w:rPr>
        <w:t>1</w:t>
      </w:r>
      <w:r w:rsidRPr="001521D3">
        <w:rPr>
          <w:rFonts w:ascii="Times New Roman" w:hAnsi="Times New Roman"/>
          <w:color w:val="000000" w:themeColor="text1"/>
          <w:sz w:val="24"/>
          <w:szCs w:val="24"/>
        </w:rPr>
        <w:t>which states that the series is not stationary (does contain a unit root). H</w:t>
      </w:r>
      <w:r w:rsidRPr="00804BB0">
        <w:rPr>
          <w:rFonts w:ascii="Times New Roman" w:hAnsi="Times New Roman"/>
          <w:color w:val="000000" w:themeColor="text1"/>
          <w:sz w:val="24"/>
          <w:szCs w:val="24"/>
          <w:vertAlign w:val="subscript"/>
        </w:rPr>
        <w:t>0</w:t>
      </w:r>
      <w:r w:rsidRPr="001521D3">
        <w:rPr>
          <w:rFonts w:ascii="Times New Roman" w:hAnsi="Times New Roman"/>
          <w:color w:val="000000" w:themeColor="text1"/>
          <w:sz w:val="24"/>
          <w:szCs w:val="24"/>
        </w:rPr>
        <w:t xml:space="preserve"> hypotheses are either mean stationary (ημ) or trend stationary (ητ).</w:t>
      </w:r>
    </w:p>
    <w:p w14:paraId="0F0D7E9C" w14:textId="2C11E5CB" w:rsidR="001521D3" w:rsidRPr="00966D03" w:rsidRDefault="001521D3" w:rsidP="001521D3">
      <w:pPr>
        <w:spacing w:after="120" w:line="360" w:lineRule="auto"/>
        <w:jc w:val="both"/>
        <w:rPr>
          <w:rFonts w:ascii="Times New Roman" w:hAnsi="Times New Roman"/>
          <w:b/>
          <w:bCs/>
          <w:color w:val="000000" w:themeColor="text1"/>
          <w:sz w:val="24"/>
          <w:szCs w:val="24"/>
        </w:rPr>
      </w:pPr>
      <w:r w:rsidRPr="00966D03">
        <w:rPr>
          <w:rFonts w:ascii="Times New Roman" w:hAnsi="Times New Roman"/>
          <w:b/>
          <w:bCs/>
          <w:color w:val="000000" w:themeColor="text1"/>
          <w:sz w:val="24"/>
          <w:szCs w:val="24"/>
        </w:rPr>
        <w:t xml:space="preserve">3.2. Nonlinear </w:t>
      </w:r>
      <w:r w:rsidR="00302D0A" w:rsidRPr="00966D03">
        <w:rPr>
          <w:rFonts w:ascii="Times New Roman" w:hAnsi="Times New Roman"/>
          <w:b/>
          <w:bCs/>
          <w:color w:val="000000" w:themeColor="text1"/>
          <w:sz w:val="24"/>
          <w:szCs w:val="24"/>
        </w:rPr>
        <w:t xml:space="preserve">time series modeling: threshold autoregressive </w:t>
      </w:r>
      <w:r w:rsidRPr="00966D03">
        <w:rPr>
          <w:rFonts w:ascii="Times New Roman" w:hAnsi="Times New Roman"/>
          <w:b/>
          <w:bCs/>
          <w:color w:val="000000" w:themeColor="text1"/>
          <w:sz w:val="24"/>
          <w:szCs w:val="24"/>
        </w:rPr>
        <w:t xml:space="preserve">(TAR) </w:t>
      </w:r>
      <w:r w:rsidR="00302D0A" w:rsidRPr="00966D03">
        <w:rPr>
          <w:rFonts w:ascii="Times New Roman" w:hAnsi="Times New Roman"/>
          <w:b/>
          <w:bCs/>
          <w:color w:val="000000" w:themeColor="text1"/>
          <w:sz w:val="24"/>
          <w:szCs w:val="24"/>
        </w:rPr>
        <w:t>model</w:t>
      </w:r>
    </w:p>
    <w:p w14:paraId="1C3F4FEB" w14:textId="79FA42EC" w:rsidR="001521D3" w:rsidRPr="001521D3" w:rsidRDefault="001521D3" w:rsidP="001521D3">
      <w:pPr>
        <w:spacing w:after="120" w:line="360" w:lineRule="auto"/>
        <w:jc w:val="both"/>
        <w:rPr>
          <w:rFonts w:ascii="Times New Roman" w:hAnsi="Times New Roman"/>
          <w:color w:val="000000" w:themeColor="text1"/>
          <w:sz w:val="24"/>
          <w:szCs w:val="24"/>
        </w:rPr>
      </w:pPr>
      <w:r w:rsidRPr="001521D3">
        <w:rPr>
          <w:rFonts w:ascii="Times New Roman" w:hAnsi="Times New Roman"/>
          <w:color w:val="000000" w:themeColor="text1"/>
          <w:sz w:val="24"/>
          <w:szCs w:val="24"/>
        </w:rPr>
        <w:t>The Threshold Autoregressive Model (TAR), one of the nonlinear estimation methods, was introduced by Tong (1978) and further developed by Tsay (1989) and Hansen (1996). The model works by estimating different linear regressions for different regimes based on the determination of a threshold value or values. It is used to explain situations where the transition between regimes is sharp, depending on whether the threshold value is unknown (Tong 1978; Tsay 1989, 2002 and Hansen 1996).</w:t>
      </w:r>
    </w:p>
    <w:p w14:paraId="015006A0" w14:textId="0E1F25DF" w:rsidR="0031109F" w:rsidRPr="008552F5" w:rsidRDefault="001521D3" w:rsidP="00333DCE">
      <w:pPr>
        <w:spacing w:after="120" w:line="360" w:lineRule="auto"/>
        <w:jc w:val="both"/>
        <w:rPr>
          <w:rFonts w:ascii="Times New Roman" w:hAnsi="Times New Roman"/>
          <w:color w:val="000000" w:themeColor="text1"/>
          <w:sz w:val="24"/>
          <w:szCs w:val="24"/>
        </w:rPr>
      </w:pPr>
      <w:r w:rsidRPr="001521D3">
        <w:rPr>
          <w:rFonts w:ascii="Times New Roman" w:hAnsi="Times New Roman"/>
          <w:color w:val="000000" w:themeColor="text1"/>
          <w:sz w:val="24"/>
          <w:szCs w:val="24"/>
        </w:rPr>
        <w:t xml:space="preserve">The value indicating a regime change is defined as the threshold. This variable can be endogenous or exogenous. It is possible to define the TAR model as exogenous (any lagged value of the dependent variable) and the SETAR model as Self-Exciting TAR </w:t>
      </w:r>
      <w:r w:rsidRPr="001521D3">
        <w:rPr>
          <w:rFonts w:ascii="Times New Roman" w:hAnsi="Times New Roman"/>
          <w:color w:val="000000" w:themeColor="text1"/>
          <w:sz w:val="24"/>
          <w:szCs w:val="24"/>
        </w:rPr>
        <w:lastRenderedPageBreak/>
        <w:t>(Tong, 1978; Hansen, 1996) if the dependent variable is endogenous (lagged value of the dependent variable). In these models, the regimes change depending on an observable variable. Threshold autoregressive and Smooth Transition Autoregressive (STAR) models are evaluated in this field (Tsay, 1998, 2002). A two-regime TAR model</w:t>
      </w:r>
      <w:r>
        <w:rPr>
          <w:rFonts w:ascii="Times New Roman" w:hAnsi="Times New Roman"/>
          <w:color w:val="000000" w:themeColor="text1"/>
          <w:sz w:val="24"/>
          <w:szCs w:val="24"/>
        </w:rPr>
        <w:t>;</w:t>
      </w:r>
    </w:p>
    <w:p w14:paraId="761AC86B" w14:textId="77777777" w:rsidR="00E4378A" w:rsidRPr="008552F5" w:rsidRDefault="00000000" w:rsidP="0031109F">
      <w:pPr>
        <w:spacing w:after="120" w:line="360" w:lineRule="auto"/>
        <w:ind w:firstLine="567"/>
        <w:jc w:val="both"/>
        <w:rPr>
          <w:rFonts w:ascii="Times New Roman" w:hAnsi="Times New Roman"/>
          <w:color w:val="000000" w:themeColor="text1"/>
          <w:sz w:val="24"/>
          <w:szCs w:val="24"/>
        </w:rPr>
      </w:pPr>
      <m:oMathPara>
        <m:oMath>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m:t>
              </m:r>
            </m:sub>
          </m:sSub>
          <m:r>
            <m:rPr>
              <m:sty m:val="p"/>
            </m:rPr>
            <w:rPr>
              <w:rFonts w:ascii="Cambria Math" w:hAnsi="Cambria Math"/>
              <w:color w:val="000000"/>
              <w:sz w:val="24"/>
              <w:szCs w:val="24"/>
            </w:rPr>
            <m:t>=</m:t>
          </m:r>
          <m:d>
            <m:dPr>
              <m:begChr m:val="{"/>
              <m:endChr m:val=""/>
              <m:ctrlPr>
                <w:rPr>
                  <w:rFonts w:ascii="Cambria Math" w:hAnsi="Cambria Math"/>
                  <w:color w:val="000000"/>
                  <w:sz w:val="24"/>
                  <w:szCs w:val="24"/>
                </w:rPr>
              </m:ctrlPr>
            </m:dPr>
            <m:e>
              <m:eqArr>
                <m:eqArrPr>
                  <m:ctrlPr>
                    <w:rPr>
                      <w:rFonts w:ascii="Cambria Math" w:hAnsi="Cambria Math"/>
                      <w:color w:val="000000"/>
                      <w:sz w:val="24"/>
                      <w:szCs w:val="24"/>
                    </w:rPr>
                  </m:ctrlPr>
                </m:eqArrPr>
                <m:e>
                  <m:d>
                    <m:dPr>
                      <m:ctrlPr>
                        <w:rPr>
                          <w:rFonts w:ascii="Cambria Math" w:hAnsi="Cambria Math"/>
                          <w:color w:val="000000"/>
                          <w:sz w:val="24"/>
                          <w:szCs w:val="24"/>
                        </w:rPr>
                      </m:ctrlPr>
                    </m:dPr>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1,0</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1,1</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t-1</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1,p</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t-p</m:t>
                          </m:r>
                        </m:sub>
                      </m:sSub>
                    </m:e>
                  </m:d>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t</m:t>
                      </m:r>
                    </m:sub>
                  </m:sSub>
                  <m:r>
                    <m:rPr>
                      <m:sty m:val="p"/>
                    </m:rPr>
                    <w:rPr>
                      <w:rFonts w:ascii="Cambria Math" w:hAnsi="Cambria Math"/>
                      <w:color w:val="000000"/>
                      <w:sz w:val="24"/>
                      <w:szCs w:val="24"/>
                    </w:rPr>
                    <m:t xml:space="preserve">     I</m:t>
                  </m:r>
                  <m:d>
                    <m:dPr>
                      <m:ctrlPr>
                        <w:rPr>
                          <w:rFonts w:ascii="Cambria Math" w:hAnsi="Cambria Math"/>
                          <w:color w:val="000000"/>
                          <w:sz w:val="24"/>
                          <w:szCs w:val="24"/>
                        </w:rPr>
                      </m:ctrlPr>
                    </m:dPr>
                    <m:e>
                      <m:sSub>
                        <m:sSubPr>
                          <m:ctrlPr>
                            <w:rPr>
                              <w:rFonts w:ascii="Cambria Math" w:hAnsi="Cambria Math"/>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rPr>
                            <m:t>t-d</m:t>
                          </m:r>
                        </m:sub>
                      </m:sSub>
                      <m:r>
                        <m:rPr>
                          <m:sty m:val="p"/>
                        </m:rPr>
                        <w:rPr>
                          <w:rFonts w:ascii="Cambria Math" w:hAnsi="Cambria Math"/>
                          <w:color w:val="000000"/>
                          <w:sz w:val="24"/>
                          <w:szCs w:val="24"/>
                        </w:rPr>
                        <m:t>≤γ</m:t>
                      </m:r>
                    </m:e>
                  </m:d>
                  <m:r>
                    <m:rPr>
                      <m:sty m:val="p"/>
                    </m:rPr>
                    <w:rPr>
                      <w:rFonts w:ascii="Cambria Math" w:hAnsi="Cambria Math"/>
                      <w:color w:val="000000"/>
                      <w:sz w:val="24"/>
                      <w:szCs w:val="24"/>
                    </w:rPr>
                    <m:t xml:space="preserve"> </m:t>
                  </m:r>
                </m:e>
                <m:e>
                  <m:d>
                    <m:dPr>
                      <m:ctrlPr>
                        <w:rPr>
                          <w:rFonts w:ascii="Cambria Math" w:hAnsi="Cambria Math"/>
                          <w:color w:val="000000"/>
                          <w:sz w:val="24"/>
                          <w:szCs w:val="24"/>
                        </w:rPr>
                      </m:ctrlPr>
                    </m:dPr>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2,0</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2,1</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t-1</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2,p</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t-p</m:t>
                          </m:r>
                        </m:sub>
                      </m:sSub>
                    </m:e>
                  </m:d>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t</m:t>
                      </m:r>
                    </m:sub>
                  </m:sSub>
                  <m:r>
                    <m:rPr>
                      <m:sty m:val="p"/>
                    </m:rPr>
                    <w:rPr>
                      <w:rFonts w:ascii="Cambria Math" w:hAnsi="Cambria Math"/>
                      <w:color w:val="000000"/>
                      <w:sz w:val="24"/>
                      <w:szCs w:val="24"/>
                    </w:rPr>
                    <m:t xml:space="preserve">  I</m:t>
                  </m:r>
                  <m:d>
                    <m:dPr>
                      <m:ctrlPr>
                        <w:rPr>
                          <w:rFonts w:ascii="Cambria Math" w:hAnsi="Cambria Math"/>
                          <w:color w:val="000000"/>
                          <w:sz w:val="24"/>
                          <w:szCs w:val="24"/>
                        </w:rPr>
                      </m:ctrlPr>
                    </m:dPr>
                    <m:e>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rPr>
                            <m:t>t-d</m:t>
                          </m:r>
                        </m:sub>
                      </m:sSub>
                      <m:r>
                        <m:rPr>
                          <m:sty m:val="p"/>
                        </m:rPr>
                        <w:rPr>
                          <w:rFonts w:ascii="Cambria Math" w:hAnsi="Cambria Math"/>
                          <w:color w:val="000000"/>
                          <w:sz w:val="24"/>
                          <w:szCs w:val="24"/>
                        </w:rPr>
                        <m:t>&gt;γ</m:t>
                      </m:r>
                    </m:e>
                  </m:d>
                </m:e>
              </m:eqArr>
            </m:e>
          </m:d>
        </m:oMath>
      </m:oMathPara>
    </w:p>
    <w:p w14:paraId="0D9C4DDD" w14:textId="3B9B22EF" w:rsidR="0031109F" w:rsidRPr="008552F5" w:rsidRDefault="0035463A" w:rsidP="007E0C15">
      <w:pPr>
        <w:spacing w:after="120" w:line="360" w:lineRule="auto"/>
        <w:jc w:val="both"/>
        <w:rPr>
          <w:rFonts w:ascii="Times New Roman" w:hAnsi="Times New Roman"/>
          <w:color w:val="000000" w:themeColor="text1"/>
          <w:sz w:val="24"/>
          <w:szCs w:val="24"/>
        </w:rPr>
      </w:pPr>
      <w:r w:rsidRPr="0035463A">
        <w:rPr>
          <w:rFonts w:ascii="Times New Roman" w:hAnsi="Times New Roman"/>
          <w:color w:val="000000" w:themeColor="text1"/>
          <w:sz w:val="24"/>
          <w:szCs w:val="24"/>
        </w:rPr>
        <w:t xml:space="preserve">In the model, </w:t>
      </w:r>
      <w:r w:rsidR="00FB1718" w:rsidRPr="00FB1718">
        <w:rPr>
          <w:rFonts w:ascii="Times New Roman" w:hAnsi="Times New Roman"/>
          <w:iCs/>
          <w:color w:val="000000" w:themeColor="text1"/>
          <w:sz w:val="24"/>
          <w:szCs w:val="24"/>
        </w:rPr>
        <w:t>y</w:t>
      </w:r>
      <w:r w:rsidR="00FB1718" w:rsidRPr="00FB1718">
        <w:rPr>
          <w:rFonts w:ascii="Times New Roman" w:hAnsi="Times New Roman"/>
          <w:iCs/>
          <w:color w:val="000000" w:themeColor="text1"/>
          <w:sz w:val="24"/>
          <w:szCs w:val="24"/>
          <w:vertAlign w:val="subscript"/>
        </w:rPr>
        <w:t>t</w:t>
      </w:r>
      <w:r w:rsidRPr="0035463A">
        <w:rPr>
          <w:rFonts w:ascii="Times New Roman" w:hAnsi="Times New Roman"/>
          <w:color w:val="000000" w:themeColor="text1"/>
          <w:sz w:val="24"/>
          <w:szCs w:val="24"/>
        </w:rPr>
        <w:t xml:space="preserve"> is the dependent variable, </w:t>
      </w:r>
      <m:oMath>
        <m:sSub>
          <m:sSubPr>
            <m:ctrlPr>
              <w:rPr>
                <w:rFonts w:ascii="Cambria Math" w:hAnsi="Cambria Math"/>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rPr>
              <m:t>t-d</m:t>
            </m:r>
          </m:sub>
        </m:sSub>
      </m:oMath>
      <w:r w:rsidRPr="0035463A">
        <w:rPr>
          <w:rFonts w:ascii="Times New Roman" w:hAnsi="Times New Roman"/>
          <w:color w:val="000000" w:themeColor="text1"/>
          <w:sz w:val="24"/>
          <w:szCs w:val="24"/>
        </w:rPr>
        <w:t xml:space="preserve"> is the threshold variable causing the regime change, </w:t>
      </w:r>
      <w:r w:rsidR="007D29E0">
        <w:rPr>
          <w:rFonts w:ascii="Times New Roman" w:hAnsi="Times New Roman"/>
          <w:noProof/>
          <w:position w:val="-11"/>
        </w:rPr>
        <w:pict w14:anchorId="21013359">
          <v:shape id="_x0000_i1028" type="#_x0000_t75" style="width:5pt;height:16pt" equationxml="&lt;?xml version=&quot;1.0&quot; encoding=&quot;UTF-8&quot; standalone=&quot;yes&quot;?&gt;&#10;&#10;&#10;&#10;&#10;&#10;&#10;&#10;&#10;&#10;&#10;&#10;&#10;&#10;&#10;&#10;&#10;&#10;&#10;&#10;&#10;&#10;&#10;&#10;&#10;&#10;&#10;&#10;&#10;&#10;&#10;&lt;?mso-application progid=&quot;Word.Document&quot;?&gt;&#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8&quot;/&gt;&lt;w:doNotEmbedSystemFonts/&gt;&lt;w:hideSpellingErrors/&gt;&lt;w:defaultTabStop w:val=&quot;709&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A1967&quot;/&gt;&lt;wsp:rsid wsp:val=&quot;00000A86&quot;/&gt;&lt;wsp:rsid wsp:val=&quot;00000EB5&quot;/&gt;&lt;wsp:rsid wsp:val=&quot;000014D2&quot;/&gt;&lt;wsp:rsid wsp:val=&quot;00001B35&quot;/&gt;&lt;wsp:rsid wsp:val=&quot;000025BF&quot;/&gt;&lt;wsp:rsid wsp:val=&quot;000032EA&quot;/&gt;&lt;wsp:rsid wsp:val=&quot;00003626&quot;/&gt;&lt;wsp:rsid wsp:val=&quot;00003711&quot;/&gt;&lt;wsp:rsid wsp:val=&quot;00004DCB&quot;/&gt;&lt;wsp:rsid wsp:val=&quot;00007A72&quot;/&gt;&lt;wsp:rsid wsp:val=&quot;0001028F&quot;/&gt;&lt;wsp:rsid wsp:val=&quot;00010B74&quot;/&gt;&lt;wsp:rsid wsp:val=&quot;000125F3&quot;/&gt;&lt;wsp:rsid wsp:val=&quot;0001528E&quot;/&gt;&lt;wsp:rsid wsp:val=&quot;0002178D&quot;/&gt;&lt;wsp:rsid wsp:val=&quot;00021B13&quot;/&gt;&lt;wsp:rsid wsp:val=&quot;00022FB5&quot;/&gt;&lt;wsp:rsid wsp:val=&quot;00024ED7&quot;/&gt;&lt;wsp:rsid wsp:val=&quot;000256AA&quot;/&gt;&lt;wsp:rsid wsp:val=&quot;000311F1&quot;/&gt;&lt;wsp:rsid wsp:val=&quot;00032D6F&quot;/&gt;&lt;wsp:rsid wsp:val=&quot;0003547D&quot;/&gt;&lt;wsp:rsid wsp:val=&quot;000370DA&quot;/&gt;&lt;wsp:rsid wsp:val=&quot;00037304&quot;/&gt;&lt;wsp:rsid wsp:val=&quot;00037571&quot;/&gt;&lt;wsp:rsid wsp:val=&quot;0004041A&quot;/&gt;&lt;wsp:rsid wsp:val=&quot;0004157B&quot;/&gt;&lt;wsp:rsid wsp:val=&quot;00042B2C&quot;/&gt;&lt;wsp:rsid wsp:val=&quot;00043894&quot;/&gt;&lt;wsp:rsid wsp:val=&quot;00043B82&quot;/&gt;&lt;wsp:rsid wsp:val=&quot;00044783&quot;/&gt;&lt;wsp:rsid wsp:val=&quot;000462DC&quot;/&gt;&lt;wsp:rsid wsp:val=&quot;00047C31&quot;/&gt;&lt;wsp:rsid wsp:val=&quot;00053BE5&quot;/&gt;&lt;wsp:rsid wsp:val=&quot;0005690A&quot;/&gt;&lt;wsp:rsid wsp:val=&quot;0005706C&quot;/&gt;&lt;wsp:rsid wsp:val=&quot;00060CF7&quot;/&gt;&lt;wsp:rsid wsp:val=&quot;00063068&quot;/&gt;&lt;wsp:rsid wsp:val=&quot;0006312C&quot;/&gt;&lt;wsp:rsid wsp:val=&quot;0006353C&quot;/&gt;&lt;wsp:rsid wsp:val=&quot;00071040&quot;/&gt;&lt;wsp:rsid wsp:val=&quot;0007110D&quot;/&gt;&lt;wsp:rsid wsp:val=&quot;000711D9&quot;/&gt;&lt;wsp:rsid wsp:val=&quot;0007355E&quot;/&gt;&lt;wsp:rsid wsp:val=&quot;00074079&quot;/&gt;&lt;wsp:rsid wsp:val=&quot;000763CB&quot;/&gt;&lt;wsp:rsid wsp:val=&quot;000771AF&quot;/&gt;&lt;wsp:rsid wsp:val=&quot;00077B61&quot;/&gt;&lt;wsp:rsid wsp:val=&quot;00081381&quot;/&gt;&lt;wsp:rsid wsp:val=&quot;00082391&quot;/&gt;&lt;wsp:rsid wsp:val=&quot;00083545&quot;/&gt;&lt;wsp:rsid wsp:val=&quot;0008355F&quot;/&gt;&lt;wsp:rsid wsp:val=&quot;000835EC&quot;/&gt;&lt;wsp:rsid wsp:val=&quot;00083C90&quot;/&gt;&lt;wsp:rsid wsp:val=&quot;00086493&quot;/&gt;&lt;wsp:rsid wsp:val=&quot;00087760&quot;/&gt;&lt;wsp:rsid wsp:val=&quot;0009339B&quot;/&gt;&lt;wsp:rsid wsp:val=&quot;00094A0B&quot;/&gt;&lt;wsp:rsid wsp:val=&quot;00096FBB&quot;/&gt;&lt;wsp:rsid wsp:val=&quot;000A099F&quot;/&gt;&lt;wsp:rsid wsp:val=&quot;000A0DDF&quot;/&gt;&lt;wsp:rsid wsp:val=&quot;000A1E69&quot;/&gt;&lt;wsp:rsid wsp:val=&quot;000A446F&quot;/&gt;&lt;wsp:rsid wsp:val=&quot;000A45DE&quot;/&gt;&lt;wsp:rsid wsp:val=&quot;000A475B&quot;/&gt;&lt;wsp:rsid wsp:val=&quot;000A575E&quot;/&gt;&lt;wsp:rsid wsp:val=&quot;000A594E&quot;/&gt;&lt;wsp:rsid wsp:val=&quot;000A5C71&quot;/&gt;&lt;wsp:rsid wsp:val=&quot;000B1923&quot;/&gt;&lt;wsp:rsid wsp:val=&quot;000B5D73&quot;/&gt;&lt;wsp:rsid wsp:val=&quot;000B650D&quot;/&gt;&lt;wsp:rsid wsp:val=&quot;000C05F7&quot;/&gt;&lt;wsp:rsid wsp:val=&quot;000C0645&quot;/&gt;&lt;wsp:rsid wsp:val=&quot;000C251C&quot;/&gt;&lt;wsp:rsid wsp:val=&quot;000C3676&quot;/&gt;&lt;wsp:rsid wsp:val=&quot;000C3B87&quot;/&gt;&lt;wsp:rsid wsp:val=&quot;000C3C37&quot;/&gt;&lt;wsp:rsid wsp:val=&quot;000C41B7&quot;/&gt;&lt;wsp:rsid wsp:val=&quot;000C4CB2&quot;/&gt;&lt;wsp:rsid wsp:val=&quot;000C7612&quot;/&gt;&lt;wsp:rsid wsp:val=&quot;000D09A8&quot;/&gt;&lt;wsp:rsid wsp:val=&quot;000D1451&quot;/&gt;&lt;wsp:rsid wsp:val=&quot;000D2978&quot;/&gt;&lt;wsp:rsid wsp:val=&quot;000D2C51&quot;/&gt;&lt;wsp:rsid wsp:val=&quot;000D34EE&quot;/&gt;&lt;wsp:rsid wsp:val=&quot;000D3C89&quot;/&gt;&lt;wsp:rsid wsp:val=&quot;000D409A&quot;/&gt;&lt;wsp:rsid wsp:val=&quot;000D4F9A&quot;/&gt;&lt;wsp:rsid wsp:val=&quot;000D6382&quot;/&gt;&lt;wsp:rsid wsp:val=&quot;000D6BB7&quot;/&gt;&lt;wsp:rsid wsp:val=&quot;000D7EA9&quot;/&gt;&lt;wsp:rsid wsp:val=&quot;000E1C4E&quot;/&gt;&lt;wsp:rsid wsp:val=&quot;000E4E41&quot;/&gt;&lt;wsp:rsid wsp:val=&quot;000E75E6&quot;/&gt;&lt;wsp:rsid wsp:val=&quot;000F27CA&quot;/&gt;&lt;wsp:rsid wsp:val=&quot;000F62E1&quot;/&gt;&lt;wsp:rsid wsp:val=&quot;000F7266&quot;/&gt;&lt;wsp:rsid wsp:val=&quot;001024F5&quot;/&gt;&lt;wsp:rsid wsp:val=&quot;00105021&quot;/&gt;&lt;wsp:rsid wsp:val=&quot;00106DD4&quot;/&gt;&lt;wsp:rsid wsp:val=&quot;00107F3F&quot;/&gt;&lt;wsp:rsid wsp:val=&quot;00110E6B&quot;/&gt;&lt;wsp:rsid wsp:val=&quot;00112030&quot;/&gt;&lt;wsp:rsid wsp:val=&quot;001125CA&quot;/&gt;&lt;wsp:rsid wsp:val=&quot;00112DA9&quot;/&gt;&lt;wsp:rsid wsp:val=&quot;00112E12&quot;/&gt;&lt;wsp:rsid wsp:val=&quot;00113DC2&quot;/&gt;&lt;wsp:rsid wsp:val=&quot;00116023&quot;/&gt;&lt;wsp:rsid wsp:val=&quot;0011643A&quot;/&gt;&lt;wsp:rsid wsp:val=&quot;0011652D&quot;/&gt;&lt;wsp:rsid wsp:val=&quot;001206DD&quot;/&gt;&lt;wsp:rsid wsp:val=&quot;0012081D&quot;/&gt;&lt;wsp:rsid wsp:val=&quot;00120980&quot;/&gt;&lt;wsp:rsid wsp:val=&quot;00120C2F&quot;/&gt;&lt;wsp:rsid wsp:val=&quot;00121B70&quot;/&gt;&lt;wsp:rsid wsp:val=&quot;001223A8&quot;/&gt;&lt;wsp:rsid wsp:val=&quot;00123A5C&quot;/&gt;&lt;wsp:rsid wsp:val=&quot;00123B45&quot;/&gt;&lt;wsp:rsid wsp:val=&quot;00124207&quot;/&gt;&lt;wsp:rsid wsp:val=&quot;001259B2&quot;/&gt;&lt;wsp:rsid wsp:val=&quot;00126F33&quot;/&gt;&lt;wsp:rsid wsp:val=&quot;00130007&quot;/&gt;&lt;wsp:rsid wsp:val=&quot;0013029B&quot;/&gt;&lt;wsp:rsid wsp:val=&quot;0013146C&quot;/&gt;&lt;wsp:rsid wsp:val=&quot;0013152F&quot;/&gt;&lt;wsp:rsid wsp:val=&quot;00134E80&quot;/&gt;&lt;wsp:rsid wsp:val=&quot;00134F40&quot;/&gt;&lt;wsp:rsid wsp:val=&quot;00135024&quot;/&gt;&lt;wsp:rsid wsp:val=&quot;00135ADB&quot;/&gt;&lt;wsp:rsid wsp:val=&quot;00136476&quot;/&gt;&lt;wsp:rsid wsp:val=&quot;00136D51&quot;/&gt;&lt;wsp:rsid wsp:val=&quot;0013781B&quot;/&gt;&lt;wsp:rsid wsp:val=&quot;0014183E&quot;/&gt;&lt;wsp:rsid wsp:val=&quot;00144D9A&quot;/&gt;&lt;wsp:rsid wsp:val=&quot;00144DF8&quot;/&gt;&lt;wsp:rsid wsp:val=&quot;00152EC3&quot;/&gt;&lt;wsp:rsid wsp:val=&quot;0015384E&quot;/&gt;&lt;wsp:rsid wsp:val=&quot;001538BA&quot;/&gt;&lt;wsp:rsid wsp:val=&quot;00154B52&quot;/&gt;&lt;wsp:rsid wsp:val=&quot;00156384&quot;/&gt;&lt;wsp:rsid wsp:val=&quot;001563AE&quot;/&gt;&lt;wsp:rsid wsp:val=&quot;00162ADA&quot;/&gt;&lt;wsp:rsid wsp:val=&quot;001652B6&quot;/&gt;&lt;wsp:rsid wsp:val=&quot;00173FA7&quot;/&gt;&lt;wsp:rsid wsp:val=&quot;00174226&quot;/&gt;&lt;wsp:rsid wsp:val=&quot;00174A5B&quot;/&gt;&lt;wsp:rsid wsp:val=&quot;00176650&quot;/&gt;&lt;wsp:rsid wsp:val=&quot;001817D7&quot;/&gt;&lt;wsp:rsid wsp:val=&quot;00187510&quot;/&gt;&lt;wsp:rsid wsp:val=&quot;001940A4&quot;/&gt;&lt;wsp:rsid wsp:val=&quot;001941E1&quot;/&gt;&lt;wsp:rsid wsp:val=&quot;00194B01&quot;/&gt;&lt;wsp:rsid wsp:val=&quot;001A3640&quot;/&gt;&lt;wsp:rsid wsp:val=&quot;001A5347&quot;/&gt;&lt;wsp:rsid wsp:val=&quot;001A5448&quot;/&gt;&lt;wsp:rsid wsp:val=&quot;001A63B0&quot;/&gt;&lt;wsp:rsid wsp:val=&quot;001B1E9D&quot;/&gt;&lt;wsp:rsid wsp:val=&quot;001B254C&quot;/&gt;&lt;wsp:rsid wsp:val=&quot;001B3E37&quot;/&gt;&lt;wsp:rsid wsp:val=&quot;001B4516&quot;/&gt;&lt;wsp:rsid wsp:val=&quot;001B60B9&quot;/&gt;&lt;wsp:rsid wsp:val=&quot;001B6736&quot;/&gt;&lt;wsp:rsid wsp:val=&quot;001C03C5&quot;/&gt;&lt;wsp:rsid wsp:val=&quot;001C0C62&quot;/&gt;&lt;wsp:rsid wsp:val=&quot;001C3363&quot;/&gt;&lt;wsp:rsid wsp:val=&quot;001C454A&quot;/&gt;&lt;wsp:rsid wsp:val=&quot;001C51F5&quot;/&gt;&lt;wsp:rsid wsp:val=&quot;001C72EF&quot;/&gt;&lt;wsp:rsid wsp:val=&quot;001D09F5&quot;/&gt;&lt;wsp:rsid wsp:val=&quot;001D0BC8&quot;/&gt;&lt;wsp:rsid wsp:val=&quot;001D0E48&quot;/&gt;&lt;wsp:rsid wsp:val=&quot;001D1E57&quot;/&gt;&lt;wsp:rsid wsp:val=&quot;001D275D&quot;/&gt;&lt;wsp:rsid wsp:val=&quot;001D2B7D&quot;/&gt;&lt;wsp:rsid wsp:val=&quot;001D3AE0&quot;/&gt;&lt;wsp:rsid wsp:val=&quot;001D4378&quot;/&gt;&lt;wsp:rsid wsp:val=&quot;001D5DC9&quot;/&gt;&lt;wsp:rsid wsp:val=&quot;001D5FEE&quot;/&gt;&lt;wsp:rsid wsp:val=&quot;001D6C74&quot;/&gt;&lt;wsp:rsid wsp:val=&quot;001E3976&quot;/&gt;&lt;wsp:rsid wsp:val=&quot;001E4B29&quot;/&gt;&lt;wsp:rsid wsp:val=&quot;001E7258&quot;/&gt;&lt;wsp:rsid wsp:val=&quot;001F15C5&quot;/&gt;&lt;wsp:rsid wsp:val=&quot;001F3605&quot;/&gt;&lt;wsp:rsid wsp:val=&quot;001F57BF&quot;/&gt;&lt;wsp:rsid wsp:val=&quot;001F5A85&quot;/&gt;&lt;wsp:rsid wsp:val=&quot;001F5FB2&quot;/&gt;&lt;wsp:rsid wsp:val=&quot;001F627C&quot;/&gt;&lt;wsp:rsid wsp:val=&quot;001F646C&quot;/&gt;&lt;wsp:rsid wsp:val=&quot;001F69DF&quot;/&gt;&lt;wsp:rsid wsp:val=&quot;001F71DE&quot;/&gt;&lt;wsp:rsid wsp:val=&quot;00201977&quot;/&gt;&lt;wsp:rsid wsp:val=&quot;00201EEA&quot;/&gt;&lt;wsp:rsid wsp:val=&quot;0020763A&quot;/&gt;&lt;wsp:rsid wsp:val=&quot;0021092D&quot;/&gt;&lt;wsp:rsid wsp:val=&quot;00210A20&quot;/&gt;&lt;wsp:rsid wsp:val=&quot;002119FA&quot;/&gt;&lt;wsp:rsid wsp:val=&quot;002131B1&quot;/&gt;&lt;wsp:rsid wsp:val=&quot;00214486&quot;/&gt;&lt;wsp:rsid wsp:val=&quot;00220D46&quot;/&gt;&lt;wsp:rsid wsp:val=&quot;00220E96&quot;/&gt;&lt;wsp:rsid wsp:val=&quot;002234A1&quot;/&gt;&lt;wsp:rsid wsp:val=&quot;00226885&quot;/&gt;&lt;wsp:rsid wsp:val=&quot;00227C4A&quot;/&gt;&lt;wsp:rsid wsp:val=&quot;00230272&quot;/&gt;&lt;wsp:rsid wsp:val=&quot;0024019F&quot;/&gt;&lt;wsp:rsid wsp:val=&quot;002434E3&quot;/&gt;&lt;wsp:rsid wsp:val=&quot;002453C1&quot;/&gt;&lt;wsp:rsid wsp:val=&quot;0024553D&quot;/&gt;&lt;wsp:rsid wsp:val=&quot;002477D0&quot;/&gt;&lt;wsp:rsid wsp:val=&quot;00251DEF&quot;/&gt;&lt;wsp:rsid wsp:val=&quot;00253DAE&quot;/&gt;&lt;wsp:rsid wsp:val=&quot;00253EFC&quot;/&gt;&lt;wsp:rsid wsp:val=&quot;00262C1E&quot;/&gt;&lt;wsp:rsid wsp:val=&quot;002634A4&quot;/&gt;&lt;wsp:rsid wsp:val=&quot;00264BA4&quot;/&gt;&lt;wsp:rsid wsp:val=&quot;002659D3&quot;/&gt;&lt;wsp:rsid wsp:val=&quot;00265AED&quot;/&gt;&lt;wsp:rsid wsp:val=&quot;00267228&quot;/&gt;&lt;wsp:rsid wsp:val=&quot;00267E0C&quot;/&gt;&lt;wsp:rsid wsp:val=&quot;00270590&quot;/&gt;&lt;wsp:rsid wsp:val=&quot;00272663&quot;/&gt;&lt;wsp:rsid wsp:val=&quot;00273C7F&quot;/&gt;&lt;wsp:rsid wsp:val=&quot;00277C93&quot;/&gt;&lt;wsp:rsid wsp:val=&quot;002802EF&quot;/&gt;&lt;wsp:rsid wsp:val=&quot;0028099F&quot;/&gt;&lt;wsp:rsid wsp:val=&quot;00282E20&quot;/&gt;&lt;wsp:rsid wsp:val=&quot;00285086&quot;/&gt;&lt;wsp:rsid wsp:val=&quot;00285B4F&quot;/&gt;&lt;wsp:rsid wsp:val=&quot;00285CE0&quot;/&gt;&lt;wsp:rsid wsp:val=&quot;00286051&quot;/&gt;&lt;wsp:rsid wsp:val=&quot;00287773&quot;/&gt;&lt;wsp:rsid wsp:val=&quot;00290D00&quot;/&gt;&lt;wsp:rsid wsp:val=&quot;00291596&quot;/&gt;&lt;wsp:rsid wsp:val=&quot;00292A12&quot;/&gt;&lt;wsp:rsid wsp:val=&quot;00292BF0&quot;/&gt;&lt;wsp:rsid wsp:val=&quot;00292C20&quot;/&gt;&lt;wsp:rsid wsp:val=&quot;00292C3C&quot;/&gt;&lt;wsp:rsid wsp:val=&quot;00295EB5&quot;/&gt;&lt;wsp:rsid wsp:val=&quot;002964F5&quot;/&gt;&lt;wsp:rsid wsp:val=&quot;00296850&quot;/&gt;&lt;wsp:rsid wsp:val=&quot;002A0DD6&quot;/&gt;&lt;wsp:rsid wsp:val=&quot;002A1608&quot;/&gt;&lt;wsp:rsid wsp:val=&quot;002A235E&quot;/&gt;&lt;wsp:rsid wsp:val=&quot;002A298C&quot;/&gt;&lt;wsp:rsid wsp:val=&quot;002A3CEB&quot;/&gt;&lt;wsp:rsid wsp:val=&quot;002A4C3C&quot;/&gt;&lt;wsp:rsid wsp:val=&quot;002A58D8&quot;/&gt;&lt;wsp:rsid wsp:val=&quot;002A659D&quot;/&gt;&lt;wsp:rsid wsp:val=&quot;002A745D&quot;/&gt;&lt;wsp:rsid wsp:val=&quot;002B0F68&quot;/&gt;&lt;wsp:rsid wsp:val=&quot;002B2342&quot;/&gt;&lt;wsp:rsid wsp:val=&quot;002B3279&quot;/&gt;&lt;wsp:rsid wsp:val=&quot;002B38E9&quot;/&gt;&lt;wsp:rsid wsp:val=&quot;002B4AF1&quot;/&gt;&lt;wsp:rsid wsp:val=&quot;002B5704&quot;/&gt;&lt;wsp:rsid wsp:val=&quot;002C0586&quot;/&gt;&lt;wsp:rsid wsp:val=&quot;002C0FBC&quot;/&gt;&lt;wsp:rsid wsp:val=&quot;002C175A&quot;/&gt;&lt;wsp:rsid wsp:val=&quot;002C2962&quot;/&gt;&lt;wsp:rsid wsp:val=&quot;002C4B15&quot;/&gt;&lt;wsp:rsid wsp:val=&quot;002C6C17&quot;/&gt;&lt;wsp:rsid wsp:val=&quot;002C77D1&quot;/&gt;&lt;wsp:rsid wsp:val=&quot;002C7BBF&quot;/&gt;&lt;wsp:rsid wsp:val=&quot;002D0D79&quot;/&gt;&lt;wsp:rsid wsp:val=&quot;002D2B13&quot;/&gt;&lt;wsp:rsid wsp:val=&quot;002D5F2D&quot;/&gt;&lt;wsp:rsid wsp:val=&quot;002D7342&quot;/&gt;&lt;wsp:rsid wsp:val=&quot;002D77AD&quot;/&gt;&lt;wsp:rsid wsp:val=&quot;002E245B&quot;/&gt;&lt;wsp:rsid wsp:val=&quot;002E33D6&quot;/&gt;&lt;wsp:rsid wsp:val=&quot;002E4399&quot;/&gt;&lt;wsp:rsid wsp:val=&quot;002E5065&quot;/&gt;&lt;wsp:rsid wsp:val=&quot;002E5D9C&quot;/&gt;&lt;wsp:rsid wsp:val=&quot;002F10EB&quot;/&gt;&lt;wsp:rsid wsp:val=&quot;002F1DB9&quot;/&gt;&lt;wsp:rsid wsp:val=&quot;002F34EF&quot;/&gt;&lt;wsp:rsid wsp:val=&quot;002F38A2&quot;/&gt;&lt;wsp:rsid wsp:val=&quot;002F3CB5&quot;/&gt;&lt;wsp:rsid wsp:val=&quot;002F47C4&quot;/&gt;&lt;wsp:rsid wsp:val=&quot;002F4A44&quot;/&gt;&lt;wsp:rsid wsp:val=&quot;002F53CD&quot;/&gt;&lt;wsp:rsid wsp:val=&quot;002F5BDE&quot;/&gt;&lt;wsp:rsid wsp:val=&quot;00302661&quot;/&gt;&lt;wsp:rsid wsp:val=&quot;00302E8D&quot;/&gt;&lt;wsp:rsid wsp:val=&quot;003036AD&quot;/&gt;&lt;wsp:rsid wsp:val=&quot;00304DA3&quot;/&gt;&lt;wsp:rsid wsp:val=&quot;00305035&quot;/&gt;&lt;wsp:rsid wsp:val=&quot;00307459&quot;/&gt;&lt;wsp:rsid wsp:val=&quot;0031109F&quot;/&gt;&lt;wsp:rsid wsp:val=&quot;0031211F&quot;/&gt;&lt;wsp:rsid wsp:val=&quot;0031385A&quot;/&gt;&lt;wsp:rsid wsp:val=&quot;003138BC&quot;/&gt;&lt;wsp:rsid wsp:val=&quot;00315062&quot;/&gt;&lt;wsp:rsid wsp:val=&quot;00315D38&quot;/&gt;&lt;wsp:rsid wsp:val=&quot;00316C83&quot;/&gt;&lt;wsp:rsid wsp:val=&quot;003178B3&quot;/&gt;&lt;wsp:rsid wsp:val=&quot;00321703&quot;/&gt;&lt;wsp:rsid wsp:val=&quot;00322EF6&quot;/&gt;&lt;wsp:rsid wsp:val=&quot;0032323B&quot;/&gt;&lt;wsp:rsid wsp:val=&quot;00323CF5&quot;/&gt;&lt;wsp:rsid wsp:val=&quot;003240FE&quot;/&gt;&lt;wsp:rsid wsp:val=&quot;00330EC5&quot;/&gt;&lt;wsp:rsid wsp:val=&quot;003313B9&quot;/&gt;&lt;wsp:rsid wsp:val=&quot;00333288&quot;/&gt;&lt;wsp:rsid wsp:val=&quot;0033443A&quot;/&gt;&lt;wsp:rsid wsp:val=&quot;003348E4&quot;/&gt;&lt;wsp:rsid wsp:val=&quot;003351D2&quot;/&gt;&lt;wsp:rsid wsp:val=&quot;00335532&quot;/&gt;&lt;wsp:rsid wsp:val=&quot;00335610&quot;/&gt;&lt;wsp:rsid wsp:val=&quot;003421E1&quot;/&gt;&lt;wsp:rsid wsp:val=&quot;00343625&quot;/&gt;&lt;wsp:rsid wsp:val=&quot;00344233&quot;/&gt;&lt;wsp:rsid wsp:val=&quot;00346BC2&quot;/&gt;&lt;wsp:rsid wsp:val=&quot;003578CE&quot;/&gt;&lt;wsp:rsid wsp:val=&quot;003579FF&quot;/&gt;&lt;wsp:rsid wsp:val=&quot;00360FF3&quot;/&gt;&lt;wsp:rsid wsp:val=&quot;00370090&quot;/&gt;&lt;wsp:rsid wsp:val=&quot;003704FE&quot;/&gt;&lt;wsp:rsid wsp:val=&quot;00370F79&quot;/&gt;&lt;wsp:rsid wsp:val=&quot;00371BC2&quot;/&gt;&lt;wsp:rsid wsp:val=&quot;003733D8&quot;/&gt;&lt;wsp:rsid wsp:val=&quot;00374052&quot;/&gt;&lt;wsp:rsid wsp:val=&quot;00374868&quot;/&gt;&lt;wsp:rsid wsp:val=&quot;00374CD9&quot;/&gt;&lt;wsp:rsid wsp:val=&quot;00376332&quot;/&gt;&lt;wsp:rsid wsp:val=&quot;00376620&quot;/&gt;&lt;wsp:rsid wsp:val=&quot;0037682F&quot;/&gt;&lt;wsp:rsid wsp:val=&quot;00380FF7&quot;/&gt;&lt;wsp:rsid wsp:val=&quot;0038142A&quot;/&gt;&lt;wsp:rsid wsp:val=&quot;00381FA2&quot;/&gt;&lt;wsp:rsid wsp:val=&quot;00382BFC&quot;/&gt;&lt;wsp:rsid wsp:val=&quot;00382F42&quot;/&gt;&lt;wsp:rsid wsp:val=&quot;00385C77&quot;/&gt;&lt;wsp:rsid wsp:val=&quot;00386BD8&quot;/&gt;&lt;wsp:rsid wsp:val=&quot;003950C3&quot;/&gt;&lt;wsp:rsid wsp:val=&quot;003951BB&quot;/&gt;&lt;wsp:rsid wsp:val=&quot;003A1967&quot;/&gt;&lt;wsp:rsid wsp:val=&quot;003A39AD&quot;/&gt;&lt;wsp:rsid wsp:val=&quot;003B0208&quot;/&gt;&lt;wsp:rsid wsp:val=&quot;003B02D1&quot;/&gt;&lt;wsp:rsid wsp:val=&quot;003B0E5C&quot;/&gt;&lt;wsp:rsid wsp:val=&quot;003B19DC&quot;/&gt;&lt;wsp:rsid wsp:val=&quot;003B23A7&quot;/&gt;&lt;wsp:rsid wsp:val=&quot;003B7114&quot;/&gt;&lt;wsp:rsid wsp:val=&quot;003B7797&quot;/&gt;&lt;wsp:rsid wsp:val=&quot;003C05B8&quot;/&gt;&lt;wsp:rsid wsp:val=&quot;003C05ED&quot;/&gt;&lt;wsp:rsid wsp:val=&quot;003C427A&quot;/&gt;&lt;wsp:rsid wsp:val=&quot;003C4BB3&quot;/&gt;&lt;wsp:rsid wsp:val=&quot;003C513B&quot;/&gt;&lt;wsp:rsid wsp:val=&quot;003C5767&quot;/&gt;&lt;wsp:rsid wsp:val=&quot;003C6138&quot;/&gt;&lt;wsp:rsid wsp:val=&quot;003C65FB&quot;/&gt;&lt;wsp:rsid wsp:val=&quot;003C68EF&quot;/&gt;&lt;wsp:rsid wsp:val=&quot;003C7B8A&quot;/&gt;&lt;wsp:rsid wsp:val=&quot;003C7E43&quot;/&gt;&lt;wsp:rsid wsp:val=&quot;003D05BA&quot;/&gt;&lt;wsp:rsid wsp:val=&quot;003D0BD7&quot;/&gt;&lt;wsp:rsid wsp:val=&quot;003D0F07&quot;/&gt;&lt;wsp:rsid wsp:val=&quot;003D7244&quot;/&gt;&lt;wsp:rsid wsp:val=&quot;003E1BE3&quot;/&gt;&lt;wsp:rsid wsp:val=&quot;003E36F2&quot;/&gt;&lt;wsp:rsid wsp:val=&quot;003E7FB0&quot;/&gt;&lt;wsp:rsid wsp:val=&quot;003F18C8&quot;/&gt;&lt;wsp:rsid wsp:val=&quot;004020A7&quot;/&gt;&lt;wsp:rsid wsp:val=&quot;004041A3&quot;/&gt;&lt;wsp:rsid wsp:val=&quot;004045E9&quot;/&gt;&lt;wsp:rsid wsp:val=&quot;00405465&quot;/&gt;&lt;wsp:rsid wsp:val=&quot;00413251&quot;/&gt;&lt;wsp:rsid wsp:val=&quot;004146CB&quot;/&gt;&lt;wsp:rsid wsp:val=&quot;00416440&quot;/&gt;&lt;wsp:rsid wsp:val=&quot;00417BDF&quot;/&gt;&lt;wsp:rsid wsp:val=&quot;004218D1&quot;/&gt;&lt;wsp:rsid wsp:val=&quot;00421B49&quot;/&gt;&lt;wsp:rsid wsp:val=&quot;004260BF&quot;/&gt;&lt;wsp:rsid wsp:val=&quot;00433755&quot;/&gt;&lt;wsp:rsid wsp:val=&quot;00434C16&quot;/&gt;&lt;wsp:rsid wsp:val=&quot;00435F7F&quot;/&gt;&lt;wsp:rsid wsp:val=&quot;0044071C&quot;/&gt;&lt;wsp:rsid wsp:val=&quot;004407D9&quot;/&gt;&lt;wsp:rsid wsp:val=&quot;00440C19&quot;/&gt;&lt;wsp:rsid wsp:val=&quot;00441C5F&quot;/&gt;&lt;wsp:rsid wsp:val=&quot;00443C7A&quot;/&gt;&lt;wsp:rsid wsp:val=&quot;00446231&quot;/&gt;&lt;wsp:rsid wsp:val=&quot;004469C0&quot;/&gt;&lt;wsp:rsid wsp:val=&quot;00446E06&quot;/&gt;&lt;wsp:rsid wsp:val=&quot;004476EF&quot;/&gt;&lt;wsp:rsid wsp:val=&quot;00447988&quot;/&gt;&lt;wsp:rsid wsp:val=&quot;00447A15&quot;/&gt;&lt;wsp:rsid wsp:val=&quot;00450C88&quot;/&gt;&lt;wsp:rsid wsp:val=&quot;004539A2&quot;/&gt;&lt;wsp:rsid wsp:val=&quot;0045583B&quot;/&gt;&lt;wsp:rsid wsp:val=&quot;004577A8&quot;/&gt;&lt;wsp:rsid wsp:val=&quot;004606BC&quot;/&gt;&lt;wsp:rsid wsp:val=&quot;00466768&quot;/&gt;&lt;wsp:rsid wsp:val=&quot;00467ABC&quot;/&gt;&lt;wsp:rsid wsp:val=&quot;00471A99&quot;/&gt;&lt;wsp:rsid wsp:val=&quot;00473955&quot;/&gt;&lt;wsp:rsid wsp:val=&quot;00476369&quot;/&gt;&lt;wsp:rsid wsp:val=&quot;004777EE&quot;/&gt;&lt;wsp:rsid wsp:val=&quot;00477F50&quot;/&gt;&lt;wsp:rsid wsp:val=&quot;00480B96&quot;/&gt;&lt;wsp:rsid wsp:val=&quot;0048119E&quot;/&gt;&lt;wsp:rsid wsp:val=&quot;00482BE6&quot;/&gt;&lt;wsp:rsid wsp:val=&quot;00484139&quot;/&gt;&lt;wsp:rsid wsp:val=&quot;00487B65&quot;/&gt;&lt;wsp:rsid wsp:val=&quot;00490E80&quot;/&gt;&lt;wsp:rsid wsp:val=&quot;004921E5&quot;/&gt;&lt;wsp:rsid wsp:val=&quot;004926C1&quot;/&gt;&lt;wsp:rsid wsp:val=&quot;0049409F&quot;/&gt;&lt;wsp:rsid wsp:val=&quot;00494718&quot;/&gt;&lt;wsp:rsid wsp:val=&quot;00495671&quot;/&gt;&lt;wsp:rsid wsp:val=&quot;004963F5&quot;/&gt;&lt;wsp:rsid wsp:val=&quot;00497902&quot;/&gt;&lt;wsp:rsid wsp:val=&quot;004A605C&quot;/&gt;&lt;wsp:rsid wsp:val=&quot;004B16F8&quot;/&gt;&lt;wsp:rsid wsp:val=&quot;004B1DF2&quot;/&gt;&lt;wsp:rsid wsp:val=&quot;004B292D&quot;/&gt;&lt;wsp:rsid wsp:val=&quot;004B4CE6&quot;/&gt;&lt;wsp:rsid wsp:val=&quot;004B5B41&quot;/&gt;&lt;wsp:rsid wsp:val=&quot;004C0C23&quot;/&gt;&lt;wsp:rsid wsp:val=&quot;004C1C1D&quot;/&gt;&lt;wsp:rsid wsp:val=&quot;004C2129&quot;/&gt;&lt;wsp:rsid wsp:val=&quot;004C2406&quot;/&gt;&lt;wsp:rsid wsp:val=&quot;004C2FEC&quot;/&gt;&lt;wsp:rsid wsp:val=&quot;004C3CD6&quot;/&gt;&lt;wsp:rsid wsp:val=&quot;004C5C3B&quot;/&gt;&lt;wsp:rsid wsp:val=&quot;004C5F5D&quot;/&gt;&lt;wsp:rsid wsp:val=&quot;004C70FB&quot;/&gt;&lt;wsp:rsid wsp:val=&quot;004D3378&quot;/&gt;&lt;wsp:rsid wsp:val=&quot;004D655D&quot;/&gt;&lt;wsp:rsid wsp:val=&quot;004D7066&quot;/&gt;&lt;wsp:rsid wsp:val=&quot;004E2C43&quot;/&gt;&lt;wsp:rsid wsp:val=&quot;004E2ED5&quot;/&gt;&lt;wsp:rsid wsp:val=&quot;004E346E&quot;/&gt;&lt;wsp:rsid wsp:val=&quot;004E45C4&quot;/&gt;&lt;wsp:rsid wsp:val=&quot;004E544B&quot;/&gt;&lt;wsp:rsid wsp:val=&quot;004E6ABD&quot;/&gt;&lt;wsp:rsid wsp:val=&quot;004F16C3&quot;/&gt;&lt;wsp:rsid wsp:val=&quot;004F2540&quot;/&gt;&lt;wsp:rsid wsp:val=&quot;004F2D55&quot;/&gt;&lt;wsp:rsid wsp:val=&quot;004F7FC3&quot;/&gt;&lt;wsp:rsid wsp:val=&quot;00502465&quot;/&gt;&lt;wsp:rsid wsp:val=&quot;005024BB&quot;/&gt;&lt;wsp:rsid wsp:val=&quot;005065B3&quot;/&gt;&lt;wsp:rsid wsp:val=&quot;005067A0&quot;/&gt;&lt;wsp:rsid wsp:val=&quot;00506FC7&quot;/&gt;&lt;wsp:rsid wsp:val=&quot;00510685&quot;/&gt;&lt;wsp:rsid wsp:val=&quot;005117DE&quot;/&gt;&lt;wsp:rsid wsp:val=&quot;0051339C&quot;/&gt;&lt;wsp:rsid wsp:val=&quot;005157EA&quot;/&gt;&lt;wsp:rsid wsp:val=&quot;00515E46&quot;/&gt;&lt;wsp:rsid wsp:val=&quot;00516DBF&quot;/&gt;&lt;wsp:rsid wsp:val=&quot;00516DD5&quot;/&gt;&lt;wsp:rsid wsp:val=&quot;00517034&quot;/&gt;&lt;wsp:rsid wsp:val=&quot;005172FF&quot;/&gt;&lt;wsp:rsid wsp:val=&quot;00517673&quot;/&gt;&lt;wsp:rsid wsp:val=&quot;00520F13&quot;/&gt;&lt;wsp:rsid wsp:val=&quot;00522325&quot;/&gt;&lt;wsp:rsid wsp:val=&quot;0052241A&quot;/&gt;&lt;wsp:rsid wsp:val=&quot;00522541&quot;/&gt;&lt;wsp:rsid wsp:val=&quot;00523094&quot;/&gt;&lt;wsp:rsid wsp:val=&quot;0052532D&quot;/&gt;&lt;wsp:rsid wsp:val=&quot;00525F17&quot;/&gt;&lt;wsp:rsid wsp:val=&quot;00527759&quot;/&gt;&lt;wsp:rsid wsp:val=&quot;00530111&quot;/&gt;&lt;wsp:rsid wsp:val=&quot;00530DEF&quot;/&gt;&lt;wsp:rsid wsp:val=&quot;00532E02&quot;/&gt;&lt;wsp:rsid wsp:val=&quot;00534DFC&quot;/&gt;&lt;wsp:rsid wsp:val=&quot;0053653C&quot;/&gt;&lt;wsp:rsid wsp:val=&quot;00537D28&quot;/&gt;&lt;wsp:rsid wsp:val=&quot;00537D98&quot;/&gt;&lt;wsp:rsid wsp:val=&quot;005400C2&quot;/&gt;&lt;wsp:rsid wsp:val=&quot;00540C40&quot;/&gt;&lt;wsp:rsid wsp:val=&quot;00540E08&quot;/&gt;&lt;wsp:rsid wsp:val=&quot;0054275E&quot;/&gt;&lt;wsp:rsid wsp:val=&quot;00542E15&quot;/&gt;&lt;wsp:rsid wsp:val=&quot;00543A19&quot;/&gt;&lt;wsp:rsid wsp:val=&quot;00544878&quot;/&gt;&lt;wsp:rsid wsp:val=&quot;00545240&quot;/&gt;&lt;wsp:rsid wsp:val=&quot;0054644E&quot;/&gt;&lt;wsp:rsid wsp:val=&quot;005504CE&quot;/&gt;&lt;wsp:rsid wsp:val=&quot;005518B6&quot;/&gt;&lt;wsp:rsid wsp:val=&quot;00551B17&quot;/&gt;&lt;wsp:rsid wsp:val=&quot;005520E4&quot;/&gt;&lt;wsp:rsid wsp:val=&quot;005539A4&quot;/&gt;&lt;wsp:rsid wsp:val=&quot;00553FF7&quot;/&gt;&lt;wsp:rsid wsp:val=&quot;005607E8&quot;/&gt;&lt;wsp:rsid wsp:val=&quot;005616BF&quot;/&gt;&lt;wsp:rsid wsp:val=&quot;00562E88&quot;/&gt;&lt;wsp:rsid wsp:val=&quot;00565CF5&quot;/&gt;&lt;wsp:rsid wsp:val=&quot;00572091&quot;/&gt;&lt;wsp:rsid wsp:val=&quot;00574D13&quot;/&gt;&lt;wsp:rsid wsp:val=&quot;0058012C&quot;/&gt;&lt;wsp:rsid wsp:val=&quot;005811A5&quot;/&gt;&lt;wsp:rsid wsp:val=&quot;005814B9&quot;/&gt;&lt;wsp:rsid wsp:val=&quot;005843D1&quot;/&gt;&lt;wsp:rsid wsp:val=&quot;00586289&quot;/&gt;&lt;wsp:rsid wsp:val=&quot;005872B8&quot;/&gt;&lt;wsp:rsid wsp:val=&quot;00591FA5&quot;/&gt;&lt;wsp:rsid wsp:val=&quot;00594DCC&quot;/&gt;&lt;wsp:rsid wsp:val=&quot;00594F57&quot;/&gt;&lt;wsp:rsid wsp:val=&quot;00595482&quot;/&gt;&lt;wsp:rsid wsp:val=&quot;00596635&quot;/&gt;&lt;wsp:rsid wsp:val=&quot;00596725&quot;/&gt;&lt;wsp:rsid wsp:val=&quot;005A3995&quot;/&gt;&lt;wsp:rsid wsp:val=&quot;005A5D8B&quot;/&gt;&lt;wsp:rsid wsp:val=&quot;005A6820&quot;/&gt;&lt;wsp:rsid wsp:val=&quot;005A6D78&quot;/&gt;&lt;wsp:rsid wsp:val=&quot;005A7980&quot;/&gt;&lt;wsp:rsid wsp:val=&quot;005B28A7&quot;/&gt;&lt;wsp:rsid wsp:val=&quot;005B45DE&quot;/&gt;&lt;wsp:rsid wsp:val=&quot;005B5F17&quot;/&gt;&lt;wsp:rsid wsp:val=&quot;005B60EF&quot;/&gt;&lt;wsp:rsid wsp:val=&quot;005C00EC&quot;/&gt;&lt;wsp:rsid wsp:val=&quot;005C0E9E&quot;/&gt;&lt;wsp:rsid wsp:val=&quot;005C10BD&quot;/&gt;&lt;wsp:rsid wsp:val=&quot;005C1C48&quot;/&gt;&lt;wsp:rsid wsp:val=&quot;005C268F&quot;/&gt;&lt;wsp:rsid wsp:val=&quot;005C3957&quot;/&gt;&lt;wsp:rsid wsp:val=&quot;005C6083&quot;/&gt;&lt;wsp:rsid wsp:val=&quot;005D143E&quot;/&gt;&lt;wsp:rsid wsp:val=&quot;005D2A98&quot;/&gt;&lt;wsp:rsid wsp:val=&quot;005E088C&quot;/&gt;&lt;wsp:rsid wsp:val=&quot;005E09D4&quot;/&gt;&lt;wsp:rsid wsp:val=&quot;005E11B5&quot;/&gt;&lt;wsp:rsid wsp:val=&quot;005E1618&quot;/&gt;&lt;wsp:rsid wsp:val=&quot;005E6396&quot;/&gt;&lt;wsp:rsid wsp:val=&quot;005E6736&quot;/&gt;&lt;wsp:rsid wsp:val=&quot;005F0FF9&quot;/&gt;&lt;wsp:rsid wsp:val=&quot;005F5E61&quot;/&gt;&lt;wsp:rsid wsp:val=&quot;005F7BB2&quot;/&gt;&lt;wsp:rsid wsp:val=&quot;006034CB&quot;/&gt;&lt;wsp:rsid wsp:val=&quot;00603ECC&quot;/&gt;&lt;wsp:rsid wsp:val=&quot;006057F0&quot;/&gt;&lt;wsp:rsid wsp:val=&quot;006066AD&quot;/&gt;&lt;wsp:rsid wsp:val=&quot;006070B0&quot;/&gt;&lt;wsp:rsid wsp:val=&quot;00612896&quot;/&gt;&lt;wsp:rsid wsp:val=&quot;006156BD&quot;/&gt;&lt;wsp:rsid wsp:val=&quot;00615E2B&quot;/&gt;&lt;wsp:rsid wsp:val=&quot;00617511&quot;/&gt;&lt;wsp:rsid wsp:val=&quot;00622B8C&quot;/&gt;&lt;wsp:rsid wsp:val=&quot;00623D8D&quot;/&gt;&lt;wsp:rsid wsp:val=&quot;006257A1&quot;/&gt;&lt;wsp:rsid wsp:val=&quot;00626929&quot;/&gt;&lt;wsp:rsid wsp:val=&quot;00626C1D&quot;/&gt;&lt;wsp:rsid wsp:val=&quot;00627F9E&quot;/&gt;&lt;wsp:rsid wsp:val=&quot;00631819&quot;/&gt;&lt;wsp:rsid wsp:val=&quot;00632B10&quot;/&gt;&lt;wsp:rsid wsp:val=&quot;006335B6&quot;/&gt;&lt;wsp:rsid wsp:val=&quot;00634ED0&quot;/&gt;&lt;wsp:rsid wsp:val=&quot;0063580B&quot;/&gt;&lt;wsp:rsid wsp:val=&quot;00635DBA&quot;/&gt;&lt;wsp:rsid wsp:val=&quot;0064283A&quot;/&gt;&lt;wsp:rsid wsp:val=&quot;00643310&quot;/&gt;&lt;wsp:rsid wsp:val=&quot;00643780&quot;/&gt;&lt;wsp:rsid wsp:val=&quot;00643AF9&quot;/&gt;&lt;wsp:rsid wsp:val=&quot;00644E71&quot;/&gt;&lt;wsp:rsid wsp:val=&quot;00645892&quot;/&gt;&lt;wsp:rsid wsp:val=&quot;00650D7F&quot;/&gt;&lt;wsp:rsid wsp:val=&quot;00650F45&quot;/&gt;&lt;wsp:rsid wsp:val=&quot;0065267E&quot;/&gt;&lt;wsp:rsid wsp:val=&quot;00654B20&quot;/&gt;&lt;wsp:rsid wsp:val=&quot;006567FF&quot;/&gt;&lt;wsp:rsid wsp:val=&quot;0066053D&quot;/&gt;&lt;wsp:rsid wsp:val=&quot;00660D93&quot;/&gt;&lt;wsp:rsid wsp:val=&quot;00663240&quot;/&gt;&lt;wsp:rsid wsp:val=&quot;00666252&quot;/&gt;&lt;wsp:rsid wsp:val=&quot;0067212D&quot;/&gt;&lt;wsp:rsid wsp:val=&quot;00672971&quot;/&gt;&lt;wsp:rsid wsp:val=&quot;00674CD8&quot;/&gt;&lt;wsp:rsid wsp:val=&quot;00681847&quot;/&gt;&lt;wsp:rsid wsp:val=&quot;00686181&quot;/&gt;&lt;wsp:rsid wsp:val=&quot;006869F7&quot;/&gt;&lt;wsp:rsid wsp:val=&quot;006869FA&quot;/&gt;&lt;wsp:rsid wsp:val=&quot;00687532&quot;/&gt;&lt;wsp:rsid wsp:val=&quot;006900FC&quot;/&gt;&lt;wsp:rsid wsp:val=&quot;006913B1&quot;/&gt;&lt;wsp:rsid wsp:val=&quot;00691C85&quot;/&gt;&lt;wsp:rsid wsp:val=&quot;00692C4E&quot;/&gt;&lt;wsp:rsid wsp:val=&quot;006959E7&quot;/&gt;&lt;wsp:rsid wsp:val=&quot;00696B0D&quot;/&gt;&lt;wsp:rsid wsp:val=&quot;00697BAE&quot;/&gt;&lt;wsp:rsid wsp:val=&quot;006A0BB1&quot;/&gt;&lt;wsp:rsid wsp:val=&quot;006A3E6D&quot;/&gt;&lt;wsp:rsid wsp:val=&quot;006A41DC&quot;/&gt;&lt;wsp:rsid wsp:val=&quot;006A4CD7&quot;/&gt;&lt;wsp:rsid wsp:val=&quot;006A6D49&quot;/&gt;&lt;wsp:rsid wsp:val=&quot;006A7B6B&quot;/&gt;&lt;wsp:rsid wsp:val=&quot;006B2350&quot;/&gt;&lt;wsp:rsid wsp:val=&quot;006B2449&quot;/&gt;&lt;wsp:rsid wsp:val=&quot;006B30D4&quot;/&gt;&lt;wsp:rsid wsp:val=&quot;006B4F1A&quot;/&gt;&lt;wsp:rsid wsp:val=&quot;006B6BA9&quot;/&gt;&lt;wsp:rsid wsp:val=&quot;006C483E&quot;/&gt;&lt;wsp:rsid wsp:val=&quot;006C68AE&quot;/&gt;&lt;wsp:rsid wsp:val=&quot;006C72AE&quot;/&gt;&lt;wsp:rsid wsp:val=&quot;006C7CE3&quot;/&gt;&lt;wsp:rsid wsp:val=&quot;006C7E21&quot;/&gt;&lt;wsp:rsid wsp:val=&quot;006D4050&quot;/&gt;&lt;wsp:rsid wsp:val=&quot;006E234E&quot;/&gt;&lt;wsp:rsid wsp:val=&quot;006E2466&quot;/&gt;&lt;wsp:rsid wsp:val=&quot;006E4C6D&quot;/&gt;&lt;wsp:rsid wsp:val=&quot;006E4CEA&quot;/&gt;&lt;wsp:rsid wsp:val=&quot;006E50F4&quot;/&gt;&lt;wsp:rsid wsp:val=&quot;006E6409&quot;/&gt;&lt;wsp:rsid wsp:val=&quot;006E7923&quot;/&gt;&lt;wsp:rsid wsp:val=&quot;006F274A&quot;/&gt;&lt;wsp:rsid wsp:val=&quot;006F3443&quot;/&gt;&lt;wsp:rsid wsp:val=&quot;006F457A&quot;/&gt;&lt;wsp:rsid wsp:val=&quot;00701E68&quot;/&gt;&lt;wsp:rsid wsp:val=&quot;007021D5&quot;/&gt;&lt;wsp:rsid wsp:val=&quot;007039FF&quot;/&gt;&lt;wsp:rsid wsp:val=&quot;00703AFB&quot;/&gt;&lt;wsp:rsid wsp:val=&quot;007057A0&quot;/&gt;&lt;wsp:rsid wsp:val=&quot;00705B3C&quot;/&gt;&lt;wsp:rsid wsp:val=&quot;007069AA&quot;/&gt;&lt;wsp:rsid wsp:val=&quot;00707485&quot;/&gt;&lt;wsp:rsid wsp:val=&quot;00710727&quot;/&gt;&lt;wsp:rsid wsp:val=&quot;00713C70&quot;/&gt;&lt;wsp:rsid wsp:val=&quot;007145E6&quot;/&gt;&lt;wsp:rsid wsp:val=&quot;00714656&quot;/&gt;&lt;wsp:rsid wsp:val=&quot;00715148&quot;/&gt;&lt;wsp:rsid wsp:val=&quot;0071654B&quot;/&gt;&lt;wsp:rsid wsp:val=&quot;00717172&quot;/&gt;&lt;wsp:rsid wsp:val=&quot;007178D6&quot;/&gt;&lt;wsp:rsid wsp:val=&quot;00717F15&quot;/&gt;&lt;wsp:rsid wsp:val=&quot;007201C3&quot;/&gt;&lt;wsp:rsid wsp:val=&quot;00722488&quot;/&gt;&lt;wsp:rsid wsp:val=&quot;0072420D&quot;/&gt;&lt;wsp:rsid wsp:val=&quot;007260A8&quot;/&gt;&lt;wsp:rsid wsp:val=&quot;007276B4&quot;/&gt;&lt;wsp:rsid wsp:val=&quot;007309DE&quot;/&gt;&lt;wsp:rsid wsp:val=&quot;00733CC7&quot;/&gt;&lt;wsp:rsid wsp:val=&quot;00735BDC&quot;/&gt;&lt;wsp:rsid wsp:val=&quot;00745EDE&quot;/&gt;&lt;wsp:rsid wsp:val=&quot;0074687A&quot;/&gt;&lt;wsp:rsid wsp:val=&quot;00747C68&quot;/&gt;&lt;wsp:rsid wsp:val=&quot;007512E6&quot;/&gt;&lt;wsp:rsid wsp:val=&quot;007515B0&quot;/&gt;&lt;wsp:rsid wsp:val=&quot;00753ED1&quot;/&gt;&lt;wsp:rsid wsp:val=&quot;00754F99&quot;/&gt;&lt;wsp:rsid wsp:val=&quot;00756169&quot;/&gt;&lt;wsp:rsid wsp:val=&quot;00760BC9&quot;/&gt;&lt;wsp:rsid wsp:val=&quot;007615FA&quot;/&gt;&lt;wsp:rsid wsp:val=&quot;007619B8&quot;/&gt;&lt;wsp:rsid wsp:val=&quot;0076275A&quot;/&gt;&lt;wsp:rsid wsp:val=&quot;007629B9&quot;/&gt;&lt;wsp:rsid wsp:val=&quot;00763D79&quot;/&gt;&lt;wsp:rsid wsp:val=&quot;00765872&quot;/&gt;&lt;wsp:rsid wsp:val=&quot;00772809&quot;/&gt;&lt;wsp:rsid wsp:val=&quot;00775D23&quot;/&gt;&lt;wsp:rsid wsp:val=&quot;00776CFF&quot;/&gt;&lt;wsp:rsid wsp:val=&quot;00781436&quot;/&gt;&lt;wsp:rsid wsp:val=&quot;00782DDB&quot;/&gt;&lt;wsp:rsid wsp:val=&quot;00783327&quot;/&gt;&lt;wsp:rsid wsp:val=&quot;00783EB5&quot;/&gt;&lt;wsp:rsid wsp:val=&quot;00784489&quot;/&gt;&lt;wsp:rsid wsp:val=&quot;007851E7&quot;/&gt;&lt;wsp:rsid wsp:val=&quot;0079148D&quot;/&gt;&lt;wsp:rsid wsp:val=&quot;00791FA9&quot;/&gt;&lt;wsp:rsid wsp:val=&quot;00794C87&quot;/&gt;&lt;wsp:rsid wsp:val=&quot;007951E8&quot;/&gt;&lt;wsp:rsid wsp:val=&quot;007A1E76&quot;/&gt;&lt;wsp:rsid wsp:val=&quot;007A3C07&quot;/&gt;&lt;wsp:rsid wsp:val=&quot;007A5658&quot;/&gt;&lt;wsp:rsid wsp:val=&quot;007B012A&quot;/&gt;&lt;wsp:rsid wsp:val=&quot;007B324C&quot;/&gt;&lt;wsp:rsid wsp:val=&quot;007B38CF&quot;/&gt;&lt;wsp:rsid wsp:val=&quot;007B3E2D&quot;/&gt;&lt;wsp:rsid wsp:val=&quot;007B53ED&quot;/&gt;&lt;wsp:rsid wsp:val=&quot;007B5601&quot;/&gt;&lt;wsp:rsid wsp:val=&quot;007B667E&quot;/&gt;&lt;wsp:rsid wsp:val=&quot;007C1463&quot;/&gt;&lt;wsp:rsid wsp:val=&quot;007C4B0B&quot;/&gt;&lt;wsp:rsid wsp:val=&quot;007C5231&quot;/&gt;&lt;wsp:rsid wsp:val=&quot;007C5EC3&quot;/&gt;&lt;wsp:rsid wsp:val=&quot;007D210C&quot;/&gt;&lt;wsp:rsid wsp:val=&quot;007D5A83&quot;/&gt;&lt;wsp:rsid wsp:val=&quot;007D5F59&quot;/&gt;&lt;wsp:rsid wsp:val=&quot;007D630A&quot;/&gt;&lt;wsp:rsid wsp:val=&quot;007D63DB&quot;/&gt;&lt;wsp:rsid wsp:val=&quot;007E2560&quot;/&gt;&lt;wsp:rsid wsp:val=&quot;007E36CF&quot;/&gt;&lt;wsp:rsid wsp:val=&quot;007E3AA8&quot;/&gt;&lt;wsp:rsid wsp:val=&quot;007E5290&quot;/&gt;&lt;wsp:rsid wsp:val=&quot;007E6473&quot;/&gt;&lt;wsp:rsid wsp:val=&quot;007F052F&quot;/&gt;&lt;wsp:rsid wsp:val=&quot;007F0F79&quot;/&gt;&lt;wsp:rsid wsp:val=&quot;007F1759&quot;/&gt;&lt;wsp:rsid wsp:val=&quot;007F1D29&quot;/&gt;&lt;wsp:rsid wsp:val=&quot;007F26F3&quot;/&gt;&lt;wsp:rsid wsp:val=&quot;007F3DB8&quot;/&gt;&lt;wsp:rsid wsp:val=&quot;00801F17&quot;/&gt;&lt;wsp:rsid wsp:val=&quot;0080210D&quot;/&gt;&lt;wsp:rsid wsp:val=&quot;0080230B&quot;/&gt;&lt;wsp:rsid wsp:val=&quot;00803E16&quot;/&gt;&lt;wsp:rsid wsp:val=&quot;00804649&quot;/&gt;&lt;wsp:rsid wsp:val=&quot;00807B0A&quot;/&gt;&lt;wsp:rsid wsp:val=&quot;00810BBF&quot;/&gt;&lt;wsp:rsid wsp:val=&quot;00812000&quot;/&gt;&lt;wsp:rsid wsp:val=&quot;00812594&quot;/&gt;&lt;wsp:rsid wsp:val=&quot;00813A27&quot;/&gt;&lt;wsp:rsid wsp:val=&quot;00817136&quot;/&gt;&lt;wsp:rsid wsp:val=&quot;00823A58&quot;/&gt;&lt;wsp:rsid wsp:val=&quot;0082685D&quot;/&gt;&lt;wsp:rsid wsp:val=&quot;008302B3&quot;/&gt;&lt;wsp:rsid wsp:val=&quot;008305F7&quot;/&gt;&lt;wsp:rsid wsp:val=&quot;00830663&quot;/&gt;&lt;wsp:rsid wsp:val=&quot;0083323A&quot;/&gt;&lt;wsp:rsid wsp:val=&quot;00833655&quot;/&gt;&lt;wsp:rsid wsp:val=&quot;00835536&quot;/&gt;&lt;wsp:rsid wsp:val=&quot;00836915&quot;/&gt;&lt;wsp:rsid wsp:val=&quot;00836E2F&quot;/&gt;&lt;wsp:rsid wsp:val=&quot;0083742F&quot;/&gt;&lt;wsp:rsid wsp:val=&quot;008419AE&quot;/&gt;&lt;wsp:rsid wsp:val=&quot;00842731&quot;/&gt;&lt;wsp:rsid wsp:val=&quot;008451AC&quot;/&gt;&lt;wsp:rsid wsp:val=&quot;00845357&quot;/&gt;&lt;wsp:rsid wsp:val=&quot;00845DCC&quot;/&gt;&lt;wsp:rsid wsp:val=&quot;00845F25&quot;/&gt;&lt;wsp:rsid wsp:val=&quot;00855DA5&quot;/&gt;&lt;wsp:rsid wsp:val=&quot;00857654&quot;/&gt;&lt;wsp:rsid wsp:val=&quot;00863604&quot;/&gt;&lt;wsp:rsid wsp:val=&quot;008642DA&quot;/&gt;&lt;wsp:rsid wsp:val=&quot;0086439E&quot;/&gt;&lt;wsp:rsid wsp:val=&quot;008644A6&quot;/&gt;&lt;wsp:rsid wsp:val=&quot;00867FB0&quot;/&gt;&lt;wsp:rsid wsp:val=&quot;008719CA&quot;/&gt;&lt;wsp:rsid wsp:val=&quot;0087460B&quot;/&gt;&lt;wsp:rsid wsp:val=&quot;00875594&quot;/&gt;&lt;wsp:rsid wsp:val=&quot;00875C24&quot;/&gt;&lt;wsp:rsid wsp:val=&quot;00881226&quot;/&gt;&lt;wsp:rsid wsp:val=&quot;008813BF&quot;/&gt;&lt;wsp:rsid wsp:val=&quot;00885771&quot;/&gt;&lt;wsp:rsid wsp:val=&quot;00890599&quot;/&gt;&lt;wsp:rsid wsp:val=&quot;0089060E&quot;/&gt;&lt;wsp:rsid wsp:val=&quot;0089085D&quot;/&gt;&lt;wsp:rsid wsp:val=&quot;008929CE&quot;/&gt;&lt;wsp:rsid wsp:val=&quot;00892C00&quot;/&gt;&lt;wsp:rsid wsp:val=&quot;00894308&quot;/&gt;&lt;wsp:rsid wsp:val=&quot;00896CA0&quot;/&gt;&lt;wsp:rsid wsp:val=&quot;0089753C&quot;/&gt;&lt;wsp:rsid wsp:val=&quot;008A1D8B&quot;/&gt;&lt;wsp:rsid wsp:val=&quot;008A2F76&quot;/&gt;&lt;wsp:rsid wsp:val=&quot;008A3B13&quot;/&gt;&lt;wsp:rsid wsp:val=&quot;008A488D&quot;/&gt;&lt;wsp:rsid wsp:val=&quot;008B21A3&quot;/&gt;&lt;wsp:rsid wsp:val=&quot;008B2CC8&quot;/&gt;&lt;wsp:rsid wsp:val=&quot;008B3A8D&quot;/&gt;&lt;wsp:rsid wsp:val=&quot;008B69D3&quot;/&gt;&lt;wsp:rsid wsp:val=&quot;008C0FFE&quot;/&gt;&lt;wsp:rsid wsp:val=&quot;008C3441&quot;/&gt;&lt;wsp:rsid wsp:val=&quot;008C48CD&quot;/&gt;&lt;wsp:rsid wsp:val=&quot;008C4A5E&quot;/&gt;&lt;wsp:rsid wsp:val=&quot;008C7EA1&quot;/&gt;&lt;wsp:rsid wsp:val=&quot;008D098B&quot;/&gt;&lt;wsp:rsid wsp:val=&quot;008D4BC8&quot;/&gt;&lt;wsp:rsid wsp:val=&quot;008E05B4&quot;/&gt;&lt;wsp:rsid wsp:val=&quot;008E3239&quot;/&gt;&lt;wsp:rsid wsp:val=&quot;008E4DBB&quot;/&gt;&lt;wsp:rsid wsp:val=&quot;008E6DC6&quot;/&gt;&lt;wsp:rsid wsp:val=&quot;008E7BCF&quot;/&gt;&lt;wsp:rsid wsp:val=&quot;008F15C5&quot;/&gt;&lt;wsp:rsid wsp:val=&quot;008F7075&quot;/&gt;&lt;wsp:rsid wsp:val=&quot;009018E7&quot;/&gt;&lt;wsp:rsid wsp:val=&quot;00906147&quot;/&gt;&lt;wsp:rsid wsp:val=&quot;00907755&quot;/&gt;&lt;wsp:rsid wsp:val=&quot;00907CF2&quot;/&gt;&lt;wsp:rsid wsp:val=&quot;0091240A&quot;/&gt;&lt;wsp:rsid wsp:val=&quot;00912CA5&quot;/&gt;&lt;wsp:rsid wsp:val=&quot;0091389C&quot;/&gt;&lt;wsp:rsid wsp:val=&quot;0091450C&quot;/&gt;&lt;wsp:rsid wsp:val=&quot;0091579E&quot;/&gt;&lt;wsp:rsid wsp:val=&quot;00916A9F&quot;/&gt;&lt;wsp:rsid wsp:val=&quot;00916D2D&quot;/&gt;&lt;wsp:rsid wsp:val=&quot;00917069&quot;/&gt;&lt;wsp:rsid wsp:val=&quot;009218D4&quot;/&gt;&lt;wsp:rsid wsp:val=&quot;00925534&quot;/&gt;&lt;wsp:rsid wsp:val=&quot;0092570E&quot;/&gt;&lt;wsp:rsid wsp:val=&quot;00927F79&quot;/&gt;&lt;wsp:rsid wsp:val=&quot;00930001&quot;/&gt;&lt;wsp:rsid wsp:val=&quot;0093191C&quot;/&gt;&lt;wsp:rsid wsp:val=&quot;009322CD&quot;/&gt;&lt;wsp:rsid wsp:val=&quot;009326EE&quot;/&gt;&lt;wsp:rsid wsp:val=&quot;00932CDB&quot;/&gt;&lt;wsp:rsid wsp:val=&quot;00932D19&quot;/&gt;&lt;wsp:rsid wsp:val=&quot;009339ED&quot;/&gt;&lt;wsp:rsid wsp:val=&quot;00934755&quot;/&gt;&lt;wsp:rsid wsp:val=&quot;00935456&quot;/&gt;&lt;wsp:rsid wsp:val=&quot;00936346&quot;/&gt;&lt;wsp:rsid wsp:val=&quot;00936F44&quot;/&gt;&lt;wsp:rsid wsp:val=&quot;0094462D&quot;/&gt;&lt;wsp:rsid wsp:val=&quot;009446ED&quot;/&gt;&lt;wsp:rsid wsp:val=&quot;00945816&quot;/&gt;&lt;wsp:rsid wsp:val=&quot;00951509&quot;/&gt;&lt;wsp:rsid wsp:val=&quot;00953C26&quot;/&gt;&lt;wsp:rsid wsp:val=&quot;009550E7&quot;/&gt;&lt;wsp:rsid wsp:val=&quot;009565C9&quot;/&gt;&lt;wsp:rsid wsp:val=&quot;00965A79&quot;/&gt;&lt;wsp:rsid wsp:val=&quot;00966DBA&quot;/&gt;&lt;wsp:rsid wsp:val=&quot;00971123&quot;/&gt;&lt;wsp:rsid wsp:val=&quot;00981584&quot;/&gt;&lt;wsp:rsid wsp:val=&quot;009840AC&quot;/&gt;&lt;wsp:rsid wsp:val=&quot;009843B7&quot;/&gt;&lt;wsp:rsid wsp:val=&quot;00992E2B&quot;/&gt;&lt;wsp:rsid wsp:val=&quot;00993D23&quot;/&gt;&lt;wsp:rsid wsp:val=&quot;009942D7&quot;/&gt;&lt;wsp:rsid wsp:val=&quot;009965CF&quot;/&gt;&lt;wsp:rsid wsp:val=&quot;009A0D30&quot;/&gt;&lt;wsp:rsid wsp:val=&quot;009A4F76&quot;/&gt;&lt;wsp:rsid wsp:val=&quot;009B1B46&quot;/&gt;&lt;wsp:rsid wsp:val=&quot;009B1F52&quot;/&gt;&lt;wsp:rsid wsp:val=&quot;009B2DF7&quot;/&gt;&lt;wsp:rsid wsp:val=&quot;009B3F10&quot;/&gt;&lt;wsp:rsid wsp:val=&quot;009B4F04&quot;/&gt;&lt;wsp:rsid wsp:val=&quot;009C29B7&quot;/&gt;&lt;wsp:rsid wsp:val=&quot;009C5A7C&quot;/&gt;&lt;wsp:rsid wsp:val=&quot;009D2F21&quot;/&gt;&lt;wsp:rsid wsp:val=&quot;009D3317&quot;/&gt;&lt;wsp:rsid wsp:val=&quot;009D36F6&quot;/&gt;&lt;wsp:rsid wsp:val=&quot;009D3AE8&quot;/&gt;&lt;wsp:rsid wsp:val=&quot;009D3B7E&quot;/&gt;&lt;wsp:rsid wsp:val=&quot;009D44BF&quot;/&gt;&lt;wsp:rsid wsp:val=&quot;009D4A53&quot;/&gt;&lt;wsp:rsid wsp:val=&quot;009E101D&quot;/&gt;&lt;wsp:rsid wsp:val=&quot;009E18FB&quot;/&gt;&lt;wsp:rsid wsp:val=&quot;009E5C14&quot;/&gt;&lt;wsp:rsid wsp:val=&quot;009E7C14&quot;/&gt;&lt;wsp:rsid wsp:val=&quot;009F463E&quot;/&gt;&lt;wsp:rsid wsp:val=&quot;009F58E3&quot;/&gt;&lt;wsp:rsid wsp:val=&quot;009F59F3&quot;/&gt;&lt;wsp:rsid wsp:val=&quot;009F6842&quot;/&gt;&lt;wsp:rsid wsp:val=&quot;00A04AEB&quot;/&gt;&lt;wsp:rsid wsp:val=&quot;00A05189&quot;/&gt;&lt;wsp:rsid wsp:val=&quot;00A13612&quot;/&gt;&lt;wsp:rsid wsp:val=&quot;00A15714&quot;/&gt;&lt;wsp:rsid wsp:val=&quot;00A17DBA&quot;/&gt;&lt;wsp:rsid wsp:val=&quot;00A207C4&quot;/&gt;&lt;wsp:rsid wsp:val=&quot;00A222BB&quot;/&gt;&lt;wsp:rsid wsp:val=&quot;00A22798&quot;/&gt;&lt;wsp:rsid wsp:val=&quot;00A22835&quot;/&gt;&lt;wsp:rsid wsp:val=&quot;00A22841&quot;/&gt;&lt;wsp:rsid wsp:val=&quot;00A25009&quot;/&gt;&lt;wsp:rsid wsp:val=&quot;00A278FC&quot;/&gt;&lt;wsp:rsid wsp:val=&quot;00A30808&quot;/&gt;&lt;wsp:rsid wsp:val=&quot;00A320C0&quot;/&gt;&lt;wsp:rsid wsp:val=&quot;00A33EA2&quot;/&gt;&lt;wsp:rsid wsp:val=&quot;00A36628&quot;/&gt;&lt;wsp:rsid wsp:val=&quot;00A36D66&quot;/&gt;&lt;wsp:rsid wsp:val=&quot;00A379BD&quot;/&gt;&lt;wsp:rsid wsp:val=&quot;00A379E9&quot;/&gt;&lt;wsp:rsid wsp:val=&quot;00A37F3D&quot;/&gt;&lt;wsp:rsid wsp:val=&quot;00A40009&quot;/&gt;&lt;wsp:rsid wsp:val=&quot;00A450CF&quot;/&gt;&lt;wsp:rsid wsp:val=&quot;00A456A7&quot;/&gt;&lt;wsp:rsid wsp:val=&quot;00A529D8&quot;/&gt;&lt;wsp:rsid wsp:val=&quot;00A531A4&quot;/&gt;&lt;wsp:rsid wsp:val=&quot;00A54936&quot;/&gt;&lt;wsp:rsid wsp:val=&quot;00A552C7&quot;/&gt;&lt;wsp:rsid wsp:val=&quot;00A56CE2&quot;/&gt;&lt;wsp:rsid wsp:val=&quot;00A5781F&quot;/&gt;&lt;wsp:rsid wsp:val=&quot;00A61168&quot;/&gt;&lt;wsp:rsid wsp:val=&quot;00A6209A&quot;/&gt;&lt;wsp:rsid wsp:val=&quot;00A62275&quot;/&gt;&lt;wsp:rsid wsp:val=&quot;00A62BB8&quot;/&gt;&lt;wsp:rsid wsp:val=&quot;00A62E7B&quot;/&gt;&lt;wsp:rsid wsp:val=&quot;00A66515&quot;/&gt;&lt;wsp:rsid wsp:val=&quot;00A66803&quot;/&gt;&lt;wsp:rsid wsp:val=&quot;00A6774D&quot;/&gt;&lt;wsp:rsid wsp:val=&quot;00A7022F&quot;/&gt;&lt;wsp:rsid wsp:val=&quot;00A70ED0&quot;/&gt;&lt;wsp:rsid wsp:val=&quot;00A73B83&quot;/&gt;&lt;wsp:rsid wsp:val=&quot;00A7748A&quot;/&gt;&lt;wsp:rsid wsp:val=&quot;00A826DD&quot;/&gt;&lt;wsp:rsid wsp:val=&quot;00A829EE&quot;/&gt;&lt;wsp:rsid wsp:val=&quot;00A846CD&quot;/&gt;&lt;wsp:rsid wsp:val=&quot;00A84E0F&quot;/&gt;&lt;wsp:rsid wsp:val=&quot;00A8507E&quot;/&gt;&lt;wsp:rsid wsp:val=&quot;00A86AB8&quot;/&gt;&lt;wsp:rsid wsp:val=&quot;00A86F0C&quot;/&gt;&lt;wsp:rsid wsp:val=&quot;00A872AE&quot;/&gt;&lt;wsp:rsid wsp:val=&quot;00A90B8E&quot;/&gt;&lt;wsp:rsid wsp:val=&quot;00A92DE6&quot;/&gt;&lt;wsp:rsid wsp:val=&quot;00A933B7&quot;/&gt;&lt;wsp:rsid wsp:val=&quot;00A94BFA&quot;/&gt;&lt;wsp:rsid wsp:val=&quot;00A95938&quot;/&gt;&lt;wsp:rsid wsp:val=&quot;00A969EF&quot;/&gt;&lt;wsp:rsid wsp:val=&quot;00AA01FA&quot;/&gt;&lt;wsp:rsid wsp:val=&quot;00AA138E&quot;/&gt;&lt;wsp:rsid wsp:val=&quot;00AA19C4&quot;/&gt;&lt;wsp:rsid wsp:val=&quot;00AA2356&quot;/&gt;&lt;wsp:rsid wsp:val=&quot;00AA36CF&quot;/&gt;&lt;wsp:rsid wsp:val=&quot;00AA3B60&quot;/&gt;&lt;wsp:rsid wsp:val=&quot;00AA5757&quot;/&gt;&lt;wsp:rsid wsp:val=&quot;00AA5DFD&quot;/&gt;&lt;wsp:rsid wsp:val=&quot;00AB053B&quot;/&gt;&lt;wsp:rsid wsp:val=&quot;00AB0C17&quot;/&gt;&lt;wsp:rsid wsp:val=&quot;00AB1C68&quot;/&gt;&lt;wsp:rsid wsp:val=&quot;00AB247C&quot;/&gt;&lt;wsp:rsid wsp:val=&quot;00AB5B05&quot;/&gt;&lt;wsp:rsid wsp:val=&quot;00AB5CB8&quot;/&gt;&lt;wsp:rsid wsp:val=&quot;00AB5D89&quot;/&gt;&lt;wsp:rsid wsp:val=&quot;00AC0BF6&quot;/&gt;&lt;wsp:rsid wsp:val=&quot;00AC6F35&quot;/&gt;&lt;wsp:rsid wsp:val=&quot;00AD2AA3&quot;/&gt;&lt;wsp:rsid wsp:val=&quot;00AD38A9&quot;/&gt;&lt;wsp:rsid wsp:val=&quot;00AD425C&quot;/&gt;&lt;wsp:rsid wsp:val=&quot;00AD4C15&quot;/&gt;&lt;wsp:rsid wsp:val=&quot;00AD4CF5&quot;/&gt;&lt;wsp:rsid wsp:val=&quot;00AD4F4D&quot;/&gt;&lt;wsp:rsid wsp:val=&quot;00AD55F8&quot;/&gt;&lt;wsp:rsid wsp:val=&quot;00AD5C77&quot;/&gt;&lt;wsp:rsid wsp:val=&quot;00AD67D7&quot;/&gt;&lt;wsp:rsid wsp:val=&quot;00AE50B3&quot;/&gt;&lt;wsp:rsid wsp:val=&quot;00AE51F2&quot;/&gt;&lt;wsp:rsid wsp:val=&quot;00AE5533&quot;/&gt;&lt;wsp:rsid wsp:val=&quot;00AE5D8D&quot;/&gt;&lt;wsp:rsid wsp:val=&quot;00AE6061&quot;/&gt;&lt;wsp:rsid wsp:val=&quot;00AE795B&quot;/&gt;&lt;wsp:rsid wsp:val=&quot;00AF0A3D&quot;/&gt;&lt;wsp:rsid wsp:val=&quot;00AF1364&quot;/&gt;&lt;wsp:rsid wsp:val=&quot;00AF3A9C&quot;/&gt;&lt;wsp:rsid wsp:val=&quot;00AF41A3&quot;/&gt;&lt;wsp:rsid wsp:val=&quot;00AF6DCF&quot;/&gt;&lt;wsp:rsid wsp:val=&quot;00AF7F3B&quot;/&gt;&lt;wsp:rsid wsp:val=&quot;00B0172B&quot;/&gt;&lt;wsp:rsid wsp:val=&quot;00B053DF&quot;/&gt;&lt;wsp:rsid wsp:val=&quot;00B05DE1&quot;/&gt;&lt;wsp:rsid wsp:val=&quot;00B07ABB&quot;/&gt;&lt;wsp:rsid wsp:val=&quot;00B1049D&quot;/&gt;&lt;wsp:rsid wsp:val=&quot;00B13AC9&quot;/&gt;&lt;wsp:rsid wsp:val=&quot;00B15444&quot;/&gt;&lt;wsp:rsid wsp:val=&quot;00B2069D&quot;/&gt;&lt;wsp:rsid wsp:val=&quot;00B20A63&quot;/&gt;&lt;wsp:rsid wsp:val=&quot;00B231B8&quot;/&gt;&lt;wsp:rsid wsp:val=&quot;00B23D81&quot;/&gt;&lt;wsp:rsid wsp:val=&quot;00B26789&quot;/&gt;&lt;wsp:rsid wsp:val=&quot;00B26C34&quot;/&gt;&lt;wsp:rsid wsp:val=&quot;00B3037A&quot;/&gt;&lt;wsp:rsid wsp:val=&quot;00B34337&quot;/&gt;&lt;wsp:rsid wsp:val=&quot;00B349A5&quot;/&gt;&lt;wsp:rsid wsp:val=&quot;00B35B0E&quot;/&gt;&lt;wsp:rsid wsp:val=&quot;00B36096&quot;/&gt;&lt;wsp:rsid wsp:val=&quot;00B36168&quot;/&gt;&lt;wsp:rsid wsp:val=&quot;00B37353&quot;/&gt;&lt;wsp:rsid wsp:val=&quot;00B406CB&quot;/&gt;&lt;wsp:rsid wsp:val=&quot;00B414BE&quot;/&gt;&lt;wsp:rsid wsp:val=&quot;00B418D7&quot;/&gt;&lt;wsp:rsid wsp:val=&quot;00B41B52&quot;/&gt;&lt;wsp:rsid wsp:val=&quot;00B41E63&quot;/&gt;&lt;wsp:rsid wsp:val=&quot;00B4307F&quot;/&gt;&lt;wsp:rsid wsp:val=&quot;00B43C22&quot;/&gt;&lt;wsp:rsid wsp:val=&quot;00B45C9C&quot;/&gt;&lt;wsp:rsid wsp:val=&quot;00B5274E&quot;/&gt;&lt;wsp:rsid wsp:val=&quot;00B53628&quot;/&gt;&lt;wsp:rsid wsp:val=&quot;00B5407B&quot;/&gt;&lt;wsp:rsid wsp:val=&quot;00B542C8&quot;/&gt;&lt;wsp:rsid wsp:val=&quot;00B57362&quot;/&gt;&lt;wsp:rsid wsp:val=&quot;00B57523&quot;/&gt;&lt;wsp:rsid wsp:val=&quot;00B633E4&quot;/&gt;&lt;wsp:rsid wsp:val=&quot;00B65F7A&quot;/&gt;&lt;wsp:rsid wsp:val=&quot;00B6600E&quot;/&gt;&lt;wsp:rsid wsp:val=&quot;00B719FA&quot;/&gt;&lt;wsp:rsid wsp:val=&quot;00B737D7&quot;/&gt;&lt;wsp:rsid wsp:val=&quot;00B7474F&quot;/&gt;&lt;wsp:rsid wsp:val=&quot;00B81A6A&quot;/&gt;&lt;wsp:rsid wsp:val=&quot;00B824FD&quot;/&gt;&lt;wsp:rsid wsp:val=&quot;00B825CD&quot;/&gt;&lt;wsp:rsid wsp:val=&quot;00B82A59&quot;/&gt;&lt;wsp:rsid wsp:val=&quot;00B8327E&quot;/&gt;&lt;wsp:rsid wsp:val=&quot;00B84265&quot;/&gt;&lt;wsp:rsid wsp:val=&quot;00B87AA8&quot;/&gt;&lt;wsp:rsid wsp:val=&quot;00B906DB&quot;/&gt;&lt;wsp:rsid wsp:val=&quot;00B91081&quot;/&gt;&lt;wsp:rsid wsp:val=&quot;00B93382&quot;/&gt;&lt;wsp:rsid wsp:val=&quot;00B93C53&quot;/&gt;&lt;wsp:rsid wsp:val=&quot;00B944F4&quot;/&gt;&lt;wsp:rsid wsp:val=&quot;00B951C0&quot;/&gt;&lt;wsp:rsid wsp:val=&quot;00B95C12&quot;/&gt;&lt;wsp:rsid wsp:val=&quot;00B9770D&quot;/&gt;&lt;wsp:rsid wsp:val=&quot;00B97BA0&quot;/&gt;&lt;wsp:rsid wsp:val=&quot;00B97E4A&quot;/&gt;&lt;wsp:rsid wsp:val=&quot;00BA077F&quot;/&gt;&lt;wsp:rsid wsp:val=&quot;00BA5917&quot;/&gt;&lt;wsp:rsid wsp:val=&quot;00BA6BBD&quot;/&gt;&lt;wsp:rsid wsp:val=&quot;00BB0803&quot;/&gt;&lt;wsp:rsid wsp:val=&quot;00BB3B46&quot;/&gt;&lt;wsp:rsid wsp:val=&quot;00BB6BED&quot;/&gt;&lt;wsp:rsid wsp:val=&quot;00BB78A0&quot;/&gt;&lt;wsp:rsid wsp:val=&quot;00BB7A70&quot;/&gt;&lt;wsp:rsid wsp:val=&quot;00BC20AA&quot;/&gt;&lt;wsp:rsid wsp:val=&quot;00BC2148&quot;/&gt;&lt;wsp:rsid wsp:val=&quot;00BC35B9&quot;/&gt;&lt;wsp:rsid wsp:val=&quot;00BC579A&quot;/&gt;&lt;wsp:rsid wsp:val=&quot;00BC669D&quot;/&gt;&lt;wsp:rsid wsp:val=&quot;00BC7B13&quot;/&gt;&lt;wsp:rsid wsp:val=&quot;00BD1E89&quot;/&gt;&lt;wsp:rsid wsp:val=&quot;00BD5AA6&quot;/&gt;&lt;wsp:rsid wsp:val=&quot;00BD6CFB&quot;/&gt;&lt;wsp:rsid wsp:val=&quot;00BE08F9&quot;/&gt;&lt;wsp:rsid wsp:val=&quot;00BE1EDF&quot;/&gt;&lt;wsp:rsid wsp:val=&quot;00BE2B86&quot;/&gt;&lt;wsp:rsid wsp:val=&quot;00BE5C5E&quot;/&gt;&lt;wsp:rsid wsp:val=&quot;00BF0940&quot;/&gt;&lt;wsp:rsid wsp:val=&quot;00BF25C2&quot;/&gt;&lt;wsp:rsid wsp:val=&quot;00BF7E68&quot;/&gt;&lt;wsp:rsid wsp:val=&quot;00C00AF0&quot;/&gt;&lt;wsp:rsid wsp:val=&quot;00C0150E&quot;/&gt;&lt;wsp:rsid wsp:val=&quot;00C0159E&quot;/&gt;&lt;wsp:rsid wsp:val=&quot;00C017C2&quot;/&gt;&lt;wsp:rsid wsp:val=&quot;00C03CF5&quot;/&gt;&lt;wsp:rsid wsp:val=&quot;00C06B47&quot;/&gt;&lt;wsp:rsid wsp:val=&quot;00C07762&quot;/&gt;&lt;wsp:rsid wsp:val=&quot;00C13B72&quot;/&gt;&lt;wsp:rsid wsp:val=&quot;00C14EC0&quot;/&gt;&lt;wsp:rsid wsp:val=&quot;00C21DE7&quot;/&gt;&lt;wsp:rsid wsp:val=&quot;00C220E8&quot;/&gt;&lt;wsp:rsid wsp:val=&quot;00C22726&quot;/&gt;&lt;wsp:rsid wsp:val=&quot;00C228E2&quot;/&gt;&lt;wsp:rsid wsp:val=&quot;00C23800&quot;/&gt;&lt;wsp:rsid wsp:val=&quot;00C24414&quot;/&gt;&lt;wsp:rsid wsp:val=&quot;00C24615&quot;/&gt;&lt;wsp:rsid wsp:val=&quot;00C24925&quot;/&gt;&lt;wsp:rsid wsp:val=&quot;00C25F56&quot;/&gt;&lt;wsp:rsid wsp:val=&quot;00C26200&quot;/&gt;&lt;wsp:rsid wsp:val=&quot;00C26CB3&quot;/&gt;&lt;wsp:rsid wsp:val=&quot;00C302FE&quot;/&gt;&lt;wsp:rsid wsp:val=&quot;00C317A5&quot;/&gt;&lt;wsp:rsid wsp:val=&quot;00C31C09&quot;/&gt;&lt;wsp:rsid wsp:val=&quot;00C32116&quot;/&gt;&lt;wsp:rsid wsp:val=&quot;00C34105&quot;/&gt;&lt;wsp:rsid wsp:val=&quot;00C35E85&quot;/&gt;&lt;wsp:rsid wsp:val=&quot;00C3657A&quot;/&gt;&lt;wsp:rsid wsp:val=&quot;00C42857&quot;/&gt;&lt;wsp:rsid wsp:val=&quot;00C44052&quot;/&gt;&lt;wsp:rsid wsp:val=&quot;00C44937&quot;/&gt;&lt;wsp:rsid wsp:val=&quot;00C46ED3&quot;/&gt;&lt;wsp:rsid wsp:val=&quot;00C4713C&quot;/&gt;&lt;wsp:rsid wsp:val=&quot;00C4739F&quot;/&gt;&lt;wsp:rsid wsp:val=&quot;00C479FB&quot;/&gt;&lt;wsp:rsid wsp:val=&quot;00C501BD&quot;/&gt;&lt;wsp:rsid wsp:val=&quot;00C5112E&quot;/&gt;&lt;wsp:rsid wsp:val=&quot;00C5358E&quot;/&gt;&lt;wsp:rsid wsp:val=&quot;00C552FE&quot;/&gt;&lt;wsp:rsid wsp:val=&quot;00C55471&quot;/&gt;&lt;wsp:rsid wsp:val=&quot;00C55BCA&quot;/&gt;&lt;wsp:rsid wsp:val=&quot;00C60173&quot;/&gt;&lt;wsp:rsid wsp:val=&quot;00C628D5&quot;/&gt;&lt;wsp:rsid wsp:val=&quot;00C630BB&quot;/&gt;&lt;wsp:rsid wsp:val=&quot;00C649D1&quot;/&gt;&lt;wsp:rsid wsp:val=&quot;00C659CB&quot;/&gt;&lt;wsp:rsid wsp:val=&quot;00C65DCC&quot;/&gt;&lt;wsp:rsid wsp:val=&quot;00C6697F&quot;/&gt;&lt;wsp:rsid wsp:val=&quot;00C673E9&quot;/&gt;&lt;wsp:rsid wsp:val=&quot;00C67D73&quot;/&gt;&lt;wsp:rsid wsp:val=&quot;00C7079D&quot;/&gt;&lt;wsp:rsid wsp:val=&quot;00C73572&quot;/&gt;&lt;wsp:rsid wsp:val=&quot;00C76548&quot;/&gt;&lt;wsp:rsid wsp:val=&quot;00C81063&quot;/&gt;&lt;wsp:rsid wsp:val=&quot;00C817DE&quot;/&gt;&lt;wsp:rsid wsp:val=&quot;00C82850&quot;/&gt;&lt;wsp:rsid wsp:val=&quot;00C82EDA&quot;/&gt;&lt;wsp:rsid wsp:val=&quot;00C83774&quot;/&gt;&lt;wsp:rsid wsp:val=&quot;00C846F8&quot;/&gt;&lt;wsp:rsid wsp:val=&quot;00C85B23&quot;/&gt;&lt;wsp:rsid wsp:val=&quot;00C86541&quot;/&gt;&lt;wsp:rsid wsp:val=&quot;00C9357D&quot;/&gt;&lt;wsp:rsid wsp:val=&quot;00C9405B&quot;/&gt;&lt;wsp:rsid wsp:val=&quot;00C941C7&quot;/&gt;&lt;wsp:rsid wsp:val=&quot;00C96C1A&quot;/&gt;&lt;wsp:rsid wsp:val=&quot;00CA56A1&quot;/&gt;&lt;wsp:rsid wsp:val=&quot;00CB071B&quot;/&gt;&lt;wsp:rsid wsp:val=&quot;00CB1286&quot;/&gt;&lt;wsp:rsid wsp:val=&quot;00CB1A81&quot;/&gt;&lt;wsp:rsid wsp:val=&quot;00CB25BE&quot;/&gt;&lt;wsp:rsid wsp:val=&quot;00CB2645&quot;/&gt;&lt;wsp:rsid wsp:val=&quot;00CB346D&quot;/&gt;&lt;wsp:rsid wsp:val=&quot;00CB52BB&quot;/&gt;&lt;wsp:rsid wsp:val=&quot;00CB688D&quot;/&gt;&lt;wsp:rsid wsp:val=&quot;00CB6B9C&quot;/&gt;&lt;wsp:rsid wsp:val=&quot;00CB7E5E&quot;/&gt;&lt;wsp:rsid wsp:val=&quot;00CC15F1&quot;/&gt;&lt;wsp:rsid wsp:val=&quot;00CC1645&quot;/&gt;&lt;wsp:rsid wsp:val=&quot;00CC1E61&quot;/&gt;&lt;wsp:rsid wsp:val=&quot;00CC2B71&quot;/&gt;&lt;wsp:rsid wsp:val=&quot;00CC48C1&quot;/&gt;&lt;wsp:rsid wsp:val=&quot;00CD01DB&quot;/&gt;&lt;wsp:rsid wsp:val=&quot;00CD02F9&quot;/&gt;&lt;wsp:rsid wsp:val=&quot;00CD2495&quot;/&gt;&lt;wsp:rsid wsp:val=&quot;00CD3A32&quot;/&gt;&lt;wsp:rsid wsp:val=&quot;00CD4685&quot;/&gt;&lt;wsp:rsid wsp:val=&quot;00CD477B&quot;/&gt;&lt;wsp:rsid wsp:val=&quot;00CD4B64&quot;/&gt;&lt;wsp:rsid wsp:val=&quot;00CD5022&quot;/&gt;&lt;wsp:rsid wsp:val=&quot;00CE0F89&quot;/&gt;&lt;wsp:rsid wsp:val=&quot;00CE1A6A&quot;/&gt;&lt;wsp:rsid wsp:val=&quot;00CE1C73&quot;/&gt;&lt;wsp:rsid wsp:val=&quot;00CE3B9C&quot;/&gt;&lt;wsp:rsid wsp:val=&quot;00CE71E0&quot;/&gt;&lt;wsp:rsid wsp:val=&quot;00CE7227&quot;/&gt;&lt;wsp:rsid wsp:val=&quot;00CE7BE4&quot;/&gt;&lt;wsp:rsid wsp:val=&quot;00CF0629&quot;/&gt;&lt;wsp:rsid wsp:val=&quot;00CF1B53&quot;/&gt;&lt;wsp:rsid wsp:val=&quot;00CF212F&quot;/&gt;&lt;wsp:rsid wsp:val=&quot;00CF21E4&quot;/&gt;&lt;wsp:rsid wsp:val=&quot;00CF3424&quot;/&gt;&lt;wsp:rsid wsp:val=&quot;00CF37C9&quot;/&gt;&lt;wsp:rsid wsp:val=&quot;00CF5E2B&quot;/&gt;&lt;wsp:rsid wsp:val=&quot;00CF7C30&quot;/&gt;&lt;wsp:rsid wsp:val=&quot;00D00CD2&quot;/&gt;&lt;wsp:rsid wsp:val=&quot;00D00D8A&quot;/&gt;&lt;wsp:rsid wsp:val=&quot;00D02DB1&quot;/&gt;&lt;wsp:rsid wsp:val=&quot;00D0486A&quot;/&gt;&lt;wsp:rsid wsp:val=&quot;00D048EE&quot;/&gt;&lt;wsp:rsid wsp:val=&quot;00D1158C&quot;/&gt;&lt;wsp:rsid wsp:val=&quot;00D1227E&quot;/&gt;&lt;wsp:rsid wsp:val=&quot;00D136B3&quot;/&gt;&lt;wsp:rsid wsp:val=&quot;00D13AF5&quot;/&gt;&lt;wsp:rsid wsp:val=&quot;00D16ED8&quot;/&gt;&lt;wsp:rsid wsp:val=&quot;00D20341&quot;/&gt;&lt;wsp:rsid wsp:val=&quot;00D208AC&quot;/&gt;&lt;wsp:rsid wsp:val=&quot;00D20DB8&quot;/&gt;&lt;wsp:rsid wsp:val=&quot;00D2101E&quot;/&gt;&lt;wsp:rsid wsp:val=&quot;00D21DCC&quot;/&gt;&lt;wsp:rsid wsp:val=&quot;00D239B5&quot;/&gt;&lt;wsp:rsid wsp:val=&quot;00D2456F&quot;/&gt;&lt;wsp:rsid wsp:val=&quot;00D256B5&quot;/&gt;&lt;wsp:rsid wsp:val=&quot;00D2686D&quot;/&gt;&lt;wsp:rsid wsp:val=&quot;00D31223&quot;/&gt;&lt;wsp:rsid wsp:val=&quot;00D319F0&quot;/&gt;&lt;wsp:rsid wsp:val=&quot;00D34607&quot;/&gt;&lt;wsp:rsid wsp:val=&quot;00D34E04&quot;/&gt;&lt;wsp:rsid wsp:val=&quot;00D35A89&quot;/&gt;&lt;wsp:rsid wsp:val=&quot;00D35C1A&quot;/&gt;&lt;wsp:rsid wsp:val=&quot;00D37E3B&quot;/&gt;&lt;wsp:rsid wsp:val=&quot;00D414D6&quot;/&gt;&lt;wsp:rsid wsp:val=&quot;00D429B3&quot;/&gt;&lt;wsp:rsid wsp:val=&quot;00D43253&quot;/&gt;&lt;wsp:rsid wsp:val=&quot;00D4329B&quot;/&gt;&lt;wsp:rsid wsp:val=&quot;00D45D37&quot;/&gt;&lt;wsp:rsid wsp:val=&quot;00D45E14&quot;/&gt;&lt;wsp:rsid wsp:val=&quot;00D46EEF&quot;/&gt;&lt;wsp:rsid wsp:val=&quot;00D5266C&quot;/&gt;&lt;wsp:rsid wsp:val=&quot;00D54E0E&quot;/&gt;&lt;wsp:rsid wsp:val=&quot;00D57130&quot;/&gt;&lt;wsp:rsid wsp:val=&quot;00D60902&quot;/&gt;&lt;wsp:rsid wsp:val=&quot;00D6264C&quot;/&gt;&lt;wsp:rsid wsp:val=&quot;00D638B2&quot;/&gt;&lt;wsp:rsid wsp:val=&quot;00D64221&quot;/&gt;&lt;wsp:rsid wsp:val=&quot;00D6424F&quot;/&gt;&lt;wsp:rsid wsp:val=&quot;00D66B12&quot;/&gt;&lt;wsp:rsid wsp:val=&quot;00D71505&quot;/&gt;&lt;wsp:rsid wsp:val=&quot;00D71DAC&quot;/&gt;&lt;wsp:rsid wsp:val=&quot;00D72074&quot;/&gt;&lt;wsp:rsid wsp:val=&quot;00D73613&quot;/&gt;&lt;wsp:rsid wsp:val=&quot;00D74125&quot;/&gt;&lt;wsp:rsid wsp:val=&quot;00D7469B&quot;/&gt;&lt;wsp:rsid wsp:val=&quot;00D81596&quot;/&gt;&lt;wsp:rsid wsp:val=&quot;00D81A39&quot;/&gt;&lt;wsp:rsid wsp:val=&quot;00D82B02&quot;/&gt;&lt;wsp:rsid wsp:val=&quot;00D835A3&quot;/&gt;&lt;wsp:rsid wsp:val=&quot;00D85D1A&quot;/&gt;&lt;wsp:rsid wsp:val=&quot;00D879CD&quot;/&gt;&lt;wsp:rsid wsp:val=&quot;00D9178F&quot;/&gt;&lt;wsp:rsid wsp:val=&quot;00D917DB&quot;/&gt;&lt;wsp:rsid wsp:val=&quot;00D92069&quot;/&gt;&lt;wsp:rsid wsp:val=&quot;00D926B1&quot;/&gt;&lt;wsp:rsid wsp:val=&quot;00D92792&quot;/&gt;&lt;wsp:rsid wsp:val=&quot;00D9356B&quot;/&gt;&lt;wsp:rsid wsp:val=&quot;00D943F9&quot;/&gt;&lt;wsp:rsid wsp:val=&quot;00DA12F1&quot;/&gt;&lt;wsp:rsid wsp:val=&quot;00DA7842&quot;/&gt;&lt;wsp:rsid wsp:val=&quot;00DA7BC5&quot;/&gt;&lt;wsp:rsid wsp:val=&quot;00DB1052&quot;/&gt;&lt;wsp:rsid wsp:val=&quot;00DB7D0D&quot;/&gt;&lt;wsp:rsid wsp:val=&quot;00DC2505&quot;/&gt;&lt;wsp:rsid wsp:val=&quot;00DC34E5&quot;/&gt;&lt;wsp:rsid wsp:val=&quot;00DC368E&quot;/&gt;&lt;wsp:rsid wsp:val=&quot;00DC70DE&quot;/&gt;&lt;wsp:rsid wsp:val=&quot;00DC7FFD&quot;/&gt;&lt;wsp:rsid wsp:val=&quot;00DD0796&quot;/&gt;&lt;wsp:rsid wsp:val=&quot;00DD269E&quot;/&gt;&lt;wsp:rsid wsp:val=&quot;00DD28A0&quot;/&gt;&lt;wsp:rsid wsp:val=&quot;00DD33BD&quot;/&gt;&lt;wsp:rsid wsp:val=&quot;00DD58CA&quot;/&gt;&lt;wsp:rsid wsp:val=&quot;00DD6747&quot;/&gt;&lt;wsp:rsid wsp:val=&quot;00DD691F&quot;/&gt;&lt;wsp:rsid wsp:val=&quot;00DD78C0&quot;/&gt;&lt;wsp:rsid wsp:val=&quot;00DE2A67&quot;/&gt;&lt;wsp:rsid wsp:val=&quot;00DE2F5A&quot;/&gt;&lt;wsp:rsid wsp:val=&quot;00DE426E&quot;/&gt;&lt;wsp:rsid wsp:val=&quot;00DE6ADC&quot;/&gt;&lt;wsp:rsid wsp:val=&quot;00DF0E04&quot;/&gt;&lt;wsp:rsid wsp:val=&quot;00DF0EE3&quot;/&gt;&lt;wsp:rsid wsp:val=&quot;00DF1751&quot;/&gt;&lt;wsp:rsid wsp:val=&quot;00DF2114&quot;/&gt;&lt;wsp:rsid wsp:val=&quot;00DF3004&quot;/&gt;&lt;wsp:rsid wsp:val=&quot;00DF49E1&quot;/&gt;&lt;wsp:rsid wsp:val=&quot;00DF72DA&quot;/&gt;&lt;wsp:rsid wsp:val=&quot;00E03488&quot;/&gt;&lt;wsp:rsid wsp:val=&quot;00E035CC&quot;/&gt;&lt;wsp:rsid wsp:val=&quot;00E036E3&quot;/&gt;&lt;wsp:rsid wsp:val=&quot;00E07B50&quot;/&gt;&lt;wsp:rsid wsp:val=&quot;00E10F7A&quot;/&gt;&lt;wsp:rsid wsp:val=&quot;00E14579&quot;/&gt;&lt;wsp:rsid wsp:val=&quot;00E146DA&quot;/&gt;&lt;wsp:rsid wsp:val=&quot;00E147CD&quot;/&gt;&lt;wsp:rsid wsp:val=&quot;00E14B3D&quot;/&gt;&lt;wsp:rsid wsp:val=&quot;00E155D5&quot;/&gt;&lt;wsp:rsid wsp:val=&quot;00E15B0B&quot;/&gt;&lt;wsp:rsid wsp:val=&quot;00E16EC9&quot;/&gt;&lt;wsp:rsid wsp:val=&quot;00E171B1&quot;/&gt;&lt;wsp:rsid wsp:val=&quot;00E174EA&quot;/&gt;&lt;wsp:rsid wsp:val=&quot;00E17813&quot;/&gt;&lt;wsp:rsid wsp:val=&quot;00E17906&quot;/&gt;&lt;wsp:rsid wsp:val=&quot;00E17DFF&quot;/&gt;&lt;wsp:rsid wsp:val=&quot;00E2164C&quot;/&gt;&lt;wsp:rsid wsp:val=&quot;00E22B98&quot;/&gt;&lt;wsp:rsid wsp:val=&quot;00E239B5&quot;/&gt;&lt;wsp:rsid wsp:val=&quot;00E25452&quot;/&gt;&lt;wsp:rsid wsp:val=&quot;00E25DC4&quot;/&gt;&lt;wsp:rsid wsp:val=&quot;00E26A97&quot;/&gt;&lt;wsp:rsid wsp:val=&quot;00E272DA&quot;/&gt;&lt;wsp:rsid wsp:val=&quot;00E31F82&quot;/&gt;&lt;wsp:rsid wsp:val=&quot;00E33322&quot;/&gt;&lt;wsp:rsid wsp:val=&quot;00E3618E&quot;/&gt;&lt;wsp:rsid wsp:val=&quot;00E378DA&quot;/&gt;&lt;wsp:rsid wsp:val=&quot;00E411A0&quot;/&gt;&lt;wsp:rsid wsp:val=&quot;00E419B2&quot;/&gt;&lt;wsp:rsid wsp:val=&quot;00E4378A&quot;/&gt;&lt;wsp:rsid wsp:val=&quot;00E44238&quot;/&gt;&lt;wsp:rsid wsp:val=&quot;00E447C3&quot;/&gt;&lt;wsp:rsid wsp:val=&quot;00E44BC6&quot;/&gt;&lt;wsp:rsid wsp:val=&quot;00E4551B&quot;/&gt;&lt;wsp:rsid wsp:val=&quot;00E4568B&quot;/&gt;&lt;wsp:rsid wsp:val=&quot;00E47928&quot;/&gt;&lt;wsp:rsid wsp:val=&quot;00E50E5F&quot;/&gt;&lt;wsp:rsid wsp:val=&quot;00E5392A&quot;/&gt;&lt;wsp:rsid wsp:val=&quot;00E555E6&quot;/&gt;&lt;wsp:rsid wsp:val=&quot;00E565DC&quot;/&gt;&lt;wsp:rsid wsp:val=&quot;00E57B8D&quot;/&gt;&lt;wsp:rsid wsp:val=&quot;00E6305B&quot;/&gt;&lt;wsp:rsid wsp:val=&quot;00E64280&quot;/&gt;&lt;wsp:rsid wsp:val=&quot;00E67A5F&quot;/&gt;&lt;wsp:rsid wsp:val=&quot;00E722CA&quot;/&gt;&lt;wsp:rsid wsp:val=&quot;00E77AD7&quot;/&gt;&lt;wsp:rsid wsp:val=&quot;00E80D5F&quot;/&gt;&lt;wsp:rsid wsp:val=&quot;00E81AED&quot;/&gt;&lt;wsp:rsid wsp:val=&quot;00E81D72&quot;/&gt;&lt;wsp:rsid wsp:val=&quot;00E8354D&quot;/&gt;&lt;wsp:rsid wsp:val=&quot;00E8577E&quot;/&gt;&lt;wsp:rsid wsp:val=&quot;00E863BE&quot;/&gt;&lt;wsp:rsid wsp:val=&quot;00E86480&quot;/&gt;&lt;wsp:rsid wsp:val=&quot;00E865EE&quot;/&gt;&lt;wsp:rsid wsp:val=&quot;00E86983&quot;/&gt;&lt;wsp:rsid wsp:val=&quot;00E871E4&quot;/&gt;&lt;wsp:rsid wsp:val=&quot;00E87A1F&quot;/&gt;&lt;wsp:rsid wsp:val=&quot;00E908A2&quot;/&gt;&lt;wsp:rsid wsp:val=&quot;00E93569&quot;/&gt;&lt;wsp:rsid wsp:val=&quot;00E94105&quot;/&gt;&lt;wsp:rsid wsp:val=&quot;00E9523E&quot;/&gt;&lt;wsp:rsid wsp:val=&quot;00E95586&quot;/&gt;&lt;wsp:rsid wsp:val=&quot;00E95F46&quot;/&gt;&lt;wsp:rsid wsp:val=&quot;00E97714&quot;/&gt;&lt;wsp:rsid wsp:val=&quot;00E97ECB&quot;/&gt;&lt;wsp:rsid wsp:val=&quot;00EA2230&quot;/&gt;&lt;wsp:rsid wsp:val=&quot;00EA3639&quot;/&gt;&lt;wsp:rsid wsp:val=&quot;00EA6687&quot;/&gt;&lt;wsp:rsid wsp:val=&quot;00EB633D&quot;/&gt;&lt;wsp:rsid wsp:val=&quot;00EC2C32&quot;/&gt;&lt;wsp:rsid wsp:val=&quot;00EC405B&quot;/&gt;&lt;wsp:rsid wsp:val=&quot;00EC57F0&quot;/&gt;&lt;wsp:rsid wsp:val=&quot;00EC596D&quot;/&gt;&lt;wsp:rsid wsp:val=&quot;00EC61CF&quot;/&gt;&lt;wsp:rsid wsp:val=&quot;00ED093E&quot;/&gt;&lt;wsp:rsid wsp:val=&quot;00ED686B&quot;/&gt;&lt;wsp:rsid wsp:val=&quot;00EE067C&quot;/&gt;&lt;wsp:rsid wsp:val=&quot;00EE1481&quot;/&gt;&lt;wsp:rsid wsp:val=&quot;00EE2181&quot;/&gt;&lt;wsp:rsid wsp:val=&quot;00EE27B9&quot;/&gt;&lt;wsp:rsid wsp:val=&quot;00EE4BAF&quot;/&gt;&lt;wsp:rsid wsp:val=&quot;00EE57ED&quot;/&gt;&lt;wsp:rsid wsp:val=&quot;00EE5939&quot;/&gt;&lt;wsp:rsid wsp:val=&quot;00EE6195&quot;/&gt;&lt;wsp:rsid wsp:val=&quot;00EE630B&quot;/&gt;&lt;wsp:rsid wsp:val=&quot;00EE6D28&quot;/&gt;&lt;wsp:rsid wsp:val=&quot;00EE7FE4&quot;/&gt;&lt;wsp:rsid wsp:val=&quot;00EF00B3&quot;/&gt;&lt;wsp:rsid wsp:val=&quot;00EF03DC&quot;/&gt;&lt;wsp:rsid wsp:val=&quot;00EF2FB4&quot;/&gt;&lt;wsp:rsid wsp:val=&quot;00EF3034&quot;/&gt;&lt;wsp:rsid wsp:val=&quot;00EF41CC&quot;/&gt;&lt;wsp:rsid wsp:val=&quot;00F00178&quot;/&gt;&lt;wsp:rsid wsp:val=&quot;00F02026&quot;/&gt;&lt;wsp:rsid wsp:val=&quot;00F03AE1&quot;/&gt;&lt;wsp:rsid wsp:val=&quot;00F04B24&quot;/&gt;&lt;wsp:rsid wsp:val=&quot;00F05E6D&quot;/&gt;&lt;wsp:rsid wsp:val=&quot;00F06420&quot;/&gt;&lt;wsp:rsid wsp:val=&quot;00F1445C&quot;/&gt;&lt;wsp:rsid wsp:val=&quot;00F164C9&quot;/&gt;&lt;wsp:rsid wsp:val=&quot;00F22B52&quot;/&gt;&lt;wsp:rsid wsp:val=&quot;00F23FA7&quot;/&gt;&lt;wsp:rsid wsp:val=&quot;00F248A3&quot;/&gt;&lt;wsp:rsid wsp:val=&quot;00F24C03&quot;/&gt;&lt;wsp:rsid wsp:val=&quot;00F2551E&quot;/&gt;&lt;wsp:rsid wsp:val=&quot;00F25E03&quot;/&gt;&lt;wsp:rsid wsp:val=&quot;00F25F62&quot;/&gt;&lt;wsp:rsid wsp:val=&quot;00F31E36&quot;/&gt;&lt;wsp:rsid wsp:val=&quot;00F345AA&quot;/&gt;&lt;wsp:rsid wsp:val=&quot;00F36243&quot;/&gt;&lt;wsp:rsid wsp:val=&quot;00F37110&quot;/&gt;&lt;wsp:rsid wsp:val=&quot;00F37771&quot;/&gt;&lt;wsp:rsid wsp:val=&quot;00F41468&quot;/&gt;&lt;wsp:rsid wsp:val=&quot;00F43248&quot;/&gt;&lt;wsp:rsid wsp:val=&quot;00F43904&quot;/&gt;&lt;wsp:rsid wsp:val=&quot;00F44583&quot;/&gt;&lt;wsp:rsid wsp:val=&quot;00F44ECC&quot;/&gt;&lt;wsp:rsid wsp:val=&quot;00F4774C&quot;/&gt;&lt;wsp:rsid wsp:val=&quot;00F50241&quot;/&gt;&lt;wsp:rsid wsp:val=&quot;00F5059F&quot;/&gt;&lt;wsp:rsid wsp:val=&quot;00F508FD&quot;/&gt;&lt;wsp:rsid wsp:val=&quot;00F50957&quot;/&gt;&lt;wsp:rsid wsp:val=&quot;00F522E1&quot;/&gt;&lt;wsp:rsid wsp:val=&quot;00F529A5&quot;/&gt;&lt;wsp:rsid wsp:val=&quot;00F545AD&quot;/&gt;&lt;wsp:rsid wsp:val=&quot;00F5789E&quot;/&gt;&lt;wsp:rsid wsp:val=&quot;00F62E47&quot;/&gt;&lt;wsp:rsid wsp:val=&quot;00F63557&quot;/&gt;&lt;wsp:rsid wsp:val=&quot;00F64E94&quot;/&gt;&lt;wsp:rsid wsp:val=&quot;00F66825&quot;/&gt;&lt;wsp:rsid wsp:val=&quot;00F67286&quot;/&gt;&lt;wsp:rsid wsp:val=&quot;00F67FBE&quot;/&gt;&lt;wsp:rsid wsp:val=&quot;00F71DEF&quot;/&gt;&lt;wsp:rsid wsp:val=&quot;00F73D06&quot;/&gt;&lt;wsp:rsid wsp:val=&quot;00F7535D&quot;/&gt;&lt;wsp:rsid wsp:val=&quot;00F7559A&quot;/&gt;&lt;wsp:rsid wsp:val=&quot;00F7646A&quot;/&gt;&lt;wsp:rsid wsp:val=&quot;00F77409&quot;/&gt;&lt;wsp:rsid wsp:val=&quot;00F8097B&quot;/&gt;&lt;wsp:rsid wsp:val=&quot;00F81850&quot;/&gt;&lt;wsp:rsid wsp:val=&quot;00F82F27&quot;/&gt;&lt;wsp:rsid wsp:val=&quot;00F84AE8&quot;/&gt;&lt;wsp:rsid wsp:val=&quot;00F84BEA&quot;/&gt;&lt;wsp:rsid wsp:val=&quot;00F86DBE&quot;/&gt;&lt;wsp:rsid wsp:val=&quot;00F90C01&quot;/&gt;&lt;wsp:rsid wsp:val=&quot;00F9100B&quot;/&gt;&lt;wsp:rsid wsp:val=&quot;00FA27A4&quot;/&gt;&lt;wsp:rsid wsp:val=&quot;00FA2B6D&quot;/&gt;&lt;wsp:rsid wsp:val=&quot;00FA2DB4&quot;/&gt;&lt;wsp:rsid wsp:val=&quot;00FA6692&quot;/&gt;&lt;wsp:rsid wsp:val=&quot;00FA6D12&quot;/&gt;&lt;wsp:rsid wsp:val=&quot;00FA7E12&quot;/&gt;&lt;wsp:rsid wsp:val=&quot;00FB1354&quot;/&gt;&lt;wsp:rsid wsp:val=&quot;00FB29FC&quot;/&gt;&lt;wsp:rsid wsp:val=&quot;00FB2BF9&quot;/&gt;&lt;wsp:rsid wsp:val=&quot;00FB4046&quot;/&gt;&lt;wsp:rsid wsp:val=&quot;00FB44E5&quot;/&gt;&lt;wsp:rsid wsp:val=&quot;00FB518F&quot;/&gt;&lt;wsp:rsid wsp:val=&quot;00FB78E7&quot;/&gt;&lt;wsp:rsid wsp:val=&quot;00FC3210&quot;/&gt;&lt;wsp:rsid wsp:val=&quot;00FC64E5&quot;/&gt;&lt;wsp:rsid wsp:val=&quot;00FD0DD4&quot;/&gt;&lt;wsp:rsid wsp:val=&quot;00FD2195&quot;/&gt;&lt;wsp:rsid wsp:val=&quot;00FD51C5&quot;/&gt;&lt;wsp:rsid wsp:val=&quot;00FE04FB&quot;/&gt;&lt;wsp:rsid wsp:val=&quot;00FE19B3&quot;/&gt;&lt;wsp:rsid wsp:val=&quot;00FE251D&quot;/&gt;&lt;wsp:rsid wsp:val=&quot;00FE4E22&quot;/&gt;&lt;wsp:rsid wsp:val=&quot;00FF00C4&quot;/&gt;&lt;wsp:rsid wsp:val=&quot;00FF0CB6&quot;/&gt;&lt;wsp:rsid wsp:val=&quot;00FF1147&quot;/&gt;&lt;wsp:rsid wsp:val=&quot;00FF2F3E&quot;/&gt;&lt;wsp:rsid wsp:val=&quot;00FF3335&quot;/&gt;&lt;wsp:rsid wsp:val=&quot;00FF7FE3&quot;/&gt;&lt;/wsp:rsids&gt;&lt;/w:docPr&gt;&lt;w:body&gt;&lt;w:p wsp:rsidR=&quot;00000000&quot; wsp:rsidRDefault=&quot;001F57BF&quot;&gt;&lt;m:oMathPara&gt;&lt;m:oMath&gt;&lt;m:r&gt;&lt;m:rPr&gt;&lt;m:sty m:val=&quot;p&quot;/&gt;&lt;/m:rPr&gt;&lt;w:rPr&gt;&lt;w:rFonts w:ascii=&quot;Cambria Math&quot; w:h-ansi=&quot;Cambria Math&quot;/&gt;&lt;wx:font wx:val=&quot;Cambria Math&quot;/&gt;&lt;w:color w:val=&quot;000000&quot;/&gt;&lt;w:sz w:val=&quot;24&quot;/&gt;&lt;w:sz-cs w:val=&quot;24&quot;/&gt;&lt;/w:rPr&gt;&lt;m:t&gt;Î³&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6" o:title="" chromakey="white"/>
          </v:shape>
        </w:pict>
      </w:r>
      <w:r w:rsidR="001D3786">
        <w:rPr>
          <w:rFonts w:ascii="Times New Roman" w:hAnsi="Times New Roman"/>
          <w:color w:val="000000" w:themeColor="text1"/>
          <w:sz w:val="24"/>
          <w:szCs w:val="24"/>
        </w:rPr>
        <w:t xml:space="preserve"> </w:t>
      </w:r>
      <w:r w:rsidRPr="0035463A">
        <w:rPr>
          <w:rFonts w:ascii="Times New Roman" w:hAnsi="Times New Roman"/>
          <w:color w:val="000000" w:themeColor="text1"/>
          <w:sz w:val="24"/>
          <w:szCs w:val="24"/>
        </w:rPr>
        <w:t xml:space="preserve">the threshold value, d is the lag parameter, I is the indicator function, and </w:t>
      </w:r>
      <m:oMath>
        <m:sSub>
          <m:sSubPr>
            <m:ctrlPr>
              <w:rPr>
                <w:rFonts w:ascii="Cambria Math" w:hAnsi="Cambria Math"/>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t</m:t>
            </m:r>
          </m:sub>
        </m:sSub>
      </m:oMath>
      <w:r w:rsidRPr="0035463A">
        <w:rPr>
          <w:rFonts w:ascii="Times New Roman" w:hAnsi="Times New Roman"/>
          <w:color w:val="000000" w:themeColor="text1"/>
          <w:sz w:val="24"/>
          <w:szCs w:val="24"/>
        </w:rPr>
        <w:t xml:space="preserve"> the independent and identically distributed random error term.</w:t>
      </w:r>
    </w:p>
    <w:p w14:paraId="4E18FB83" w14:textId="70BF98CF" w:rsidR="00E4378A" w:rsidRPr="008552F5" w:rsidRDefault="00000000" w:rsidP="00333DCE">
      <w:pPr>
        <w:spacing w:after="120" w:line="360" w:lineRule="auto"/>
        <w:ind w:firstLine="567"/>
        <w:jc w:val="both"/>
        <w:rPr>
          <w:rFonts w:ascii="Times New Roman" w:hAnsi="Times New Roman"/>
          <w:color w:val="000000" w:themeColor="text1"/>
          <w:sz w:val="24"/>
          <w:szCs w:val="24"/>
        </w:rPr>
      </w:pPr>
      <m:oMathPara>
        <m:oMath>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m:t>
              </m:r>
            </m:sub>
          </m:sSub>
          <m:r>
            <m:rPr>
              <m:sty m:val="p"/>
            </m:rPr>
            <w:rPr>
              <w:rFonts w:ascii="Cambria Math" w:hAnsi="Cambria Math"/>
              <w:color w:val="000000"/>
              <w:sz w:val="24"/>
              <w:szCs w:val="24"/>
            </w:rPr>
            <m:t>=</m:t>
          </m:r>
          <m:d>
            <m:dPr>
              <m:begChr m:val="{"/>
              <m:endChr m:val=""/>
              <m:ctrlPr>
                <w:rPr>
                  <w:rFonts w:ascii="Cambria Math" w:hAnsi="Cambria Math"/>
                  <w:color w:val="000000"/>
                  <w:sz w:val="24"/>
                  <w:szCs w:val="24"/>
                </w:rPr>
              </m:ctrlPr>
            </m:dPr>
            <m:e>
              <m:eqArr>
                <m:eqArrPr>
                  <m:ctrlPr>
                    <w:rPr>
                      <w:rFonts w:ascii="Cambria Math" w:hAnsi="Cambria Math"/>
                      <w:color w:val="000000"/>
                      <w:sz w:val="24"/>
                      <w:szCs w:val="24"/>
                    </w:rPr>
                  </m:ctrlPr>
                </m:eqArrPr>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1,0</m:t>
                      </m:r>
                    </m:sub>
                  </m:sSub>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sub>
                    <m:sup>
                      <m:r>
                        <m:rPr>
                          <m:sty m:val="p"/>
                        </m:rPr>
                        <w:rPr>
                          <w:rFonts w:ascii="Cambria Math" w:hAnsi="Cambria Math"/>
                          <w:color w:val="000000"/>
                          <w:sz w:val="24"/>
                          <w:szCs w:val="24"/>
                        </w:rPr>
                        <m:t>p</m:t>
                      </m:r>
                    </m:sup>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i</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t-i</m:t>
                          </m:r>
                        </m:sub>
                      </m:sSub>
                    </m:e>
                  </m:nary>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1,t</m:t>
                      </m:r>
                    </m:sub>
                  </m:sSub>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rPr>
                        <m:t>t-d</m:t>
                      </m:r>
                    </m:sub>
                  </m:sSub>
                  <m:r>
                    <m:rPr>
                      <m:sty m:val="p"/>
                    </m:rPr>
                    <w:rPr>
                      <w:rFonts w:ascii="Cambria Math" w:hAnsi="Cambria Math"/>
                      <w:color w:val="000000"/>
                      <w:sz w:val="24"/>
                      <w:szCs w:val="24"/>
                    </w:rPr>
                    <m:t xml:space="preserve">≤γ </m:t>
                  </m:r>
                </m:e>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2,0</m:t>
                      </m:r>
                    </m:sub>
                  </m:sSub>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sub>
                    <m:sup>
                      <m:r>
                        <m:rPr>
                          <m:sty m:val="p"/>
                        </m:rPr>
                        <w:rPr>
                          <w:rFonts w:ascii="Cambria Math" w:hAnsi="Cambria Math"/>
                          <w:color w:val="000000"/>
                          <w:sz w:val="24"/>
                          <w:szCs w:val="24"/>
                        </w:rPr>
                        <m:t>p</m:t>
                      </m:r>
                    </m:sup>
                    <m:e>
                      <m:sSub>
                        <m:sSubPr>
                          <m:ctrlPr>
                            <w:rPr>
                              <w:rFonts w:ascii="Cambria Math" w:hAnsi="Cambria Math"/>
                              <w:color w:val="000000"/>
                              <w:sz w:val="24"/>
                              <w:szCs w:val="24"/>
                            </w:rPr>
                          </m:ctrlPr>
                        </m:sSubPr>
                        <m:e>
                          <m:r>
                            <m:rPr>
                              <m:sty m:val="p"/>
                            </m:rPr>
                            <w:rPr>
                              <w:rFonts w:ascii="Cambria Math" w:hAnsi="Cambria Math"/>
                              <w:color w:val="000000"/>
                              <w:sz w:val="24"/>
                              <w:szCs w:val="24"/>
                            </w:rPr>
                            <m:t>∅</m:t>
                          </m:r>
                        </m:e>
                        <m:sub>
                          <m:r>
                            <m:rPr>
                              <m:sty m:val="p"/>
                            </m:rPr>
                            <w:rPr>
                              <w:rFonts w:ascii="Cambria Math" w:hAnsi="Cambria Math"/>
                              <w:color w:val="000000"/>
                              <w:sz w:val="24"/>
                              <w:szCs w:val="24"/>
                            </w:rPr>
                            <m:t>i</m:t>
                          </m:r>
                        </m:sub>
                      </m:sSub>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t-i</m:t>
                          </m:r>
                        </m:sub>
                      </m:sSub>
                    </m:e>
                  </m:nary>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2,t</m:t>
                      </m:r>
                    </m:sub>
                  </m:sSub>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rPr>
                        <m:t>t-d</m:t>
                      </m:r>
                    </m:sub>
                  </m:sSub>
                  <m:r>
                    <m:rPr>
                      <m:sty m:val="p"/>
                    </m:rPr>
                    <w:rPr>
                      <w:rFonts w:ascii="Cambria Math" w:hAnsi="Cambria Math"/>
                      <w:color w:val="000000"/>
                      <w:sz w:val="24"/>
                      <w:szCs w:val="24"/>
                    </w:rPr>
                    <m:t>&gt;γ</m:t>
                  </m:r>
                </m:e>
              </m:eqArr>
            </m:e>
          </m:d>
        </m:oMath>
      </m:oMathPara>
    </w:p>
    <w:p w14:paraId="66961B5E" w14:textId="01563AC8" w:rsidR="00C54D1A" w:rsidRPr="00C54D1A" w:rsidRDefault="00C54D1A" w:rsidP="00C54D1A">
      <w:pPr>
        <w:spacing w:after="120" w:line="360" w:lineRule="auto"/>
        <w:jc w:val="both"/>
        <w:rPr>
          <w:rFonts w:ascii="Times New Roman" w:hAnsi="Times New Roman"/>
          <w:color w:val="000000" w:themeColor="text1"/>
          <w:sz w:val="24"/>
          <w:szCs w:val="24"/>
        </w:rPr>
      </w:pPr>
      <w:r w:rsidRPr="00C54D1A">
        <w:rPr>
          <w:rFonts w:ascii="Times New Roman" w:hAnsi="Times New Roman"/>
          <w:color w:val="000000" w:themeColor="text1"/>
          <w:sz w:val="24"/>
          <w:szCs w:val="24"/>
        </w:rPr>
        <w:t>In the TAR model, the lag length p for the linear AR model is first determined using an information criterion. Subsequently, the lag parameter d was selected as a result of performing the nonlinearity test separately for each lag and failing to reject the nonlinearity hypothesis. In the final stage, the number and values of the thresholds are determined and the model is estimated by creating different linear models for different regimes (Koç, 2011).</w:t>
      </w:r>
    </w:p>
    <w:p w14:paraId="43EBAFAB" w14:textId="2C5E70BF" w:rsidR="00C54D1A" w:rsidRPr="0024432C" w:rsidRDefault="00C54D1A" w:rsidP="00C54D1A">
      <w:pPr>
        <w:spacing w:after="120" w:line="360" w:lineRule="auto"/>
        <w:jc w:val="both"/>
        <w:rPr>
          <w:rFonts w:ascii="Times New Roman" w:hAnsi="Times New Roman"/>
          <w:b/>
          <w:bCs/>
          <w:color w:val="000000" w:themeColor="text1"/>
          <w:sz w:val="24"/>
          <w:szCs w:val="24"/>
        </w:rPr>
      </w:pPr>
      <w:r w:rsidRPr="0024432C">
        <w:rPr>
          <w:rFonts w:ascii="Times New Roman" w:hAnsi="Times New Roman"/>
          <w:b/>
          <w:bCs/>
          <w:color w:val="000000" w:themeColor="text1"/>
          <w:sz w:val="24"/>
          <w:szCs w:val="24"/>
        </w:rPr>
        <w:t>4. Result</w:t>
      </w:r>
      <w:r w:rsidR="0024432C" w:rsidRPr="0024432C">
        <w:rPr>
          <w:rFonts w:ascii="Times New Roman" w:hAnsi="Times New Roman"/>
          <w:b/>
          <w:bCs/>
          <w:color w:val="000000" w:themeColor="text1"/>
          <w:sz w:val="24"/>
          <w:szCs w:val="24"/>
        </w:rPr>
        <w:t>s of econometric analysis estimations</w:t>
      </w:r>
    </w:p>
    <w:p w14:paraId="67387953" w14:textId="0DD4B668" w:rsidR="00C54D1A" w:rsidRPr="00C54D1A" w:rsidRDefault="00C54D1A" w:rsidP="00C54D1A">
      <w:pPr>
        <w:spacing w:after="120" w:line="360" w:lineRule="auto"/>
        <w:jc w:val="both"/>
        <w:rPr>
          <w:rFonts w:ascii="Times New Roman" w:hAnsi="Times New Roman"/>
          <w:color w:val="000000" w:themeColor="text1"/>
          <w:sz w:val="24"/>
          <w:szCs w:val="24"/>
        </w:rPr>
      </w:pPr>
      <w:r w:rsidRPr="00C54D1A">
        <w:rPr>
          <w:rFonts w:ascii="Times New Roman" w:hAnsi="Times New Roman"/>
          <w:color w:val="000000" w:themeColor="text1"/>
          <w:sz w:val="24"/>
          <w:szCs w:val="24"/>
        </w:rPr>
        <w:t xml:space="preserve">Although the dataset in the doctoral thesis covered the period 2005–2013, this study, updated with the same variables, consists of monthly data covering the period 2005–2025. Money supply (M2), producer price index (P), real exchange rate (DK), and industrial production index (Y), representing output, were selected. Data were obtained from the Central Bank of the Republic of </w:t>
      </w:r>
      <w:r w:rsidR="00C32B77">
        <w:rPr>
          <w:rFonts w:ascii="Times New Roman" w:hAnsi="Times New Roman"/>
          <w:color w:val="000000" w:themeColor="text1"/>
          <w:sz w:val="24"/>
          <w:szCs w:val="24"/>
        </w:rPr>
        <w:t>Türkiye</w:t>
      </w:r>
      <w:r w:rsidR="00934197">
        <w:rPr>
          <w:rFonts w:ascii="Times New Roman" w:hAnsi="Times New Roman"/>
          <w:color w:val="000000" w:themeColor="text1"/>
          <w:sz w:val="24"/>
          <w:szCs w:val="24"/>
        </w:rPr>
        <w:t>’</w:t>
      </w:r>
      <w:r w:rsidRPr="00C54D1A">
        <w:rPr>
          <w:rFonts w:ascii="Times New Roman" w:hAnsi="Times New Roman"/>
          <w:color w:val="000000" w:themeColor="text1"/>
          <w:sz w:val="24"/>
          <w:szCs w:val="24"/>
        </w:rPr>
        <w:t>s Electronic Data Distribution System.</w:t>
      </w:r>
    </w:p>
    <w:p w14:paraId="05072BC3" w14:textId="736C5CE3" w:rsidR="00C54D1A" w:rsidRPr="00C54D1A" w:rsidRDefault="00C54D1A" w:rsidP="00C54D1A">
      <w:pPr>
        <w:spacing w:after="120" w:line="360" w:lineRule="auto"/>
        <w:jc w:val="both"/>
        <w:rPr>
          <w:rFonts w:ascii="Times New Roman" w:hAnsi="Times New Roman"/>
          <w:color w:val="000000" w:themeColor="text1"/>
          <w:sz w:val="24"/>
          <w:szCs w:val="24"/>
        </w:rPr>
      </w:pPr>
      <w:r w:rsidRPr="00C54D1A">
        <w:rPr>
          <w:rFonts w:ascii="Times New Roman" w:hAnsi="Times New Roman"/>
          <w:color w:val="000000" w:themeColor="text1"/>
          <w:sz w:val="24"/>
          <w:szCs w:val="24"/>
        </w:rPr>
        <w:t>The series were tested for unit roots using the Augmented Dickey-Fuller (ADF), Phillips-Perron (PP), and Kwiatkowski, Phillips, Schmidt, and Shin (KPSS) tests. According to these tests, all variables are stationary at the level.</w:t>
      </w:r>
    </w:p>
    <w:p w14:paraId="09790AD3" w14:textId="29701718" w:rsidR="004670BD" w:rsidRPr="008552F5" w:rsidRDefault="00C54D1A" w:rsidP="00CC63BC">
      <w:pPr>
        <w:autoSpaceDE w:val="0"/>
        <w:autoSpaceDN w:val="0"/>
        <w:adjustRightInd w:val="0"/>
        <w:spacing w:after="120" w:line="360" w:lineRule="auto"/>
        <w:jc w:val="both"/>
        <w:rPr>
          <w:rFonts w:ascii="Times New Roman" w:hAnsi="Times New Roman"/>
          <w:color w:val="000000" w:themeColor="text1"/>
          <w:sz w:val="24"/>
          <w:szCs w:val="24"/>
        </w:rPr>
      </w:pPr>
      <w:r w:rsidRPr="00C54D1A">
        <w:rPr>
          <w:rFonts w:ascii="Times New Roman" w:hAnsi="Times New Roman"/>
          <w:color w:val="000000" w:themeColor="text1"/>
          <w:sz w:val="24"/>
          <w:szCs w:val="24"/>
        </w:rPr>
        <w:lastRenderedPageBreak/>
        <w:t xml:space="preserve">To test the null hypothesis that the series are linear, the Brock, Dechert, and Scheinkman (BDS) test was applied. Developed by Brock, Dechert, and Scheinkman (1987), this test aims to test for nonlinear dependence. It is a test statistic obtained by calculating the correlation integral of different dimensions. In the BDS test, the </w:t>
      </w:r>
      <w:r w:rsidR="0014644F" w:rsidRPr="0014644F">
        <w:rPr>
          <w:rFonts w:ascii="Times New Roman" w:hAnsi="Times New Roman"/>
          <w:color w:val="000000" w:themeColor="text1"/>
          <w:sz w:val="24"/>
          <w:szCs w:val="24"/>
        </w:rPr>
        <w:t>H</w:t>
      </w:r>
      <w:r w:rsidR="0014644F" w:rsidRPr="0069093A">
        <w:rPr>
          <w:rFonts w:ascii="Times New Roman" w:hAnsi="Times New Roman"/>
          <w:color w:val="000000" w:themeColor="text1"/>
          <w:sz w:val="24"/>
          <w:szCs w:val="24"/>
          <w:vertAlign w:val="subscript"/>
        </w:rPr>
        <w:t>0</w:t>
      </w:r>
      <w:r w:rsidRPr="00C54D1A">
        <w:rPr>
          <w:rFonts w:ascii="Times New Roman" w:hAnsi="Times New Roman"/>
          <w:color w:val="000000" w:themeColor="text1"/>
          <w:sz w:val="24"/>
          <w:szCs w:val="24"/>
        </w:rPr>
        <w:t xml:space="preserve"> hypothesis indicates that the error terms have independent and similar distributions, while H</w:t>
      </w:r>
      <w:r w:rsidRPr="00705F4D">
        <w:rPr>
          <w:rFonts w:ascii="Times New Roman" w:hAnsi="Times New Roman"/>
          <w:color w:val="000000" w:themeColor="text1"/>
          <w:sz w:val="24"/>
          <w:szCs w:val="24"/>
          <w:vertAlign w:val="subscript"/>
        </w:rPr>
        <w:t>1</w:t>
      </w:r>
      <w:r w:rsidRPr="00C54D1A">
        <w:rPr>
          <w:rFonts w:ascii="Times New Roman" w:hAnsi="Times New Roman"/>
          <w:color w:val="000000" w:themeColor="text1"/>
          <w:sz w:val="24"/>
          <w:szCs w:val="24"/>
        </w:rPr>
        <w:t xml:space="preserve"> indicates that the error terms do not have independent and similar distributions. In both models, </w:t>
      </w:r>
      <w:r w:rsidR="0069093A" w:rsidRPr="0069093A">
        <w:rPr>
          <w:rFonts w:ascii="Times New Roman" w:hAnsi="Times New Roman"/>
          <w:color w:val="000000" w:themeColor="text1"/>
          <w:sz w:val="24"/>
          <w:szCs w:val="24"/>
        </w:rPr>
        <w:t>H</w:t>
      </w:r>
      <w:r w:rsidR="0069093A" w:rsidRPr="0069093A">
        <w:rPr>
          <w:rFonts w:ascii="Times New Roman" w:hAnsi="Times New Roman"/>
          <w:color w:val="000000" w:themeColor="text1"/>
          <w:sz w:val="24"/>
          <w:szCs w:val="24"/>
          <w:vertAlign w:val="subscript"/>
        </w:rPr>
        <w:t>0</w:t>
      </w:r>
      <w:r w:rsidRPr="00C54D1A">
        <w:rPr>
          <w:rFonts w:ascii="Times New Roman" w:hAnsi="Times New Roman"/>
          <w:color w:val="000000" w:themeColor="text1"/>
          <w:sz w:val="24"/>
          <w:szCs w:val="24"/>
        </w:rPr>
        <w:t xml:space="preserve"> was rejected, thus showing that the series are nonlinear. The Wald test was applied to test whether monetary policy shocks have an asymmetric effect on output and price levels, and the models were found to be nonlinear. The nonlinear effects of monetary shocks on output and price levels were examined using two models and the threshold autoregressive regression (TAR) method.</w:t>
      </w:r>
    </w:p>
    <w:p w14:paraId="04BD65A3" w14:textId="2994A563" w:rsidR="00AB7B1C" w:rsidRPr="008552F5" w:rsidRDefault="00D10FF4" w:rsidP="00F86F13">
      <w:pPr>
        <w:tabs>
          <w:tab w:val="left" w:pos="567"/>
        </w:tabs>
        <w:autoSpaceDE w:val="0"/>
        <w:autoSpaceDN w:val="0"/>
        <w:adjustRightInd w:val="0"/>
        <w:spacing w:after="120" w:line="360" w:lineRule="auto"/>
        <w:jc w:val="both"/>
        <w:rPr>
          <w:rFonts w:ascii="Times New Roman" w:hAnsi="Times New Roman"/>
          <w:color w:val="000000" w:themeColor="text1"/>
          <w:sz w:val="24"/>
          <w:szCs w:val="24"/>
        </w:rPr>
      </w:pPr>
      <w:r w:rsidRPr="00D10FF4">
        <w:rPr>
          <w:rFonts w:ascii="Times New Roman" w:hAnsi="Times New Roman"/>
          <w:color w:val="000000" w:themeColor="text1"/>
          <w:sz w:val="24"/>
          <w:szCs w:val="24"/>
        </w:rPr>
        <w:t>Model 1: Equations in which output is the dependent variable</w:t>
      </w:r>
    </w:p>
    <w:bookmarkStart w:id="0" w:name="_Toc406364272"/>
    <w:bookmarkStart w:id="1" w:name="_Toc416937490"/>
    <w:p w14:paraId="3F3CC707" w14:textId="4EFEC9C8" w:rsidR="00460E44" w:rsidRPr="008552F5" w:rsidRDefault="00000000" w:rsidP="004078E6">
      <w:pPr>
        <w:spacing w:after="120" w:line="360" w:lineRule="auto"/>
        <w:jc w:val="both"/>
        <w:rPr>
          <w:rFonts w:ascii="Times New Roman" w:hAnsi="Times New Roman"/>
          <w:color w:val="000000"/>
        </w:rPr>
      </w:pPr>
      <m:oMathPara>
        <m:oMath>
          <m:sSub>
            <m:sSubPr>
              <m:ctrlPr>
                <w:rPr>
                  <w:rFonts w:ascii="Cambria Math" w:hAnsi="Cambria Math"/>
                  <w:color w:val="000000"/>
                </w:rPr>
              </m:ctrlPr>
            </m:sSubPr>
            <m:e>
              <m:r>
                <m:rPr>
                  <m:sty m:val="p"/>
                </m:rPr>
                <w:rPr>
                  <w:rFonts w:ascii="Cambria Math" w:hAnsi="Cambria Math"/>
                  <w:color w:val="000000"/>
                </w:rPr>
                <m:t>Y</m:t>
              </m:r>
            </m:e>
            <m:sub>
              <m:r>
                <m:rPr>
                  <m:sty m:val="p"/>
                </m:rPr>
                <w:rPr>
                  <w:rFonts w:ascii="Cambria Math" w:hAnsi="Cambria Math"/>
                  <w:color w:val="000000"/>
                </w:rPr>
                <m:t>t</m:t>
              </m:r>
            </m:sub>
          </m:sSub>
          <m:r>
            <m:rPr>
              <m:sty m:val="p"/>
            </m:rPr>
            <w:rPr>
              <w:rFonts w:ascii="Cambria Math" w:hAnsi="Cambria Math"/>
              <w:color w:val="000000"/>
            </w:rPr>
            <m:t>=84.97-0.09P+0.01M2+3.19DK</m:t>
          </m:r>
        </m:oMath>
      </m:oMathPara>
    </w:p>
    <w:p w14:paraId="19AC3535" w14:textId="4282982D" w:rsidR="009254F7" w:rsidRPr="008552F5" w:rsidRDefault="00000000" w:rsidP="004078E6">
      <w:pPr>
        <w:spacing w:after="120" w:line="360" w:lineRule="auto"/>
        <w:jc w:val="both"/>
        <w:rPr>
          <w:rFonts w:ascii="Times New Roman" w:hAnsi="Times New Roman"/>
          <w:color w:val="000000"/>
        </w:rPr>
      </w:pPr>
      <m:oMathPara>
        <m:oMath>
          <m:sSub>
            <m:sSubPr>
              <m:ctrlPr>
                <w:rPr>
                  <w:rFonts w:ascii="Cambria Math" w:hAnsi="Cambria Math"/>
                  <w:color w:val="000000"/>
                </w:rPr>
              </m:ctrlPr>
            </m:sSubPr>
            <m:e>
              <m:r>
                <m:rPr>
                  <m:sty m:val="p"/>
                </m:rPr>
                <w:rPr>
                  <w:rFonts w:ascii="Cambria Math" w:hAnsi="Cambria Math"/>
                  <w:color w:val="000000"/>
                </w:rPr>
                <m:t>Y</m:t>
              </m:r>
            </m:e>
            <m:sub>
              <m:r>
                <m:rPr>
                  <m:sty m:val="p"/>
                </m:rPr>
                <w:rPr>
                  <w:rFonts w:ascii="Cambria Math" w:hAnsi="Cambria Math"/>
                  <w:color w:val="000000"/>
                </w:rPr>
                <m:t>t</m:t>
              </m:r>
            </m:sub>
          </m:sSub>
          <m:r>
            <m:rPr>
              <m:sty m:val="p"/>
            </m:rPr>
            <w:rPr>
              <w:rFonts w:ascii="Cambria Math" w:hAnsi="Cambria Math"/>
              <w:color w:val="000000"/>
            </w:rPr>
            <m:t>=76.94-0.02P+0.04M2+2.41DK</m:t>
          </m:r>
        </m:oMath>
      </m:oMathPara>
    </w:p>
    <w:p w14:paraId="7E81FEAD" w14:textId="50CD877D" w:rsidR="00774CB8" w:rsidRPr="008552F5" w:rsidRDefault="00000000" w:rsidP="004078E6">
      <w:pPr>
        <w:spacing w:after="120" w:line="360" w:lineRule="auto"/>
        <w:jc w:val="both"/>
        <w:rPr>
          <w:rFonts w:ascii="Times New Roman" w:hAnsi="Times New Roman"/>
          <w:color w:val="000000"/>
        </w:rPr>
      </w:pPr>
      <m:oMathPara>
        <m:oMath>
          <m:sSub>
            <m:sSubPr>
              <m:ctrlPr>
                <w:rPr>
                  <w:rFonts w:ascii="Cambria Math" w:hAnsi="Cambria Math"/>
                  <w:color w:val="000000"/>
                </w:rPr>
              </m:ctrlPr>
            </m:sSubPr>
            <m:e>
              <m:r>
                <m:rPr>
                  <m:sty m:val="p"/>
                </m:rPr>
                <w:rPr>
                  <w:rFonts w:ascii="Cambria Math" w:hAnsi="Cambria Math"/>
                  <w:color w:val="000000"/>
                </w:rPr>
                <m:t>Y</m:t>
              </m:r>
            </m:e>
            <m:sub>
              <m:r>
                <m:rPr>
                  <m:sty m:val="p"/>
                </m:rPr>
                <w:rPr>
                  <w:rFonts w:ascii="Cambria Math" w:hAnsi="Cambria Math"/>
                  <w:color w:val="000000"/>
                </w:rPr>
                <m:t>t</m:t>
              </m:r>
            </m:sub>
          </m:sSub>
          <m:r>
            <m:rPr>
              <m:sty m:val="p"/>
            </m:rPr>
            <w:rPr>
              <w:rFonts w:ascii="Cambria Math" w:hAnsi="Cambria Math"/>
              <w:color w:val="000000"/>
            </w:rPr>
            <m:t>=74.23-0.04P+0.07M2+2.58DK</m:t>
          </m:r>
        </m:oMath>
      </m:oMathPara>
    </w:p>
    <w:p w14:paraId="0F89B95E" w14:textId="19D47929" w:rsidR="004A6569" w:rsidRPr="008552F5" w:rsidRDefault="006C3FFC" w:rsidP="007F2C08">
      <w:pPr>
        <w:spacing w:after="120" w:line="360" w:lineRule="auto"/>
        <w:jc w:val="both"/>
        <w:rPr>
          <w:rFonts w:ascii="Times New Roman" w:hAnsi="Times New Roman"/>
          <w:color w:val="000000"/>
        </w:rPr>
      </w:pPr>
      <m:oMathPara>
        <m:oMath>
          <m: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Y</m:t>
              </m:r>
            </m:e>
            <m:sub>
              <m:r>
                <m:rPr>
                  <m:sty m:val="p"/>
                </m:rPr>
                <w:rPr>
                  <w:rFonts w:ascii="Cambria Math" w:hAnsi="Cambria Math"/>
                  <w:color w:val="000000"/>
                </w:rPr>
                <m:t>t</m:t>
              </m:r>
            </m:sub>
          </m:sSub>
          <m:r>
            <m:rPr>
              <m:sty m:val="p"/>
            </m:rPr>
            <w:rPr>
              <w:rFonts w:ascii="Cambria Math" w:hAnsi="Cambria Math"/>
              <w:color w:val="000000"/>
            </w:rPr>
            <m:t>=-21.15-0.77P+0.25M2+2.81DK</m:t>
          </m:r>
        </m:oMath>
      </m:oMathPara>
    </w:p>
    <w:p w14:paraId="5C698A9F" w14:textId="77777777" w:rsidR="00D1782A" w:rsidRDefault="00D1782A" w:rsidP="004078E6">
      <w:pPr>
        <w:spacing w:after="120" w:line="360" w:lineRule="auto"/>
        <w:jc w:val="both"/>
        <w:rPr>
          <w:rFonts w:ascii="Times New Roman" w:hAnsi="Times New Roman"/>
          <w:sz w:val="24"/>
          <w:szCs w:val="24"/>
        </w:rPr>
      </w:pPr>
      <w:r w:rsidRPr="00D1782A">
        <w:rPr>
          <w:rFonts w:ascii="Times New Roman" w:hAnsi="Times New Roman"/>
          <w:sz w:val="24"/>
          <w:szCs w:val="24"/>
        </w:rPr>
        <w:t xml:space="preserve">The estimation results obtained using the TAR method show that the effects of monetary policy shocks on different macroeconomic variables differ in terms of direction and magnitude. In the model where the dependent variable is output, four different threshold periods are observed. In the first threshold period, the increase in the price level has a limited reducing effect on output, which gradually increases, and this negative effect increases in the fourth threshold period (-0.09, -0.02, -0.04, and -0.77). The increase in the money supply (M2) has a positive and gradually increasing effect on output (0.01, 0.04, 0.07, and 0.25). However, the increase in the exchange rate increases the quantity of output through monetary policy shocks (3.19, 2.41, 2.58, and 2.81). As seen in Model 1, the strongest effect on output occurs through the exchange rate channel. The exchange rate reflects a rapid and strong effect on output through exports. These findings demonstrate that it is critical for central banks to consider asymmetric effects and different transmission channels when evaluating policy decisions. </w:t>
      </w:r>
    </w:p>
    <w:p w14:paraId="562DA922" w14:textId="671CF17F" w:rsidR="005E45DC" w:rsidRPr="008552F5" w:rsidRDefault="00D1782A" w:rsidP="004078E6">
      <w:pPr>
        <w:spacing w:after="120" w:line="360" w:lineRule="auto"/>
        <w:jc w:val="both"/>
        <w:rPr>
          <w:rFonts w:ascii="Times New Roman" w:hAnsi="Times New Roman"/>
          <w:color w:val="000000" w:themeColor="text1"/>
          <w:sz w:val="24"/>
          <w:szCs w:val="24"/>
        </w:rPr>
      </w:pPr>
      <w:r w:rsidRPr="00D1782A">
        <w:rPr>
          <w:rFonts w:ascii="Times New Roman" w:hAnsi="Times New Roman"/>
          <w:sz w:val="24"/>
          <w:szCs w:val="24"/>
        </w:rPr>
        <w:t>Model 2: Equations with the price level as the dependent variable</w:t>
      </w:r>
    </w:p>
    <w:p w14:paraId="30BE4F2D" w14:textId="5A28CDDE" w:rsidR="005E45DC" w:rsidRPr="008552F5" w:rsidRDefault="00000000" w:rsidP="004078E6">
      <w:pPr>
        <w:spacing w:after="120" w:line="360" w:lineRule="auto"/>
        <w:jc w:val="both"/>
        <w:rPr>
          <w:rFonts w:ascii="Times New Roman" w:hAnsi="Times New Roman"/>
          <w:color w:val="000000" w:themeColor="text1"/>
          <w:sz w:val="24"/>
          <w:szCs w:val="24"/>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t</m:t>
              </m:r>
            </m:sub>
          </m:sSub>
          <m:r>
            <m:rPr>
              <m:sty m:val="p"/>
            </m:rPr>
            <w:rPr>
              <w:rFonts w:ascii="Cambria Math" w:hAnsi="Cambria Math"/>
              <w:color w:val="000000"/>
            </w:rPr>
            <m:t>=191.86-1.18Y+0.23M2+12.88DK</m:t>
          </m:r>
        </m:oMath>
      </m:oMathPara>
    </w:p>
    <w:p w14:paraId="0FF03250" w14:textId="54720BA2" w:rsidR="005E45DC" w:rsidRPr="008552F5" w:rsidRDefault="00000000" w:rsidP="004078E6">
      <w:pPr>
        <w:spacing w:after="120" w:line="360" w:lineRule="auto"/>
        <w:jc w:val="both"/>
        <w:rPr>
          <w:rFonts w:ascii="Times New Roman" w:hAnsi="Times New Roman"/>
          <w:color w:val="000000"/>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t</m:t>
              </m:r>
            </m:sub>
          </m:sSub>
          <m:r>
            <m:rPr>
              <m:sty m:val="p"/>
            </m:rPr>
            <w:rPr>
              <w:rFonts w:ascii="Cambria Math" w:hAnsi="Cambria Math"/>
              <w:color w:val="000000"/>
            </w:rPr>
            <m:t>=287.43-2.21Y+0.58M2+6.76DK</m:t>
          </m:r>
        </m:oMath>
      </m:oMathPara>
    </w:p>
    <w:p w14:paraId="787936A9" w14:textId="7678F824" w:rsidR="00DD1BC1" w:rsidRPr="008552F5" w:rsidRDefault="00000000" w:rsidP="004078E6">
      <w:pPr>
        <w:spacing w:after="120" w:line="360" w:lineRule="auto"/>
        <w:jc w:val="both"/>
        <w:rPr>
          <w:rFonts w:ascii="Times New Roman" w:hAnsi="Times New Roman"/>
          <w:color w:val="000000"/>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t</m:t>
              </m:r>
            </m:sub>
          </m:sSub>
          <m:r>
            <m:rPr>
              <m:sty m:val="p"/>
            </m:rPr>
            <w:rPr>
              <w:rFonts w:ascii="Cambria Math" w:hAnsi="Cambria Math"/>
              <w:color w:val="000000"/>
            </w:rPr>
            <m:t>=69.06+0.49Y+0.31M2+6.22DK</m:t>
          </m:r>
        </m:oMath>
      </m:oMathPara>
    </w:p>
    <w:p w14:paraId="3E504563" w14:textId="4665E644" w:rsidR="003F3661" w:rsidRPr="008552F5" w:rsidRDefault="00CC11A3" w:rsidP="00562500">
      <w:pPr>
        <w:spacing w:after="120" w:line="360" w:lineRule="auto"/>
        <w:jc w:val="both"/>
        <w:rPr>
          <w:rFonts w:ascii="Times New Roman" w:hAnsi="Times New Roman"/>
          <w:sz w:val="24"/>
          <w:szCs w:val="24"/>
        </w:rPr>
      </w:pPr>
      <w:r w:rsidRPr="00CC11A3">
        <w:rPr>
          <w:rFonts w:ascii="Times New Roman" w:hAnsi="Times New Roman"/>
          <w:color w:val="000000" w:themeColor="text1"/>
          <w:sz w:val="24"/>
          <w:szCs w:val="24"/>
        </w:rPr>
        <w:t xml:space="preserve">In the model where the dependent variable is the price level, three different threshold periods were observed. In the first threshold period, the reducing effect of output on the price level was 1.18. When production increases, supply expands, which can reduce price pressure. The increasing effect of the money supply on the price level is 0.23. If the money supply increases, liquidity in the market increases, which increases demand and causes the price level to rise. This process is consistent with classical monetary theory. The increasing effect of the exchange rate is estimated to be 12.88. In </w:t>
      </w:r>
      <w:r w:rsidR="00C32B77">
        <w:rPr>
          <w:rFonts w:ascii="Times New Roman" w:hAnsi="Times New Roman"/>
          <w:color w:val="000000" w:themeColor="text1"/>
          <w:sz w:val="24"/>
          <w:szCs w:val="24"/>
        </w:rPr>
        <w:t>Türkiye</w:t>
      </w:r>
      <w:r w:rsidRPr="00CC11A3">
        <w:rPr>
          <w:rFonts w:ascii="Times New Roman" w:hAnsi="Times New Roman"/>
          <w:color w:val="000000" w:themeColor="text1"/>
          <w:sz w:val="24"/>
          <w:szCs w:val="24"/>
        </w:rPr>
        <w:t>, the high exchange rate pass-through, dependence on imported inputs such as energy, intermediate goods, and technology, and the cost-inflation effect of the exchange rate increase are reasons why the exchange rate increases the price level. Model 2 shows that the exchange rate is the variable that most strongly affects the price level</w:t>
      </w:r>
      <w:r w:rsidR="00E80F91" w:rsidRPr="008552F5">
        <w:rPr>
          <w:rStyle w:val="Strong"/>
          <w:rFonts w:ascii="Times New Roman" w:hAnsi="Times New Roman"/>
          <w:b w:val="0"/>
          <w:bCs w:val="0"/>
          <w:sz w:val="24"/>
          <w:szCs w:val="24"/>
        </w:rPr>
        <w:t>.</w:t>
      </w:r>
    </w:p>
    <w:bookmarkEnd w:id="0"/>
    <w:bookmarkEnd w:id="1"/>
    <w:p w14:paraId="2DDB9E9A" w14:textId="619668EF" w:rsidR="008910B0" w:rsidRPr="008910B0" w:rsidRDefault="008910B0" w:rsidP="008910B0">
      <w:pPr>
        <w:spacing w:after="120" w:line="360" w:lineRule="auto"/>
        <w:jc w:val="both"/>
        <w:rPr>
          <w:rFonts w:ascii="Times New Roman" w:hAnsi="Times New Roman"/>
          <w:sz w:val="24"/>
          <w:szCs w:val="24"/>
        </w:rPr>
      </w:pPr>
      <w:r w:rsidRPr="008910B0">
        <w:rPr>
          <w:rFonts w:ascii="Times New Roman" w:hAnsi="Times New Roman"/>
          <w:sz w:val="24"/>
          <w:szCs w:val="24"/>
        </w:rPr>
        <w:t>In the second threshold period, the reduction in output has an effect on the price level of 2.21. Increased production can lower costs, resulting in a supply-side growth effect rather than a demand-side growth effect. The increasing effect of the money supply on the price level is 0.58. The increasing effect of the exchange rate is estimated to be 6.76. The effect of the exchange rate on the price level decreased in the second regime. This decrease can be attributed to the exchange rate effect being reflected in prices over time and firms taking precautions against exchange rate risk.</w:t>
      </w:r>
    </w:p>
    <w:p w14:paraId="2890D310" w14:textId="62447536" w:rsidR="008910B0" w:rsidRPr="008910B0" w:rsidRDefault="008910B0" w:rsidP="008910B0">
      <w:pPr>
        <w:spacing w:after="120" w:line="360" w:lineRule="auto"/>
        <w:jc w:val="both"/>
        <w:rPr>
          <w:rFonts w:ascii="Times New Roman" w:hAnsi="Times New Roman"/>
          <w:sz w:val="24"/>
          <w:szCs w:val="24"/>
        </w:rPr>
      </w:pPr>
      <w:r w:rsidRPr="008910B0">
        <w:rPr>
          <w:rFonts w:ascii="Times New Roman" w:hAnsi="Times New Roman"/>
          <w:sz w:val="24"/>
          <w:szCs w:val="24"/>
        </w:rPr>
        <w:t>In the third threshold period, the increasing effect of output on the price level was 0.49. While output increases lowered the price level in the first two periods, they increased in the third period. This can be explained by the demand-side growth effect in the economy and the fact that prices rise as demand increases. The increasing effect of the money supply on the price level was 0.31. This coefficient is consistent with classical monetary theory. The increasing effect of the exchange rate was 6.22. While the positive effect was very strong in the first regime, it decreased in the following two regimes. In this regime, inflation appears to be affected by both demand and cost factors.</w:t>
      </w:r>
    </w:p>
    <w:p w14:paraId="2C513B47" w14:textId="14118199" w:rsidR="008910B0" w:rsidRPr="00966D03" w:rsidRDefault="008910B0" w:rsidP="008910B0">
      <w:pPr>
        <w:spacing w:after="120" w:line="360" w:lineRule="auto"/>
        <w:jc w:val="both"/>
        <w:rPr>
          <w:rFonts w:ascii="Times New Roman" w:hAnsi="Times New Roman"/>
          <w:b/>
          <w:bCs/>
          <w:sz w:val="24"/>
          <w:szCs w:val="24"/>
        </w:rPr>
      </w:pPr>
      <w:r w:rsidRPr="00966D03">
        <w:rPr>
          <w:rFonts w:ascii="Times New Roman" w:hAnsi="Times New Roman"/>
          <w:b/>
          <w:bCs/>
          <w:sz w:val="24"/>
          <w:szCs w:val="24"/>
        </w:rPr>
        <w:t xml:space="preserve">5. Conclusions and </w:t>
      </w:r>
      <w:r w:rsidR="002B1851">
        <w:rPr>
          <w:rFonts w:ascii="Times New Roman" w:hAnsi="Times New Roman"/>
          <w:b/>
          <w:bCs/>
          <w:sz w:val="24"/>
          <w:szCs w:val="24"/>
        </w:rPr>
        <w:t>e</w:t>
      </w:r>
      <w:r w:rsidRPr="00966D03">
        <w:rPr>
          <w:rFonts w:ascii="Times New Roman" w:hAnsi="Times New Roman"/>
          <w:b/>
          <w:bCs/>
          <w:sz w:val="24"/>
          <w:szCs w:val="24"/>
        </w:rPr>
        <w:t>valuations</w:t>
      </w:r>
    </w:p>
    <w:p w14:paraId="240DCBF2" w14:textId="2D1546A8" w:rsidR="008910B0" w:rsidRPr="008910B0" w:rsidRDefault="008910B0" w:rsidP="008910B0">
      <w:pPr>
        <w:spacing w:after="120" w:line="360" w:lineRule="auto"/>
        <w:jc w:val="both"/>
        <w:rPr>
          <w:rFonts w:ascii="Times New Roman" w:hAnsi="Times New Roman"/>
          <w:sz w:val="24"/>
          <w:szCs w:val="24"/>
        </w:rPr>
      </w:pPr>
      <w:r w:rsidRPr="008910B0">
        <w:rPr>
          <w:rFonts w:ascii="Times New Roman" w:hAnsi="Times New Roman"/>
          <w:sz w:val="24"/>
          <w:szCs w:val="24"/>
        </w:rPr>
        <w:lastRenderedPageBreak/>
        <w:t>Monetary policy shocks have significant impacts on macroeconomic variables in countries. They can directly or indirectly affect economic activity, particularly through the money supply and exchange rate channels. Unexpected changes in monetary policy implementations can alter the course of key macroeconomic indicators, such as inflation, production, and exchange rates, and play a decisive role in economic balances. Therefore, analyzing the effects of monetary policy shocks is important for ensuring economic stability and determining appropriate policy tools.</w:t>
      </w:r>
    </w:p>
    <w:p w14:paraId="6C2DE335" w14:textId="4E3F8FED" w:rsidR="00203047" w:rsidRPr="008552F5" w:rsidRDefault="008910B0" w:rsidP="007958CF">
      <w:pPr>
        <w:spacing w:line="360" w:lineRule="auto"/>
        <w:jc w:val="both"/>
        <w:rPr>
          <w:rFonts w:ascii="Times New Roman" w:hAnsi="Times New Roman"/>
          <w:color w:val="000000" w:themeColor="text1"/>
          <w:sz w:val="24"/>
          <w:szCs w:val="24"/>
        </w:rPr>
      </w:pPr>
      <w:r w:rsidRPr="008910B0">
        <w:rPr>
          <w:rFonts w:ascii="Times New Roman" w:hAnsi="Times New Roman"/>
          <w:sz w:val="24"/>
          <w:szCs w:val="24"/>
        </w:rPr>
        <w:t xml:space="preserve">The effects of monetary policy shocks can be pronounced, especially in developing economies. In economies sensitive to financial markets, such as </w:t>
      </w:r>
      <w:r w:rsidR="00C32B77">
        <w:rPr>
          <w:rFonts w:ascii="Times New Roman" w:hAnsi="Times New Roman"/>
          <w:sz w:val="24"/>
          <w:szCs w:val="24"/>
        </w:rPr>
        <w:t>Türkiye</w:t>
      </w:r>
      <w:r w:rsidRPr="008910B0">
        <w:rPr>
          <w:rFonts w:ascii="Times New Roman" w:hAnsi="Times New Roman"/>
          <w:sz w:val="24"/>
          <w:szCs w:val="24"/>
        </w:rPr>
        <w:t>, monetary policy decisions and the shocks resulting from these decisions can cause significant fluctuations in price levels, production volumes, and exchange rates. Examining the effects of monetary policy shocks on these variables provides important information for evaluating the effectiveness of monetary policies and ensuring sustainable economic growth and price stability.</w:t>
      </w:r>
    </w:p>
    <w:p w14:paraId="3517788E" w14:textId="24445CD2" w:rsidR="00C27058" w:rsidRPr="00C27058" w:rsidRDefault="00C27058" w:rsidP="00C27058">
      <w:pPr>
        <w:spacing w:line="360" w:lineRule="auto"/>
        <w:jc w:val="both"/>
        <w:rPr>
          <w:rFonts w:ascii="Times New Roman" w:hAnsi="Times New Roman"/>
          <w:color w:val="000000" w:themeColor="text1"/>
          <w:sz w:val="24"/>
          <w:szCs w:val="24"/>
        </w:rPr>
      </w:pPr>
      <w:r w:rsidRPr="00C27058">
        <w:rPr>
          <w:rFonts w:ascii="Times New Roman" w:hAnsi="Times New Roman"/>
          <w:color w:val="000000" w:themeColor="text1"/>
          <w:sz w:val="24"/>
          <w:szCs w:val="24"/>
        </w:rPr>
        <w:t>Since the impact of monetary policy shocks on macroeconomic variables varies depending on the direction, magnitude, and state of the economy, it is necessary to accurately determine whether the monetary policy shock has a symmetrical effect. If an existing asymmetrical effect is treated as symmetrical and the analysis is conducted accordingly, effective and consistent results will not be obtained. The main objective of this study is to examine the effects of monetary policy shocks on output and the price level in the Turkish economy and to reveal how the relationships between these variables change in different periods. In this context, the relationships between the price level (P), output (Y), money supply (M2), and exchange rate (DK) variables are analyzed. Furthermore, to determine whether monetary policy shocks differentiate the dynamics among economic variables, a threshold autoregressive (TAR) model, one of the nonlinear time series methods, was estimated. Thus, the study examines how the effects of monetary policy shocks on these variables change in different threshold periods.</w:t>
      </w:r>
    </w:p>
    <w:p w14:paraId="60789CCD" w14:textId="77777777" w:rsidR="00C27058" w:rsidRPr="00C27058" w:rsidRDefault="00C27058" w:rsidP="00C27058">
      <w:pPr>
        <w:spacing w:line="360" w:lineRule="auto"/>
        <w:jc w:val="both"/>
        <w:rPr>
          <w:rFonts w:ascii="Times New Roman" w:hAnsi="Times New Roman"/>
          <w:color w:val="000000" w:themeColor="text1"/>
          <w:sz w:val="24"/>
          <w:szCs w:val="24"/>
        </w:rPr>
      </w:pPr>
      <w:r w:rsidRPr="00C27058">
        <w:rPr>
          <w:rFonts w:ascii="Times New Roman" w:hAnsi="Times New Roman"/>
          <w:color w:val="000000" w:themeColor="text1"/>
          <w:sz w:val="24"/>
          <w:szCs w:val="24"/>
        </w:rPr>
        <w:t xml:space="preserve">Model 1, where the dependent variable is output, varies according to four different threshold periods. The estimation results of the TAR method show that an increase in the price level negatively affects output. The fact that the coefficient is -0.77, especially in the fourth threshold period, indicates that price instability in a high-inflation environment </w:t>
      </w:r>
      <w:r w:rsidRPr="00C27058">
        <w:rPr>
          <w:rFonts w:ascii="Times New Roman" w:hAnsi="Times New Roman"/>
          <w:color w:val="000000" w:themeColor="text1"/>
          <w:sz w:val="24"/>
          <w:szCs w:val="24"/>
        </w:rPr>
        <w:lastRenderedPageBreak/>
        <w:t>exerts stronger pressure on production and economic activity. This can be explained by the postponement of investment decisions, cost uncertainty, and economic instability.</w:t>
      </w:r>
    </w:p>
    <w:p w14:paraId="7674277C" w14:textId="21C49A3A" w:rsidR="00A9744D" w:rsidRPr="008552F5" w:rsidRDefault="00C27058" w:rsidP="0083625A">
      <w:pPr>
        <w:spacing w:after="120" w:line="360" w:lineRule="auto"/>
        <w:jc w:val="both"/>
        <w:rPr>
          <w:rFonts w:ascii="Times New Roman" w:hAnsi="Times New Roman"/>
          <w:sz w:val="24"/>
          <w:szCs w:val="24"/>
        </w:rPr>
      </w:pPr>
      <w:r w:rsidRPr="00C27058">
        <w:rPr>
          <w:rFonts w:ascii="Times New Roman" w:hAnsi="Times New Roman"/>
          <w:color w:val="000000" w:themeColor="text1"/>
          <w:sz w:val="24"/>
          <w:szCs w:val="24"/>
        </w:rPr>
        <w:t>The money supply (M2) has a positive coefficient in all threshold periods. This result shows that an increase in the money supply supports economic activity and production. In addition, the increase in the M2 coefficient from 0.01 to 0.25 as the threshold periods progress highlights that the effect of monetary policy expansion on output is stronger in some periods. The exchange rate coefficient was also estimated to be positive in all regimes. This result shows that an increase in the exchange rate may have a production-boosting effect. This may be because exchange rate increases stimulate exports and increase production through external demand. However, the magnitude of the coefficients varies according to the regimes, and the effect of the exchange rate on output is stronger in some periods. Therefore, when considering the exchange rate, it is necessary to consider different periods rather than a single period. In conclusion, the estimation results of Model 1 show that the relationship between these variables varies depending on the monetary policy regime in the Turkish economy. According to the findings, the price level generally has a negative effect on output, while the money supply and exchange rate have a supportive effect on output. It is noteworthy that the negative effect of the price level on output becomes more pronounced, especially during periods of high inflation. Conversely, increases in the money supply and rises in the exchange rate sometimes stimulate economic activity and play a role in increasing production. These results demonstrate that price stability is important for sustainable growth in the Turkish economy and that monetary policy implementations can have different regime-dependent effects on output.</w:t>
      </w:r>
    </w:p>
    <w:p w14:paraId="6B39B65F" w14:textId="59BC07D1" w:rsidR="008552F5" w:rsidRPr="008552F5" w:rsidRDefault="00603B79" w:rsidP="009002FE">
      <w:pPr>
        <w:spacing w:after="120" w:line="360" w:lineRule="auto"/>
        <w:jc w:val="both"/>
        <w:rPr>
          <w:rFonts w:ascii="Times New Roman" w:hAnsi="Times New Roman"/>
          <w:sz w:val="24"/>
          <w:szCs w:val="24"/>
        </w:rPr>
      </w:pPr>
      <w:r w:rsidRPr="00603B79">
        <w:rPr>
          <w:rFonts w:ascii="Times New Roman" w:hAnsi="Times New Roman"/>
          <w:sz w:val="24"/>
          <w:szCs w:val="24"/>
        </w:rPr>
        <w:t>Model 2</w:t>
      </w:r>
      <w:r w:rsidR="00934197">
        <w:rPr>
          <w:rFonts w:ascii="Times New Roman" w:hAnsi="Times New Roman"/>
          <w:sz w:val="24"/>
          <w:szCs w:val="24"/>
        </w:rPr>
        <w:t>’</w:t>
      </w:r>
      <w:r w:rsidRPr="00603B79">
        <w:rPr>
          <w:rFonts w:ascii="Times New Roman" w:hAnsi="Times New Roman"/>
          <w:sz w:val="24"/>
          <w:szCs w:val="24"/>
        </w:rPr>
        <w:t xml:space="preserve">s TAR estimation results show that the relationship between the price level and other variables changes in different regimes depending on monetary policy shocks. In the first threshold period, the exchange rate has a strong impact on the price level. This indicates that exchange rate pass-through is high in the Turkish economy, and that increases in the exchange rate significantly affect the price level. In the second threshold period, the impact of the money supply on the price level increases, whereas the impact of the exchange rate decreases. This shows that the determining influence of monetary policy expansions on the price level becomes stronger in this regime. In the third threshold period, the effects of output, money supply, and exchange rates on the price level are all </w:t>
      </w:r>
      <w:r w:rsidRPr="00603B79">
        <w:rPr>
          <w:rFonts w:ascii="Times New Roman" w:hAnsi="Times New Roman"/>
          <w:sz w:val="24"/>
          <w:szCs w:val="24"/>
        </w:rPr>
        <w:lastRenderedPageBreak/>
        <w:t>estimated to be positive. This result shows that inflation is affected by both demand-side and cost-side factors in this period</w:t>
      </w:r>
      <w:r w:rsidR="005F3F32">
        <w:rPr>
          <w:rFonts w:ascii="Times New Roman" w:hAnsi="Times New Roman"/>
          <w:sz w:val="24"/>
          <w:szCs w:val="24"/>
        </w:rPr>
        <w:t>.</w:t>
      </w:r>
    </w:p>
    <w:p w14:paraId="496B0260" w14:textId="55E2BDA9"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t>Overall, the findings reveal that monetary policy shocks in the Turkish economy differentiate the relationships between these variables according to the regimes, and that the exchange rate and money supply are particularly important determinants of the price level. Consequently, according to the TAR model results of Model 2, the exchange rate effect is very strong in the first regime, the money supply effect increases in the second regime, and output begins to increase the price level in the third regime. During the second threshold period, the effect of the money supply on the price level increases, whereas the effect of the exchange rate decreases. Furthermore, the price-level-reducing effect of the increase in output strengthens. This situation shows that monetary policy shocks differentiate the relationships between economic variables according to the regimes.</w:t>
      </w:r>
    </w:p>
    <w:p w14:paraId="71063C40" w14:textId="7692F21B"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t>The findings of this study show that monetary policy shocks have significant effects on output and the price level in the Turkish economy. In particular, the exchange rate and money supply play a decisive role in both inflation and output. In this context, a careful and predictable implementation of monetary policy is important for achieving economic stability.</w:t>
      </w:r>
    </w:p>
    <w:p w14:paraId="54F994B1" w14:textId="398520A8"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t>First, the results obtained in the study reveal that the effect of the exchange rate on inflation is strong. This situation indicates that exchange rate pass-through is high in the Turkish economy. Therefore, developing policies aimed at ensuring exchange rate stability in monetary policy implementations is important. Reducing excessive volatility in foreign exchange markets and strengthening financial stability can be considered an important policy tool for combating inflation.</w:t>
      </w:r>
    </w:p>
    <w:p w14:paraId="45DE66FF" w14:textId="44E330EE"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t>In addition, it is observed that increases in the money supply affect both the price level and output. Therefore, in the implementation of monetary policy, it is necessary to keep the money supply under control and adopt policies that support price stability. While excessive monetary expansion may support economic activity in the short term, it can increase inflationary pressures in the long term. Therefore, monetary policies should be implemented in a balanced manner in line with the goals of sustainable growth and price stability.</w:t>
      </w:r>
    </w:p>
    <w:p w14:paraId="35B088A2" w14:textId="5AD8F63F"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lastRenderedPageBreak/>
        <w:t>This study also draws attention to the fact that high price levels have negative effects on output. This result shows that price stability is critical for economic growth sustainability. Therefore, controlling inflation and ensuring price stability should be fundamental policy objectives for the healthy continuation of economic growth.</w:t>
      </w:r>
    </w:p>
    <w:p w14:paraId="0099A7CD" w14:textId="506BBC48" w:rsidR="00FC2A7F" w:rsidRPr="00FC2A7F" w:rsidRDefault="00FC2A7F" w:rsidP="00FC2A7F">
      <w:pPr>
        <w:spacing w:after="120" w:line="360" w:lineRule="auto"/>
        <w:jc w:val="both"/>
        <w:rPr>
          <w:rFonts w:ascii="Times New Roman" w:hAnsi="Times New Roman"/>
          <w:sz w:val="24"/>
          <w:szCs w:val="24"/>
        </w:rPr>
      </w:pPr>
      <w:r w:rsidRPr="00FC2A7F">
        <w:rPr>
          <w:rFonts w:ascii="Times New Roman" w:hAnsi="Times New Roman"/>
          <w:sz w:val="24"/>
          <w:szCs w:val="24"/>
        </w:rPr>
        <w:t>The findings show that exchange rates and money supply strongly influence output, whereas high price levels reduce output. In this context, the predictable and balanced implementation of monetary policies is crucial for securing both short-term stability and long-term sustainable growth. Ultimately, the key message for economic decision-makers is clear: achieving sustainable growth targets is impossible without maintaining price stability and macroeconomic balance.</w:t>
      </w:r>
    </w:p>
    <w:p w14:paraId="15E3B1C8" w14:textId="6DE7D886" w:rsidR="00B53628" w:rsidRPr="008552F5" w:rsidRDefault="00FC2A7F" w:rsidP="00C81B75">
      <w:pPr>
        <w:spacing w:line="360" w:lineRule="auto"/>
        <w:jc w:val="both"/>
        <w:rPr>
          <w:rFonts w:ascii="Times New Roman" w:hAnsi="Times New Roman"/>
          <w:color w:val="000000" w:themeColor="text1"/>
          <w:sz w:val="24"/>
          <w:szCs w:val="24"/>
        </w:rPr>
      </w:pPr>
      <w:r w:rsidRPr="00FC2A7F">
        <w:rPr>
          <w:rFonts w:ascii="Times New Roman" w:hAnsi="Times New Roman"/>
          <w:sz w:val="24"/>
          <w:szCs w:val="24"/>
        </w:rPr>
        <w:t>In conclusion, the findings demonstrate that monetary policy shocks can alter the relationships between macroeconomic variables in different periods. Therefore, the effects of such shocks should be considered when determining economic policies, and monetary policy tools should be applied flexibly to suit economic conditions. This approach will contribute to achieving both price stability and supporting sustainable economic growth.</w:t>
      </w:r>
    </w:p>
    <w:p w14:paraId="5B27F649" w14:textId="132E8045" w:rsidR="003348E4" w:rsidRPr="008552F5" w:rsidRDefault="00BD2A4E" w:rsidP="00994316">
      <w:pPr>
        <w:pStyle w:val="Heading1"/>
        <w:spacing w:after="120"/>
        <w:rPr>
          <w:b/>
          <w:color w:val="000000" w:themeColor="text1"/>
        </w:rPr>
      </w:pPr>
      <w:r w:rsidRPr="00BD2A4E">
        <w:rPr>
          <w:b/>
          <w:color w:val="000000" w:themeColor="text1"/>
        </w:rPr>
        <w:t>References</w:t>
      </w:r>
    </w:p>
    <w:p w14:paraId="3C33D802" w14:textId="4BC457B7"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 xml:space="preserve">Alper A. M. (2011). “The Effects of Real and Nominal Shocks on Real and Nominal Exchange Rates: The Case of </w:t>
      </w:r>
      <w:r w:rsidR="00512BA6">
        <w:rPr>
          <w:rFonts w:ascii="Times New Roman" w:hAnsi="Times New Roman"/>
          <w:bCs/>
          <w:color w:val="000000" w:themeColor="text1"/>
          <w:sz w:val="24"/>
          <w:szCs w:val="24"/>
        </w:rPr>
        <w:t>Türkiye</w:t>
      </w:r>
      <w:r w:rsidRPr="006D0BBA">
        <w:rPr>
          <w:rFonts w:ascii="Times New Roman" w:hAnsi="Times New Roman"/>
          <w:bCs/>
          <w:color w:val="000000" w:themeColor="text1"/>
          <w:sz w:val="24"/>
          <w:szCs w:val="24"/>
        </w:rPr>
        <w:t>”. BDDK Banking and Financial Markets, 5(1), 35-71.</w:t>
      </w:r>
    </w:p>
    <w:p w14:paraId="1B14B56F" w14:textId="2392AAED"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Brock, W. A., Dechert, D., Lebaron, B., &amp; Scheinkman, J. (1996).  (1996). “A Test for Independence Based on A Correlation Dimension”. Econometric Review, 15, 197-235.</w:t>
      </w:r>
    </w:p>
    <w:p w14:paraId="1EC86AAA" w14:textId="04F5AF5E" w:rsidR="006D0BBA" w:rsidRPr="006D0BBA" w:rsidRDefault="006D0BBA" w:rsidP="00551D8A">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Brooks, C. (1997) “Linear and non-linear Forecastability of High-frequency Exchange Rates”. Journal of Forecasting, 16, 125-145.</w:t>
      </w:r>
    </w:p>
    <w:p w14:paraId="5D615E63" w14:textId="330F0294"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 xml:space="preserve">Dickey, D. </w:t>
      </w:r>
      <w:r w:rsidR="00551D8A">
        <w:rPr>
          <w:rFonts w:ascii="Times New Roman" w:hAnsi="Times New Roman"/>
          <w:bCs/>
          <w:color w:val="000000" w:themeColor="text1"/>
          <w:sz w:val="24"/>
          <w:szCs w:val="24"/>
        </w:rPr>
        <w:t>and</w:t>
      </w:r>
      <w:r w:rsidRPr="006D0BBA">
        <w:rPr>
          <w:rFonts w:ascii="Times New Roman" w:hAnsi="Times New Roman"/>
          <w:bCs/>
          <w:color w:val="000000" w:themeColor="text1"/>
          <w:sz w:val="24"/>
          <w:szCs w:val="24"/>
        </w:rPr>
        <w:t xml:space="preserve"> Fuller, W. A. (1979). “Distribution of the Estimates for Autoregressive Time Series with a Unit Root”. Journal of the American Statistical Association, 74, 427–31.</w:t>
      </w:r>
    </w:p>
    <w:p w14:paraId="6626F058" w14:textId="32312933"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lastRenderedPageBreak/>
        <w:t>Enders, W. and Lee, B. S. (1997). “Accounting for Real and Nominal Exchange Rate Movements in the Post-Bretton Woods Period”. Journal of International Money and Finance, 16 (2), 233-254.</w:t>
      </w:r>
    </w:p>
    <w:p w14:paraId="54DC0A51" w14:textId="2306453F"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Enders, W. and Siklos, P. (2001). “Cointegration and Threshold Adjustment”. Journal of Business and Economic Statistics, 19, 166–176.</w:t>
      </w:r>
    </w:p>
    <w:p w14:paraId="36E3D714" w14:textId="6542EA26"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Ergeç, E. H. (2007). Asymmetric Effects of Monetary Policy Shocks: Positive and Negative Shock Asymmetry in the Turkish Economy. (Doctoral Thesis). Eskişehir: Anadolu University, Institute of Social Sciences.</w:t>
      </w:r>
    </w:p>
    <w:p w14:paraId="1CA770F9" w14:textId="77777777" w:rsidR="00A560A8"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 xml:space="preserve">Hansen, B. E. (1996). Inference when a nuisance parameter is not identified under the null hypothesis. Econometrica, 64(2), 413–430. </w:t>
      </w:r>
    </w:p>
    <w:p w14:paraId="14CAE4E9" w14:textId="097AF6D3" w:rsidR="006D0BBA" w:rsidRPr="006D0BBA" w:rsidRDefault="006D0BBA" w:rsidP="006D0BBA">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Karaduman, H. A. (2003). The Internality of Money Supply in Post-Keynesian Economics and Türkiye. (Master</w:t>
      </w:r>
      <w:r w:rsidR="00934197">
        <w:rPr>
          <w:rFonts w:ascii="Times New Roman" w:hAnsi="Times New Roman"/>
          <w:bCs/>
          <w:color w:val="000000" w:themeColor="text1"/>
          <w:sz w:val="24"/>
          <w:szCs w:val="24"/>
        </w:rPr>
        <w:t>’</w:t>
      </w:r>
      <w:r w:rsidRPr="006D0BBA">
        <w:rPr>
          <w:rFonts w:ascii="Times New Roman" w:hAnsi="Times New Roman"/>
          <w:bCs/>
          <w:color w:val="000000" w:themeColor="text1"/>
          <w:sz w:val="24"/>
          <w:szCs w:val="24"/>
        </w:rPr>
        <w:t>s thesis). Yıldız Technical University Social Sciences Institute.</w:t>
      </w:r>
    </w:p>
    <w:p w14:paraId="53CE9554" w14:textId="397D3677"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Keynes, J. M. (1972). “The Consequences to The Banks of The Collapse of Money Values, in: J. M. Keynes The Collected Writings”. Macmillan Press, IX, London.</w:t>
      </w:r>
    </w:p>
    <w:p w14:paraId="17327F6D" w14:textId="5D591B5E" w:rsidR="006D0BBA" w:rsidRDefault="006D0BBA" w:rsidP="00C23769">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 (1973). “The General Theory and After: Part 1”. Preparation, Mcmillan Press, London.</w:t>
      </w:r>
    </w:p>
    <w:p w14:paraId="2CD22B34" w14:textId="15D032E0" w:rsidR="00134535" w:rsidRPr="006D0BBA" w:rsidRDefault="00134535"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Kydland, F. E. And Prescott, E. C.  (1990). “The Econometrics of the General Equilibrium Approach to Business Cycles”. Federal Reserve Bank of Minneapolis, 130, 1-29. </w:t>
      </w:r>
    </w:p>
    <w:p w14:paraId="04DEB51E" w14:textId="120C4B14"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Koç, Y</w:t>
      </w:r>
      <w:r w:rsidR="008B25B1">
        <w:rPr>
          <w:rFonts w:ascii="Times New Roman" w:hAnsi="Times New Roman"/>
          <w:bCs/>
          <w:color w:val="000000" w:themeColor="text1"/>
          <w:sz w:val="24"/>
          <w:szCs w:val="24"/>
        </w:rPr>
        <w:t>.</w:t>
      </w:r>
      <w:r w:rsidRPr="006D0BBA">
        <w:rPr>
          <w:rFonts w:ascii="Times New Roman" w:hAnsi="Times New Roman"/>
          <w:bCs/>
          <w:color w:val="000000" w:themeColor="text1"/>
          <w:sz w:val="24"/>
          <w:szCs w:val="24"/>
        </w:rPr>
        <w:t xml:space="preserve"> A. (2012). New Neoclassical Synthesist Monetary Policies. (Doctoral Thesis). Istanbul: Republic of </w:t>
      </w:r>
      <w:r w:rsidR="00512BA6">
        <w:rPr>
          <w:rFonts w:ascii="Times New Roman" w:hAnsi="Times New Roman"/>
          <w:bCs/>
          <w:color w:val="000000" w:themeColor="text1"/>
          <w:sz w:val="24"/>
          <w:szCs w:val="24"/>
        </w:rPr>
        <w:t>Türkiye</w:t>
      </w:r>
      <w:r w:rsidRPr="006D0BBA">
        <w:rPr>
          <w:rFonts w:ascii="Times New Roman" w:hAnsi="Times New Roman"/>
          <w:bCs/>
          <w:color w:val="000000" w:themeColor="text1"/>
          <w:sz w:val="24"/>
          <w:szCs w:val="24"/>
        </w:rPr>
        <w:t>, Istanbul University Institute of Social Sciences.</w:t>
      </w:r>
    </w:p>
    <w:p w14:paraId="4A0F3B58" w14:textId="27B6BFD3" w:rsidR="006D0BBA" w:rsidRPr="006D0BBA" w:rsidRDefault="006D0BBA" w:rsidP="00BD2A4E">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Lucas, (1975). “An Equilibrium Model of the Business Cycle”. Journal of Political Economy, 83, 1113-1144.</w:t>
      </w:r>
    </w:p>
    <w:p w14:paraId="646DAB91" w14:textId="60CF4E8B" w:rsidR="005872B8" w:rsidRPr="0009795C" w:rsidRDefault="006D0BBA" w:rsidP="0009795C">
      <w:pPr>
        <w:autoSpaceDE w:val="0"/>
        <w:autoSpaceDN w:val="0"/>
        <w:adjustRightInd w:val="0"/>
        <w:spacing w:before="240" w:after="120" w:line="360" w:lineRule="auto"/>
        <w:ind w:left="709" w:hanging="709"/>
        <w:jc w:val="both"/>
        <w:rPr>
          <w:rFonts w:ascii="Times New Roman" w:hAnsi="Times New Roman"/>
          <w:bCs/>
          <w:color w:val="000000" w:themeColor="text1"/>
          <w:sz w:val="24"/>
          <w:szCs w:val="24"/>
        </w:rPr>
      </w:pPr>
      <w:r w:rsidRPr="006D0BBA">
        <w:rPr>
          <w:rFonts w:ascii="Times New Roman" w:hAnsi="Times New Roman"/>
          <w:bCs/>
          <w:color w:val="000000" w:themeColor="text1"/>
          <w:sz w:val="24"/>
          <w:szCs w:val="24"/>
        </w:rPr>
        <w:t>Lucas, R. E., &amp; Sargent, T. J. (1981). “Rational Expectations and Econometric Practice”. Allen&amp;Unwin, London.</w:t>
      </w:r>
    </w:p>
    <w:p w14:paraId="1BD48215" w14:textId="196009CA" w:rsidR="00BD2A4E" w:rsidRPr="00BD2A4E" w:rsidRDefault="00BD2A4E" w:rsidP="00CC1139">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lastRenderedPageBreak/>
        <w:t>Oltulular S. (2015). “</w:t>
      </w:r>
      <w:r w:rsidR="00B71DED" w:rsidRPr="00B71DED">
        <w:rPr>
          <w:rFonts w:ascii="Times New Roman" w:hAnsi="Times New Roman"/>
          <w:color w:val="000000" w:themeColor="text1"/>
          <w:sz w:val="24"/>
          <w:szCs w:val="24"/>
        </w:rPr>
        <w:t>Asymmetric Monetary Policy Shocks Effects and Economic Doctrines Evaluation in Terms of: An Econometric Analysis</w:t>
      </w:r>
      <w:r w:rsidRPr="00BD2A4E">
        <w:rPr>
          <w:rFonts w:ascii="Times New Roman" w:hAnsi="Times New Roman"/>
          <w:color w:val="000000" w:themeColor="text1"/>
          <w:sz w:val="24"/>
          <w:szCs w:val="24"/>
        </w:rPr>
        <w:t>”</w:t>
      </w:r>
      <w:r w:rsidR="00A33B41">
        <w:rPr>
          <w:rFonts w:ascii="Times New Roman" w:hAnsi="Times New Roman"/>
          <w:color w:val="000000" w:themeColor="text1"/>
          <w:sz w:val="24"/>
          <w:szCs w:val="24"/>
        </w:rPr>
        <w:t>,</w:t>
      </w:r>
      <w:r w:rsidRPr="00BD2A4E">
        <w:rPr>
          <w:rFonts w:ascii="Times New Roman" w:hAnsi="Times New Roman"/>
          <w:color w:val="000000" w:themeColor="text1"/>
          <w:sz w:val="24"/>
          <w:szCs w:val="24"/>
        </w:rPr>
        <w:t xml:space="preserve"> Atatürk University, Social Sciences Institute, Erzurum, Türkiye. </w:t>
      </w:r>
    </w:p>
    <w:p w14:paraId="086F06DE" w14:textId="4AD0FC5D" w:rsidR="00BD2A4E" w:rsidRPr="00BD2A4E" w:rsidRDefault="00BD2A4E" w:rsidP="00BD2A4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Perron, P. (1989). “The Great Crash, the Oil Price Shock and the Unit Root Hypothesis”. Econometrica, 57 (6), 1361-1401. </w:t>
      </w:r>
    </w:p>
    <w:p w14:paraId="606A718F" w14:textId="6FC09996" w:rsidR="00BD2A4E" w:rsidRPr="00BD2A4E" w:rsidRDefault="00BD2A4E" w:rsidP="00BD2A4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 (1997). “Further Evidence on Breaking Trend Functions in Macroeconomic Variables”. Journal of Econometrics, 80 (2), 355-385. </w:t>
      </w:r>
    </w:p>
    <w:p w14:paraId="28AC5294" w14:textId="0CE607A9" w:rsidR="00BD2A4E" w:rsidRPr="00BD2A4E" w:rsidRDefault="00BD2A4E" w:rsidP="00BD2A4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Phillips, P. C. B., &amp; Ouliaris, S. (1990). “Asymptotic Properties of Residual Based Tests for Cointegration”. Econometrica, 58 (1), 165-193. </w:t>
      </w:r>
    </w:p>
    <w:p w14:paraId="7C1AA2E1" w14:textId="17D2CBED" w:rsidR="00BD2A4E" w:rsidRPr="00BD2A4E" w:rsidRDefault="00BD2A4E" w:rsidP="00BD2A4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Phillips, P. C. B., &amp; Perron, P. (1988). “Testing for a Unit Root in Time Series Regression”. Biomatika, 75 (2), 335-346. </w:t>
      </w:r>
    </w:p>
    <w:p w14:paraId="06023068" w14:textId="7E2DD200" w:rsidR="00BD2A4E" w:rsidRPr="00BD2A4E" w:rsidRDefault="00BD2A4E" w:rsidP="00B16024">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Prescott, E. C. (1986). “Theory Ahead of Business Cycle Measurement”. Federal Reserve Bank of Minneapolis Quarterly Review, 10, 9-21. </w:t>
      </w:r>
    </w:p>
    <w:p w14:paraId="73856902" w14:textId="36547595" w:rsidR="00BD2A4E" w:rsidRPr="00BD2A4E" w:rsidRDefault="00BD2A4E" w:rsidP="00A07747">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Sargent, T. J., &amp; Wallace, N. (1975). “Rational Expectations the Optimal Monetary Instrument and the Theory of Economic Policy”. Journal of Monetary Economics, 2, l69-83. </w:t>
      </w:r>
    </w:p>
    <w:p w14:paraId="6F4443A4" w14:textId="6ECFB1FA" w:rsidR="00BD2A4E" w:rsidRPr="00BD2A4E" w:rsidRDefault="00BD2A4E" w:rsidP="00B16024">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Tong H. (1978). “On a </w:t>
      </w:r>
      <w:r w:rsidR="00653C53">
        <w:rPr>
          <w:rFonts w:ascii="Times New Roman" w:hAnsi="Times New Roman"/>
          <w:color w:val="000000" w:themeColor="text1"/>
          <w:sz w:val="24"/>
          <w:szCs w:val="24"/>
        </w:rPr>
        <w:t>Threshold M</w:t>
      </w:r>
      <w:r w:rsidRPr="00BD2A4E">
        <w:rPr>
          <w:rFonts w:ascii="Times New Roman" w:hAnsi="Times New Roman"/>
          <w:color w:val="000000" w:themeColor="text1"/>
          <w:sz w:val="24"/>
          <w:szCs w:val="24"/>
        </w:rPr>
        <w:t xml:space="preserve">odel”. In C. H. Chen (Ed.), Pattern recognition and signal processing </w:t>
      </w:r>
    </w:p>
    <w:p w14:paraId="4AC12BAE" w14:textId="4C8EBD69" w:rsidR="00BD2A4E" w:rsidRPr="00BD2A4E" w:rsidRDefault="00BD2A4E" w:rsidP="00BD2A4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Tsay, R. S. (1989). “Testing and </w:t>
      </w:r>
      <w:r w:rsidR="00653C53">
        <w:rPr>
          <w:rFonts w:ascii="Times New Roman" w:hAnsi="Times New Roman"/>
          <w:color w:val="000000" w:themeColor="text1"/>
          <w:sz w:val="24"/>
          <w:szCs w:val="24"/>
        </w:rPr>
        <w:t>M</w:t>
      </w:r>
      <w:r w:rsidRPr="00BD2A4E">
        <w:rPr>
          <w:rFonts w:ascii="Times New Roman" w:hAnsi="Times New Roman"/>
          <w:color w:val="000000" w:themeColor="text1"/>
          <w:sz w:val="24"/>
          <w:szCs w:val="24"/>
        </w:rPr>
        <w:t xml:space="preserve">odeling </w:t>
      </w:r>
      <w:r w:rsidR="00653C53">
        <w:rPr>
          <w:rFonts w:ascii="Times New Roman" w:hAnsi="Times New Roman"/>
          <w:color w:val="000000" w:themeColor="text1"/>
          <w:sz w:val="24"/>
          <w:szCs w:val="24"/>
        </w:rPr>
        <w:t>T</w:t>
      </w:r>
      <w:r w:rsidRPr="00BD2A4E">
        <w:rPr>
          <w:rFonts w:ascii="Times New Roman" w:hAnsi="Times New Roman"/>
          <w:color w:val="000000" w:themeColor="text1"/>
          <w:sz w:val="24"/>
          <w:szCs w:val="24"/>
        </w:rPr>
        <w:t xml:space="preserve">hreshold </w:t>
      </w:r>
      <w:r w:rsidR="00653C53">
        <w:rPr>
          <w:rFonts w:ascii="Times New Roman" w:hAnsi="Times New Roman"/>
          <w:color w:val="000000" w:themeColor="text1"/>
          <w:sz w:val="24"/>
          <w:szCs w:val="24"/>
        </w:rPr>
        <w:t>A</w:t>
      </w:r>
      <w:r w:rsidRPr="00BD2A4E">
        <w:rPr>
          <w:rFonts w:ascii="Times New Roman" w:hAnsi="Times New Roman"/>
          <w:color w:val="000000" w:themeColor="text1"/>
          <w:sz w:val="24"/>
          <w:szCs w:val="24"/>
        </w:rPr>
        <w:t xml:space="preserve">utoregressive </w:t>
      </w:r>
      <w:r w:rsidR="00653C53">
        <w:rPr>
          <w:rFonts w:ascii="Times New Roman" w:hAnsi="Times New Roman"/>
          <w:color w:val="000000" w:themeColor="text1"/>
          <w:sz w:val="24"/>
          <w:szCs w:val="24"/>
        </w:rPr>
        <w:t>P</w:t>
      </w:r>
      <w:r w:rsidRPr="00BD2A4E">
        <w:rPr>
          <w:rFonts w:ascii="Times New Roman" w:hAnsi="Times New Roman"/>
          <w:color w:val="000000" w:themeColor="text1"/>
          <w:sz w:val="24"/>
          <w:szCs w:val="24"/>
        </w:rPr>
        <w:t xml:space="preserve">rocesses”. Journal of the American Statistical Association, 84(405), 231–240. </w:t>
      </w:r>
    </w:p>
    <w:p w14:paraId="4821A7E2" w14:textId="400103DD" w:rsidR="00C20EB4" w:rsidRPr="008552F5" w:rsidRDefault="00BD2A4E" w:rsidP="008856AE">
      <w:pPr>
        <w:autoSpaceDE w:val="0"/>
        <w:autoSpaceDN w:val="0"/>
        <w:adjustRightInd w:val="0"/>
        <w:spacing w:before="240" w:after="120" w:line="360" w:lineRule="auto"/>
        <w:ind w:left="709" w:hanging="709"/>
        <w:jc w:val="both"/>
        <w:rPr>
          <w:rFonts w:ascii="Times New Roman" w:hAnsi="Times New Roman"/>
          <w:color w:val="000000" w:themeColor="text1"/>
          <w:sz w:val="24"/>
          <w:szCs w:val="24"/>
        </w:rPr>
      </w:pPr>
      <w:r w:rsidRPr="00BD2A4E">
        <w:rPr>
          <w:rFonts w:ascii="Times New Roman" w:hAnsi="Times New Roman"/>
          <w:color w:val="000000" w:themeColor="text1"/>
          <w:sz w:val="24"/>
          <w:szCs w:val="24"/>
        </w:rPr>
        <w:t xml:space="preserve">Tsay, R. S. (2002). “Analysis of </w:t>
      </w:r>
      <w:r w:rsidR="00653C53">
        <w:rPr>
          <w:rFonts w:ascii="Times New Roman" w:hAnsi="Times New Roman"/>
          <w:color w:val="000000" w:themeColor="text1"/>
          <w:sz w:val="24"/>
          <w:szCs w:val="24"/>
        </w:rPr>
        <w:t>Fi</w:t>
      </w:r>
      <w:r w:rsidRPr="00BD2A4E">
        <w:rPr>
          <w:rFonts w:ascii="Times New Roman" w:hAnsi="Times New Roman"/>
          <w:color w:val="000000" w:themeColor="text1"/>
          <w:sz w:val="24"/>
          <w:szCs w:val="24"/>
        </w:rPr>
        <w:t xml:space="preserve">nancial </w:t>
      </w:r>
      <w:r w:rsidR="005D6982">
        <w:rPr>
          <w:rFonts w:ascii="Times New Roman" w:hAnsi="Times New Roman"/>
          <w:color w:val="000000" w:themeColor="text1"/>
          <w:sz w:val="24"/>
          <w:szCs w:val="24"/>
        </w:rPr>
        <w:t>T</w:t>
      </w:r>
      <w:r w:rsidRPr="00BD2A4E">
        <w:rPr>
          <w:rFonts w:ascii="Times New Roman" w:hAnsi="Times New Roman"/>
          <w:color w:val="000000" w:themeColor="text1"/>
          <w:sz w:val="24"/>
          <w:szCs w:val="24"/>
        </w:rPr>
        <w:t xml:space="preserve">ime </w:t>
      </w:r>
      <w:r w:rsidR="005D6982">
        <w:rPr>
          <w:rFonts w:ascii="Times New Roman" w:hAnsi="Times New Roman"/>
          <w:color w:val="000000" w:themeColor="text1"/>
          <w:sz w:val="24"/>
          <w:szCs w:val="24"/>
        </w:rPr>
        <w:t>S</w:t>
      </w:r>
      <w:r w:rsidRPr="00BD2A4E">
        <w:rPr>
          <w:rFonts w:ascii="Times New Roman" w:hAnsi="Times New Roman"/>
          <w:color w:val="000000" w:themeColor="text1"/>
          <w:sz w:val="24"/>
          <w:szCs w:val="24"/>
        </w:rPr>
        <w:t>eries”. New York: John Wiley &amp; Sons.</w:t>
      </w:r>
    </w:p>
    <w:p w14:paraId="66AF82D4" w14:textId="251AA5C2" w:rsidR="00B505AF" w:rsidRPr="008552F5" w:rsidRDefault="00B505AF" w:rsidP="005D6982">
      <w:pPr>
        <w:autoSpaceDE w:val="0"/>
        <w:autoSpaceDN w:val="0"/>
        <w:adjustRightInd w:val="0"/>
        <w:spacing w:after="120" w:line="360" w:lineRule="auto"/>
        <w:jc w:val="both"/>
        <w:rPr>
          <w:rFonts w:ascii="Times New Roman" w:hAnsi="Times New Roman"/>
          <w:color w:val="000000" w:themeColor="text1"/>
          <w:sz w:val="24"/>
          <w:szCs w:val="24"/>
        </w:rPr>
      </w:pPr>
    </w:p>
    <w:sectPr w:rsidR="00B505AF" w:rsidRPr="008552F5" w:rsidSect="007B1945">
      <w:headerReference w:type="default" r:id="rId17"/>
      <w:headerReference w:type="first" r:id="rId18"/>
      <w:pgSz w:w="11906" w:h="16838" w:code="9"/>
      <w:pgMar w:top="1701" w:right="1134" w:bottom="1701" w:left="2268"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6174" w14:textId="77777777" w:rsidR="00EC2974" w:rsidRDefault="00EC2974" w:rsidP="00594F57">
      <w:pPr>
        <w:spacing w:after="0" w:line="240" w:lineRule="auto"/>
      </w:pPr>
      <w:r>
        <w:separator/>
      </w:r>
    </w:p>
  </w:endnote>
  <w:endnote w:type="continuationSeparator" w:id="0">
    <w:p w14:paraId="3D57E5B1" w14:textId="77777777" w:rsidR="00EC2974" w:rsidRDefault="00EC2974" w:rsidP="0059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E6C1" w14:textId="42F1149A" w:rsidR="008423C2" w:rsidRPr="003E3541" w:rsidRDefault="0010667C" w:rsidP="003E3541">
    <w:pPr>
      <w:spacing w:after="160" w:line="360" w:lineRule="auto"/>
      <w:jc w:val="both"/>
      <w:rPr>
        <w:rFonts w:ascii="Times New Roman" w:eastAsiaTheme="minorEastAsia" w:hAnsi="Times New Roman"/>
        <w:kern w:val="2"/>
        <w:sz w:val="24"/>
        <w:szCs w:val="24"/>
        <w14:ligatures w14:val="standardContextual"/>
      </w:rPr>
    </w:pPr>
    <w:r w:rsidRPr="0010667C">
      <w:rPr>
        <w:rFonts w:ascii="Times New Roman" w:eastAsiaTheme="minorEastAsia" w:hAnsi="Times New Roman"/>
        <w:kern w:val="2"/>
        <w:sz w:val="24"/>
        <w:szCs w:val="24"/>
        <w14:ligatures w14:val="standardContextual"/>
      </w:rPr>
      <w:t>This study is based on my doctoral thesis entitled “Asymmetric Monetary Policy Shocks Effects and Economic Doctrines Evaluation in Terms of: An Econometric Analysis”</w:t>
    </w:r>
    <w:r w:rsidR="00B71DED">
      <w:rPr>
        <w:rFonts w:ascii="Times New Roman" w:eastAsiaTheme="minorEastAsia" w:hAnsi="Times New Roman"/>
        <w:kern w:val="2"/>
        <w:sz w:val="24"/>
        <w:szCs w:val="24"/>
        <w14:ligatures w14:val="standardContextual"/>
      </w:rPr>
      <w:t>,</w:t>
    </w:r>
    <w:r w:rsidRPr="0010667C">
      <w:rPr>
        <w:rFonts w:ascii="Times New Roman" w:eastAsiaTheme="minorEastAsia" w:hAnsi="Times New Roman"/>
        <w:kern w:val="2"/>
        <w:sz w:val="24"/>
        <w:szCs w:val="24"/>
        <w14:ligatures w14:val="standardContextual"/>
      </w:rPr>
      <w:t xml:space="preserve"> completed in 2015 under the supervision of Assoc. Prof. Dr. Fatma GÜNDOĞDU ODABAŞIOĞLU, and the data set has been updated (Atatürk University, Erzurum, Türkiye,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E9B5" w14:textId="77777777" w:rsidR="00EC2974" w:rsidRDefault="00EC2974" w:rsidP="00594F57">
      <w:pPr>
        <w:spacing w:after="0" w:line="240" w:lineRule="auto"/>
      </w:pPr>
      <w:r>
        <w:separator/>
      </w:r>
    </w:p>
  </w:footnote>
  <w:footnote w:type="continuationSeparator" w:id="0">
    <w:p w14:paraId="05D389B4" w14:textId="77777777" w:rsidR="00EC2974" w:rsidRDefault="00EC2974" w:rsidP="0059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EC8E" w14:textId="7F1E2E36" w:rsidR="003B00F8" w:rsidRPr="007412DB" w:rsidRDefault="003B00F8" w:rsidP="001A2CD1">
    <w:pPr>
      <w:pStyle w:val="Header"/>
      <w:rPr>
        <w:rFonts w:asciiTheme="majorBidi" w:hAnsiTheme="majorBidi" w:cstheme="majorBidi"/>
        <w:sz w:val="24"/>
        <w:szCs w:val="24"/>
      </w:rPr>
    </w:pPr>
  </w:p>
  <w:p w14:paraId="69ACD22F" w14:textId="77777777" w:rsidR="003B00F8" w:rsidRDefault="003B0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CAF2" w14:textId="6220A8EC" w:rsidR="003B00F8" w:rsidRDefault="003B00F8" w:rsidP="00B17A99">
    <w:pPr>
      <w:pStyle w:val="Header"/>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94381"/>
      <w:docPartObj>
        <w:docPartGallery w:val="Page Numbers (Top of Page)"/>
        <w:docPartUnique/>
      </w:docPartObj>
    </w:sdtPr>
    <w:sdtEndPr>
      <w:rPr>
        <w:rFonts w:ascii="Times New Roman" w:hAnsi="Times New Roman"/>
        <w:sz w:val="24"/>
        <w:szCs w:val="24"/>
      </w:rPr>
    </w:sdtEndPr>
    <w:sdtContent>
      <w:p w14:paraId="0DC3A7E3" w14:textId="77777777" w:rsidR="003B00F8" w:rsidRPr="0075449F" w:rsidRDefault="003B00F8">
        <w:pPr>
          <w:pStyle w:val="Header"/>
          <w:jc w:val="center"/>
          <w:rPr>
            <w:rFonts w:ascii="Times New Roman" w:hAnsi="Times New Roman"/>
            <w:sz w:val="24"/>
            <w:szCs w:val="24"/>
          </w:rPr>
        </w:pPr>
        <w:r w:rsidRPr="0075449F">
          <w:rPr>
            <w:rFonts w:ascii="Times New Roman" w:hAnsi="Times New Roman"/>
            <w:sz w:val="24"/>
            <w:szCs w:val="24"/>
          </w:rPr>
          <w:fldChar w:fldCharType="begin"/>
        </w:r>
        <w:r w:rsidRPr="0075449F">
          <w:rPr>
            <w:rFonts w:ascii="Times New Roman" w:hAnsi="Times New Roman"/>
            <w:sz w:val="24"/>
            <w:szCs w:val="24"/>
          </w:rPr>
          <w:instrText>PAGE   \* MERGEFORMAT</w:instrText>
        </w:r>
        <w:r w:rsidRPr="0075449F">
          <w:rPr>
            <w:rFonts w:ascii="Times New Roman" w:hAnsi="Times New Roman"/>
            <w:sz w:val="24"/>
            <w:szCs w:val="24"/>
          </w:rPr>
          <w:fldChar w:fldCharType="separate"/>
        </w:r>
        <w:r w:rsidR="009B1C1F">
          <w:rPr>
            <w:rFonts w:ascii="Times New Roman" w:hAnsi="Times New Roman"/>
            <w:noProof/>
            <w:sz w:val="24"/>
            <w:szCs w:val="24"/>
          </w:rPr>
          <w:t>136</w:t>
        </w:r>
        <w:r w:rsidRPr="0075449F">
          <w:rPr>
            <w:rFonts w:ascii="Times New Roman" w:hAnsi="Times New Roman"/>
            <w:sz w:val="24"/>
            <w:szCs w:val="24"/>
          </w:rPr>
          <w:fldChar w:fldCharType="end"/>
        </w:r>
      </w:p>
    </w:sdtContent>
  </w:sdt>
  <w:p w14:paraId="260C584D" w14:textId="77777777" w:rsidR="003B00F8" w:rsidRDefault="003B0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217"/>
    <w:multiLevelType w:val="multilevel"/>
    <w:tmpl w:val="96CA3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A0C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16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3F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69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A19FC"/>
    <w:multiLevelType w:val="hybridMultilevel"/>
    <w:tmpl w:val="2102951C"/>
    <w:lvl w:ilvl="0" w:tplc="27FC4C30">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6" w15:restartNumberingAfterBreak="0">
    <w:nsid w:val="13F72243"/>
    <w:multiLevelType w:val="multilevel"/>
    <w:tmpl w:val="4C62DA6A"/>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F45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56F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112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87CE8"/>
    <w:multiLevelType w:val="multilevel"/>
    <w:tmpl w:val="3D52DD46"/>
    <w:lvl w:ilvl="0">
      <w:start w:val="2"/>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B26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10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606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F6E50"/>
    <w:multiLevelType w:val="multilevel"/>
    <w:tmpl w:val="8088657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tr-TR" w:eastAsia="tr-TR" w:bidi="tr-TR"/>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6D2AFD"/>
    <w:multiLevelType w:val="hybridMultilevel"/>
    <w:tmpl w:val="F45281EE"/>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46404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37E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670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07B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D73F4"/>
    <w:multiLevelType w:val="multilevel"/>
    <w:tmpl w:val="4C62DA6A"/>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7B6B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C538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4C2C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84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F70CE"/>
    <w:multiLevelType w:val="multilevel"/>
    <w:tmpl w:val="C854BAE0"/>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F447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B1060"/>
    <w:multiLevelType w:val="hybridMultilevel"/>
    <w:tmpl w:val="5B9AA2BC"/>
    <w:lvl w:ilvl="0" w:tplc="F03E1436">
      <w:numFmt w:val="bullet"/>
      <w:lvlText w:val="-"/>
      <w:lvlJc w:val="left"/>
      <w:pPr>
        <w:tabs>
          <w:tab w:val="num" w:pos="720"/>
        </w:tabs>
        <w:ind w:left="720" w:hanging="360"/>
      </w:pPr>
      <w:rPr>
        <w:rFonts w:ascii="Times New Roman" w:eastAsia="SimSu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64B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A34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84266"/>
    <w:multiLevelType w:val="multilevel"/>
    <w:tmpl w:val="4C62DA6A"/>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B606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E019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05617">
    <w:abstractNumId w:val="27"/>
  </w:num>
  <w:num w:numId="2" w16cid:durableId="2025983052">
    <w:abstractNumId w:val="5"/>
  </w:num>
  <w:num w:numId="3" w16cid:durableId="639575508">
    <w:abstractNumId w:val="20"/>
  </w:num>
  <w:num w:numId="4" w16cid:durableId="487526078">
    <w:abstractNumId w:val="30"/>
  </w:num>
  <w:num w:numId="5" w16cid:durableId="2064208897">
    <w:abstractNumId w:val="0"/>
  </w:num>
  <w:num w:numId="6" w16cid:durableId="576130609">
    <w:abstractNumId w:val="10"/>
  </w:num>
  <w:num w:numId="7" w16cid:durableId="1843347539">
    <w:abstractNumId w:val="25"/>
  </w:num>
  <w:num w:numId="8" w16cid:durableId="465661392">
    <w:abstractNumId w:val="6"/>
  </w:num>
  <w:num w:numId="9" w16cid:durableId="817456915">
    <w:abstractNumId w:val="14"/>
  </w:num>
  <w:num w:numId="10" w16cid:durableId="44985277">
    <w:abstractNumId w:val="15"/>
  </w:num>
  <w:num w:numId="11" w16cid:durableId="655763113">
    <w:abstractNumId w:val="13"/>
  </w:num>
  <w:num w:numId="12" w16cid:durableId="620452173">
    <w:abstractNumId w:val="19"/>
  </w:num>
  <w:num w:numId="13" w16cid:durableId="1530529528">
    <w:abstractNumId w:val="8"/>
  </w:num>
  <w:num w:numId="14" w16cid:durableId="893809928">
    <w:abstractNumId w:val="2"/>
  </w:num>
  <w:num w:numId="15" w16cid:durableId="2014187953">
    <w:abstractNumId w:val="31"/>
  </w:num>
  <w:num w:numId="16" w16cid:durableId="1387491754">
    <w:abstractNumId w:val="28"/>
  </w:num>
  <w:num w:numId="17" w16cid:durableId="976422576">
    <w:abstractNumId w:val="22"/>
  </w:num>
  <w:num w:numId="18" w16cid:durableId="1372194641">
    <w:abstractNumId w:val="17"/>
  </w:num>
  <w:num w:numId="19" w16cid:durableId="1275553249">
    <w:abstractNumId w:val="23"/>
  </w:num>
  <w:num w:numId="20" w16cid:durableId="2095663058">
    <w:abstractNumId w:val="11"/>
  </w:num>
  <w:num w:numId="21" w16cid:durableId="1718969399">
    <w:abstractNumId w:val="3"/>
  </w:num>
  <w:num w:numId="22" w16cid:durableId="2056193818">
    <w:abstractNumId w:val="21"/>
  </w:num>
  <w:num w:numId="23" w16cid:durableId="176044209">
    <w:abstractNumId w:val="16"/>
  </w:num>
  <w:num w:numId="24" w16cid:durableId="1614748336">
    <w:abstractNumId w:val="9"/>
  </w:num>
  <w:num w:numId="25" w16cid:durableId="178546472">
    <w:abstractNumId w:val="32"/>
  </w:num>
  <w:num w:numId="26" w16cid:durableId="729040825">
    <w:abstractNumId w:val="12"/>
  </w:num>
  <w:num w:numId="27" w16cid:durableId="2144618199">
    <w:abstractNumId w:val="18"/>
  </w:num>
  <w:num w:numId="28" w16cid:durableId="774985502">
    <w:abstractNumId w:val="29"/>
  </w:num>
  <w:num w:numId="29" w16cid:durableId="1744064067">
    <w:abstractNumId w:val="26"/>
  </w:num>
  <w:num w:numId="30" w16cid:durableId="1912544331">
    <w:abstractNumId w:val="7"/>
  </w:num>
  <w:num w:numId="31" w16cid:durableId="1068454757">
    <w:abstractNumId w:val="4"/>
  </w:num>
  <w:num w:numId="32" w16cid:durableId="2071224696">
    <w:abstractNumId w:val="24"/>
  </w:num>
  <w:num w:numId="33" w16cid:durableId="203877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134"/>
  <w:hyphenationZone w:val="425"/>
  <w:drawingGridHorizontalSpacing w:val="110"/>
  <w:displayHorizontalDrawingGridEvery w:val="2"/>
  <w:characterSpacingControl w:val="doNotCompress"/>
  <w:hdrShapeDefaults>
    <o:shapedefaults v:ext="edit" spidmax="2050" style="mso-position-horizontal:center;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67"/>
    <w:rsid w:val="00000A86"/>
    <w:rsid w:val="00000EB5"/>
    <w:rsid w:val="00001278"/>
    <w:rsid w:val="000014D2"/>
    <w:rsid w:val="00001B35"/>
    <w:rsid w:val="000025BF"/>
    <w:rsid w:val="000032EA"/>
    <w:rsid w:val="00003626"/>
    <w:rsid w:val="00003711"/>
    <w:rsid w:val="00003873"/>
    <w:rsid w:val="000045B4"/>
    <w:rsid w:val="00004DCB"/>
    <w:rsid w:val="00006B4A"/>
    <w:rsid w:val="00006C4B"/>
    <w:rsid w:val="00007A72"/>
    <w:rsid w:val="0001028F"/>
    <w:rsid w:val="00010B74"/>
    <w:rsid w:val="00010DC9"/>
    <w:rsid w:val="000125F3"/>
    <w:rsid w:val="00014AEF"/>
    <w:rsid w:val="0001514C"/>
    <w:rsid w:val="0001528E"/>
    <w:rsid w:val="0001756A"/>
    <w:rsid w:val="0002178D"/>
    <w:rsid w:val="00021B13"/>
    <w:rsid w:val="00022FB5"/>
    <w:rsid w:val="00024ED7"/>
    <w:rsid w:val="000256AA"/>
    <w:rsid w:val="0002749A"/>
    <w:rsid w:val="00027ED2"/>
    <w:rsid w:val="000311F1"/>
    <w:rsid w:val="00032D6F"/>
    <w:rsid w:val="00033F65"/>
    <w:rsid w:val="0003547D"/>
    <w:rsid w:val="00036EA7"/>
    <w:rsid w:val="000370DA"/>
    <w:rsid w:val="00037304"/>
    <w:rsid w:val="00037571"/>
    <w:rsid w:val="0004041A"/>
    <w:rsid w:val="0004048E"/>
    <w:rsid w:val="0004157B"/>
    <w:rsid w:val="00042B2C"/>
    <w:rsid w:val="00043894"/>
    <w:rsid w:val="00043B82"/>
    <w:rsid w:val="000441C1"/>
    <w:rsid w:val="00044783"/>
    <w:rsid w:val="000462DC"/>
    <w:rsid w:val="00047869"/>
    <w:rsid w:val="00047C31"/>
    <w:rsid w:val="00051FFB"/>
    <w:rsid w:val="00052218"/>
    <w:rsid w:val="00053622"/>
    <w:rsid w:val="00053BE5"/>
    <w:rsid w:val="0005690A"/>
    <w:rsid w:val="0005706C"/>
    <w:rsid w:val="000570D3"/>
    <w:rsid w:val="00060CF7"/>
    <w:rsid w:val="00061ECD"/>
    <w:rsid w:val="00063068"/>
    <w:rsid w:val="0006312C"/>
    <w:rsid w:val="0006353C"/>
    <w:rsid w:val="000642E8"/>
    <w:rsid w:val="00066E55"/>
    <w:rsid w:val="000670DA"/>
    <w:rsid w:val="0007091B"/>
    <w:rsid w:val="00071040"/>
    <w:rsid w:val="0007110D"/>
    <w:rsid w:val="000711D9"/>
    <w:rsid w:val="0007355E"/>
    <w:rsid w:val="00074079"/>
    <w:rsid w:val="000763CB"/>
    <w:rsid w:val="000771AF"/>
    <w:rsid w:val="00077B61"/>
    <w:rsid w:val="00081303"/>
    <w:rsid w:val="00081381"/>
    <w:rsid w:val="00082391"/>
    <w:rsid w:val="00083545"/>
    <w:rsid w:val="0008355F"/>
    <w:rsid w:val="000835EC"/>
    <w:rsid w:val="00083C90"/>
    <w:rsid w:val="00084118"/>
    <w:rsid w:val="00086493"/>
    <w:rsid w:val="00087760"/>
    <w:rsid w:val="00091342"/>
    <w:rsid w:val="000915DE"/>
    <w:rsid w:val="0009339B"/>
    <w:rsid w:val="00094311"/>
    <w:rsid w:val="00094A0B"/>
    <w:rsid w:val="00094F15"/>
    <w:rsid w:val="00096FBB"/>
    <w:rsid w:val="00097655"/>
    <w:rsid w:val="0009795C"/>
    <w:rsid w:val="000A0503"/>
    <w:rsid w:val="000A07D5"/>
    <w:rsid w:val="000A099F"/>
    <w:rsid w:val="000A0DDF"/>
    <w:rsid w:val="000A1E69"/>
    <w:rsid w:val="000A334E"/>
    <w:rsid w:val="000A446F"/>
    <w:rsid w:val="000A45DE"/>
    <w:rsid w:val="000A475B"/>
    <w:rsid w:val="000A575E"/>
    <w:rsid w:val="000A594E"/>
    <w:rsid w:val="000A5C71"/>
    <w:rsid w:val="000A66DF"/>
    <w:rsid w:val="000A6DFA"/>
    <w:rsid w:val="000A6FDC"/>
    <w:rsid w:val="000B0890"/>
    <w:rsid w:val="000B1923"/>
    <w:rsid w:val="000B2114"/>
    <w:rsid w:val="000B39D3"/>
    <w:rsid w:val="000B5045"/>
    <w:rsid w:val="000B5D73"/>
    <w:rsid w:val="000B650D"/>
    <w:rsid w:val="000B6831"/>
    <w:rsid w:val="000C05A5"/>
    <w:rsid w:val="000C05F7"/>
    <w:rsid w:val="000C0645"/>
    <w:rsid w:val="000C251C"/>
    <w:rsid w:val="000C3676"/>
    <w:rsid w:val="000C3B87"/>
    <w:rsid w:val="000C3C37"/>
    <w:rsid w:val="000C41B7"/>
    <w:rsid w:val="000C4CB2"/>
    <w:rsid w:val="000C4E81"/>
    <w:rsid w:val="000C648B"/>
    <w:rsid w:val="000C743A"/>
    <w:rsid w:val="000C7612"/>
    <w:rsid w:val="000D0991"/>
    <w:rsid w:val="000D09A8"/>
    <w:rsid w:val="000D1451"/>
    <w:rsid w:val="000D2978"/>
    <w:rsid w:val="000D2C51"/>
    <w:rsid w:val="000D34EE"/>
    <w:rsid w:val="000D3C89"/>
    <w:rsid w:val="000D409A"/>
    <w:rsid w:val="000D4F9A"/>
    <w:rsid w:val="000D54E3"/>
    <w:rsid w:val="000D6382"/>
    <w:rsid w:val="000D6451"/>
    <w:rsid w:val="000D6BB7"/>
    <w:rsid w:val="000D6DC6"/>
    <w:rsid w:val="000D7629"/>
    <w:rsid w:val="000D7EA9"/>
    <w:rsid w:val="000E1143"/>
    <w:rsid w:val="000E1C4E"/>
    <w:rsid w:val="000E4E41"/>
    <w:rsid w:val="000E63D3"/>
    <w:rsid w:val="000E75E6"/>
    <w:rsid w:val="000F279C"/>
    <w:rsid w:val="000F27CA"/>
    <w:rsid w:val="000F4E99"/>
    <w:rsid w:val="000F62E1"/>
    <w:rsid w:val="000F7266"/>
    <w:rsid w:val="001022B1"/>
    <w:rsid w:val="001024F5"/>
    <w:rsid w:val="00104234"/>
    <w:rsid w:val="00105021"/>
    <w:rsid w:val="0010667C"/>
    <w:rsid w:val="00106DD4"/>
    <w:rsid w:val="00107F3F"/>
    <w:rsid w:val="00110E6B"/>
    <w:rsid w:val="0011159A"/>
    <w:rsid w:val="00112030"/>
    <w:rsid w:val="001125CA"/>
    <w:rsid w:val="001129C5"/>
    <w:rsid w:val="00112DA9"/>
    <w:rsid w:val="00112E12"/>
    <w:rsid w:val="00113DC2"/>
    <w:rsid w:val="001144D6"/>
    <w:rsid w:val="00116023"/>
    <w:rsid w:val="0011643A"/>
    <w:rsid w:val="0011652D"/>
    <w:rsid w:val="001206DD"/>
    <w:rsid w:val="0012081D"/>
    <w:rsid w:val="00120980"/>
    <w:rsid w:val="00120C2F"/>
    <w:rsid w:val="00121B70"/>
    <w:rsid w:val="001223A8"/>
    <w:rsid w:val="00123A5C"/>
    <w:rsid w:val="00123B45"/>
    <w:rsid w:val="00124207"/>
    <w:rsid w:val="001246A5"/>
    <w:rsid w:val="00124D2E"/>
    <w:rsid w:val="001259B2"/>
    <w:rsid w:val="00125AF5"/>
    <w:rsid w:val="00126F33"/>
    <w:rsid w:val="00130007"/>
    <w:rsid w:val="0013029B"/>
    <w:rsid w:val="0013146C"/>
    <w:rsid w:val="0013152F"/>
    <w:rsid w:val="001335C1"/>
    <w:rsid w:val="00134309"/>
    <w:rsid w:val="00134535"/>
    <w:rsid w:val="001348A4"/>
    <w:rsid w:val="00134E80"/>
    <w:rsid w:val="00134F40"/>
    <w:rsid w:val="00135024"/>
    <w:rsid w:val="00135ADB"/>
    <w:rsid w:val="00136130"/>
    <w:rsid w:val="00136476"/>
    <w:rsid w:val="00136D51"/>
    <w:rsid w:val="0013781B"/>
    <w:rsid w:val="00140C13"/>
    <w:rsid w:val="0014183E"/>
    <w:rsid w:val="00141D0A"/>
    <w:rsid w:val="00141E44"/>
    <w:rsid w:val="00141FAF"/>
    <w:rsid w:val="00142FB6"/>
    <w:rsid w:val="00144B23"/>
    <w:rsid w:val="00144D9A"/>
    <w:rsid w:val="00144DF8"/>
    <w:rsid w:val="0014644F"/>
    <w:rsid w:val="001510A8"/>
    <w:rsid w:val="0015113B"/>
    <w:rsid w:val="001514D4"/>
    <w:rsid w:val="0015214B"/>
    <w:rsid w:val="001521D3"/>
    <w:rsid w:val="00152EC3"/>
    <w:rsid w:val="0015384E"/>
    <w:rsid w:val="001538BA"/>
    <w:rsid w:val="0015447E"/>
    <w:rsid w:val="00154B52"/>
    <w:rsid w:val="00155659"/>
    <w:rsid w:val="00156384"/>
    <w:rsid w:val="001563AE"/>
    <w:rsid w:val="00156539"/>
    <w:rsid w:val="00161DA2"/>
    <w:rsid w:val="00162ADA"/>
    <w:rsid w:val="001652B6"/>
    <w:rsid w:val="00167E8D"/>
    <w:rsid w:val="00170508"/>
    <w:rsid w:val="00170E05"/>
    <w:rsid w:val="0017123D"/>
    <w:rsid w:val="001717A9"/>
    <w:rsid w:val="00173AB6"/>
    <w:rsid w:val="00173FA7"/>
    <w:rsid w:val="00174226"/>
    <w:rsid w:val="00174A5B"/>
    <w:rsid w:val="00176650"/>
    <w:rsid w:val="001773EC"/>
    <w:rsid w:val="001817D7"/>
    <w:rsid w:val="00184B7C"/>
    <w:rsid w:val="00187510"/>
    <w:rsid w:val="001879F4"/>
    <w:rsid w:val="00192D94"/>
    <w:rsid w:val="00193897"/>
    <w:rsid w:val="001940A4"/>
    <w:rsid w:val="001941E1"/>
    <w:rsid w:val="00194B01"/>
    <w:rsid w:val="001A13C2"/>
    <w:rsid w:val="001A1C8F"/>
    <w:rsid w:val="001A1F6F"/>
    <w:rsid w:val="001A2CD1"/>
    <w:rsid w:val="001A3640"/>
    <w:rsid w:val="001A3C63"/>
    <w:rsid w:val="001A4B13"/>
    <w:rsid w:val="001A5347"/>
    <w:rsid w:val="001A5448"/>
    <w:rsid w:val="001A63B0"/>
    <w:rsid w:val="001A6536"/>
    <w:rsid w:val="001A74F9"/>
    <w:rsid w:val="001B08B7"/>
    <w:rsid w:val="001B1E9D"/>
    <w:rsid w:val="001B254C"/>
    <w:rsid w:val="001B3101"/>
    <w:rsid w:val="001B3E37"/>
    <w:rsid w:val="001B4516"/>
    <w:rsid w:val="001B60B9"/>
    <w:rsid w:val="001B6736"/>
    <w:rsid w:val="001C03C5"/>
    <w:rsid w:val="001C0C62"/>
    <w:rsid w:val="001C3363"/>
    <w:rsid w:val="001C454A"/>
    <w:rsid w:val="001C51F5"/>
    <w:rsid w:val="001C5B8B"/>
    <w:rsid w:val="001C6096"/>
    <w:rsid w:val="001C72EF"/>
    <w:rsid w:val="001D08F9"/>
    <w:rsid w:val="001D09F5"/>
    <w:rsid w:val="001D0BC8"/>
    <w:rsid w:val="001D0E48"/>
    <w:rsid w:val="001D131C"/>
    <w:rsid w:val="001D1AF6"/>
    <w:rsid w:val="001D1E57"/>
    <w:rsid w:val="001D275D"/>
    <w:rsid w:val="001D2B7D"/>
    <w:rsid w:val="001D3786"/>
    <w:rsid w:val="001D3AE0"/>
    <w:rsid w:val="001D4378"/>
    <w:rsid w:val="001D4E27"/>
    <w:rsid w:val="001D5DC9"/>
    <w:rsid w:val="001D5FEE"/>
    <w:rsid w:val="001D6C74"/>
    <w:rsid w:val="001E0760"/>
    <w:rsid w:val="001E1096"/>
    <w:rsid w:val="001E1C15"/>
    <w:rsid w:val="001E3976"/>
    <w:rsid w:val="001E4B29"/>
    <w:rsid w:val="001E589C"/>
    <w:rsid w:val="001E690A"/>
    <w:rsid w:val="001E7258"/>
    <w:rsid w:val="001E7F53"/>
    <w:rsid w:val="001F15C5"/>
    <w:rsid w:val="001F3605"/>
    <w:rsid w:val="001F3E03"/>
    <w:rsid w:val="001F4F74"/>
    <w:rsid w:val="001F5A85"/>
    <w:rsid w:val="001F5FB2"/>
    <w:rsid w:val="001F627C"/>
    <w:rsid w:val="001F646C"/>
    <w:rsid w:val="001F69DF"/>
    <w:rsid w:val="001F6F27"/>
    <w:rsid w:val="001F71DE"/>
    <w:rsid w:val="0020006F"/>
    <w:rsid w:val="00200117"/>
    <w:rsid w:val="002013DC"/>
    <w:rsid w:val="00201976"/>
    <w:rsid w:val="00201977"/>
    <w:rsid w:val="00201EEA"/>
    <w:rsid w:val="00203047"/>
    <w:rsid w:val="00204069"/>
    <w:rsid w:val="00204919"/>
    <w:rsid w:val="00205500"/>
    <w:rsid w:val="0020624F"/>
    <w:rsid w:val="0020763A"/>
    <w:rsid w:val="0020782E"/>
    <w:rsid w:val="0021092D"/>
    <w:rsid w:val="00210A20"/>
    <w:rsid w:val="002119FA"/>
    <w:rsid w:val="002131B1"/>
    <w:rsid w:val="002132DD"/>
    <w:rsid w:val="002135FC"/>
    <w:rsid w:val="00214486"/>
    <w:rsid w:val="00214621"/>
    <w:rsid w:val="00215BAC"/>
    <w:rsid w:val="00216DCC"/>
    <w:rsid w:val="00217D19"/>
    <w:rsid w:val="002201E2"/>
    <w:rsid w:val="00220D46"/>
    <w:rsid w:val="00220E96"/>
    <w:rsid w:val="00221B6B"/>
    <w:rsid w:val="002220C4"/>
    <w:rsid w:val="00222974"/>
    <w:rsid w:val="002234A1"/>
    <w:rsid w:val="00224EE2"/>
    <w:rsid w:val="00224FF5"/>
    <w:rsid w:val="002257AF"/>
    <w:rsid w:val="00226885"/>
    <w:rsid w:val="00227C4A"/>
    <w:rsid w:val="00230272"/>
    <w:rsid w:val="002347E9"/>
    <w:rsid w:val="002358AA"/>
    <w:rsid w:val="0024019F"/>
    <w:rsid w:val="00240273"/>
    <w:rsid w:val="00242B22"/>
    <w:rsid w:val="002434E3"/>
    <w:rsid w:val="0024432C"/>
    <w:rsid w:val="002453C1"/>
    <w:rsid w:val="0024553D"/>
    <w:rsid w:val="002477D0"/>
    <w:rsid w:val="00251DEF"/>
    <w:rsid w:val="00252190"/>
    <w:rsid w:val="002537D0"/>
    <w:rsid w:val="00253DAE"/>
    <w:rsid w:val="00253EFC"/>
    <w:rsid w:val="00254080"/>
    <w:rsid w:val="00255FB0"/>
    <w:rsid w:val="002562CB"/>
    <w:rsid w:val="00256795"/>
    <w:rsid w:val="00257326"/>
    <w:rsid w:val="00262C1E"/>
    <w:rsid w:val="002634A4"/>
    <w:rsid w:val="00264BA4"/>
    <w:rsid w:val="002659D3"/>
    <w:rsid w:val="00265AED"/>
    <w:rsid w:val="002665C3"/>
    <w:rsid w:val="00267228"/>
    <w:rsid w:val="00267E0C"/>
    <w:rsid w:val="0027053D"/>
    <w:rsid w:val="00270590"/>
    <w:rsid w:val="002712C2"/>
    <w:rsid w:val="00272663"/>
    <w:rsid w:val="00273C7F"/>
    <w:rsid w:val="002747D2"/>
    <w:rsid w:val="00274B84"/>
    <w:rsid w:val="00275145"/>
    <w:rsid w:val="00276C8D"/>
    <w:rsid w:val="002774EC"/>
    <w:rsid w:val="00277C93"/>
    <w:rsid w:val="002802EF"/>
    <w:rsid w:val="0028099F"/>
    <w:rsid w:val="0028161C"/>
    <w:rsid w:val="00282E20"/>
    <w:rsid w:val="0028314D"/>
    <w:rsid w:val="00285086"/>
    <w:rsid w:val="002851C2"/>
    <w:rsid w:val="00285B4F"/>
    <w:rsid w:val="00285CE0"/>
    <w:rsid w:val="00286051"/>
    <w:rsid w:val="00287773"/>
    <w:rsid w:val="002906E0"/>
    <w:rsid w:val="00290D00"/>
    <w:rsid w:val="00291596"/>
    <w:rsid w:val="00292A12"/>
    <w:rsid w:val="00292BF0"/>
    <w:rsid w:val="00292C20"/>
    <w:rsid w:val="00292C3C"/>
    <w:rsid w:val="00295086"/>
    <w:rsid w:val="00295EB5"/>
    <w:rsid w:val="002964F5"/>
    <w:rsid w:val="0029674B"/>
    <w:rsid w:val="00296850"/>
    <w:rsid w:val="0029728F"/>
    <w:rsid w:val="002A0DD6"/>
    <w:rsid w:val="002A1608"/>
    <w:rsid w:val="002A20CE"/>
    <w:rsid w:val="002A235E"/>
    <w:rsid w:val="002A25BB"/>
    <w:rsid w:val="002A298C"/>
    <w:rsid w:val="002A29CF"/>
    <w:rsid w:val="002A3188"/>
    <w:rsid w:val="002A3CEB"/>
    <w:rsid w:val="002A47C2"/>
    <w:rsid w:val="002A4C3C"/>
    <w:rsid w:val="002A58D8"/>
    <w:rsid w:val="002A659D"/>
    <w:rsid w:val="002A69D2"/>
    <w:rsid w:val="002A745D"/>
    <w:rsid w:val="002B071C"/>
    <w:rsid w:val="002B0F68"/>
    <w:rsid w:val="002B1851"/>
    <w:rsid w:val="002B2342"/>
    <w:rsid w:val="002B30F9"/>
    <w:rsid w:val="002B3279"/>
    <w:rsid w:val="002B38E9"/>
    <w:rsid w:val="002B497E"/>
    <w:rsid w:val="002B4AF1"/>
    <w:rsid w:val="002B4B9B"/>
    <w:rsid w:val="002B5314"/>
    <w:rsid w:val="002B5704"/>
    <w:rsid w:val="002B59F2"/>
    <w:rsid w:val="002B7702"/>
    <w:rsid w:val="002B7A93"/>
    <w:rsid w:val="002C0586"/>
    <w:rsid w:val="002C0C46"/>
    <w:rsid w:val="002C0FBC"/>
    <w:rsid w:val="002C175A"/>
    <w:rsid w:val="002C2284"/>
    <w:rsid w:val="002C2962"/>
    <w:rsid w:val="002C433B"/>
    <w:rsid w:val="002C4B15"/>
    <w:rsid w:val="002C5180"/>
    <w:rsid w:val="002C6C17"/>
    <w:rsid w:val="002C77D1"/>
    <w:rsid w:val="002C7BBF"/>
    <w:rsid w:val="002D0C91"/>
    <w:rsid w:val="002D0D79"/>
    <w:rsid w:val="002D123F"/>
    <w:rsid w:val="002D22D5"/>
    <w:rsid w:val="002D2B13"/>
    <w:rsid w:val="002D39DF"/>
    <w:rsid w:val="002D5F2D"/>
    <w:rsid w:val="002D7126"/>
    <w:rsid w:val="002D7342"/>
    <w:rsid w:val="002D77AD"/>
    <w:rsid w:val="002E01BB"/>
    <w:rsid w:val="002E1651"/>
    <w:rsid w:val="002E245B"/>
    <w:rsid w:val="002E33D6"/>
    <w:rsid w:val="002E3D31"/>
    <w:rsid w:val="002E3E79"/>
    <w:rsid w:val="002E4399"/>
    <w:rsid w:val="002E5065"/>
    <w:rsid w:val="002E5D9C"/>
    <w:rsid w:val="002F0188"/>
    <w:rsid w:val="002F0806"/>
    <w:rsid w:val="002F10EB"/>
    <w:rsid w:val="002F1DB9"/>
    <w:rsid w:val="002F34EF"/>
    <w:rsid w:val="002F38A2"/>
    <w:rsid w:val="002F3CB5"/>
    <w:rsid w:val="002F47C4"/>
    <w:rsid w:val="002F4A44"/>
    <w:rsid w:val="002F53CD"/>
    <w:rsid w:val="002F5BDE"/>
    <w:rsid w:val="002F5D9B"/>
    <w:rsid w:val="0030221A"/>
    <w:rsid w:val="00302661"/>
    <w:rsid w:val="00302D0A"/>
    <w:rsid w:val="00302E8D"/>
    <w:rsid w:val="003036AD"/>
    <w:rsid w:val="00304DA3"/>
    <w:rsid w:val="00305002"/>
    <w:rsid w:val="00305035"/>
    <w:rsid w:val="00307459"/>
    <w:rsid w:val="003100C1"/>
    <w:rsid w:val="003109FC"/>
    <w:rsid w:val="0031109F"/>
    <w:rsid w:val="0031211F"/>
    <w:rsid w:val="003124EE"/>
    <w:rsid w:val="003136B1"/>
    <w:rsid w:val="0031385A"/>
    <w:rsid w:val="003138BC"/>
    <w:rsid w:val="00315062"/>
    <w:rsid w:val="00315D38"/>
    <w:rsid w:val="00316687"/>
    <w:rsid w:val="00316C83"/>
    <w:rsid w:val="003178B3"/>
    <w:rsid w:val="003205F7"/>
    <w:rsid w:val="00321152"/>
    <w:rsid w:val="00321703"/>
    <w:rsid w:val="003223EA"/>
    <w:rsid w:val="00322ACB"/>
    <w:rsid w:val="00322DE4"/>
    <w:rsid w:val="00322EF6"/>
    <w:rsid w:val="0032323B"/>
    <w:rsid w:val="00323CF5"/>
    <w:rsid w:val="003240FE"/>
    <w:rsid w:val="00324D8F"/>
    <w:rsid w:val="00325DB9"/>
    <w:rsid w:val="00326995"/>
    <w:rsid w:val="00330EC5"/>
    <w:rsid w:val="003313B9"/>
    <w:rsid w:val="00332AD3"/>
    <w:rsid w:val="003331A0"/>
    <w:rsid w:val="00333288"/>
    <w:rsid w:val="00333DCE"/>
    <w:rsid w:val="00333EE3"/>
    <w:rsid w:val="0033443A"/>
    <w:rsid w:val="0033480C"/>
    <w:rsid w:val="003348E4"/>
    <w:rsid w:val="00334C45"/>
    <w:rsid w:val="003351D2"/>
    <w:rsid w:val="00335532"/>
    <w:rsid w:val="00335610"/>
    <w:rsid w:val="0033613B"/>
    <w:rsid w:val="00336A14"/>
    <w:rsid w:val="00337372"/>
    <w:rsid w:val="003421E1"/>
    <w:rsid w:val="00342552"/>
    <w:rsid w:val="00343337"/>
    <w:rsid w:val="00343625"/>
    <w:rsid w:val="00344233"/>
    <w:rsid w:val="00346AEB"/>
    <w:rsid w:val="00346BC2"/>
    <w:rsid w:val="003515AE"/>
    <w:rsid w:val="003535F8"/>
    <w:rsid w:val="0035463A"/>
    <w:rsid w:val="00355BE1"/>
    <w:rsid w:val="00356394"/>
    <w:rsid w:val="003578CE"/>
    <w:rsid w:val="003579FF"/>
    <w:rsid w:val="00357E5E"/>
    <w:rsid w:val="00360FF3"/>
    <w:rsid w:val="00361B52"/>
    <w:rsid w:val="0036599C"/>
    <w:rsid w:val="00370090"/>
    <w:rsid w:val="003704FE"/>
    <w:rsid w:val="00370F79"/>
    <w:rsid w:val="003714A1"/>
    <w:rsid w:val="00371BC2"/>
    <w:rsid w:val="003732C4"/>
    <w:rsid w:val="003733D8"/>
    <w:rsid w:val="00374052"/>
    <w:rsid w:val="00374868"/>
    <w:rsid w:val="00374CD9"/>
    <w:rsid w:val="00376332"/>
    <w:rsid w:val="00376620"/>
    <w:rsid w:val="0037682F"/>
    <w:rsid w:val="00380FF7"/>
    <w:rsid w:val="0038142A"/>
    <w:rsid w:val="00381F96"/>
    <w:rsid w:val="00381FA2"/>
    <w:rsid w:val="003823EC"/>
    <w:rsid w:val="00382BFC"/>
    <w:rsid w:val="00382F42"/>
    <w:rsid w:val="003841BB"/>
    <w:rsid w:val="0038579B"/>
    <w:rsid w:val="00385C77"/>
    <w:rsid w:val="003860BA"/>
    <w:rsid w:val="00386BD8"/>
    <w:rsid w:val="00391DAB"/>
    <w:rsid w:val="00392DDD"/>
    <w:rsid w:val="003950C3"/>
    <w:rsid w:val="003951BB"/>
    <w:rsid w:val="00395B61"/>
    <w:rsid w:val="003A09B5"/>
    <w:rsid w:val="003A1967"/>
    <w:rsid w:val="003A2F10"/>
    <w:rsid w:val="003A39AD"/>
    <w:rsid w:val="003A3D89"/>
    <w:rsid w:val="003B00F8"/>
    <w:rsid w:val="003B0208"/>
    <w:rsid w:val="003B02D1"/>
    <w:rsid w:val="003B035F"/>
    <w:rsid w:val="003B0E5C"/>
    <w:rsid w:val="003B167D"/>
    <w:rsid w:val="003B19DC"/>
    <w:rsid w:val="003B1EEF"/>
    <w:rsid w:val="003B23A7"/>
    <w:rsid w:val="003B7114"/>
    <w:rsid w:val="003B75E3"/>
    <w:rsid w:val="003B7797"/>
    <w:rsid w:val="003C05B8"/>
    <w:rsid w:val="003C05ED"/>
    <w:rsid w:val="003C38C0"/>
    <w:rsid w:val="003C427A"/>
    <w:rsid w:val="003C4BB3"/>
    <w:rsid w:val="003C513B"/>
    <w:rsid w:val="003C5767"/>
    <w:rsid w:val="003C6138"/>
    <w:rsid w:val="003C65FB"/>
    <w:rsid w:val="003C679D"/>
    <w:rsid w:val="003C68EF"/>
    <w:rsid w:val="003C75DB"/>
    <w:rsid w:val="003C7B8A"/>
    <w:rsid w:val="003C7E43"/>
    <w:rsid w:val="003D05BA"/>
    <w:rsid w:val="003D0BD7"/>
    <w:rsid w:val="003D0F07"/>
    <w:rsid w:val="003D225C"/>
    <w:rsid w:val="003D274C"/>
    <w:rsid w:val="003D4D68"/>
    <w:rsid w:val="003D6373"/>
    <w:rsid w:val="003D69BD"/>
    <w:rsid w:val="003D7244"/>
    <w:rsid w:val="003D7B52"/>
    <w:rsid w:val="003E1BE3"/>
    <w:rsid w:val="003E3541"/>
    <w:rsid w:val="003E3687"/>
    <w:rsid w:val="003E36F2"/>
    <w:rsid w:val="003E4921"/>
    <w:rsid w:val="003E4EBD"/>
    <w:rsid w:val="003E6389"/>
    <w:rsid w:val="003E7C9B"/>
    <w:rsid w:val="003E7FB0"/>
    <w:rsid w:val="003F0727"/>
    <w:rsid w:val="003F18C8"/>
    <w:rsid w:val="003F3661"/>
    <w:rsid w:val="003F3C82"/>
    <w:rsid w:val="003F450D"/>
    <w:rsid w:val="003F6947"/>
    <w:rsid w:val="00401B72"/>
    <w:rsid w:val="004020A7"/>
    <w:rsid w:val="0040372C"/>
    <w:rsid w:val="0040413E"/>
    <w:rsid w:val="004041A3"/>
    <w:rsid w:val="00404586"/>
    <w:rsid w:val="004045E9"/>
    <w:rsid w:val="004047A7"/>
    <w:rsid w:val="00405465"/>
    <w:rsid w:val="00405D09"/>
    <w:rsid w:val="00406142"/>
    <w:rsid w:val="004078E6"/>
    <w:rsid w:val="00412443"/>
    <w:rsid w:val="00413251"/>
    <w:rsid w:val="00413EE9"/>
    <w:rsid w:val="00413F41"/>
    <w:rsid w:val="004146CB"/>
    <w:rsid w:val="00416440"/>
    <w:rsid w:val="00417BDF"/>
    <w:rsid w:val="00420FEB"/>
    <w:rsid w:val="004218D1"/>
    <w:rsid w:val="00421B49"/>
    <w:rsid w:val="00422F3B"/>
    <w:rsid w:val="00423F90"/>
    <w:rsid w:val="00424047"/>
    <w:rsid w:val="004251E7"/>
    <w:rsid w:val="004260BF"/>
    <w:rsid w:val="00430B1C"/>
    <w:rsid w:val="00433755"/>
    <w:rsid w:val="00433795"/>
    <w:rsid w:val="004337FE"/>
    <w:rsid w:val="004348C7"/>
    <w:rsid w:val="00434C16"/>
    <w:rsid w:val="00434FA1"/>
    <w:rsid w:val="00435F7F"/>
    <w:rsid w:val="0044071C"/>
    <w:rsid w:val="004407D9"/>
    <w:rsid w:val="00440C19"/>
    <w:rsid w:val="00441C5F"/>
    <w:rsid w:val="0044273A"/>
    <w:rsid w:val="00442867"/>
    <w:rsid w:val="00443C7A"/>
    <w:rsid w:val="00445361"/>
    <w:rsid w:val="0044540F"/>
    <w:rsid w:val="00446231"/>
    <w:rsid w:val="004469C0"/>
    <w:rsid w:val="00446E06"/>
    <w:rsid w:val="004476EF"/>
    <w:rsid w:val="00447988"/>
    <w:rsid w:val="00447A15"/>
    <w:rsid w:val="004504B9"/>
    <w:rsid w:val="00450C88"/>
    <w:rsid w:val="004539A2"/>
    <w:rsid w:val="00453A48"/>
    <w:rsid w:val="0045583B"/>
    <w:rsid w:val="00457679"/>
    <w:rsid w:val="004577A8"/>
    <w:rsid w:val="004606BC"/>
    <w:rsid w:val="00460E44"/>
    <w:rsid w:val="00461C60"/>
    <w:rsid w:val="004666CA"/>
    <w:rsid w:val="00466768"/>
    <w:rsid w:val="004670BD"/>
    <w:rsid w:val="00467ABC"/>
    <w:rsid w:val="00467CAE"/>
    <w:rsid w:val="00471A99"/>
    <w:rsid w:val="00471F13"/>
    <w:rsid w:val="00473955"/>
    <w:rsid w:val="00473E6A"/>
    <w:rsid w:val="00474726"/>
    <w:rsid w:val="00476369"/>
    <w:rsid w:val="004777EE"/>
    <w:rsid w:val="00477F50"/>
    <w:rsid w:val="00480B96"/>
    <w:rsid w:val="0048119E"/>
    <w:rsid w:val="00481BA8"/>
    <w:rsid w:val="00482BE6"/>
    <w:rsid w:val="00484139"/>
    <w:rsid w:val="00486094"/>
    <w:rsid w:val="00486CED"/>
    <w:rsid w:val="00486E89"/>
    <w:rsid w:val="004874E4"/>
    <w:rsid w:val="00487B65"/>
    <w:rsid w:val="00490E80"/>
    <w:rsid w:val="00491E0F"/>
    <w:rsid w:val="00491FBA"/>
    <w:rsid w:val="004921E5"/>
    <w:rsid w:val="004926C1"/>
    <w:rsid w:val="0049409F"/>
    <w:rsid w:val="00494718"/>
    <w:rsid w:val="004951EA"/>
    <w:rsid w:val="00495671"/>
    <w:rsid w:val="004963F5"/>
    <w:rsid w:val="004972E3"/>
    <w:rsid w:val="00497902"/>
    <w:rsid w:val="0049790E"/>
    <w:rsid w:val="004A2DF2"/>
    <w:rsid w:val="004A3DCC"/>
    <w:rsid w:val="004A4570"/>
    <w:rsid w:val="004A605C"/>
    <w:rsid w:val="004A6569"/>
    <w:rsid w:val="004B16F8"/>
    <w:rsid w:val="004B1DF2"/>
    <w:rsid w:val="004B205E"/>
    <w:rsid w:val="004B27B5"/>
    <w:rsid w:val="004B292D"/>
    <w:rsid w:val="004B4CE6"/>
    <w:rsid w:val="004B55DF"/>
    <w:rsid w:val="004B5891"/>
    <w:rsid w:val="004B592A"/>
    <w:rsid w:val="004B5B41"/>
    <w:rsid w:val="004B6AB7"/>
    <w:rsid w:val="004B6ADB"/>
    <w:rsid w:val="004B7321"/>
    <w:rsid w:val="004C0C23"/>
    <w:rsid w:val="004C1C1D"/>
    <w:rsid w:val="004C2129"/>
    <w:rsid w:val="004C2406"/>
    <w:rsid w:val="004C2FEC"/>
    <w:rsid w:val="004C31A4"/>
    <w:rsid w:val="004C3CD6"/>
    <w:rsid w:val="004C4BB1"/>
    <w:rsid w:val="004C5571"/>
    <w:rsid w:val="004C5621"/>
    <w:rsid w:val="004C5C3B"/>
    <w:rsid w:val="004C5F5D"/>
    <w:rsid w:val="004C617B"/>
    <w:rsid w:val="004C64FF"/>
    <w:rsid w:val="004C650B"/>
    <w:rsid w:val="004C67D7"/>
    <w:rsid w:val="004C6D67"/>
    <w:rsid w:val="004C70FB"/>
    <w:rsid w:val="004D26A9"/>
    <w:rsid w:val="004D31DA"/>
    <w:rsid w:val="004D3378"/>
    <w:rsid w:val="004D4721"/>
    <w:rsid w:val="004D5392"/>
    <w:rsid w:val="004D56A1"/>
    <w:rsid w:val="004D655D"/>
    <w:rsid w:val="004D7066"/>
    <w:rsid w:val="004E138E"/>
    <w:rsid w:val="004E25F8"/>
    <w:rsid w:val="004E2C43"/>
    <w:rsid w:val="004E2ED5"/>
    <w:rsid w:val="004E346E"/>
    <w:rsid w:val="004E45C4"/>
    <w:rsid w:val="004E544B"/>
    <w:rsid w:val="004E5F28"/>
    <w:rsid w:val="004E6ABD"/>
    <w:rsid w:val="004F16C3"/>
    <w:rsid w:val="004F1DB7"/>
    <w:rsid w:val="004F2540"/>
    <w:rsid w:val="004F2D55"/>
    <w:rsid w:val="004F73C9"/>
    <w:rsid w:val="004F795E"/>
    <w:rsid w:val="004F7D20"/>
    <w:rsid w:val="004F7FC3"/>
    <w:rsid w:val="00501130"/>
    <w:rsid w:val="00502465"/>
    <w:rsid w:val="005024BB"/>
    <w:rsid w:val="005065B3"/>
    <w:rsid w:val="005067A0"/>
    <w:rsid w:val="00506FA2"/>
    <w:rsid w:val="00506FC7"/>
    <w:rsid w:val="00510258"/>
    <w:rsid w:val="00510685"/>
    <w:rsid w:val="005117DE"/>
    <w:rsid w:val="00512BA6"/>
    <w:rsid w:val="00513038"/>
    <w:rsid w:val="00513355"/>
    <w:rsid w:val="0051339C"/>
    <w:rsid w:val="00514574"/>
    <w:rsid w:val="005145FD"/>
    <w:rsid w:val="00514B62"/>
    <w:rsid w:val="005157EA"/>
    <w:rsid w:val="00515E46"/>
    <w:rsid w:val="0051697C"/>
    <w:rsid w:val="00516DBF"/>
    <w:rsid w:val="00516DD5"/>
    <w:rsid w:val="00517034"/>
    <w:rsid w:val="005172FF"/>
    <w:rsid w:val="0051758A"/>
    <w:rsid w:val="00517673"/>
    <w:rsid w:val="00517C06"/>
    <w:rsid w:val="00520F13"/>
    <w:rsid w:val="00521335"/>
    <w:rsid w:val="005216E9"/>
    <w:rsid w:val="00522325"/>
    <w:rsid w:val="0052241A"/>
    <w:rsid w:val="00522541"/>
    <w:rsid w:val="00523094"/>
    <w:rsid w:val="0052532D"/>
    <w:rsid w:val="00525F17"/>
    <w:rsid w:val="005261C5"/>
    <w:rsid w:val="00527759"/>
    <w:rsid w:val="00530111"/>
    <w:rsid w:val="00530DEF"/>
    <w:rsid w:val="00531086"/>
    <w:rsid w:val="00531534"/>
    <w:rsid w:val="00532E02"/>
    <w:rsid w:val="00534C10"/>
    <w:rsid w:val="00534DDA"/>
    <w:rsid w:val="00534DFC"/>
    <w:rsid w:val="0053653C"/>
    <w:rsid w:val="00537D28"/>
    <w:rsid w:val="00537D98"/>
    <w:rsid w:val="005400C2"/>
    <w:rsid w:val="0054034E"/>
    <w:rsid w:val="00540C40"/>
    <w:rsid w:val="00540E08"/>
    <w:rsid w:val="00541C10"/>
    <w:rsid w:val="0054275E"/>
    <w:rsid w:val="00542E15"/>
    <w:rsid w:val="00543A19"/>
    <w:rsid w:val="00543E8E"/>
    <w:rsid w:val="00544878"/>
    <w:rsid w:val="00545240"/>
    <w:rsid w:val="00545459"/>
    <w:rsid w:val="005463A6"/>
    <w:rsid w:val="0054644E"/>
    <w:rsid w:val="005504CE"/>
    <w:rsid w:val="005518B6"/>
    <w:rsid w:val="005519E0"/>
    <w:rsid w:val="00551B17"/>
    <w:rsid w:val="00551D8A"/>
    <w:rsid w:val="005520E4"/>
    <w:rsid w:val="00553828"/>
    <w:rsid w:val="005539A4"/>
    <w:rsid w:val="00553FF7"/>
    <w:rsid w:val="00554BC4"/>
    <w:rsid w:val="00555E34"/>
    <w:rsid w:val="0056037A"/>
    <w:rsid w:val="005607E8"/>
    <w:rsid w:val="005614E3"/>
    <w:rsid w:val="005616BF"/>
    <w:rsid w:val="00562500"/>
    <w:rsid w:val="00562E88"/>
    <w:rsid w:val="00565CF5"/>
    <w:rsid w:val="005662B2"/>
    <w:rsid w:val="0056761A"/>
    <w:rsid w:val="00572091"/>
    <w:rsid w:val="0057382C"/>
    <w:rsid w:val="00574D13"/>
    <w:rsid w:val="00574E7E"/>
    <w:rsid w:val="005763E5"/>
    <w:rsid w:val="00576B1D"/>
    <w:rsid w:val="005776B0"/>
    <w:rsid w:val="0058012C"/>
    <w:rsid w:val="00580E7F"/>
    <w:rsid w:val="005811A5"/>
    <w:rsid w:val="005814B9"/>
    <w:rsid w:val="005843D1"/>
    <w:rsid w:val="005853B4"/>
    <w:rsid w:val="00586289"/>
    <w:rsid w:val="00586A4E"/>
    <w:rsid w:val="005872B8"/>
    <w:rsid w:val="005873E6"/>
    <w:rsid w:val="005904FE"/>
    <w:rsid w:val="00590F7A"/>
    <w:rsid w:val="00591FA5"/>
    <w:rsid w:val="00592E18"/>
    <w:rsid w:val="005938E2"/>
    <w:rsid w:val="00594DCC"/>
    <w:rsid w:val="00594F57"/>
    <w:rsid w:val="00595482"/>
    <w:rsid w:val="00596635"/>
    <w:rsid w:val="00596725"/>
    <w:rsid w:val="0059781F"/>
    <w:rsid w:val="005A0931"/>
    <w:rsid w:val="005A3995"/>
    <w:rsid w:val="005A5D8B"/>
    <w:rsid w:val="005A5EF2"/>
    <w:rsid w:val="005A6820"/>
    <w:rsid w:val="005A683D"/>
    <w:rsid w:val="005A6D78"/>
    <w:rsid w:val="005A76CB"/>
    <w:rsid w:val="005A7980"/>
    <w:rsid w:val="005B28A7"/>
    <w:rsid w:val="005B45DE"/>
    <w:rsid w:val="005B5F17"/>
    <w:rsid w:val="005B60EF"/>
    <w:rsid w:val="005C00EC"/>
    <w:rsid w:val="005C0E9E"/>
    <w:rsid w:val="005C10BD"/>
    <w:rsid w:val="005C1294"/>
    <w:rsid w:val="005C17AE"/>
    <w:rsid w:val="005C1C48"/>
    <w:rsid w:val="005C268F"/>
    <w:rsid w:val="005C3957"/>
    <w:rsid w:val="005C3A08"/>
    <w:rsid w:val="005C3E0D"/>
    <w:rsid w:val="005C57D5"/>
    <w:rsid w:val="005C6083"/>
    <w:rsid w:val="005C6A07"/>
    <w:rsid w:val="005C7B22"/>
    <w:rsid w:val="005D0515"/>
    <w:rsid w:val="005D143E"/>
    <w:rsid w:val="005D144D"/>
    <w:rsid w:val="005D2193"/>
    <w:rsid w:val="005D2A98"/>
    <w:rsid w:val="005D6982"/>
    <w:rsid w:val="005E088C"/>
    <w:rsid w:val="005E09D4"/>
    <w:rsid w:val="005E11B5"/>
    <w:rsid w:val="005E12F0"/>
    <w:rsid w:val="005E1618"/>
    <w:rsid w:val="005E2E29"/>
    <w:rsid w:val="005E31D5"/>
    <w:rsid w:val="005E3E8E"/>
    <w:rsid w:val="005E45DC"/>
    <w:rsid w:val="005E4FB0"/>
    <w:rsid w:val="005E5137"/>
    <w:rsid w:val="005E6396"/>
    <w:rsid w:val="005E6736"/>
    <w:rsid w:val="005E6899"/>
    <w:rsid w:val="005F0FF9"/>
    <w:rsid w:val="005F390B"/>
    <w:rsid w:val="005F3F32"/>
    <w:rsid w:val="005F4C14"/>
    <w:rsid w:val="005F594A"/>
    <w:rsid w:val="005F5C4A"/>
    <w:rsid w:val="005F5E61"/>
    <w:rsid w:val="005F7BB2"/>
    <w:rsid w:val="00600184"/>
    <w:rsid w:val="006029B9"/>
    <w:rsid w:val="006034CB"/>
    <w:rsid w:val="00603B79"/>
    <w:rsid w:val="00603ECC"/>
    <w:rsid w:val="006057F0"/>
    <w:rsid w:val="006066AD"/>
    <w:rsid w:val="00606BE4"/>
    <w:rsid w:val="006070B0"/>
    <w:rsid w:val="00612896"/>
    <w:rsid w:val="00613BB6"/>
    <w:rsid w:val="006156BD"/>
    <w:rsid w:val="00615E2B"/>
    <w:rsid w:val="0061746B"/>
    <w:rsid w:val="00617511"/>
    <w:rsid w:val="00620850"/>
    <w:rsid w:val="00622434"/>
    <w:rsid w:val="00622B8C"/>
    <w:rsid w:val="00623D8D"/>
    <w:rsid w:val="0062520A"/>
    <w:rsid w:val="006257A1"/>
    <w:rsid w:val="006259FA"/>
    <w:rsid w:val="00626929"/>
    <w:rsid w:val="00626C1D"/>
    <w:rsid w:val="00627E3A"/>
    <w:rsid w:val="00627F9E"/>
    <w:rsid w:val="00631819"/>
    <w:rsid w:val="006321D4"/>
    <w:rsid w:val="0063256C"/>
    <w:rsid w:val="00632B10"/>
    <w:rsid w:val="006335B6"/>
    <w:rsid w:val="00634ED0"/>
    <w:rsid w:val="00634F9C"/>
    <w:rsid w:val="0063580B"/>
    <w:rsid w:val="00635DBA"/>
    <w:rsid w:val="00637162"/>
    <w:rsid w:val="00640719"/>
    <w:rsid w:val="00640C20"/>
    <w:rsid w:val="0064207E"/>
    <w:rsid w:val="0064283A"/>
    <w:rsid w:val="006432E9"/>
    <w:rsid w:val="00643310"/>
    <w:rsid w:val="00643780"/>
    <w:rsid w:val="00643AF9"/>
    <w:rsid w:val="00644E71"/>
    <w:rsid w:val="00645804"/>
    <w:rsid w:val="00645892"/>
    <w:rsid w:val="00645B0C"/>
    <w:rsid w:val="00645B82"/>
    <w:rsid w:val="00647A89"/>
    <w:rsid w:val="00650D7F"/>
    <w:rsid w:val="00650F45"/>
    <w:rsid w:val="0065121B"/>
    <w:rsid w:val="0065267E"/>
    <w:rsid w:val="00653C53"/>
    <w:rsid w:val="00654B20"/>
    <w:rsid w:val="00655F24"/>
    <w:rsid w:val="006567FF"/>
    <w:rsid w:val="0065711E"/>
    <w:rsid w:val="0066053D"/>
    <w:rsid w:val="00660904"/>
    <w:rsid w:val="00660D93"/>
    <w:rsid w:val="00660E88"/>
    <w:rsid w:val="00661566"/>
    <w:rsid w:val="00661FAB"/>
    <w:rsid w:val="00663240"/>
    <w:rsid w:val="006637C2"/>
    <w:rsid w:val="0066447B"/>
    <w:rsid w:val="00666252"/>
    <w:rsid w:val="0067066E"/>
    <w:rsid w:val="00670D32"/>
    <w:rsid w:val="0067212D"/>
    <w:rsid w:val="00672971"/>
    <w:rsid w:val="00672DB7"/>
    <w:rsid w:val="00673893"/>
    <w:rsid w:val="00674CD8"/>
    <w:rsid w:val="00681847"/>
    <w:rsid w:val="0068190F"/>
    <w:rsid w:val="00683AB0"/>
    <w:rsid w:val="0068465F"/>
    <w:rsid w:val="00686181"/>
    <w:rsid w:val="006868D4"/>
    <w:rsid w:val="006869F7"/>
    <w:rsid w:val="006869FA"/>
    <w:rsid w:val="00687532"/>
    <w:rsid w:val="006900FC"/>
    <w:rsid w:val="00690610"/>
    <w:rsid w:val="0069093A"/>
    <w:rsid w:val="00690A9C"/>
    <w:rsid w:val="006913B1"/>
    <w:rsid w:val="0069182F"/>
    <w:rsid w:val="00691C85"/>
    <w:rsid w:val="00692011"/>
    <w:rsid w:val="00692C4E"/>
    <w:rsid w:val="00692D91"/>
    <w:rsid w:val="0069366D"/>
    <w:rsid w:val="006959E7"/>
    <w:rsid w:val="006969C0"/>
    <w:rsid w:val="00696B0D"/>
    <w:rsid w:val="00697BAE"/>
    <w:rsid w:val="006A0886"/>
    <w:rsid w:val="006A08B1"/>
    <w:rsid w:val="006A0BB1"/>
    <w:rsid w:val="006A0D81"/>
    <w:rsid w:val="006A3E6D"/>
    <w:rsid w:val="006A41A6"/>
    <w:rsid w:val="006A41D4"/>
    <w:rsid w:val="006A41DC"/>
    <w:rsid w:val="006A4CD7"/>
    <w:rsid w:val="006A6D49"/>
    <w:rsid w:val="006A6E12"/>
    <w:rsid w:val="006A7263"/>
    <w:rsid w:val="006A7B6B"/>
    <w:rsid w:val="006B06E9"/>
    <w:rsid w:val="006B17FE"/>
    <w:rsid w:val="006B2350"/>
    <w:rsid w:val="006B2449"/>
    <w:rsid w:val="006B30D4"/>
    <w:rsid w:val="006B4F1A"/>
    <w:rsid w:val="006B582E"/>
    <w:rsid w:val="006B65E5"/>
    <w:rsid w:val="006B6BA9"/>
    <w:rsid w:val="006C05F6"/>
    <w:rsid w:val="006C3FFC"/>
    <w:rsid w:val="006C483E"/>
    <w:rsid w:val="006C4C88"/>
    <w:rsid w:val="006C6072"/>
    <w:rsid w:val="006C68AE"/>
    <w:rsid w:val="006C691C"/>
    <w:rsid w:val="006C72AE"/>
    <w:rsid w:val="006C7CE3"/>
    <w:rsid w:val="006C7E21"/>
    <w:rsid w:val="006D0BBA"/>
    <w:rsid w:val="006D1B22"/>
    <w:rsid w:val="006D3ACC"/>
    <w:rsid w:val="006D4050"/>
    <w:rsid w:val="006D7682"/>
    <w:rsid w:val="006E234E"/>
    <w:rsid w:val="006E2466"/>
    <w:rsid w:val="006E3439"/>
    <w:rsid w:val="006E3CF2"/>
    <w:rsid w:val="006E4C6D"/>
    <w:rsid w:val="006E4CEA"/>
    <w:rsid w:val="006E50F4"/>
    <w:rsid w:val="006E57FD"/>
    <w:rsid w:val="006E6409"/>
    <w:rsid w:val="006E648A"/>
    <w:rsid w:val="006E7923"/>
    <w:rsid w:val="006F08AF"/>
    <w:rsid w:val="006F1748"/>
    <w:rsid w:val="006F1BA1"/>
    <w:rsid w:val="006F274A"/>
    <w:rsid w:val="006F3443"/>
    <w:rsid w:val="006F457A"/>
    <w:rsid w:val="006F55BE"/>
    <w:rsid w:val="006F69F9"/>
    <w:rsid w:val="00701E68"/>
    <w:rsid w:val="007021D5"/>
    <w:rsid w:val="00703878"/>
    <w:rsid w:val="007039FF"/>
    <w:rsid w:val="00703AFB"/>
    <w:rsid w:val="007057A0"/>
    <w:rsid w:val="00705B3C"/>
    <w:rsid w:val="00705F4D"/>
    <w:rsid w:val="007069AA"/>
    <w:rsid w:val="00707485"/>
    <w:rsid w:val="00707976"/>
    <w:rsid w:val="00710727"/>
    <w:rsid w:val="007111AD"/>
    <w:rsid w:val="0071186F"/>
    <w:rsid w:val="00712AB8"/>
    <w:rsid w:val="00713C70"/>
    <w:rsid w:val="007145E6"/>
    <w:rsid w:val="00714656"/>
    <w:rsid w:val="007150BB"/>
    <w:rsid w:val="00715148"/>
    <w:rsid w:val="0071654B"/>
    <w:rsid w:val="00717172"/>
    <w:rsid w:val="007178D6"/>
    <w:rsid w:val="00717B4E"/>
    <w:rsid w:val="00717F15"/>
    <w:rsid w:val="007201C3"/>
    <w:rsid w:val="00722488"/>
    <w:rsid w:val="0072420D"/>
    <w:rsid w:val="00724C43"/>
    <w:rsid w:val="00724CA2"/>
    <w:rsid w:val="007260A8"/>
    <w:rsid w:val="007276B4"/>
    <w:rsid w:val="007309DE"/>
    <w:rsid w:val="00733CC7"/>
    <w:rsid w:val="0073489C"/>
    <w:rsid w:val="007351A6"/>
    <w:rsid w:val="00735BDC"/>
    <w:rsid w:val="007376A4"/>
    <w:rsid w:val="00737C1B"/>
    <w:rsid w:val="007412DB"/>
    <w:rsid w:val="00741B69"/>
    <w:rsid w:val="0074253F"/>
    <w:rsid w:val="00742888"/>
    <w:rsid w:val="007437C2"/>
    <w:rsid w:val="00745EDE"/>
    <w:rsid w:val="00746188"/>
    <w:rsid w:val="0074687A"/>
    <w:rsid w:val="00746AF0"/>
    <w:rsid w:val="00747C68"/>
    <w:rsid w:val="007509EB"/>
    <w:rsid w:val="00750F97"/>
    <w:rsid w:val="007512E6"/>
    <w:rsid w:val="007515B0"/>
    <w:rsid w:val="00751B63"/>
    <w:rsid w:val="00753D78"/>
    <w:rsid w:val="00753ED1"/>
    <w:rsid w:val="0075449F"/>
    <w:rsid w:val="00754F99"/>
    <w:rsid w:val="00756169"/>
    <w:rsid w:val="0075655A"/>
    <w:rsid w:val="00756BB4"/>
    <w:rsid w:val="007572F5"/>
    <w:rsid w:val="00760BC9"/>
    <w:rsid w:val="007615FA"/>
    <w:rsid w:val="007619B8"/>
    <w:rsid w:val="0076275A"/>
    <w:rsid w:val="007629B9"/>
    <w:rsid w:val="00762E7D"/>
    <w:rsid w:val="00763D79"/>
    <w:rsid w:val="007642FC"/>
    <w:rsid w:val="007648A0"/>
    <w:rsid w:val="00765872"/>
    <w:rsid w:val="00772809"/>
    <w:rsid w:val="007737E8"/>
    <w:rsid w:val="00774CB8"/>
    <w:rsid w:val="00775375"/>
    <w:rsid w:val="00775D23"/>
    <w:rsid w:val="00776CFF"/>
    <w:rsid w:val="00780F19"/>
    <w:rsid w:val="00781398"/>
    <w:rsid w:val="00781436"/>
    <w:rsid w:val="00782137"/>
    <w:rsid w:val="00782DDB"/>
    <w:rsid w:val="00783327"/>
    <w:rsid w:val="00783DB8"/>
    <w:rsid w:val="00783EB5"/>
    <w:rsid w:val="00784489"/>
    <w:rsid w:val="0078508A"/>
    <w:rsid w:val="007851E7"/>
    <w:rsid w:val="007851F7"/>
    <w:rsid w:val="00785884"/>
    <w:rsid w:val="00786494"/>
    <w:rsid w:val="007873D3"/>
    <w:rsid w:val="0079148D"/>
    <w:rsid w:val="0079168D"/>
    <w:rsid w:val="007917E1"/>
    <w:rsid w:val="00791FA9"/>
    <w:rsid w:val="00792B9C"/>
    <w:rsid w:val="00794C87"/>
    <w:rsid w:val="00794FFC"/>
    <w:rsid w:val="007951E8"/>
    <w:rsid w:val="007958C8"/>
    <w:rsid w:val="007958CF"/>
    <w:rsid w:val="007A0B9C"/>
    <w:rsid w:val="007A1E76"/>
    <w:rsid w:val="007A2AA0"/>
    <w:rsid w:val="007A3C07"/>
    <w:rsid w:val="007A5658"/>
    <w:rsid w:val="007A67B9"/>
    <w:rsid w:val="007A6B7C"/>
    <w:rsid w:val="007B012A"/>
    <w:rsid w:val="007B1945"/>
    <w:rsid w:val="007B2088"/>
    <w:rsid w:val="007B2E63"/>
    <w:rsid w:val="007B324C"/>
    <w:rsid w:val="007B38CF"/>
    <w:rsid w:val="007B38DF"/>
    <w:rsid w:val="007B3E2D"/>
    <w:rsid w:val="007B402C"/>
    <w:rsid w:val="007B4CAC"/>
    <w:rsid w:val="007B53ED"/>
    <w:rsid w:val="007B5601"/>
    <w:rsid w:val="007B667E"/>
    <w:rsid w:val="007B714D"/>
    <w:rsid w:val="007B7524"/>
    <w:rsid w:val="007B7A7A"/>
    <w:rsid w:val="007C1463"/>
    <w:rsid w:val="007C36EF"/>
    <w:rsid w:val="007C4B0B"/>
    <w:rsid w:val="007C5231"/>
    <w:rsid w:val="007C5EC3"/>
    <w:rsid w:val="007D038F"/>
    <w:rsid w:val="007D086F"/>
    <w:rsid w:val="007D210C"/>
    <w:rsid w:val="007D29E0"/>
    <w:rsid w:val="007D2C06"/>
    <w:rsid w:val="007D5A83"/>
    <w:rsid w:val="007D5F59"/>
    <w:rsid w:val="007D630A"/>
    <w:rsid w:val="007D63DB"/>
    <w:rsid w:val="007E0C15"/>
    <w:rsid w:val="007E1653"/>
    <w:rsid w:val="007E2560"/>
    <w:rsid w:val="007E36CF"/>
    <w:rsid w:val="007E3AA8"/>
    <w:rsid w:val="007E5290"/>
    <w:rsid w:val="007E6473"/>
    <w:rsid w:val="007E78BD"/>
    <w:rsid w:val="007F052F"/>
    <w:rsid w:val="007F0F79"/>
    <w:rsid w:val="007F1759"/>
    <w:rsid w:val="007F1D29"/>
    <w:rsid w:val="007F1E79"/>
    <w:rsid w:val="007F26F3"/>
    <w:rsid w:val="007F2C08"/>
    <w:rsid w:val="007F2D45"/>
    <w:rsid w:val="007F398F"/>
    <w:rsid w:val="007F3DB8"/>
    <w:rsid w:val="007F474E"/>
    <w:rsid w:val="008009DA"/>
    <w:rsid w:val="0080160C"/>
    <w:rsid w:val="00801642"/>
    <w:rsid w:val="00801886"/>
    <w:rsid w:val="00801F17"/>
    <w:rsid w:val="0080210D"/>
    <w:rsid w:val="0080230B"/>
    <w:rsid w:val="00803E16"/>
    <w:rsid w:val="00804649"/>
    <w:rsid w:val="00804BB0"/>
    <w:rsid w:val="00805573"/>
    <w:rsid w:val="00806008"/>
    <w:rsid w:val="00806BAD"/>
    <w:rsid w:val="008071A6"/>
    <w:rsid w:val="00807B0A"/>
    <w:rsid w:val="00810BBF"/>
    <w:rsid w:val="00812000"/>
    <w:rsid w:val="008123E1"/>
    <w:rsid w:val="00812594"/>
    <w:rsid w:val="008134AC"/>
    <w:rsid w:val="00813A27"/>
    <w:rsid w:val="00817136"/>
    <w:rsid w:val="00817F72"/>
    <w:rsid w:val="00820E78"/>
    <w:rsid w:val="0082174D"/>
    <w:rsid w:val="00823A58"/>
    <w:rsid w:val="008251A4"/>
    <w:rsid w:val="0082685D"/>
    <w:rsid w:val="008302B3"/>
    <w:rsid w:val="008305F7"/>
    <w:rsid w:val="00830663"/>
    <w:rsid w:val="0083194B"/>
    <w:rsid w:val="0083323A"/>
    <w:rsid w:val="00833655"/>
    <w:rsid w:val="00834D4C"/>
    <w:rsid w:val="00835536"/>
    <w:rsid w:val="00836915"/>
    <w:rsid w:val="00836D03"/>
    <w:rsid w:val="00836E2F"/>
    <w:rsid w:val="008370B0"/>
    <w:rsid w:val="0083742F"/>
    <w:rsid w:val="00840927"/>
    <w:rsid w:val="008419AE"/>
    <w:rsid w:val="00841FA6"/>
    <w:rsid w:val="00842367"/>
    <w:rsid w:val="008423C2"/>
    <w:rsid w:val="00842731"/>
    <w:rsid w:val="00843E66"/>
    <w:rsid w:val="008451AC"/>
    <w:rsid w:val="00845357"/>
    <w:rsid w:val="00845DCC"/>
    <w:rsid w:val="00845F25"/>
    <w:rsid w:val="00850151"/>
    <w:rsid w:val="008552F5"/>
    <w:rsid w:val="00855DA5"/>
    <w:rsid w:val="00856AB4"/>
    <w:rsid w:val="00857654"/>
    <w:rsid w:val="00863604"/>
    <w:rsid w:val="008642DA"/>
    <w:rsid w:val="0086439E"/>
    <w:rsid w:val="008644A6"/>
    <w:rsid w:val="00864D57"/>
    <w:rsid w:val="00867FB0"/>
    <w:rsid w:val="008719CA"/>
    <w:rsid w:val="0087459F"/>
    <w:rsid w:val="00874601"/>
    <w:rsid w:val="0087460B"/>
    <w:rsid w:val="00874B39"/>
    <w:rsid w:val="00875594"/>
    <w:rsid w:val="00875C24"/>
    <w:rsid w:val="00876B66"/>
    <w:rsid w:val="00877D24"/>
    <w:rsid w:val="00881226"/>
    <w:rsid w:val="00881242"/>
    <w:rsid w:val="008813BF"/>
    <w:rsid w:val="00885227"/>
    <w:rsid w:val="008856AE"/>
    <w:rsid w:val="00885771"/>
    <w:rsid w:val="00885B7B"/>
    <w:rsid w:val="00885C05"/>
    <w:rsid w:val="00890599"/>
    <w:rsid w:val="0089060E"/>
    <w:rsid w:val="0089085D"/>
    <w:rsid w:val="008910B0"/>
    <w:rsid w:val="008929CE"/>
    <w:rsid w:val="00892C00"/>
    <w:rsid w:val="008940BB"/>
    <w:rsid w:val="00894308"/>
    <w:rsid w:val="00896CA0"/>
    <w:rsid w:val="0089702F"/>
    <w:rsid w:val="0089753C"/>
    <w:rsid w:val="008A1D8B"/>
    <w:rsid w:val="008A2F76"/>
    <w:rsid w:val="008A36A1"/>
    <w:rsid w:val="008A3B13"/>
    <w:rsid w:val="008A4744"/>
    <w:rsid w:val="008A488D"/>
    <w:rsid w:val="008A73F6"/>
    <w:rsid w:val="008A7A33"/>
    <w:rsid w:val="008B0E12"/>
    <w:rsid w:val="008B15F2"/>
    <w:rsid w:val="008B1A2E"/>
    <w:rsid w:val="008B21A3"/>
    <w:rsid w:val="008B2207"/>
    <w:rsid w:val="008B25B1"/>
    <w:rsid w:val="008B2CC8"/>
    <w:rsid w:val="008B3A8D"/>
    <w:rsid w:val="008B6635"/>
    <w:rsid w:val="008B69D3"/>
    <w:rsid w:val="008B7E4A"/>
    <w:rsid w:val="008C029B"/>
    <w:rsid w:val="008C0FFE"/>
    <w:rsid w:val="008C3441"/>
    <w:rsid w:val="008C48CD"/>
    <w:rsid w:val="008C4A5E"/>
    <w:rsid w:val="008C5237"/>
    <w:rsid w:val="008C5854"/>
    <w:rsid w:val="008C7BBB"/>
    <w:rsid w:val="008C7EA1"/>
    <w:rsid w:val="008D098B"/>
    <w:rsid w:val="008D3341"/>
    <w:rsid w:val="008D4BC8"/>
    <w:rsid w:val="008D68EF"/>
    <w:rsid w:val="008E05B4"/>
    <w:rsid w:val="008E3239"/>
    <w:rsid w:val="008E3C93"/>
    <w:rsid w:val="008E4DBB"/>
    <w:rsid w:val="008E5EFC"/>
    <w:rsid w:val="008E6DC6"/>
    <w:rsid w:val="008E76BE"/>
    <w:rsid w:val="008E7BCF"/>
    <w:rsid w:val="008F048B"/>
    <w:rsid w:val="008F0814"/>
    <w:rsid w:val="008F0F78"/>
    <w:rsid w:val="008F15C5"/>
    <w:rsid w:val="008F5367"/>
    <w:rsid w:val="008F5B5D"/>
    <w:rsid w:val="008F5C48"/>
    <w:rsid w:val="008F5E7C"/>
    <w:rsid w:val="008F7075"/>
    <w:rsid w:val="008F796D"/>
    <w:rsid w:val="009002FE"/>
    <w:rsid w:val="00900819"/>
    <w:rsid w:val="009018BD"/>
    <w:rsid w:val="009018E7"/>
    <w:rsid w:val="00904C75"/>
    <w:rsid w:val="00905AE5"/>
    <w:rsid w:val="00905B79"/>
    <w:rsid w:val="00906147"/>
    <w:rsid w:val="00907755"/>
    <w:rsid w:val="00907CF2"/>
    <w:rsid w:val="0091240A"/>
    <w:rsid w:val="00912CA5"/>
    <w:rsid w:val="0091389C"/>
    <w:rsid w:val="0091450C"/>
    <w:rsid w:val="0091579E"/>
    <w:rsid w:val="00915C67"/>
    <w:rsid w:val="00915E6F"/>
    <w:rsid w:val="00916A9F"/>
    <w:rsid w:val="00916D2D"/>
    <w:rsid w:val="00916E2F"/>
    <w:rsid w:val="00917069"/>
    <w:rsid w:val="00920719"/>
    <w:rsid w:val="009218D4"/>
    <w:rsid w:val="0092424A"/>
    <w:rsid w:val="00924E71"/>
    <w:rsid w:val="009254F7"/>
    <w:rsid w:val="00925534"/>
    <w:rsid w:val="0092570E"/>
    <w:rsid w:val="0092682B"/>
    <w:rsid w:val="00927F79"/>
    <w:rsid w:val="00930001"/>
    <w:rsid w:val="00931668"/>
    <w:rsid w:val="0093191C"/>
    <w:rsid w:val="009322CD"/>
    <w:rsid w:val="009326EE"/>
    <w:rsid w:val="00932CDB"/>
    <w:rsid w:val="00932D19"/>
    <w:rsid w:val="009339ED"/>
    <w:rsid w:val="00933E3E"/>
    <w:rsid w:val="00934197"/>
    <w:rsid w:val="00934755"/>
    <w:rsid w:val="00935456"/>
    <w:rsid w:val="00935D3C"/>
    <w:rsid w:val="0093618B"/>
    <w:rsid w:val="00936346"/>
    <w:rsid w:val="0093671D"/>
    <w:rsid w:val="00936860"/>
    <w:rsid w:val="00936F44"/>
    <w:rsid w:val="0094378A"/>
    <w:rsid w:val="0094462D"/>
    <w:rsid w:val="009446ED"/>
    <w:rsid w:val="00945816"/>
    <w:rsid w:val="00945B0B"/>
    <w:rsid w:val="00947857"/>
    <w:rsid w:val="00951509"/>
    <w:rsid w:val="0095347A"/>
    <w:rsid w:val="00953C26"/>
    <w:rsid w:val="00953C51"/>
    <w:rsid w:val="009548AA"/>
    <w:rsid w:val="009549D7"/>
    <w:rsid w:val="00955094"/>
    <w:rsid w:val="009550E7"/>
    <w:rsid w:val="009565C9"/>
    <w:rsid w:val="0096236F"/>
    <w:rsid w:val="00962E23"/>
    <w:rsid w:val="009639CD"/>
    <w:rsid w:val="00965A79"/>
    <w:rsid w:val="00966D03"/>
    <w:rsid w:val="00966DBA"/>
    <w:rsid w:val="00967862"/>
    <w:rsid w:val="00970E38"/>
    <w:rsid w:val="00971123"/>
    <w:rsid w:val="00972A3E"/>
    <w:rsid w:val="00972ADC"/>
    <w:rsid w:val="00973079"/>
    <w:rsid w:val="00974B34"/>
    <w:rsid w:val="009774B7"/>
    <w:rsid w:val="00981584"/>
    <w:rsid w:val="0098164D"/>
    <w:rsid w:val="00983E9C"/>
    <w:rsid w:val="009840AC"/>
    <w:rsid w:val="009843B7"/>
    <w:rsid w:val="0098665B"/>
    <w:rsid w:val="00986ADC"/>
    <w:rsid w:val="00992E2B"/>
    <w:rsid w:val="00993D23"/>
    <w:rsid w:val="00993FAB"/>
    <w:rsid w:val="009942D7"/>
    <w:rsid w:val="00994316"/>
    <w:rsid w:val="009965CF"/>
    <w:rsid w:val="00996EBC"/>
    <w:rsid w:val="00997B91"/>
    <w:rsid w:val="009A0D30"/>
    <w:rsid w:val="009A14DE"/>
    <w:rsid w:val="009A1834"/>
    <w:rsid w:val="009A350B"/>
    <w:rsid w:val="009A4F76"/>
    <w:rsid w:val="009B1B46"/>
    <w:rsid w:val="009B1BD3"/>
    <w:rsid w:val="009B1C1F"/>
    <w:rsid w:val="009B1F52"/>
    <w:rsid w:val="009B24AF"/>
    <w:rsid w:val="009B2DF7"/>
    <w:rsid w:val="009B3F10"/>
    <w:rsid w:val="009B4F04"/>
    <w:rsid w:val="009B598F"/>
    <w:rsid w:val="009C153A"/>
    <w:rsid w:val="009C160D"/>
    <w:rsid w:val="009C1EAC"/>
    <w:rsid w:val="009C29B7"/>
    <w:rsid w:val="009C47AD"/>
    <w:rsid w:val="009C4B81"/>
    <w:rsid w:val="009C4E79"/>
    <w:rsid w:val="009C504C"/>
    <w:rsid w:val="009C54C7"/>
    <w:rsid w:val="009C59CF"/>
    <w:rsid w:val="009C5A7C"/>
    <w:rsid w:val="009C67D5"/>
    <w:rsid w:val="009C7202"/>
    <w:rsid w:val="009D08EF"/>
    <w:rsid w:val="009D0D8A"/>
    <w:rsid w:val="009D2F21"/>
    <w:rsid w:val="009D3317"/>
    <w:rsid w:val="009D36F6"/>
    <w:rsid w:val="009D3AE8"/>
    <w:rsid w:val="009D3B7E"/>
    <w:rsid w:val="009D44BF"/>
    <w:rsid w:val="009D4A53"/>
    <w:rsid w:val="009D6A0A"/>
    <w:rsid w:val="009E038D"/>
    <w:rsid w:val="009E101D"/>
    <w:rsid w:val="009E1781"/>
    <w:rsid w:val="009E18FB"/>
    <w:rsid w:val="009E47D0"/>
    <w:rsid w:val="009E5C14"/>
    <w:rsid w:val="009E78E2"/>
    <w:rsid w:val="009E7C14"/>
    <w:rsid w:val="009F237A"/>
    <w:rsid w:val="009F2680"/>
    <w:rsid w:val="009F463E"/>
    <w:rsid w:val="009F58E3"/>
    <w:rsid w:val="009F59F3"/>
    <w:rsid w:val="009F5B72"/>
    <w:rsid w:val="009F6451"/>
    <w:rsid w:val="009F6842"/>
    <w:rsid w:val="009F6E6D"/>
    <w:rsid w:val="009F6FB7"/>
    <w:rsid w:val="009F780A"/>
    <w:rsid w:val="00A02A8B"/>
    <w:rsid w:val="00A03E95"/>
    <w:rsid w:val="00A04AEB"/>
    <w:rsid w:val="00A05189"/>
    <w:rsid w:val="00A05C32"/>
    <w:rsid w:val="00A067AD"/>
    <w:rsid w:val="00A07747"/>
    <w:rsid w:val="00A106A2"/>
    <w:rsid w:val="00A13612"/>
    <w:rsid w:val="00A14570"/>
    <w:rsid w:val="00A15047"/>
    <w:rsid w:val="00A15714"/>
    <w:rsid w:val="00A1773E"/>
    <w:rsid w:val="00A17DBA"/>
    <w:rsid w:val="00A20339"/>
    <w:rsid w:val="00A207C4"/>
    <w:rsid w:val="00A222BB"/>
    <w:rsid w:val="00A22798"/>
    <w:rsid w:val="00A22835"/>
    <w:rsid w:val="00A22841"/>
    <w:rsid w:val="00A25009"/>
    <w:rsid w:val="00A25FEB"/>
    <w:rsid w:val="00A278FC"/>
    <w:rsid w:val="00A30808"/>
    <w:rsid w:val="00A30EFA"/>
    <w:rsid w:val="00A320C0"/>
    <w:rsid w:val="00A33B41"/>
    <w:rsid w:val="00A33EA2"/>
    <w:rsid w:val="00A35655"/>
    <w:rsid w:val="00A36628"/>
    <w:rsid w:val="00A36D66"/>
    <w:rsid w:val="00A379BD"/>
    <w:rsid w:val="00A379E9"/>
    <w:rsid w:val="00A37F3D"/>
    <w:rsid w:val="00A40009"/>
    <w:rsid w:val="00A450CF"/>
    <w:rsid w:val="00A456A7"/>
    <w:rsid w:val="00A460DD"/>
    <w:rsid w:val="00A47313"/>
    <w:rsid w:val="00A47392"/>
    <w:rsid w:val="00A478F2"/>
    <w:rsid w:val="00A5033D"/>
    <w:rsid w:val="00A5144E"/>
    <w:rsid w:val="00A529D8"/>
    <w:rsid w:val="00A531A4"/>
    <w:rsid w:val="00A53B37"/>
    <w:rsid w:val="00A53F93"/>
    <w:rsid w:val="00A54936"/>
    <w:rsid w:val="00A54A6E"/>
    <w:rsid w:val="00A552C7"/>
    <w:rsid w:val="00A55A0A"/>
    <w:rsid w:val="00A560A8"/>
    <w:rsid w:val="00A56CE2"/>
    <w:rsid w:val="00A5781F"/>
    <w:rsid w:val="00A60BA1"/>
    <w:rsid w:val="00A61168"/>
    <w:rsid w:val="00A618C8"/>
    <w:rsid w:val="00A62092"/>
    <w:rsid w:val="00A6209A"/>
    <w:rsid w:val="00A62275"/>
    <w:rsid w:val="00A62607"/>
    <w:rsid w:val="00A62BB8"/>
    <w:rsid w:val="00A62E7B"/>
    <w:rsid w:val="00A64B61"/>
    <w:rsid w:val="00A66515"/>
    <w:rsid w:val="00A66803"/>
    <w:rsid w:val="00A6774D"/>
    <w:rsid w:val="00A6785D"/>
    <w:rsid w:val="00A7022F"/>
    <w:rsid w:val="00A70984"/>
    <w:rsid w:val="00A70D04"/>
    <w:rsid w:val="00A70ED0"/>
    <w:rsid w:val="00A71B8D"/>
    <w:rsid w:val="00A73B83"/>
    <w:rsid w:val="00A7748A"/>
    <w:rsid w:val="00A77BE7"/>
    <w:rsid w:val="00A81912"/>
    <w:rsid w:val="00A826DD"/>
    <w:rsid w:val="00A829EE"/>
    <w:rsid w:val="00A84383"/>
    <w:rsid w:val="00A846CD"/>
    <w:rsid w:val="00A84E0F"/>
    <w:rsid w:val="00A8507E"/>
    <w:rsid w:val="00A862F8"/>
    <w:rsid w:val="00A86AB8"/>
    <w:rsid w:val="00A86F0C"/>
    <w:rsid w:val="00A872AE"/>
    <w:rsid w:val="00A87D53"/>
    <w:rsid w:val="00A90B8E"/>
    <w:rsid w:val="00A90F45"/>
    <w:rsid w:val="00A91A9A"/>
    <w:rsid w:val="00A91D19"/>
    <w:rsid w:val="00A92DE6"/>
    <w:rsid w:val="00A933B7"/>
    <w:rsid w:val="00A941BD"/>
    <w:rsid w:val="00A94988"/>
    <w:rsid w:val="00A94BFA"/>
    <w:rsid w:val="00A94ECB"/>
    <w:rsid w:val="00A958C1"/>
    <w:rsid w:val="00A95938"/>
    <w:rsid w:val="00A969EF"/>
    <w:rsid w:val="00A9744D"/>
    <w:rsid w:val="00A97B34"/>
    <w:rsid w:val="00AA01FA"/>
    <w:rsid w:val="00AA138E"/>
    <w:rsid w:val="00AA19C4"/>
    <w:rsid w:val="00AA1FDA"/>
    <w:rsid w:val="00AA2356"/>
    <w:rsid w:val="00AA36CF"/>
    <w:rsid w:val="00AA3B60"/>
    <w:rsid w:val="00AA5757"/>
    <w:rsid w:val="00AA5DAE"/>
    <w:rsid w:val="00AA5DFD"/>
    <w:rsid w:val="00AA6E9B"/>
    <w:rsid w:val="00AA70E5"/>
    <w:rsid w:val="00AB0009"/>
    <w:rsid w:val="00AB053B"/>
    <w:rsid w:val="00AB0C17"/>
    <w:rsid w:val="00AB1C68"/>
    <w:rsid w:val="00AB247C"/>
    <w:rsid w:val="00AB5B05"/>
    <w:rsid w:val="00AB5CB8"/>
    <w:rsid w:val="00AB5D89"/>
    <w:rsid w:val="00AB5EED"/>
    <w:rsid w:val="00AB7624"/>
    <w:rsid w:val="00AB7B1C"/>
    <w:rsid w:val="00AC0BF6"/>
    <w:rsid w:val="00AC2F7E"/>
    <w:rsid w:val="00AC4313"/>
    <w:rsid w:val="00AC6F35"/>
    <w:rsid w:val="00AC7723"/>
    <w:rsid w:val="00AC7CD2"/>
    <w:rsid w:val="00AD1CA7"/>
    <w:rsid w:val="00AD2AA3"/>
    <w:rsid w:val="00AD38A9"/>
    <w:rsid w:val="00AD425C"/>
    <w:rsid w:val="00AD4C15"/>
    <w:rsid w:val="00AD4CF5"/>
    <w:rsid w:val="00AD4F4D"/>
    <w:rsid w:val="00AD55F8"/>
    <w:rsid w:val="00AD5C77"/>
    <w:rsid w:val="00AD67D7"/>
    <w:rsid w:val="00AE0375"/>
    <w:rsid w:val="00AE2A2E"/>
    <w:rsid w:val="00AE50B3"/>
    <w:rsid w:val="00AE50DD"/>
    <w:rsid w:val="00AE51F2"/>
    <w:rsid w:val="00AE5533"/>
    <w:rsid w:val="00AE5D8D"/>
    <w:rsid w:val="00AE5DFC"/>
    <w:rsid w:val="00AE6061"/>
    <w:rsid w:val="00AE6BFB"/>
    <w:rsid w:val="00AE7259"/>
    <w:rsid w:val="00AE795B"/>
    <w:rsid w:val="00AE7E5A"/>
    <w:rsid w:val="00AE7F76"/>
    <w:rsid w:val="00AF06B9"/>
    <w:rsid w:val="00AF0888"/>
    <w:rsid w:val="00AF0A3D"/>
    <w:rsid w:val="00AF1364"/>
    <w:rsid w:val="00AF3A9C"/>
    <w:rsid w:val="00AF41A3"/>
    <w:rsid w:val="00AF42AF"/>
    <w:rsid w:val="00AF61EF"/>
    <w:rsid w:val="00AF6DCF"/>
    <w:rsid w:val="00AF7667"/>
    <w:rsid w:val="00AF7F3B"/>
    <w:rsid w:val="00B001C1"/>
    <w:rsid w:val="00B0172B"/>
    <w:rsid w:val="00B01A99"/>
    <w:rsid w:val="00B053DF"/>
    <w:rsid w:val="00B05DE1"/>
    <w:rsid w:val="00B07ABB"/>
    <w:rsid w:val="00B07AF0"/>
    <w:rsid w:val="00B1049D"/>
    <w:rsid w:val="00B11A67"/>
    <w:rsid w:val="00B120D6"/>
    <w:rsid w:val="00B13AC9"/>
    <w:rsid w:val="00B14FC9"/>
    <w:rsid w:val="00B15444"/>
    <w:rsid w:val="00B16024"/>
    <w:rsid w:val="00B17A99"/>
    <w:rsid w:val="00B20180"/>
    <w:rsid w:val="00B2069D"/>
    <w:rsid w:val="00B20A63"/>
    <w:rsid w:val="00B20C19"/>
    <w:rsid w:val="00B220D6"/>
    <w:rsid w:val="00B231B8"/>
    <w:rsid w:val="00B237FF"/>
    <w:rsid w:val="00B23D81"/>
    <w:rsid w:val="00B24825"/>
    <w:rsid w:val="00B262EB"/>
    <w:rsid w:val="00B26789"/>
    <w:rsid w:val="00B267C9"/>
    <w:rsid w:val="00B26C34"/>
    <w:rsid w:val="00B3037A"/>
    <w:rsid w:val="00B3278B"/>
    <w:rsid w:val="00B33C1F"/>
    <w:rsid w:val="00B33F65"/>
    <w:rsid w:val="00B34337"/>
    <w:rsid w:val="00B349A5"/>
    <w:rsid w:val="00B35B0E"/>
    <w:rsid w:val="00B36096"/>
    <w:rsid w:val="00B36168"/>
    <w:rsid w:val="00B36340"/>
    <w:rsid w:val="00B37353"/>
    <w:rsid w:val="00B406CB"/>
    <w:rsid w:val="00B414BE"/>
    <w:rsid w:val="00B418D7"/>
    <w:rsid w:val="00B41B52"/>
    <w:rsid w:val="00B41E63"/>
    <w:rsid w:val="00B42AA9"/>
    <w:rsid w:val="00B4307F"/>
    <w:rsid w:val="00B43C22"/>
    <w:rsid w:val="00B45C9C"/>
    <w:rsid w:val="00B460E1"/>
    <w:rsid w:val="00B467C3"/>
    <w:rsid w:val="00B46C4F"/>
    <w:rsid w:val="00B505AF"/>
    <w:rsid w:val="00B52172"/>
    <w:rsid w:val="00B5274E"/>
    <w:rsid w:val="00B53628"/>
    <w:rsid w:val="00B5407B"/>
    <w:rsid w:val="00B542C8"/>
    <w:rsid w:val="00B547FF"/>
    <w:rsid w:val="00B57362"/>
    <w:rsid w:val="00B57523"/>
    <w:rsid w:val="00B57839"/>
    <w:rsid w:val="00B633E4"/>
    <w:rsid w:val="00B63A1C"/>
    <w:rsid w:val="00B65F7A"/>
    <w:rsid w:val="00B6600E"/>
    <w:rsid w:val="00B66220"/>
    <w:rsid w:val="00B719FA"/>
    <w:rsid w:val="00B71DED"/>
    <w:rsid w:val="00B737D7"/>
    <w:rsid w:val="00B73E16"/>
    <w:rsid w:val="00B7474F"/>
    <w:rsid w:val="00B762FF"/>
    <w:rsid w:val="00B77FDE"/>
    <w:rsid w:val="00B80EEE"/>
    <w:rsid w:val="00B81A6A"/>
    <w:rsid w:val="00B82296"/>
    <w:rsid w:val="00B824FD"/>
    <w:rsid w:val="00B825CD"/>
    <w:rsid w:val="00B82A59"/>
    <w:rsid w:val="00B8327E"/>
    <w:rsid w:val="00B84265"/>
    <w:rsid w:val="00B847C8"/>
    <w:rsid w:val="00B853C0"/>
    <w:rsid w:val="00B86C34"/>
    <w:rsid w:val="00B87AA8"/>
    <w:rsid w:val="00B87FC3"/>
    <w:rsid w:val="00B900D6"/>
    <w:rsid w:val="00B906DB"/>
    <w:rsid w:val="00B90E6A"/>
    <w:rsid w:val="00B90F6D"/>
    <w:rsid w:val="00B91081"/>
    <w:rsid w:val="00B93382"/>
    <w:rsid w:val="00B93C53"/>
    <w:rsid w:val="00B944F4"/>
    <w:rsid w:val="00B951C0"/>
    <w:rsid w:val="00B957D0"/>
    <w:rsid w:val="00B95C12"/>
    <w:rsid w:val="00B9770D"/>
    <w:rsid w:val="00B97BA0"/>
    <w:rsid w:val="00B97E4A"/>
    <w:rsid w:val="00BA077F"/>
    <w:rsid w:val="00BA0C8F"/>
    <w:rsid w:val="00BA209D"/>
    <w:rsid w:val="00BA586D"/>
    <w:rsid w:val="00BA5917"/>
    <w:rsid w:val="00BA6BBD"/>
    <w:rsid w:val="00BA716D"/>
    <w:rsid w:val="00BA767A"/>
    <w:rsid w:val="00BB0803"/>
    <w:rsid w:val="00BB0E4C"/>
    <w:rsid w:val="00BB3B46"/>
    <w:rsid w:val="00BB42FE"/>
    <w:rsid w:val="00BB43E2"/>
    <w:rsid w:val="00BB46E8"/>
    <w:rsid w:val="00BB5B09"/>
    <w:rsid w:val="00BB6BED"/>
    <w:rsid w:val="00BB74BC"/>
    <w:rsid w:val="00BB7605"/>
    <w:rsid w:val="00BB78A0"/>
    <w:rsid w:val="00BB7A70"/>
    <w:rsid w:val="00BC06F7"/>
    <w:rsid w:val="00BC20AA"/>
    <w:rsid w:val="00BC2148"/>
    <w:rsid w:val="00BC2498"/>
    <w:rsid w:val="00BC2698"/>
    <w:rsid w:val="00BC35B9"/>
    <w:rsid w:val="00BC579A"/>
    <w:rsid w:val="00BC594C"/>
    <w:rsid w:val="00BC6654"/>
    <w:rsid w:val="00BC669D"/>
    <w:rsid w:val="00BC7B13"/>
    <w:rsid w:val="00BD1E89"/>
    <w:rsid w:val="00BD2A4E"/>
    <w:rsid w:val="00BD5AA6"/>
    <w:rsid w:val="00BD672A"/>
    <w:rsid w:val="00BD6A1A"/>
    <w:rsid w:val="00BD6CFB"/>
    <w:rsid w:val="00BE0179"/>
    <w:rsid w:val="00BE08F9"/>
    <w:rsid w:val="00BE1EDF"/>
    <w:rsid w:val="00BE28FC"/>
    <w:rsid w:val="00BE2B86"/>
    <w:rsid w:val="00BE381D"/>
    <w:rsid w:val="00BE4230"/>
    <w:rsid w:val="00BE498E"/>
    <w:rsid w:val="00BE4C5C"/>
    <w:rsid w:val="00BE50E6"/>
    <w:rsid w:val="00BE5C5E"/>
    <w:rsid w:val="00BF06B1"/>
    <w:rsid w:val="00BF0940"/>
    <w:rsid w:val="00BF2401"/>
    <w:rsid w:val="00BF25C2"/>
    <w:rsid w:val="00BF4F35"/>
    <w:rsid w:val="00BF7E68"/>
    <w:rsid w:val="00C00AF0"/>
    <w:rsid w:val="00C0150E"/>
    <w:rsid w:val="00C0159E"/>
    <w:rsid w:val="00C017C2"/>
    <w:rsid w:val="00C03CF5"/>
    <w:rsid w:val="00C06363"/>
    <w:rsid w:val="00C06B47"/>
    <w:rsid w:val="00C06CAA"/>
    <w:rsid w:val="00C06E6F"/>
    <w:rsid w:val="00C07762"/>
    <w:rsid w:val="00C11305"/>
    <w:rsid w:val="00C13B72"/>
    <w:rsid w:val="00C14EC0"/>
    <w:rsid w:val="00C16457"/>
    <w:rsid w:val="00C16BCD"/>
    <w:rsid w:val="00C20EB4"/>
    <w:rsid w:val="00C21A47"/>
    <w:rsid w:val="00C21DE7"/>
    <w:rsid w:val="00C220E8"/>
    <w:rsid w:val="00C22726"/>
    <w:rsid w:val="00C228E2"/>
    <w:rsid w:val="00C23769"/>
    <w:rsid w:val="00C23800"/>
    <w:rsid w:val="00C24414"/>
    <w:rsid w:val="00C24615"/>
    <w:rsid w:val="00C24925"/>
    <w:rsid w:val="00C24AB6"/>
    <w:rsid w:val="00C25F56"/>
    <w:rsid w:val="00C26200"/>
    <w:rsid w:val="00C267EE"/>
    <w:rsid w:val="00C26CB3"/>
    <w:rsid w:val="00C27058"/>
    <w:rsid w:val="00C273B8"/>
    <w:rsid w:val="00C302FE"/>
    <w:rsid w:val="00C316AD"/>
    <w:rsid w:val="00C317A5"/>
    <w:rsid w:val="00C31C09"/>
    <w:rsid w:val="00C32116"/>
    <w:rsid w:val="00C32B77"/>
    <w:rsid w:val="00C34105"/>
    <w:rsid w:val="00C35588"/>
    <w:rsid w:val="00C35E85"/>
    <w:rsid w:val="00C3657A"/>
    <w:rsid w:val="00C4085C"/>
    <w:rsid w:val="00C42857"/>
    <w:rsid w:val="00C42F49"/>
    <w:rsid w:val="00C4314A"/>
    <w:rsid w:val="00C44052"/>
    <w:rsid w:val="00C44284"/>
    <w:rsid w:val="00C4460F"/>
    <w:rsid w:val="00C44937"/>
    <w:rsid w:val="00C45571"/>
    <w:rsid w:val="00C46ED3"/>
    <w:rsid w:val="00C4713C"/>
    <w:rsid w:val="00C4739F"/>
    <w:rsid w:val="00C475A7"/>
    <w:rsid w:val="00C479FB"/>
    <w:rsid w:val="00C501BD"/>
    <w:rsid w:val="00C50404"/>
    <w:rsid w:val="00C5112E"/>
    <w:rsid w:val="00C5358E"/>
    <w:rsid w:val="00C54D1A"/>
    <w:rsid w:val="00C552FE"/>
    <w:rsid w:val="00C55471"/>
    <w:rsid w:val="00C55BCA"/>
    <w:rsid w:val="00C57223"/>
    <w:rsid w:val="00C57AD0"/>
    <w:rsid w:val="00C60173"/>
    <w:rsid w:val="00C619CC"/>
    <w:rsid w:val="00C628D5"/>
    <w:rsid w:val="00C62F06"/>
    <w:rsid w:val="00C630BB"/>
    <w:rsid w:val="00C63787"/>
    <w:rsid w:val="00C649D1"/>
    <w:rsid w:val="00C64E88"/>
    <w:rsid w:val="00C659CB"/>
    <w:rsid w:val="00C65DCC"/>
    <w:rsid w:val="00C6636E"/>
    <w:rsid w:val="00C6697F"/>
    <w:rsid w:val="00C673E9"/>
    <w:rsid w:val="00C67D73"/>
    <w:rsid w:val="00C7079D"/>
    <w:rsid w:val="00C720AD"/>
    <w:rsid w:val="00C73484"/>
    <w:rsid w:val="00C73572"/>
    <w:rsid w:val="00C74150"/>
    <w:rsid w:val="00C75847"/>
    <w:rsid w:val="00C75A5F"/>
    <w:rsid w:val="00C76548"/>
    <w:rsid w:val="00C81063"/>
    <w:rsid w:val="00C81799"/>
    <w:rsid w:val="00C817DE"/>
    <w:rsid w:val="00C81943"/>
    <w:rsid w:val="00C81B75"/>
    <w:rsid w:val="00C82850"/>
    <w:rsid w:val="00C82EDA"/>
    <w:rsid w:val="00C83774"/>
    <w:rsid w:val="00C846F8"/>
    <w:rsid w:val="00C84ABA"/>
    <w:rsid w:val="00C85B23"/>
    <w:rsid w:val="00C86541"/>
    <w:rsid w:val="00C86A0C"/>
    <w:rsid w:val="00C87251"/>
    <w:rsid w:val="00C9357D"/>
    <w:rsid w:val="00C9405B"/>
    <w:rsid w:val="00C941C7"/>
    <w:rsid w:val="00C94A94"/>
    <w:rsid w:val="00C96C1A"/>
    <w:rsid w:val="00CA037A"/>
    <w:rsid w:val="00CA0F4F"/>
    <w:rsid w:val="00CA27CB"/>
    <w:rsid w:val="00CA45DC"/>
    <w:rsid w:val="00CA558D"/>
    <w:rsid w:val="00CA56A1"/>
    <w:rsid w:val="00CA64E3"/>
    <w:rsid w:val="00CB071B"/>
    <w:rsid w:val="00CB1286"/>
    <w:rsid w:val="00CB15D3"/>
    <w:rsid w:val="00CB1A81"/>
    <w:rsid w:val="00CB25BE"/>
    <w:rsid w:val="00CB2645"/>
    <w:rsid w:val="00CB346D"/>
    <w:rsid w:val="00CB3701"/>
    <w:rsid w:val="00CB52BB"/>
    <w:rsid w:val="00CB688D"/>
    <w:rsid w:val="00CB6979"/>
    <w:rsid w:val="00CB6A65"/>
    <w:rsid w:val="00CB6B9C"/>
    <w:rsid w:val="00CB7313"/>
    <w:rsid w:val="00CB7905"/>
    <w:rsid w:val="00CB7E5E"/>
    <w:rsid w:val="00CC1127"/>
    <w:rsid w:val="00CC1139"/>
    <w:rsid w:val="00CC11A3"/>
    <w:rsid w:val="00CC15F1"/>
    <w:rsid w:val="00CC1645"/>
    <w:rsid w:val="00CC1E61"/>
    <w:rsid w:val="00CC2B71"/>
    <w:rsid w:val="00CC310C"/>
    <w:rsid w:val="00CC380D"/>
    <w:rsid w:val="00CC48C1"/>
    <w:rsid w:val="00CC63BC"/>
    <w:rsid w:val="00CD01DB"/>
    <w:rsid w:val="00CD02F9"/>
    <w:rsid w:val="00CD2495"/>
    <w:rsid w:val="00CD36DF"/>
    <w:rsid w:val="00CD3A32"/>
    <w:rsid w:val="00CD4218"/>
    <w:rsid w:val="00CD4685"/>
    <w:rsid w:val="00CD477B"/>
    <w:rsid w:val="00CD4B64"/>
    <w:rsid w:val="00CD4B98"/>
    <w:rsid w:val="00CD5022"/>
    <w:rsid w:val="00CD5C97"/>
    <w:rsid w:val="00CD6924"/>
    <w:rsid w:val="00CE039D"/>
    <w:rsid w:val="00CE0F89"/>
    <w:rsid w:val="00CE1A6A"/>
    <w:rsid w:val="00CE1C73"/>
    <w:rsid w:val="00CE230A"/>
    <w:rsid w:val="00CE2418"/>
    <w:rsid w:val="00CE2DCA"/>
    <w:rsid w:val="00CE3536"/>
    <w:rsid w:val="00CE3B9C"/>
    <w:rsid w:val="00CE5DF4"/>
    <w:rsid w:val="00CE71E0"/>
    <w:rsid w:val="00CE7227"/>
    <w:rsid w:val="00CE7BE4"/>
    <w:rsid w:val="00CF0629"/>
    <w:rsid w:val="00CF17A0"/>
    <w:rsid w:val="00CF1B53"/>
    <w:rsid w:val="00CF212F"/>
    <w:rsid w:val="00CF21E4"/>
    <w:rsid w:val="00CF3424"/>
    <w:rsid w:val="00CF360F"/>
    <w:rsid w:val="00CF37C9"/>
    <w:rsid w:val="00CF52CA"/>
    <w:rsid w:val="00CF54C5"/>
    <w:rsid w:val="00CF5B59"/>
    <w:rsid w:val="00CF5E2B"/>
    <w:rsid w:val="00CF7C30"/>
    <w:rsid w:val="00D00139"/>
    <w:rsid w:val="00D00CD2"/>
    <w:rsid w:val="00D00D8A"/>
    <w:rsid w:val="00D00E50"/>
    <w:rsid w:val="00D02DB1"/>
    <w:rsid w:val="00D04359"/>
    <w:rsid w:val="00D0486A"/>
    <w:rsid w:val="00D048EE"/>
    <w:rsid w:val="00D052EF"/>
    <w:rsid w:val="00D0618E"/>
    <w:rsid w:val="00D07313"/>
    <w:rsid w:val="00D10FF4"/>
    <w:rsid w:val="00D1158C"/>
    <w:rsid w:val="00D1227E"/>
    <w:rsid w:val="00D132C4"/>
    <w:rsid w:val="00D136B3"/>
    <w:rsid w:val="00D13AF5"/>
    <w:rsid w:val="00D13C87"/>
    <w:rsid w:val="00D14E98"/>
    <w:rsid w:val="00D159B6"/>
    <w:rsid w:val="00D15A3A"/>
    <w:rsid w:val="00D16909"/>
    <w:rsid w:val="00D16ED8"/>
    <w:rsid w:val="00D1782A"/>
    <w:rsid w:val="00D20341"/>
    <w:rsid w:val="00D208AC"/>
    <w:rsid w:val="00D20DB8"/>
    <w:rsid w:val="00D2101E"/>
    <w:rsid w:val="00D21DCC"/>
    <w:rsid w:val="00D221B8"/>
    <w:rsid w:val="00D239B5"/>
    <w:rsid w:val="00D2456F"/>
    <w:rsid w:val="00D2524A"/>
    <w:rsid w:val="00D256B5"/>
    <w:rsid w:val="00D2686D"/>
    <w:rsid w:val="00D26E32"/>
    <w:rsid w:val="00D31223"/>
    <w:rsid w:val="00D317D9"/>
    <w:rsid w:val="00D319F0"/>
    <w:rsid w:val="00D32EA2"/>
    <w:rsid w:val="00D34291"/>
    <w:rsid w:val="00D34607"/>
    <w:rsid w:val="00D34E04"/>
    <w:rsid w:val="00D35A89"/>
    <w:rsid w:val="00D35C1A"/>
    <w:rsid w:val="00D36131"/>
    <w:rsid w:val="00D37E3B"/>
    <w:rsid w:val="00D40746"/>
    <w:rsid w:val="00D40834"/>
    <w:rsid w:val="00D41398"/>
    <w:rsid w:val="00D414D6"/>
    <w:rsid w:val="00D41B9B"/>
    <w:rsid w:val="00D429B3"/>
    <w:rsid w:val="00D43253"/>
    <w:rsid w:val="00D4329B"/>
    <w:rsid w:val="00D45D37"/>
    <w:rsid w:val="00D45E14"/>
    <w:rsid w:val="00D46213"/>
    <w:rsid w:val="00D46938"/>
    <w:rsid w:val="00D46EEF"/>
    <w:rsid w:val="00D47017"/>
    <w:rsid w:val="00D51302"/>
    <w:rsid w:val="00D5266C"/>
    <w:rsid w:val="00D5276E"/>
    <w:rsid w:val="00D5438C"/>
    <w:rsid w:val="00D54C22"/>
    <w:rsid w:val="00D54E0E"/>
    <w:rsid w:val="00D57130"/>
    <w:rsid w:val="00D5793F"/>
    <w:rsid w:val="00D60902"/>
    <w:rsid w:val="00D61E5C"/>
    <w:rsid w:val="00D625F7"/>
    <w:rsid w:val="00D6264C"/>
    <w:rsid w:val="00D638B2"/>
    <w:rsid w:val="00D63EEE"/>
    <w:rsid w:val="00D64221"/>
    <w:rsid w:val="00D6424F"/>
    <w:rsid w:val="00D6436E"/>
    <w:rsid w:val="00D66A45"/>
    <w:rsid w:val="00D66B12"/>
    <w:rsid w:val="00D70DC8"/>
    <w:rsid w:val="00D71505"/>
    <w:rsid w:val="00D71B88"/>
    <w:rsid w:val="00D71DAC"/>
    <w:rsid w:val="00D72074"/>
    <w:rsid w:val="00D73613"/>
    <w:rsid w:val="00D74125"/>
    <w:rsid w:val="00D7469B"/>
    <w:rsid w:val="00D74E4D"/>
    <w:rsid w:val="00D75F5C"/>
    <w:rsid w:val="00D81596"/>
    <w:rsid w:val="00D81A39"/>
    <w:rsid w:val="00D8270D"/>
    <w:rsid w:val="00D82B02"/>
    <w:rsid w:val="00D835A3"/>
    <w:rsid w:val="00D8438E"/>
    <w:rsid w:val="00D85D1A"/>
    <w:rsid w:val="00D85D8B"/>
    <w:rsid w:val="00D865A4"/>
    <w:rsid w:val="00D879CD"/>
    <w:rsid w:val="00D87CF5"/>
    <w:rsid w:val="00D9178F"/>
    <w:rsid w:val="00D917DB"/>
    <w:rsid w:val="00D91BD2"/>
    <w:rsid w:val="00D92069"/>
    <w:rsid w:val="00D926B1"/>
    <w:rsid w:val="00D92741"/>
    <w:rsid w:val="00D92792"/>
    <w:rsid w:val="00D9356B"/>
    <w:rsid w:val="00D93774"/>
    <w:rsid w:val="00D93CB7"/>
    <w:rsid w:val="00D943F9"/>
    <w:rsid w:val="00D947F3"/>
    <w:rsid w:val="00D9747A"/>
    <w:rsid w:val="00D974B3"/>
    <w:rsid w:val="00D97BC7"/>
    <w:rsid w:val="00DA0489"/>
    <w:rsid w:val="00DA06BC"/>
    <w:rsid w:val="00DA12F1"/>
    <w:rsid w:val="00DA4D10"/>
    <w:rsid w:val="00DA562C"/>
    <w:rsid w:val="00DA564E"/>
    <w:rsid w:val="00DA5C21"/>
    <w:rsid w:val="00DA7842"/>
    <w:rsid w:val="00DA7BC5"/>
    <w:rsid w:val="00DA7E7B"/>
    <w:rsid w:val="00DB0120"/>
    <w:rsid w:val="00DB0882"/>
    <w:rsid w:val="00DB0A38"/>
    <w:rsid w:val="00DB1052"/>
    <w:rsid w:val="00DB1D1C"/>
    <w:rsid w:val="00DB24BA"/>
    <w:rsid w:val="00DB3246"/>
    <w:rsid w:val="00DB639B"/>
    <w:rsid w:val="00DB67F6"/>
    <w:rsid w:val="00DB7D0D"/>
    <w:rsid w:val="00DC2505"/>
    <w:rsid w:val="00DC2DF6"/>
    <w:rsid w:val="00DC34E5"/>
    <w:rsid w:val="00DC368E"/>
    <w:rsid w:val="00DC4769"/>
    <w:rsid w:val="00DC70DE"/>
    <w:rsid w:val="00DC7FFD"/>
    <w:rsid w:val="00DD0796"/>
    <w:rsid w:val="00DD18E6"/>
    <w:rsid w:val="00DD1BC1"/>
    <w:rsid w:val="00DD269E"/>
    <w:rsid w:val="00DD28A0"/>
    <w:rsid w:val="00DD2A89"/>
    <w:rsid w:val="00DD30ED"/>
    <w:rsid w:val="00DD33BD"/>
    <w:rsid w:val="00DD58CA"/>
    <w:rsid w:val="00DD6747"/>
    <w:rsid w:val="00DD691F"/>
    <w:rsid w:val="00DD6D4B"/>
    <w:rsid w:val="00DD78C0"/>
    <w:rsid w:val="00DE244E"/>
    <w:rsid w:val="00DE26E7"/>
    <w:rsid w:val="00DE2A67"/>
    <w:rsid w:val="00DE2F5A"/>
    <w:rsid w:val="00DE3CE3"/>
    <w:rsid w:val="00DE426E"/>
    <w:rsid w:val="00DE4995"/>
    <w:rsid w:val="00DE5710"/>
    <w:rsid w:val="00DE5BB1"/>
    <w:rsid w:val="00DE6062"/>
    <w:rsid w:val="00DE6ADC"/>
    <w:rsid w:val="00DE7F9B"/>
    <w:rsid w:val="00DF0E04"/>
    <w:rsid w:val="00DF0EE3"/>
    <w:rsid w:val="00DF1751"/>
    <w:rsid w:val="00DF2114"/>
    <w:rsid w:val="00DF3004"/>
    <w:rsid w:val="00DF49E1"/>
    <w:rsid w:val="00DF4B88"/>
    <w:rsid w:val="00DF6DB8"/>
    <w:rsid w:val="00DF72DA"/>
    <w:rsid w:val="00E00E48"/>
    <w:rsid w:val="00E01FB6"/>
    <w:rsid w:val="00E03186"/>
    <w:rsid w:val="00E03488"/>
    <w:rsid w:val="00E035CC"/>
    <w:rsid w:val="00E036E3"/>
    <w:rsid w:val="00E04C43"/>
    <w:rsid w:val="00E04E2F"/>
    <w:rsid w:val="00E066B4"/>
    <w:rsid w:val="00E06E03"/>
    <w:rsid w:val="00E07B50"/>
    <w:rsid w:val="00E10147"/>
    <w:rsid w:val="00E10F7A"/>
    <w:rsid w:val="00E14579"/>
    <w:rsid w:val="00E146DA"/>
    <w:rsid w:val="00E147CD"/>
    <w:rsid w:val="00E14B3D"/>
    <w:rsid w:val="00E15174"/>
    <w:rsid w:val="00E155D5"/>
    <w:rsid w:val="00E15B0B"/>
    <w:rsid w:val="00E16EC9"/>
    <w:rsid w:val="00E171B1"/>
    <w:rsid w:val="00E174EA"/>
    <w:rsid w:val="00E176D0"/>
    <w:rsid w:val="00E17813"/>
    <w:rsid w:val="00E17906"/>
    <w:rsid w:val="00E17DFF"/>
    <w:rsid w:val="00E20B68"/>
    <w:rsid w:val="00E2164C"/>
    <w:rsid w:val="00E22B98"/>
    <w:rsid w:val="00E2388A"/>
    <w:rsid w:val="00E239B5"/>
    <w:rsid w:val="00E25452"/>
    <w:rsid w:val="00E25DC4"/>
    <w:rsid w:val="00E26A97"/>
    <w:rsid w:val="00E272DA"/>
    <w:rsid w:val="00E27CB8"/>
    <w:rsid w:val="00E31A68"/>
    <w:rsid w:val="00E31C83"/>
    <w:rsid w:val="00E31F82"/>
    <w:rsid w:val="00E32DB9"/>
    <w:rsid w:val="00E33060"/>
    <w:rsid w:val="00E33322"/>
    <w:rsid w:val="00E35488"/>
    <w:rsid w:val="00E3618E"/>
    <w:rsid w:val="00E3626F"/>
    <w:rsid w:val="00E37464"/>
    <w:rsid w:val="00E378C5"/>
    <w:rsid w:val="00E378DA"/>
    <w:rsid w:val="00E4113B"/>
    <w:rsid w:val="00E411A0"/>
    <w:rsid w:val="00E414E3"/>
    <w:rsid w:val="00E419B2"/>
    <w:rsid w:val="00E4378A"/>
    <w:rsid w:val="00E43C1E"/>
    <w:rsid w:val="00E44238"/>
    <w:rsid w:val="00E447C3"/>
    <w:rsid w:val="00E44BC6"/>
    <w:rsid w:val="00E4551B"/>
    <w:rsid w:val="00E4568B"/>
    <w:rsid w:val="00E45D69"/>
    <w:rsid w:val="00E469BF"/>
    <w:rsid w:val="00E47928"/>
    <w:rsid w:val="00E47A35"/>
    <w:rsid w:val="00E50E5F"/>
    <w:rsid w:val="00E5392A"/>
    <w:rsid w:val="00E555E6"/>
    <w:rsid w:val="00E565DC"/>
    <w:rsid w:val="00E57B8D"/>
    <w:rsid w:val="00E57CB3"/>
    <w:rsid w:val="00E6305B"/>
    <w:rsid w:val="00E64280"/>
    <w:rsid w:val="00E66F0B"/>
    <w:rsid w:val="00E67559"/>
    <w:rsid w:val="00E67A5F"/>
    <w:rsid w:val="00E721E4"/>
    <w:rsid w:val="00E722CA"/>
    <w:rsid w:val="00E72926"/>
    <w:rsid w:val="00E749D7"/>
    <w:rsid w:val="00E77AD7"/>
    <w:rsid w:val="00E77C6C"/>
    <w:rsid w:val="00E806A6"/>
    <w:rsid w:val="00E80D5F"/>
    <w:rsid w:val="00E80E69"/>
    <w:rsid w:val="00E80F91"/>
    <w:rsid w:val="00E81AED"/>
    <w:rsid w:val="00E81D72"/>
    <w:rsid w:val="00E8354D"/>
    <w:rsid w:val="00E8577E"/>
    <w:rsid w:val="00E8626C"/>
    <w:rsid w:val="00E863BE"/>
    <w:rsid w:val="00E86480"/>
    <w:rsid w:val="00E865EE"/>
    <w:rsid w:val="00E86983"/>
    <w:rsid w:val="00E871E4"/>
    <w:rsid w:val="00E87A1F"/>
    <w:rsid w:val="00E9027B"/>
    <w:rsid w:val="00E908A2"/>
    <w:rsid w:val="00E918AD"/>
    <w:rsid w:val="00E92572"/>
    <w:rsid w:val="00E92D8F"/>
    <w:rsid w:val="00E9348A"/>
    <w:rsid w:val="00E93569"/>
    <w:rsid w:val="00E94105"/>
    <w:rsid w:val="00E9433D"/>
    <w:rsid w:val="00E9523E"/>
    <w:rsid w:val="00E95586"/>
    <w:rsid w:val="00E95F46"/>
    <w:rsid w:val="00E97714"/>
    <w:rsid w:val="00E97ECB"/>
    <w:rsid w:val="00EA076A"/>
    <w:rsid w:val="00EA16A9"/>
    <w:rsid w:val="00EA2230"/>
    <w:rsid w:val="00EA22C6"/>
    <w:rsid w:val="00EA31C1"/>
    <w:rsid w:val="00EA3639"/>
    <w:rsid w:val="00EA4158"/>
    <w:rsid w:val="00EA6486"/>
    <w:rsid w:val="00EA6687"/>
    <w:rsid w:val="00EB005F"/>
    <w:rsid w:val="00EB3EB0"/>
    <w:rsid w:val="00EB5D6E"/>
    <w:rsid w:val="00EB618A"/>
    <w:rsid w:val="00EB633D"/>
    <w:rsid w:val="00EC0034"/>
    <w:rsid w:val="00EC2820"/>
    <w:rsid w:val="00EC2974"/>
    <w:rsid w:val="00EC2C32"/>
    <w:rsid w:val="00EC3EB4"/>
    <w:rsid w:val="00EC405B"/>
    <w:rsid w:val="00EC57F0"/>
    <w:rsid w:val="00EC592B"/>
    <w:rsid w:val="00EC596D"/>
    <w:rsid w:val="00EC5B8C"/>
    <w:rsid w:val="00EC61CF"/>
    <w:rsid w:val="00EC6B06"/>
    <w:rsid w:val="00EC6BA9"/>
    <w:rsid w:val="00EC6D48"/>
    <w:rsid w:val="00ED093E"/>
    <w:rsid w:val="00ED10F7"/>
    <w:rsid w:val="00ED2309"/>
    <w:rsid w:val="00ED620B"/>
    <w:rsid w:val="00ED686B"/>
    <w:rsid w:val="00ED7A79"/>
    <w:rsid w:val="00EE05D8"/>
    <w:rsid w:val="00EE067C"/>
    <w:rsid w:val="00EE0CE4"/>
    <w:rsid w:val="00EE1481"/>
    <w:rsid w:val="00EE2181"/>
    <w:rsid w:val="00EE22B5"/>
    <w:rsid w:val="00EE27B9"/>
    <w:rsid w:val="00EE4BAF"/>
    <w:rsid w:val="00EE57ED"/>
    <w:rsid w:val="00EE5939"/>
    <w:rsid w:val="00EE6195"/>
    <w:rsid w:val="00EE630B"/>
    <w:rsid w:val="00EE6D28"/>
    <w:rsid w:val="00EE76F3"/>
    <w:rsid w:val="00EE7849"/>
    <w:rsid w:val="00EE7FE4"/>
    <w:rsid w:val="00EF00B3"/>
    <w:rsid w:val="00EF03DC"/>
    <w:rsid w:val="00EF2445"/>
    <w:rsid w:val="00EF2FB4"/>
    <w:rsid w:val="00EF3034"/>
    <w:rsid w:val="00EF418B"/>
    <w:rsid w:val="00EF41CC"/>
    <w:rsid w:val="00EF74B2"/>
    <w:rsid w:val="00EF7BCA"/>
    <w:rsid w:val="00F00178"/>
    <w:rsid w:val="00F0152D"/>
    <w:rsid w:val="00F02026"/>
    <w:rsid w:val="00F03AE1"/>
    <w:rsid w:val="00F04B24"/>
    <w:rsid w:val="00F05E6D"/>
    <w:rsid w:val="00F063C0"/>
    <w:rsid w:val="00F06420"/>
    <w:rsid w:val="00F06B26"/>
    <w:rsid w:val="00F1217A"/>
    <w:rsid w:val="00F12428"/>
    <w:rsid w:val="00F129FC"/>
    <w:rsid w:val="00F12B3E"/>
    <w:rsid w:val="00F1445C"/>
    <w:rsid w:val="00F164C9"/>
    <w:rsid w:val="00F179EF"/>
    <w:rsid w:val="00F2048A"/>
    <w:rsid w:val="00F22B52"/>
    <w:rsid w:val="00F23FA7"/>
    <w:rsid w:val="00F248A3"/>
    <w:rsid w:val="00F24C03"/>
    <w:rsid w:val="00F2551E"/>
    <w:rsid w:val="00F25C9F"/>
    <w:rsid w:val="00F25E03"/>
    <w:rsid w:val="00F25F62"/>
    <w:rsid w:val="00F27C4D"/>
    <w:rsid w:val="00F31E36"/>
    <w:rsid w:val="00F33732"/>
    <w:rsid w:val="00F345AA"/>
    <w:rsid w:val="00F36243"/>
    <w:rsid w:val="00F37110"/>
    <w:rsid w:val="00F37771"/>
    <w:rsid w:val="00F37805"/>
    <w:rsid w:val="00F41468"/>
    <w:rsid w:val="00F43248"/>
    <w:rsid w:val="00F43904"/>
    <w:rsid w:val="00F44583"/>
    <w:rsid w:val="00F449F2"/>
    <w:rsid w:val="00F44ECC"/>
    <w:rsid w:val="00F44FD3"/>
    <w:rsid w:val="00F46846"/>
    <w:rsid w:val="00F4774C"/>
    <w:rsid w:val="00F5000C"/>
    <w:rsid w:val="00F50241"/>
    <w:rsid w:val="00F5059F"/>
    <w:rsid w:val="00F505AB"/>
    <w:rsid w:val="00F50708"/>
    <w:rsid w:val="00F508FD"/>
    <w:rsid w:val="00F50957"/>
    <w:rsid w:val="00F522E1"/>
    <w:rsid w:val="00F529A5"/>
    <w:rsid w:val="00F52FFD"/>
    <w:rsid w:val="00F536F8"/>
    <w:rsid w:val="00F545AD"/>
    <w:rsid w:val="00F56337"/>
    <w:rsid w:val="00F56F77"/>
    <w:rsid w:val="00F571A7"/>
    <w:rsid w:val="00F577FF"/>
    <w:rsid w:val="00F5789E"/>
    <w:rsid w:val="00F60666"/>
    <w:rsid w:val="00F60FEB"/>
    <w:rsid w:val="00F62154"/>
    <w:rsid w:val="00F62E47"/>
    <w:rsid w:val="00F63557"/>
    <w:rsid w:val="00F64E94"/>
    <w:rsid w:val="00F660BF"/>
    <w:rsid w:val="00F66825"/>
    <w:rsid w:val="00F67286"/>
    <w:rsid w:val="00F67CC2"/>
    <w:rsid w:val="00F67FBE"/>
    <w:rsid w:val="00F714AA"/>
    <w:rsid w:val="00F71A33"/>
    <w:rsid w:val="00F71DEF"/>
    <w:rsid w:val="00F73D06"/>
    <w:rsid w:val="00F7535D"/>
    <w:rsid w:val="00F7559A"/>
    <w:rsid w:val="00F75A2D"/>
    <w:rsid w:val="00F7646A"/>
    <w:rsid w:val="00F7708B"/>
    <w:rsid w:val="00F77409"/>
    <w:rsid w:val="00F77E16"/>
    <w:rsid w:val="00F8068E"/>
    <w:rsid w:val="00F8097B"/>
    <w:rsid w:val="00F8159E"/>
    <w:rsid w:val="00F81850"/>
    <w:rsid w:val="00F829BA"/>
    <w:rsid w:val="00F82F27"/>
    <w:rsid w:val="00F83088"/>
    <w:rsid w:val="00F84AE8"/>
    <w:rsid w:val="00F84BEA"/>
    <w:rsid w:val="00F86236"/>
    <w:rsid w:val="00F86963"/>
    <w:rsid w:val="00F86DBE"/>
    <w:rsid w:val="00F86F13"/>
    <w:rsid w:val="00F8763B"/>
    <w:rsid w:val="00F876C9"/>
    <w:rsid w:val="00F90C01"/>
    <w:rsid w:val="00F90D0F"/>
    <w:rsid w:val="00F9100B"/>
    <w:rsid w:val="00F920D8"/>
    <w:rsid w:val="00F92B16"/>
    <w:rsid w:val="00F93956"/>
    <w:rsid w:val="00F93E87"/>
    <w:rsid w:val="00F94844"/>
    <w:rsid w:val="00F948D2"/>
    <w:rsid w:val="00FA27A4"/>
    <w:rsid w:val="00FA2B6D"/>
    <w:rsid w:val="00FA2C3B"/>
    <w:rsid w:val="00FA2DB4"/>
    <w:rsid w:val="00FA2EB2"/>
    <w:rsid w:val="00FA6692"/>
    <w:rsid w:val="00FA6D12"/>
    <w:rsid w:val="00FA7554"/>
    <w:rsid w:val="00FA7E12"/>
    <w:rsid w:val="00FB0830"/>
    <w:rsid w:val="00FB1354"/>
    <w:rsid w:val="00FB1718"/>
    <w:rsid w:val="00FB2464"/>
    <w:rsid w:val="00FB29FC"/>
    <w:rsid w:val="00FB2BF9"/>
    <w:rsid w:val="00FB385A"/>
    <w:rsid w:val="00FB394A"/>
    <w:rsid w:val="00FB4046"/>
    <w:rsid w:val="00FB44E5"/>
    <w:rsid w:val="00FB47E5"/>
    <w:rsid w:val="00FB518F"/>
    <w:rsid w:val="00FB7114"/>
    <w:rsid w:val="00FB75F3"/>
    <w:rsid w:val="00FB78E7"/>
    <w:rsid w:val="00FC0A4E"/>
    <w:rsid w:val="00FC0FC2"/>
    <w:rsid w:val="00FC2A7F"/>
    <w:rsid w:val="00FC3210"/>
    <w:rsid w:val="00FC4322"/>
    <w:rsid w:val="00FC507A"/>
    <w:rsid w:val="00FC5862"/>
    <w:rsid w:val="00FC649C"/>
    <w:rsid w:val="00FC64E5"/>
    <w:rsid w:val="00FD0DD4"/>
    <w:rsid w:val="00FD2195"/>
    <w:rsid w:val="00FD49A8"/>
    <w:rsid w:val="00FD51C5"/>
    <w:rsid w:val="00FD60E2"/>
    <w:rsid w:val="00FD79EB"/>
    <w:rsid w:val="00FE04FB"/>
    <w:rsid w:val="00FE19B3"/>
    <w:rsid w:val="00FE251D"/>
    <w:rsid w:val="00FE4E22"/>
    <w:rsid w:val="00FE56F7"/>
    <w:rsid w:val="00FE5E06"/>
    <w:rsid w:val="00FF00C4"/>
    <w:rsid w:val="00FF0CB6"/>
    <w:rsid w:val="00FF0DA2"/>
    <w:rsid w:val="00FF1147"/>
    <w:rsid w:val="00FF2D1E"/>
    <w:rsid w:val="00FF2D6C"/>
    <w:rsid w:val="00FF2F3E"/>
    <w:rsid w:val="00FF3335"/>
    <w:rsid w:val="00FF4CAD"/>
    <w:rsid w:val="00FF5D2B"/>
    <w:rsid w:val="00FF7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fillcolor="white">
      <v:fill color="white"/>
    </o:shapedefaults>
    <o:shapelayout v:ext="edit">
      <o:idmap v:ext="edit" data="2"/>
    </o:shapelayout>
  </w:shapeDefaults>
  <w:decimalSymbol w:val="."/>
  <w:listSeparator w:val=","/>
  <w14:docId w14:val="7ABB6E4C"/>
  <w15:docId w15:val="{3415CD16-053B-5B46-87AE-CC8D24F1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59"/>
    <w:pPr>
      <w:spacing w:after="200" w:line="276" w:lineRule="auto"/>
    </w:pPr>
    <w:rPr>
      <w:sz w:val="22"/>
      <w:szCs w:val="22"/>
    </w:rPr>
  </w:style>
  <w:style w:type="paragraph" w:styleId="Heading1">
    <w:name w:val="heading 1"/>
    <w:basedOn w:val="Normal"/>
    <w:next w:val="Normal"/>
    <w:link w:val="Heading1Char"/>
    <w:qFormat/>
    <w:rsid w:val="00CF5B59"/>
    <w:pPr>
      <w:keepNext/>
      <w:spacing w:before="360" w:after="240" w:line="360" w:lineRule="auto"/>
      <w:jc w:val="both"/>
      <w:outlineLvl w:val="0"/>
    </w:pPr>
    <w:rPr>
      <w:rFonts w:ascii="Times New Roman" w:hAnsi="Times New Roman"/>
      <w:sz w:val="24"/>
      <w:szCs w:val="20"/>
    </w:rPr>
  </w:style>
  <w:style w:type="paragraph" w:styleId="Heading2">
    <w:name w:val="heading 2"/>
    <w:basedOn w:val="Normal"/>
    <w:next w:val="Normal"/>
    <w:link w:val="Heading2Char"/>
    <w:uiPriority w:val="9"/>
    <w:unhideWhenUsed/>
    <w:qFormat/>
    <w:rsid w:val="00CE2418"/>
    <w:pPr>
      <w:keepNext/>
      <w:keepLines/>
      <w:tabs>
        <w:tab w:val="left" w:pos="567"/>
      </w:tabs>
      <w:spacing w:before="360" w:after="240" w:line="360" w:lineRule="auto"/>
      <w:jc w:val="both"/>
      <w:outlineLvl w:val="1"/>
    </w:pPr>
    <w:rPr>
      <w:rFonts w:ascii="Times New Roman" w:hAnsi="Times New Roman"/>
      <w:b/>
      <w:bCs/>
      <w:color w:val="000000" w:themeColor="text1"/>
      <w:sz w:val="24"/>
      <w:szCs w:val="26"/>
    </w:rPr>
  </w:style>
  <w:style w:type="paragraph" w:styleId="Heading3">
    <w:name w:val="heading 3"/>
    <w:basedOn w:val="Normal"/>
    <w:next w:val="Normal"/>
    <w:link w:val="Heading3Char"/>
    <w:uiPriority w:val="9"/>
    <w:unhideWhenUsed/>
    <w:qFormat/>
    <w:rsid w:val="00CF5B59"/>
    <w:pPr>
      <w:keepNext/>
      <w:keepLines/>
      <w:spacing w:before="360" w:after="240" w:line="360" w:lineRule="auto"/>
      <w:jc w:val="both"/>
      <w:outlineLvl w:val="2"/>
    </w:pPr>
    <w:rPr>
      <w:rFonts w:ascii="Times New Roman" w:hAnsi="Times New Roman"/>
      <w:b/>
      <w:bCs/>
      <w:color w:val="000000" w:themeColor="text1"/>
      <w:sz w:val="24"/>
    </w:rPr>
  </w:style>
  <w:style w:type="paragraph" w:styleId="Heading4">
    <w:name w:val="heading 4"/>
    <w:basedOn w:val="Normal"/>
    <w:next w:val="Normal"/>
    <w:link w:val="Heading4Char"/>
    <w:uiPriority w:val="9"/>
    <w:unhideWhenUsed/>
    <w:qFormat/>
    <w:rsid w:val="00CE2418"/>
    <w:pPr>
      <w:keepNext/>
      <w:keepLines/>
      <w:tabs>
        <w:tab w:val="left" w:pos="567"/>
      </w:tabs>
      <w:spacing w:before="360" w:after="240" w:line="360" w:lineRule="auto"/>
      <w:outlineLvl w:val="3"/>
    </w:pPr>
    <w:rPr>
      <w:rFonts w:ascii="Times New Roman" w:hAnsi="Times New Roman"/>
      <w:b/>
      <w:bCs/>
      <w:color w:val="000000" w:themeColor="text1"/>
      <w:sz w:val="24"/>
      <w:szCs w:val="24"/>
    </w:rPr>
  </w:style>
  <w:style w:type="paragraph" w:styleId="Heading5">
    <w:name w:val="heading 5"/>
    <w:basedOn w:val="Normal"/>
    <w:next w:val="Normal"/>
    <w:link w:val="Heading5Char"/>
    <w:uiPriority w:val="9"/>
    <w:unhideWhenUsed/>
    <w:qFormat/>
    <w:rsid w:val="00CF5B59"/>
    <w:pPr>
      <w:keepNext/>
      <w:keepLines/>
      <w:spacing w:before="360" w:after="240" w:line="360" w:lineRule="auto"/>
      <w:outlineLvl w:val="4"/>
    </w:pPr>
    <w:rPr>
      <w:rFonts w:ascii="Times New Roman" w:eastAsiaTheme="minorEastAsia" w:hAnsi="Times New Roman"/>
      <w:b/>
      <w:bCs/>
      <w:color w:val="000000" w:themeColor="text1"/>
      <w:sz w:val="24"/>
      <w:szCs w:val="24"/>
    </w:rPr>
  </w:style>
  <w:style w:type="paragraph" w:styleId="Heading6">
    <w:name w:val="heading 6"/>
    <w:aliases w:val="Şekil"/>
    <w:basedOn w:val="Normal"/>
    <w:next w:val="Normal"/>
    <w:link w:val="Heading6Char"/>
    <w:uiPriority w:val="9"/>
    <w:unhideWhenUsed/>
    <w:qFormat/>
    <w:rsid w:val="00CF5B59"/>
    <w:pPr>
      <w:widowControl w:val="0"/>
      <w:spacing w:before="240" w:after="360" w:line="240" w:lineRule="auto"/>
      <w:jc w:val="center"/>
      <w:outlineLvl w:val="5"/>
    </w:pPr>
    <w:rPr>
      <w:rFonts w:ascii="Times New Roman" w:eastAsiaTheme="minorEastAsia" w:hAnsi="Times New Roman"/>
      <w:bCs/>
      <w:color w:val="000000" w:themeColor="text1"/>
      <w:sz w:val="24"/>
      <w:szCs w:val="24"/>
    </w:rPr>
  </w:style>
  <w:style w:type="paragraph" w:styleId="Heading7">
    <w:name w:val="heading 7"/>
    <w:aliases w:val="Grafik"/>
    <w:basedOn w:val="Normal"/>
    <w:next w:val="Normal"/>
    <w:link w:val="Heading7Char"/>
    <w:uiPriority w:val="9"/>
    <w:unhideWhenUsed/>
    <w:qFormat/>
    <w:rsid w:val="00CF5B59"/>
    <w:pPr>
      <w:widowControl w:val="0"/>
      <w:spacing w:before="240" w:after="360" w:line="240" w:lineRule="auto"/>
      <w:jc w:val="center"/>
      <w:outlineLvl w:val="6"/>
    </w:pPr>
    <w:rPr>
      <w:rFonts w:ascii="Times New Roman" w:eastAsiaTheme="majorEastAsia" w:hAnsi="Times New Roman" w:cstheme="majorBidi"/>
      <w:iCs/>
      <w:color w:val="000000" w:themeColor="text1"/>
      <w:sz w:val="24"/>
    </w:rPr>
  </w:style>
  <w:style w:type="paragraph" w:styleId="Heading8">
    <w:name w:val="heading 8"/>
    <w:basedOn w:val="Normal"/>
    <w:next w:val="Normal"/>
    <w:link w:val="Heading8Char"/>
    <w:uiPriority w:val="9"/>
    <w:unhideWhenUsed/>
    <w:qFormat/>
    <w:rsid w:val="00CF5B59"/>
    <w:pPr>
      <w:keepNext/>
      <w:keepLines/>
      <w:spacing w:before="360" w:after="240" w:line="240" w:lineRule="auto"/>
      <w:jc w:val="both"/>
      <w:outlineLvl w:val="7"/>
    </w:pPr>
    <w:rPr>
      <w:rFonts w:ascii="Times New Roman" w:hAnsi="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B59"/>
    <w:rPr>
      <w:rFonts w:ascii="Times New Roman" w:hAnsi="Times New Roman"/>
      <w:sz w:val="24"/>
    </w:rPr>
  </w:style>
  <w:style w:type="character" w:customStyle="1" w:styleId="Heading2Char">
    <w:name w:val="Heading 2 Char"/>
    <w:basedOn w:val="DefaultParagraphFont"/>
    <w:link w:val="Heading2"/>
    <w:uiPriority w:val="9"/>
    <w:rsid w:val="00CE2418"/>
    <w:rPr>
      <w:rFonts w:ascii="Times New Roman" w:hAnsi="Times New Roman"/>
      <w:b/>
      <w:bCs/>
      <w:color w:val="000000" w:themeColor="text1"/>
      <w:sz w:val="24"/>
      <w:szCs w:val="26"/>
    </w:rPr>
  </w:style>
  <w:style w:type="character" w:customStyle="1" w:styleId="Heading3Char">
    <w:name w:val="Heading 3 Char"/>
    <w:basedOn w:val="DefaultParagraphFont"/>
    <w:link w:val="Heading3"/>
    <w:uiPriority w:val="9"/>
    <w:rsid w:val="00CF5B59"/>
    <w:rPr>
      <w:rFonts w:ascii="Times New Roman" w:hAnsi="Times New Roman"/>
      <w:b/>
      <w:bCs/>
      <w:color w:val="000000" w:themeColor="text1"/>
      <w:sz w:val="24"/>
      <w:szCs w:val="22"/>
    </w:rPr>
  </w:style>
  <w:style w:type="character" w:customStyle="1" w:styleId="Heading4Char">
    <w:name w:val="Heading 4 Char"/>
    <w:basedOn w:val="DefaultParagraphFont"/>
    <w:link w:val="Heading4"/>
    <w:uiPriority w:val="9"/>
    <w:rsid w:val="00CE2418"/>
    <w:rPr>
      <w:rFonts w:ascii="Times New Roman" w:hAnsi="Times New Roman"/>
      <w:b/>
      <w:bCs/>
      <w:color w:val="000000" w:themeColor="text1"/>
      <w:sz w:val="24"/>
      <w:szCs w:val="24"/>
    </w:rPr>
  </w:style>
  <w:style w:type="character" w:customStyle="1" w:styleId="Heading5Char">
    <w:name w:val="Heading 5 Char"/>
    <w:basedOn w:val="DefaultParagraphFont"/>
    <w:link w:val="Heading5"/>
    <w:uiPriority w:val="9"/>
    <w:rsid w:val="00CF5B59"/>
    <w:rPr>
      <w:rFonts w:ascii="Times New Roman" w:eastAsiaTheme="minorEastAsia" w:hAnsi="Times New Roman"/>
      <w:b/>
      <w:bCs/>
      <w:color w:val="000000" w:themeColor="text1"/>
      <w:sz w:val="24"/>
      <w:szCs w:val="24"/>
    </w:rPr>
  </w:style>
  <w:style w:type="character" w:customStyle="1" w:styleId="Heading6Char">
    <w:name w:val="Heading 6 Char"/>
    <w:aliases w:val="Şekil Char"/>
    <w:basedOn w:val="DefaultParagraphFont"/>
    <w:link w:val="Heading6"/>
    <w:uiPriority w:val="9"/>
    <w:rsid w:val="00CF5B59"/>
    <w:rPr>
      <w:rFonts w:ascii="Times New Roman" w:eastAsiaTheme="minorEastAsia" w:hAnsi="Times New Roman"/>
      <w:bCs/>
      <w:color w:val="000000" w:themeColor="text1"/>
      <w:sz w:val="24"/>
      <w:szCs w:val="24"/>
    </w:rPr>
  </w:style>
  <w:style w:type="character" w:customStyle="1" w:styleId="Heading8Char">
    <w:name w:val="Heading 8 Char"/>
    <w:basedOn w:val="DefaultParagraphFont"/>
    <w:link w:val="Heading8"/>
    <w:uiPriority w:val="9"/>
    <w:rsid w:val="00CF5B59"/>
    <w:rPr>
      <w:rFonts w:ascii="Times New Roman" w:hAnsi="Times New Roman"/>
      <w:color w:val="000000" w:themeColor="text1"/>
      <w:sz w:val="24"/>
    </w:rPr>
  </w:style>
  <w:style w:type="character" w:styleId="PlaceholderText">
    <w:name w:val="Placeholder Text"/>
    <w:basedOn w:val="DefaultParagraphFont"/>
    <w:uiPriority w:val="99"/>
    <w:semiHidden/>
    <w:rsid w:val="00D136B3"/>
    <w:rPr>
      <w:color w:val="808080"/>
    </w:rPr>
  </w:style>
  <w:style w:type="paragraph" w:styleId="BalloonText">
    <w:name w:val="Balloon Text"/>
    <w:basedOn w:val="Normal"/>
    <w:link w:val="BalloonTextChar"/>
    <w:uiPriority w:val="99"/>
    <w:semiHidden/>
    <w:unhideWhenUsed/>
    <w:rsid w:val="00D13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3"/>
    <w:rPr>
      <w:rFonts w:ascii="Tahoma" w:hAnsi="Tahoma" w:cs="Tahoma"/>
      <w:sz w:val="16"/>
      <w:szCs w:val="16"/>
    </w:rPr>
  </w:style>
  <w:style w:type="paragraph" w:styleId="Header">
    <w:name w:val="header"/>
    <w:basedOn w:val="Normal"/>
    <w:link w:val="HeaderChar"/>
    <w:uiPriority w:val="99"/>
    <w:unhideWhenUsed/>
    <w:rsid w:val="00594F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4F57"/>
  </w:style>
  <w:style w:type="paragraph" w:styleId="Footer">
    <w:name w:val="footer"/>
    <w:basedOn w:val="Normal"/>
    <w:link w:val="FooterChar"/>
    <w:uiPriority w:val="99"/>
    <w:unhideWhenUsed/>
    <w:rsid w:val="00594F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4F57"/>
  </w:style>
  <w:style w:type="paragraph" w:styleId="FootnoteText">
    <w:name w:val="footnote text"/>
    <w:basedOn w:val="Normal"/>
    <w:link w:val="FootnoteTextChar"/>
    <w:unhideWhenUsed/>
    <w:rsid w:val="00594F57"/>
    <w:pPr>
      <w:spacing w:after="0" w:line="240" w:lineRule="auto"/>
    </w:pPr>
    <w:rPr>
      <w:sz w:val="20"/>
      <w:szCs w:val="20"/>
    </w:rPr>
  </w:style>
  <w:style w:type="character" w:customStyle="1" w:styleId="FootnoteTextChar">
    <w:name w:val="Footnote Text Char"/>
    <w:basedOn w:val="DefaultParagraphFont"/>
    <w:link w:val="FootnoteText"/>
    <w:rsid w:val="00594F57"/>
    <w:rPr>
      <w:sz w:val="20"/>
      <w:szCs w:val="20"/>
    </w:rPr>
  </w:style>
  <w:style w:type="character" w:styleId="FootnoteReference">
    <w:name w:val="footnote reference"/>
    <w:basedOn w:val="DefaultParagraphFont"/>
    <w:semiHidden/>
    <w:unhideWhenUsed/>
    <w:rsid w:val="00594F57"/>
    <w:rPr>
      <w:vertAlign w:val="superscript"/>
    </w:rPr>
  </w:style>
  <w:style w:type="table" w:styleId="TableGrid">
    <w:name w:val="Table Grid"/>
    <w:basedOn w:val="TableNormal"/>
    <w:rsid w:val="000D4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2C0FBC"/>
    <w:pPr>
      <w:spacing w:before="60" w:after="60" w:line="360" w:lineRule="auto"/>
      <w:ind w:firstLine="360"/>
      <w:jc w:val="both"/>
    </w:pPr>
    <w:rPr>
      <w:rFonts w:ascii="Times New Roman" w:hAnsi="Times New Roman"/>
      <w:sz w:val="18"/>
      <w:szCs w:val="24"/>
    </w:rPr>
  </w:style>
  <w:style w:type="character" w:customStyle="1" w:styleId="BodyTextIndent2Char">
    <w:name w:val="Body Text Indent 2 Char"/>
    <w:basedOn w:val="DefaultParagraphFont"/>
    <w:link w:val="BodyTextIndent2"/>
    <w:rsid w:val="002C0FBC"/>
    <w:rPr>
      <w:rFonts w:ascii="Times New Roman" w:eastAsia="Times New Roman" w:hAnsi="Times New Roman" w:cs="Times New Roman"/>
      <w:sz w:val="18"/>
      <w:szCs w:val="24"/>
      <w:lang w:eastAsia="tr-TR"/>
    </w:rPr>
  </w:style>
  <w:style w:type="character" w:customStyle="1" w:styleId="apple-converted-space">
    <w:name w:val="apple-converted-space"/>
    <w:basedOn w:val="DefaultParagraphFont"/>
    <w:rsid w:val="00AF7F3B"/>
  </w:style>
  <w:style w:type="character" w:styleId="Hyperlink">
    <w:name w:val="Hyperlink"/>
    <w:basedOn w:val="DefaultParagraphFont"/>
    <w:uiPriority w:val="99"/>
    <w:unhideWhenUsed/>
    <w:rsid w:val="00AF7F3B"/>
    <w:rPr>
      <w:color w:val="0000FF"/>
      <w:u w:val="single"/>
    </w:rPr>
  </w:style>
  <w:style w:type="paragraph" w:customStyle="1" w:styleId="TezMetni15Satr">
    <w:name w:val="Tez Metni_1.5 Satır"/>
    <w:basedOn w:val="Normal"/>
    <w:rsid w:val="00E871E4"/>
    <w:pPr>
      <w:spacing w:after="0" w:line="360" w:lineRule="auto"/>
      <w:ind w:firstLine="709"/>
      <w:jc w:val="both"/>
    </w:pPr>
    <w:rPr>
      <w:rFonts w:ascii="Times New Roman" w:hAnsi="Times New Roman"/>
      <w:sz w:val="24"/>
      <w:szCs w:val="24"/>
    </w:rPr>
  </w:style>
  <w:style w:type="character" w:styleId="LineNumber">
    <w:name w:val="line number"/>
    <w:basedOn w:val="DefaultParagraphFont"/>
    <w:uiPriority w:val="99"/>
    <w:semiHidden/>
    <w:unhideWhenUsed/>
    <w:rsid w:val="001538BA"/>
  </w:style>
  <w:style w:type="paragraph" w:customStyle="1" w:styleId="Default">
    <w:name w:val="Default"/>
    <w:rsid w:val="00E4378A"/>
    <w:pPr>
      <w:autoSpaceDE w:val="0"/>
      <w:autoSpaceDN w:val="0"/>
      <w:adjustRightInd w:val="0"/>
    </w:pPr>
    <w:rPr>
      <w:rFonts w:ascii="Times New Roman" w:hAnsi="Times New Roman"/>
      <w:color w:val="000000"/>
      <w:sz w:val="24"/>
      <w:szCs w:val="24"/>
    </w:rPr>
  </w:style>
  <w:style w:type="character" w:customStyle="1" w:styleId="Gvdemetni2">
    <w:name w:val="Gövde metni (2)_"/>
    <w:link w:val="Gvdemetni20"/>
    <w:rsid w:val="00E4378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4378A"/>
    <w:pPr>
      <w:widowControl w:val="0"/>
      <w:shd w:val="clear" w:color="auto" w:fill="FFFFFF"/>
      <w:spacing w:after="0" w:line="418" w:lineRule="exact"/>
      <w:ind w:hanging="360"/>
      <w:jc w:val="both"/>
    </w:pPr>
    <w:rPr>
      <w:rFonts w:ascii="Times New Roman" w:hAnsi="Times New Roman"/>
      <w:sz w:val="20"/>
      <w:szCs w:val="20"/>
    </w:rPr>
  </w:style>
  <w:style w:type="character" w:customStyle="1" w:styleId="Gvdemetni12">
    <w:name w:val="Gövde metni (12)_"/>
    <w:link w:val="Gvdemetni120"/>
    <w:rsid w:val="00E4378A"/>
    <w:rPr>
      <w:rFonts w:ascii="Courier New" w:eastAsia="Courier New" w:hAnsi="Courier New" w:cs="Courier New"/>
      <w:b/>
      <w:bCs/>
      <w:sz w:val="21"/>
      <w:szCs w:val="21"/>
      <w:shd w:val="clear" w:color="auto" w:fill="FFFFFF"/>
    </w:rPr>
  </w:style>
  <w:style w:type="paragraph" w:customStyle="1" w:styleId="Gvdemetni120">
    <w:name w:val="Gövde metni (12)"/>
    <w:basedOn w:val="Normal"/>
    <w:link w:val="Gvdemetni12"/>
    <w:rsid w:val="00E4378A"/>
    <w:pPr>
      <w:widowControl w:val="0"/>
      <w:shd w:val="clear" w:color="auto" w:fill="FFFFFF"/>
      <w:spacing w:after="0" w:line="0" w:lineRule="atLeast"/>
    </w:pPr>
    <w:rPr>
      <w:rFonts w:ascii="Courier New" w:eastAsia="Courier New" w:hAnsi="Courier New"/>
      <w:b/>
      <w:bCs/>
      <w:sz w:val="21"/>
      <w:szCs w:val="21"/>
    </w:rPr>
  </w:style>
  <w:style w:type="character" w:customStyle="1" w:styleId="Dipnot">
    <w:name w:val="Dipnot_"/>
    <w:link w:val="Dipnot0"/>
    <w:rsid w:val="00E4378A"/>
    <w:rPr>
      <w:rFonts w:ascii="Times New Roman" w:eastAsia="Times New Roman" w:hAnsi="Times New Roman" w:cs="Times New Roman"/>
      <w:b/>
      <w:bCs/>
      <w:sz w:val="19"/>
      <w:szCs w:val="19"/>
      <w:shd w:val="clear" w:color="auto" w:fill="FFFFFF"/>
    </w:rPr>
  </w:style>
  <w:style w:type="paragraph" w:customStyle="1" w:styleId="Dipnot0">
    <w:name w:val="Dipnot"/>
    <w:basedOn w:val="Normal"/>
    <w:link w:val="Dipnot"/>
    <w:rsid w:val="00E4378A"/>
    <w:pPr>
      <w:widowControl w:val="0"/>
      <w:shd w:val="clear" w:color="auto" w:fill="FFFFFF"/>
      <w:spacing w:after="0" w:line="0" w:lineRule="atLeast"/>
      <w:jc w:val="center"/>
    </w:pPr>
    <w:rPr>
      <w:rFonts w:ascii="Times New Roman" w:hAnsi="Times New Roman"/>
      <w:b/>
      <w:bCs/>
      <w:sz w:val="19"/>
      <w:szCs w:val="19"/>
    </w:rPr>
  </w:style>
  <w:style w:type="character" w:customStyle="1" w:styleId="Gvdemetni212pttalik">
    <w:name w:val="Gövde metni (2) + 12 pt;İtalik"/>
    <w:rsid w:val="00E4378A"/>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DipnotKaln0ptbolukbraklyor">
    <w:name w:val="Dipnot + Kalın;0 pt boşluk bırakılıyor"/>
    <w:rsid w:val="00E4378A"/>
    <w:rPr>
      <w:rFonts w:ascii="Garamond" w:eastAsia="Garamond" w:hAnsi="Garamond" w:cs="Garamond"/>
      <w:b/>
      <w:bCs/>
      <w:i w:val="0"/>
      <w:iCs w:val="0"/>
      <w:smallCaps w:val="0"/>
      <w:strike w:val="0"/>
      <w:color w:val="000000"/>
      <w:spacing w:val="0"/>
      <w:w w:val="100"/>
      <w:position w:val="0"/>
      <w:sz w:val="19"/>
      <w:szCs w:val="19"/>
      <w:u w:val="none"/>
      <w:lang w:val="tr-TR" w:eastAsia="tr-TR" w:bidi="tr-TR"/>
    </w:rPr>
  </w:style>
  <w:style w:type="character" w:customStyle="1" w:styleId="Dipnot0ptbolukbraklyor">
    <w:name w:val="Dipnot + 0 pt boşluk bırakılıyor"/>
    <w:rsid w:val="00E4378A"/>
    <w:rPr>
      <w:rFonts w:ascii="Garamond" w:eastAsia="Garamond" w:hAnsi="Garamond" w:cs="Garamond"/>
      <w:b w:val="0"/>
      <w:bCs w:val="0"/>
      <w:i w:val="0"/>
      <w:iCs w:val="0"/>
      <w:smallCaps w:val="0"/>
      <w:strike w:val="0"/>
      <w:color w:val="000000"/>
      <w:spacing w:val="0"/>
      <w:w w:val="100"/>
      <w:position w:val="0"/>
      <w:sz w:val="19"/>
      <w:szCs w:val="19"/>
      <w:u w:val="none"/>
      <w:lang w:val="tr-TR" w:eastAsia="tr-TR" w:bidi="tr-TR"/>
    </w:rPr>
  </w:style>
  <w:style w:type="character" w:customStyle="1" w:styleId="Gvdemetni2talik0ptbolukbraklyor">
    <w:name w:val="Gövde metni (2) + İtalik;0 pt boşluk bırakılıyor"/>
    <w:rsid w:val="00E4378A"/>
    <w:rPr>
      <w:rFonts w:ascii="Garamond" w:eastAsia="Garamond" w:hAnsi="Garamond" w:cs="Garamond"/>
      <w:b w:val="0"/>
      <w:bCs w:val="0"/>
      <w:i/>
      <w:iCs/>
      <w:smallCaps w:val="0"/>
      <w:strike w:val="0"/>
      <w:color w:val="000000"/>
      <w:spacing w:val="-10"/>
      <w:w w:val="100"/>
      <w:position w:val="0"/>
      <w:sz w:val="24"/>
      <w:szCs w:val="24"/>
      <w:u w:val="none"/>
      <w:lang w:val="tr-TR" w:eastAsia="tr-TR" w:bidi="tr-TR"/>
    </w:rPr>
  </w:style>
  <w:style w:type="character" w:styleId="CommentReference">
    <w:name w:val="annotation reference"/>
    <w:basedOn w:val="DefaultParagraphFont"/>
    <w:uiPriority w:val="99"/>
    <w:semiHidden/>
    <w:unhideWhenUsed/>
    <w:rsid w:val="00E4378A"/>
    <w:rPr>
      <w:sz w:val="16"/>
      <w:szCs w:val="16"/>
    </w:rPr>
  </w:style>
  <w:style w:type="paragraph" w:styleId="CommentText">
    <w:name w:val="annotation text"/>
    <w:basedOn w:val="Normal"/>
    <w:link w:val="CommentTextChar"/>
    <w:uiPriority w:val="99"/>
    <w:semiHidden/>
    <w:unhideWhenUsed/>
    <w:rsid w:val="00E4378A"/>
    <w:pPr>
      <w:spacing w:line="240" w:lineRule="auto"/>
    </w:pPr>
    <w:rPr>
      <w:sz w:val="20"/>
      <w:szCs w:val="20"/>
    </w:rPr>
  </w:style>
  <w:style w:type="character" w:customStyle="1" w:styleId="CommentTextChar">
    <w:name w:val="Comment Text Char"/>
    <w:basedOn w:val="DefaultParagraphFont"/>
    <w:link w:val="CommentText"/>
    <w:uiPriority w:val="99"/>
    <w:semiHidden/>
    <w:rsid w:val="00E4378A"/>
    <w:rPr>
      <w:sz w:val="20"/>
      <w:szCs w:val="20"/>
    </w:rPr>
  </w:style>
  <w:style w:type="paragraph" w:styleId="CommentSubject">
    <w:name w:val="annotation subject"/>
    <w:basedOn w:val="CommentText"/>
    <w:next w:val="CommentText"/>
    <w:link w:val="CommentSubjectChar"/>
    <w:uiPriority w:val="99"/>
    <w:semiHidden/>
    <w:unhideWhenUsed/>
    <w:rsid w:val="00E4378A"/>
    <w:rPr>
      <w:b/>
      <w:bCs/>
    </w:rPr>
  </w:style>
  <w:style w:type="character" w:customStyle="1" w:styleId="CommentSubjectChar">
    <w:name w:val="Comment Subject Char"/>
    <w:basedOn w:val="CommentTextChar"/>
    <w:link w:val="CommentSubject"/>
    <w:uiPriority w:val="99"/>
    <w:semiHidden/>
    <w:rsid w:val="00E4378A"/>
    <w:rPr>
      <w:b/>
      <w:bCs/>
      <w:sz w:val="20"/>
      <w:szCs w:val="20"/>
    </w:rPr>
  </w:style>
  <w:style w:type="paragraph" w:styleId="DocumentMap">
    <w:name w:val="Document Map"/>
    <w:basedOn w:val="Normal"/>
    <w:link w:val="DocumentMapChar"/>
    <w:uiPriority w:val="99"/>
    <w:semiHidden/>
    <w:unhideWhenUsed/>
    <w:rsid w:val="00E437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378A"/>
    <w:rPr>
      <w:rFonts w:ascii="Tahoma" w:hAnsi="Tahoma" w:cs="Tahoma"/>
      <w:sz w:val="16"/>
      <w:szCs w:val="16"/>
    </w:rPr>
  </w:style>
  <w:style w:type="character" w:styleId="FollowedHyperlink">
    <w:name w:val="FollowedHyperlink"/>
    <w:basedOn w:val="DefaultParagraphFont"/>
    <w:uiPriority w:val="99"/>
    <w:semiHidden/>
    <w:unhideWhenUsed/>
    <w:rsid w:val="00E4378A"/>
    <w:rPr>
      <w:color w:val="800080"/>
      <w:u w:val="single"/>
    </w:rPr>
  </w:style>
  <w:style w:type="paragraph" w:styleId="BodyText2">
    <w:name w:val="Body Text 2"/>
    <w:basedOn w:val="Normal"/>
    <w:link w:val="BodyText2Char"/>
    <w:unhideWhenUsed/>
    <w:rsid w:val="00E4378A"/>
    <w:pPr>
      <w:spacing w:after="120" w:line="480" w:lineRule="auto"/>
    </w:pPr>
  </w:style>
  <w:style w:type="character" w:customStyle="1" w:styleId="BodyText2Char">
    <w:name w:val="Body Text 2 Char"/>
    <w:basedOn w:val="DefaultParagraphFont"/>
    <w:link w:val="BodyText2"/>
    <w:rsid w:val="00E4378A"/>
  </w:style>
  <w:style w:type="paragraph" w:styleId="BodyTextIndent">
    <w:name w:val="Body Text Indent"/>
    <w:basedOn w:val="Normal"/>
    <w:link w:val="BodyTextIndentChar"/>
    <w:unhideWhenUsed/>
    <w:rsid w:val="00E4378A"/>
    <w:pPr>
      <w:spacing w:after="120"/>
      <w:ind w:left="283"/>
    </w:pPr>
  </w:style>
  <w:style w:type="character" w:customStyle="1" w:styleId="BodyTextIndentChar">
    <w:name w:val="Body Text Indent Char"/>
    <w:basedOn w:val="DefaultParagraphFont"/>
    <w:link w:val="BodyTextIndent"/>
    <w:rsid w:val="00E4378A"/>
  </w:style>
  <w:style w:type="table" w:styleId="LightShading-Accent3">
    <w:name w:val="Light Shading Accent 3"/>
    <w:basedOn w:val="TableNormal"/>
    <w:uiPriority w:val="60"/>
    <w:rsid w:val="00E4378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rsid w:val="00E4378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5">
    <w:name w:val="Light Shading Accent 5"/>
    <w:basedOn w:val="TableNormal"/>
    <w:uiPriority w:val="60"/>
    <w:rsid w:val="00E4378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1">
    <w:name w:val="Açık Liste1"/>
    <w:basedOn w:val="TableNormal"/>
    <w:uiPriority w:val="61"/>
    <w:rsid w:val="00E4378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1">
    <w:name w:val="Açık Gölgeleme1"/>
    <w:basedOn w:val="TableNormal"/>
    <w:uiPriority w:val="60"/>
    <w:rsid w:val="00E437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60"/>
    <w:rsid w:val="00E4378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1-Accent5">
    <w:name w:val="Medium Shading 1 Accent 5"/>
    <w:basedOn w:val="TableNormal"/>
    <w:uiPriority w:val="63"/>
    <w:rsid w:val="00E4378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Spacing">
    <w:name w:val="No Spacing"/>
    <w:uiPriority w:val="1"/>
    <w:qFormat/>
    <w:rsid w:val="00E4378A"/>
    <w:rPr>
      <w:sz w:val="22"/>
      <w:szCs w:val="22"/>
    </w:rPr>
  </w:style>
  <w:style w:type="paragraph" w:styleId="BodyTextIndent3">
    <w:name w:val="Body Text Indent 3"/>
    <w:basedOn w:val="Normal"/>
    <w:link w:val="BodyTextIndent3Char"/>
    <w:rsid w:val="00E4378A"/>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E4378A"/>
    <w:rPr>
      <w:rFonts w:ascii="Times New Roman" w:eastAsia="Times New Roman" w:hAnsi="Times New Roman" w:cs="Times New Roman"/>
      <w:sz w:val="16"/>
      <w:szCs w:val="16"/>
      <w:lang w:eastAsia="tr-TR"/>
    </w:rPr>
  </w:style>
  <w:style w:type="paragraph" w:styleId="ListParagraph">
    <w:name w:val="List Paragraph"/>
    <w:basedOn w:val="Normal"/>
    <w:uiPriority w:val="34"/>
    <w:qFormat/>
    <w:rsid w:val="00E4378A"/>
    <w:pPr>
      <w:ind w:left="720"/>
      <w:contextualSpacing/>
    </w:pPr>
  </w:style>
  <w:style w:type="paragraph" w:styleId="TOCHeading">
    <w:name w:val="TOC Heading"/>
    <w:basedOn w:val="Heading1"/>
    <w:next w:val="Normal"/>
    <w:uiPriority w:val="39"/>
    <w:semiHidden/>
    <w:unhideWhenUsed/>
    <w:qFormat/>
    <w:rsid w:val="00000EB5"/>
    <w:pPr>
      <w:keepLines/>
      <w:spacing w:before="480" w:line="276" w:lineRule="auto"/>
      <w:outlineLvl w:val="9"/>
    </w:pPr>
    <w:rPr>
      <w:rFonts w:ascii="Cambria" w:hAnsi="Cambria"/>
      <w:b/>
      <w:bCs/>
      <w:color w:val="365F91"/>
      <w:sz w:val="28"/>
      <w:szCs w:val="28"/>
      <w:lang w:eastAsia="en-US"/>
    </w:rPr>
  </w:style>
  <w:style w:type="paragraph" w:styleId="TOC1">
    <w:name w:val="toc 1"/>
    <w:basedOn w:val="Normal"/>
    <w:next w:val="Normal"/>
    <w:uiPriority w:val="39"/>
    <w:unhideWhenUsed/>
    <w:qFormat/>
    <w:rsid w:val="0056761A"/>
    <w:pPr>
      <w:tabs>
        <w:tab w:val="left" w:pos="284"/>
        <w:tab w:val="right" w:leader="dot" w:pos="8494"/>
      </w:tabs>
      <w:spacing w:after="0" w:line="360" w:lineRule="auto"/>
    </w:pPr>
    <w:rPr>
      <w:rFonts w:ascii="Times New Roman" w:hAnsi="Times New Roman"/>
      <w:b/>
      <w:noProof/>
      <w:color w:val="000000"/>
      <w:sz w:val="24"/>
      <w:szCs w:val="24"/>
    </w:rPr>
  </w:style>
  <w:style w:type="paragraph" w:styleId="TOC2">
    <w:name w:val="toc 2"/>
    <w:basedOn w:val="Normal"/>
    <w:next w:val="Normal"/>
    <w:uiPriority w:val="39"/>
    <w:unhideWhenUsed/>
    <w:qFormat/>
    <w:rsid w:val="0056761A"/>
    <w:pPr>
      <w:tabs>
        <w:tab w:val="right" w:leader="dot" w:pos="8494"/>
      </w:tabs>
      <w:spacing w:after="0" w:line="360" w:lineRule="auto"/>
      <w:ind w:left="284"/>
    </w:pPr>
    <w:rPr>
      <w:rFonts w:ascii="Times New Roman" w:hAnsi="Times New Roman"/>
      <w:sz w:val="24"/>
    </w:rPr>
  </w:style>
  <w:style w:type="paragraph" w:styleId="TOC3">
    <w:name w:val="toc 3"/>
    <w:basedOn w:val="Normal"/>
    <w:next w:val="Normal"/>
    <w:uiPriority w:val="39"/>
    <w:unhideWhenUsed/>
    <w:qFormat/>
    <w:rsid w:val="0056761A"/>
    <w:pPr>
      <w:spacing w:after="0" w:line="360" w:lineRule="auto"/>
      <w:ind w:left="567"/>
    </w:pPr>
    <w:rPr>
      <w:rFonts w:ascii="Times New Roman" w:hAnsi="Times New Roman"/>
      <w:sz w:val="24"/>
    </w:rPr>
  </w:style>
  <w:style w:type="paragraph" w:styleId="TOC4">
    <w:name w:val="toc 4"/>
    <w:basedOn w:val="Normal"/>
    <w:next w:val="Normal"/>
    <w:uiPriority w:val="39"/>
    <w:unhideWhenUsed/>
    <w:rsid w:val="0056761A"/>
    <w:pPr>
      <w:tabs>
        <w:tab w:val="right" w:leader="dot" w:pos="8494"/>
      </w:tabs>
      <w:spacing w:after="0" w:line="360" w:lineRule="auto"/>
      <w:ind w:left="851"/>
    </w:pPr>
    <w:rPr>
      <w:rFonts w:ascii="Times New Roman" w:hAnsi="Times New Roman"/>
      <w:noProof/>
      <w:sz w:val="24"/>
    </w:rPr>
  </w:style>
  <w:style w:type="paragraph" w:styleId="TOC5">
    <w:name w:val="toc 5"/>
    <w:basedOn w:val="Normal"/>
    <w:next w:val="Normal"/>
    <w:uiPriority w:val="39"/>
    <w:unhideWhenUsed/>
    <w:rsid w:val="0056761A"/>
    <w:pPr>
      <w:spacing w:after="100"/>
      <w:ind w:left="1134"/>
    </w:pPr>
  </w:style>
  <w:style w:type="paragraph" w:styleId="TOC6">
    <w:name w:val="toc 6"/>
    <w:basedOn w:val="Normal"/>
    <w:next w:val="Normal"/>
    <w:uiPriority w:val="39"/>
    <w:unhideWhenUsed/>
    <w:rsid w:val="0056761A"/>
    <w:pPr>
      <w:spacing w:after="0" w:line="360" w:lineRule="auto"/>
    </w:pPr>
    <w:rPr>
      <w:rFonts w:ascii="Times New Roman" w:hAnsi="Times New Roman"/>
      <w:sz w:val="24"/>
    </w:rPr>
  </w:style>
  <w:style w:type="paragraph" w:styleId="Title">
    <w:name w:val="Title"/>
    <w:basedOn w:val="Normal"/>
    <w:link w:val="TitleChar"/>
    <w:qFormat/>
    <w:rsid w:val="00EC61CF"/>
    <w:pPr>
      <w:spacing w:after="0" w:line="240" w:lineRule="auto"/>
      <w:jc w:val="center"/>
    </w:pPr>
    <w:rPr>
      <w:rFonts w:ascii="Times New Roman" w:hAnsi="Times New Roman"/>
      <w:sz w:val="24"/>
      <w:szCs w:val="20"/>
    </w:rPr>
  </w:style>
  <w:style w:type="character" w:customStyle="1" w:styleId="TitleChar">
    <w:name w:val="Title Char"/>
    <w:basedOn w:val="DefaultParagraphFont"/>
    <w:link w:val="Title"/>
    <w:rsid w:val="00EC61CF"/>
    <w:rPr>
      <w:rFonts w:ascii="Times New Roman" w:eastAsia="Times New Roman" w:hAnsi="Times New Roman" w:cs="Times New Roman"/>
      <w:sz w:val="24"/>
      <w:szCs w:val="20"/>
      <w:lang w:eastAsia="tr-TR"/>
    </w:rPr>
  </w:style>
  <w:style w:type="character" w:customStyle="1" w:styleId="Gvdemetni3">
    <w:name w:val="Gövde metni (3)_"/>
    <w:link w:val="Gvdemetni30"/>
    <w:rsid w:val="005872B8"/>
    <w:rPr>
      <w:rFonts w:ascii="Times New Roman" w:eastAsia="Times New Roman" w:hAnsi="Times New Roman" w:cs="Times New Roman"/>
      <w:b/>
      <w:bCs/>
      <w:sz w:val="28"/>
      <w:szCs w:val="28"/>
      <w:shd w:val="clear" w:color="auto" w:fill="FFFFFF"/>
    </w:rPr>
  </w:style>
  <w:style w:type="paragraph" w:customStyle="1" w:styleId="Gvdemetni30">
    <w:name w:val="Gövde metni (3)"/>
    <w:basedOn w:val="Normal"/>
    <w:link w:val="Gvdemetni3"/>
    <w:rsid w:val="005872B8"/>
    <w:pPr>
      <w:widowControl w:val="0"/>
      <w:shd w:val="clear" w:color="auto" w:fill="FFFFFF"/>
      <w:spacing w:after="0" w:line="485" w:lineRule="exact"/>
      <w:jc w:val="center"/>
    </w:pPr>
    <w:rPr>
      <w:rFonts w:ascii="Times New Roman" w:hAnsi="Times New Roman"/>
      <w:b/>
      <w:bCs/>
      <w:sz w:val="28"/>
      <w:szCs w:val="28"/>
    </w:rPr>
  </w:style>
  <w:style w:type="character" w:customStyle="1" w:styleId="Balk1">
    <w:name w:val="Başlık #1_"/>
    <w:link w:val="Balk10"/>
    <w:rsid w:val="005872B8"/>
    <w:rPr>
      <w:rFonts w:ascii="Microsoft Sans Serif" w:eastAsia="Microsoft Sans Serif" w:hAnsi="Microsoft Sans Serif" w:cs="Microsoft Sans Serif"/>
      <w:i/>
      <w:iCs/>
      <w:spacing w:val="-160"/>
      <w:sz w:val="144"/>
      <w:szCs w:val="144"/>
      <w:shd w:val="clear" w:color="auto" w:fill="FFFFFF"/>
    </w:rPr>
  </w:style>
  <w:style w:type="paragraph" w:customStyle="1" w:styleId="Balk10">
    <w:name w:val="Başlık #1"/>
    <w:basedOn w:val="Normal"/>
    <w:link w:val="Balk1"/>
    <w:rsid w:val="005872B8"/>
    <w:pPr>
      <w:widowControl w:val="0"/>
      <w:shd w:val="clear" w:color="auto" w:fill="FFFFFF"/>
      <w:spacing w:before="720" w:after="420" w:line="0" w:lineRule="atLeast"/>
      <w:jc w:val="right"/>
      <w:outlineLvl w:val="0"/>
    </w:pPr>
    <w:rPr>
      <w:rFonts w:ascii="Microsoft Sans Serif" w:eastAsia="Microsoft Sans Serif" w:hAnsi="Microsoft Sans Serif"/>
      <w:i/>
      <w:iCs/>
      <w:spacing w:val="-160"/>
      <w:sz w:val="144"/>
      <w:szCs w:val="144"/>
    </w:rPr>
  </w:style>
  <w:style w:type="character" w:customStyle="1" w:styleId="BodyTextChar">
    <w:name w:val="Body Text Char"/>
    <w:basedOn w:val="DefaultParagraphFont"/>
    <w:link w:val="BodyText"/>
    <w:uiPriority w:val="99"/>
    <w:semiHidden/>
    <w:rsid w:val="005872B8"/>
  </w:style>
  <w:style w:type="paragraph" w:styleId="BodyText">
    <w:name w:val="Body Text"/>
    <w:basedOn w:val="Normal"/>
    <w:link w:val="BodyTextChar"/>
    <w:uiPriority w:val="99"/>
    <w:semiHidden/>
    <w:unhideWhenUsed/>
    <w:rsid w:val="005872B8"/>
    <w:pPr>
      <w:spacing w:after="120"/>
    </w:pPr>
  </w:style>
  <w:style w:type="character" w:customStyle="1" w:styleId="Gvdemetni211ptKaln">
    <w:name w:val="Gövde metni (2) + 11 pt;Kalın"/>
    <w:rsid w:val="005872B8"/>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hps">
    <w:name w:val="hps"/>
    <w:basedOn w:val="DefaultParagraphFont"/>
    <w:rsid w:val="00C82850"/>
  </w:style>
  <w:style w:type="paragraph" w:styleId="Revision">
    <w:name w:val="Revision"/>
    <w:hidden/>
    <w:uiPriority w:val="99"/>
    <w:semiHidden/>
    <w:rsid w:val="00346AEB"/>
    <w:rPr>
      <w:sz w:val="22"/>
      <w:szCs w:val="22"/>
    </w:rPr>
  </w:style>
  <w:style w:type="character" w:customStyle="1" w:styleId="Heading7Char">
    <w:name w:val="Heading 7 Char"/>
    <w:aliases w:val="Grafik Char"/>
    <w:basedOn w:val="DefaultParagraphFont"/>
    <w:link w:val="Heading7"/>
    <w:uiPriority w:val="9"/>
    <w:rsid w:val="00CF5B59"/>
    <w:rPr>
      <w:rFonts w:ascii="Times New Roman" w:eastAsiaTheme="majorEastAsia" w:hAnsi="Times New Roman" w:cstheme="majorBidi"/>
      <w:iCs/>
      <w:color w:val="000000" w:themeColor="text1"/>
      <w:sz w:val="24"/>
      <w:szCs w:val="22"/>
    </w:rPr>
  </w:style>
  <w:style w:type="paragraph" w:styleId="NormalWeb">
    <w:name w:val="Normal (Web)"/>
    <w:basedOn w:val="Normal"/>
    <w:uiPriority w:val="99"/>
    <w:unhideWhenUsed/>
    <w:rsid w:val="003F3661"/>
    <w:pPr>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3F3661"/>
    <w:rPr>
      <w:b/>
      <w:bCs/>
    </w:rPr>
  </w:style>
  <w:style w:type="character" w:styleId="UnresolvedMention">
    <w:name w:val="Unresolved Mention"/>
    <w:basedOn w:val="DefaultParagraphFont"/>
    <w:uiPriority w:val="99"/>
    <w:semiHidden/>
    <w:unhideWhenUsed/>
    <w:rsid w:val="0078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9FC2-8798-4971-817F-A38FA1CA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5691</Words>
  <Characters>32444</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Efendimiz</dc:creator>
  <cp:lastModifiedBy>theaisha1707@gmail.com</cp:lastModifiedBy>
  <cp:revision>3</cp:revision>
  <cp:lastPrinted>2015-04-16T16:02:00Z</cp:lastPrinted>
  <dcterms:created xsi:type="dcterms:W3CDTF">2026-03-17T09:17:00Z</dcterms:created>
  <dcterms:modified xsi:type="dcterms:W3CDTF">2026-03-18T05:56:00Z</dcterms:modified>
</cp:coreProperties>
</file>