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35DB9" w14:textId="77777777" w:rsidR="00617305" w:rsidRPr="00966FED" w:rsidRDefault="00617305" w:rsidP="00E93491">
      <w:pPr>
        <w:spacing w:line="240" w:lineRule="auto"/>
        <w:jc w:val="center"/>
        <w:rPr>
          <w:rFonts w:ascii="Times New Roman" w:hAnsi="Times New Roman" w:cs="Times New Roman"/>
          <w:b/>
          <w:bCs/>
          <w:sz w:val="36"/>
          <w:szCs w:val="36"/>
        </w:rPr>
      </w:pPr>
      <w:r w:rsidRPr="00966FED">
        <w:rPr>
          <w:rFonts w:ascii="Times New Roman" w:hAnsi="Times New Roman" w:cs="Times New Roman"/>
          <w:b/>
          <w:bCs/>
          <w:sz w:val="36"/>
          <w:szCs w:val="36"/>
        </w:rPr>
        <w:t>Optimization of Nanosilica-Enhanced Geopolymer-Based Fire Retardant Coating (GFC) derived from Sugarcane Bagasse Ash and Kauswagan Red Clay for Steel Application</w:t>
      </w:r>
    </w:p>
    <w:p w14:paraId="69B10A45" w14:textId="77777777" w:rsidR="00160312" w:rsidRPr="00966FED" w:rsidRDefault="000C11D6" w:rsidP="00E93491">
      <w:pPr>
        <w:spacing w:line="240" w:lineRule="auto"/>
        <w:rPr>
          <w:rFonts w:ascii="Times New Roman" w:hAnsi="Times New Roman" w:cs="Times New Roman"/>
        </w:rPr>
      </w:pPr>
      <w:r w:rsidRPr="00966FED">
        <w:rPr>
          <w:rFonts w:ascii="Times New Roman" w:hAnsi="Times New Roman" w:cs="Times New Roman"/>
          <w:b/>
          <w:bCs/>
          <w:sz w:val="28"/>
          <w:szCs w:val="28"/>
        </w:rPr>
        <w:t>ABSTRACT</w:t>
      </w:r>
    </w:p>
    <w:p w14:paraId="2DDEB4D4" w14:textId="10F387E5" w:rsidR="00160312" w:rsidRPr="00966FED" w:rsidRDefault="00160312" w:rsidP="00E93491">
      <w:pPr>
        <w:spacing w:line="240" w:lineRule="auto"/>
        <w:ind w:firstLine="720"/>
        <w:jc w:val="both"/>
        <w:rPr>
          <w:rFonts w:ascii="Times New Roman" w:hAnsi="Times New Roman" w:cs="Times New Roman"/>
          <w:lang w:val="en-US"/>
        </w:rPr>
      </w:pPr>
      <w:r w:rsidRPr="00966FED">
        <w:rPr>
          <w:rFonts w:ascii="Times New Roman" w:hAnsi="Times New Roman" w:cs="Times New Roman"/>
          <w:lang w:val="en-US"/>
        </w:rPr>
        <w:t>Developing a sustainable and environmentally friendly fire-retardant coating has become a critical focus on reducing reliance on non-renewable raw materials in the production of conventional coatings, specifically for steel structure applications. While steel offers flexibility in design and high strength-to-weight ratio, it loses mechanical integrity at elevated temperatures, which may result in structural collapse. This study focuses on optimizing a nanosilica-enhanced geopolymer fire-retardant coating (GFC) derived from sugarcane bagasse ash (SCBA) and Kauswagan Red Clay (KRC) using response surface methodology (RSM). The effects of Si/Al ratio, nanosilica wt%, and geopolymer-binder-coating-to-alkyd paint (GBC/AP) ratio on the fire-resistance properties were evaluated. Experimental results that the increase in Si/Al ratio, nanosilica wt%, and GBC/AP ratio significantly improved the thermal performance. The optimized GFC formulation (Si/Al ratio = 4.728 ±0.001, nanosilica wt % = 0.583 ±0.001, GBC/AP = 0.497 ±0.001) took 326 s to reach 300 °C (TT300), which outperforms the AP without the GBC (TT300 = 82 s). Adhesion test results showed that the incorporation of GBC does not compromise the adhesion of the coating. Thermogravimetric analysis (TGA) further supported that the best sample has higher residual weight and better thermal stability. Scanning Electron Microscopy (SEM) analysis revealed that lower Si/Al ratios led to severe cracking while excessive Si/Al ratio resulted to more unreacted particles. Higher nanosilica and lower GBC/AP ratio enhance the homogeneity of the coating. Results highlight the potential of GFC as an eco-friendly alternative to conventional coatings for steel protection.</w:t>
      </w:r>
    </w:p>
    <w:p w14:paraId="0DFE2686" w14:textId="6AD70128" w:rsidR="00694BC7" w:rsidRPr="00966FED" w:rsidRDefault="000C11D6" w:rsidP="00E93491">
      <w:pPr>
        <w:spacing w:line="240" w:lineRule="auto"/>
        <w:jc w:val="both"/>
        <w:rPr>
          <w:rFonts w:ascii="Times New Roman" w:hAnsi="Times New Roman" w:cs="Times New Roman"/>
          <w:b/>
          <w:bCs/>
        </w:rPr>
      </w:pPr>
      <w:r w:rsidRPr="00966FED">
        <w:rPr>
          <w:rFonts w:ascii="Times New Roman" w:hAnsi="Times New Roman" w:cs="Times New Roman"/>
          <w:b/>
          <w:bCs/>
        </w:rPr>
        <w:t xml:space="preserve">Keywords: </w:t>
      </w:r>
      <w:r w:rsidR="001D16BD" w:rsidRPr="00966FED">
        <w:rPr>
          <w:rFonts w:ascii="Times New Roman" w:hAnsi="Times New Roman" w:cs="Times New Roman"/>
          <w:b/>
          <w:bCs/>
        </w:rPr>
        <w:t>sugarcane bagasse ash, kauswagan red clay, nanosilica; response surface methodology, geopolymer, coating, paint</w:t>
      </w:r>
    </w:p>
    <w:p w14:paraId="4E3F3771" w14:textId="640CC485" w:rsidR="00694BC7" w:rsidRPr="00966FED" w:rsidRDefault="00694BC7" w:rsidP="00E93491">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INTRODUCTION</w:t>
      </w:r>
    </w:p>
    <w:p w14:paraId="5D14BF74"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Rapid technological progress has significantly contributed to the advancement of more efficient construction methods, especially within structural applications. In the construction industry, steel has been widely used mainly due to its relatively optimal cost, great flexibility in design, and high strength-to-weight ratio, which allows construction to save a significant amount of time and money without compromising the structure's durability. Common applications of steel are in the construction of infrastructures and high-rise steel structures. However, one disadvantage of steel is that during fire incidents in which it is exposed to extreme temperatures and heat, the structural steel begins to soften when the temperature reaches 425 °C and the steel starts to lose its strength and stiffness  when the temperature reaches between 600 °C and 650 °C, which may cause the structure to collapse that could result in damages to properties, injuries, or even death [1]. The Bureau of Fire and Protection (BFP) reported an average of 15,713 fire incidents, 855 fire-related injuries, 253 fire-related deaths, and P4.599 billion pesos worth of asset losses in the Philippines for the year 2013-2018. Additionally, it was emphasized that the Philippines ranked 3rd for the highest fire and fire-related incidents in Asia for the year 2018 [2].</w:t>
      </w:r>
    </w:p>
    <w:p w14:paraId="0001A4AE"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 xml:space="preserve">To address this issue, a range of strategies has been developed, among which passive fire protection (PFP) methods are prominent. PFP systems function by limiting fire propagation through the implementation of physical barriers designed to compartmentalize and contain the spread of flames and heat. An example of passive fire protection methods is intumescent coatings. Intumescent coatings react to heat by swelling in a controlled manner up to a hundred times its original thickness. This process generates a carbonaceous char composed of numerous microbubbles, which form an effective insulating layer. This barrier mitigates thermal and mass transport by limiting the transfer of heat and volatiles between the condensed and vapor phases, thereby protecting the underlying substrate [3]. Most intumescent coatings are based on a conventional system comprising three primary components: an acid source (typically ammonium polyphosphate, APP), a carbon source (pentaerythritol, PER), and a blowing agent (melamine, MEL), all integrated within an organic polymer binder. The APP-PER-MEL system is widely utilized due to its effective intumescence and char-forming capabilities. The performance characteristics of intumescent coatings are largely influenced by the specific formulation and ratios of these components [4]. To further improve the fire resistance performance of coatings, </w:t>
      </w:r>
      <w:r w:rsidRPr="00C24AE6">
        <w:rPr>
          <w:rFonts w:ascii="Times New Roman" w:hAnsi="Times New Roman" w:cs="Times New Roman"/>
          <w:lang w:val="en-US"/>
        </w:rPr>
        <w:lastRenderedPageBreak/>
        <w:t>researchers explored the use of additives. Yan et al. incorporated nanosilica as an additive to the conventional key components to synthesize a silica-modified cyclic polyphosphate (SPEA) coating. Results show that the addition of nanosilica has a significant improvement in the thermal properties and performance of the intumescent coating. It reduces weight loss, flame speed rating, heat and smoke release, and creates a more stable intumescent char layer during combustion [5]. Wang et al. investigated the combined effect of nanosilica and intumescent flame retardant on polypropylene composites. It was found that the addition of nanosilica, for as low as 1 wt %, enhances the fire-resistant properties of the polypropylene composites [6]. </w:t>
      </w:r>
    </w:p>
    <w:p w14:paraId="5A174B07"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Although intumescent coatings possess good fire ratings and a high-quality finish, they also have their disadvantages. A disadvantage of intumescent coatings is their dependence on environmental conditions, which may cause unnecessary reaction between the APP and MEL. Additionally, intumescent coatings have poor corrosion resistance when applied outdoors due to the presence of water-sensitive ingredients in the formulation [7]. Moreover, another disadvantage is their reliance on non-renewable raw materials as the carbon source, such as pentaerythritol [8]. This led to the development of a greener and more sustainable way of synthesizing coatings, which is geopolymers. The advantage of geopolymers is they can retain their structure without significant decomposition even when subjected to temperatures relative to refractory applications due to their excellent fire resistance properties, durability, and mechanical strength [9], [10], [11], [12], [13]. </w:t>
      </w:r>
    </w:p>
    <w:p w14:paraId="4AA61EA4"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Geopolymers are synthesized by polymerization of aluminosilicate-rich minerals such as fly ash, metakaolin, mine tailings, slag, and red mud in an alkaline environment. However, using different raw materials results in varying physical and chemical properties of geopolymers [14], [15]. This led to a rise in interest in exploring different raw materials and several factors to ensure the effectiveness of geopolymers in fire-resistant coating applications. Temuujin et al. investigated the Si/Al ratios (1, 2, and 2.5) on the developed metakaolin-based geopolymer coating as a thermal barrier coating for application on stainless and mild steel substrates. It was observed that a Si/Al ratio of 2.5 provided the highest adhesive strength, exceeding 3.5 MPa, whereas ratios of 1 and 2 showed poor adhesion to the metal substrate. Furthermore, when exposed to 800 °C, the geopolymer coating with a Si/Al ratio of 2.5 expanded by 6%, while those with ratios of 1 and 2 experienced a 4% shrinkage [16]. A study by Mustafa Al Bakri et al. formulated geopolymer-based protective coatings by mixing fly ash with an alkaline activator (AA) solution for applications on high-temperature fire-resistant panels. The influence of varying Na₂SiO₃/NaOH ratios and fly ash-to-alkaline activator (AA) ratios was examined. The highest compressive strength, 73.86 MPa, was achieved with a Na₂SiO₃/NaOH ratio of 2.0 and a fly ash-to-AA ratio of 2.5 [17]. A recent study by Abdullah et al. developed a geopolymer-based coating using rice husk ash (RHA) as the source of aluminosilicate material mixed with alkyd paint (AP) for refractory coating application. The impact of varying aluminosilicate and AP ratios on the thermal performance of the coating was evaluated. The optimal formulation for the geopolymer coating was found to be 50 wt% RHA-based geopolymer fire retardant combined with 82.628 wt% paint [18]. It was evident that geopolymers using different industrial and agricultural wastes as sources of aluminosilicate showed an excellent fire-resistant performance. However, research on sugarcane bagasse ash (SCBA) and Kauswagan red clay (KRC) as sources of aluminosilicate for the synthesis of geopolymer coating remained unexplored. </w:t>
      </w:r>
    </w:p>
    <w:p w14:paraId="61F24BC6"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Sugarcane bagasse ash (SCBA) and clay-based materials can provide complementary advantages when used together as aluminosilicate precursors in geopolymer synthesis. SCBA is typically rich in amorphous silica (SiO₂), which contributes to improved thermal stability and promotes the formation of a more extensive silicate network during geopolymerization. However, SCBA generally contains relatively lower amounts of alumina (Al₂O₃), which may limit the formation of a balanced aluminosilicate framework when used alone. In contrast, red clays such as Kauswagan Red Clay (KRC) contain significantly higher alumina content that can enhance the formation of a stronger geopolymer network through increased Si–O–Al linkages within the matrix. By combining SCBA and KRC, a more balanced Si/Al ratio can be achieved, which is a critical parameter influencing the mechanical strength, thermal stability, and microstructural integrity of geopolymer materials [14], [16]. The silica-rich SCBA contributes to the formation of thermally stable silicate structures, while the alumina-rich KRC promotes cross-linking within the geopolymer framework, resulting in a denser and more stable matrix. This complementary interaction is expected to improve structural stability and enhance the fire-resistant performance of the developed coating compared to formulations utilizing a single precursor source.</w:t>
      </w:r>
    </w:p>
    <w:p w14:paraId="2751CEBC"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lastRenderedPageBreak/>
        <w:t>Sugarcane bagasse ash is produced through the high-temperature combustion of sugarcane bagasse (SCB), a by-product of sugar manufacturing. Sugarcane is among the most extensively cultivated crops globally, particularly in Asia and Southeast Asia. In the Philippines, sugarcane is currently grown in eight regions. Western Visayas is considered the largest producer of sugarcane, with 1.44 million metric tons, which is 55% of the country’s production. Northern Mindanao ranks second and contributes 14.9% of the national production [19]. On average, the Philippines produced 23 million tons of sugarcane from 1990-2017 [20]. Following the extraction of sugar, 29% of the sugarcane becomes SCB, a substantial fibrous waste material. Sugar mills and bio-ethanol distilleries then valorize the waste SCB by burning it to generate energy for plant-related operations. However, 30-50% of the generated bagasse remains unused and poses a problem as it requires space for proper disposal. Excess bagasse often accumulates in open areas, leading to "bagasse storms" where loose fibers are carried by the wind, posing environmental and health hazards. Additionally, the seasonal nature of sugar mill operations contributes to the buildup of unused SCB, raising growing environmental concerns over the disposal of these unutilized agricultural residues [21], [22]. Rising concerns over sugarcane bagasse (SCB) have prompted researchers to explore methods for maximizing its use while creating eco-friendly materials. One proposed solution is the combustion of SCB to produce sugarcane bagasse ash (SCBA). This process yields about 2–3% of the original SCB's mass as SCBA, which is rich in aluminosilicates and can serve as a valuable raw material for geopolymer production [23]. </w:t>
      </w:r>
    </w:p>
    <w:p w14:paraId="0874DA0B"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On the other hand, clays are naturally occurring soils formed through the long-term weathering of rocks and minerals. They are abundant in aluminosilicates, making them essential for geopolymer synthesis. Thanks to their chemical makeup, clays are considered valuable precursor materials for producing geopolymer binders and coatings. However, in their natural state, most clays have low reactivity, which limits their direct use in geopolymerization. To improve their reactivity, thermal activation is applied to remove structural water from the clay [24]. Researchers have explored various types of clays as precursor sources for geopolymer synthesis, including natural clay, metakaolin, and red clay. Natural clays are widely available but often require processing to improve their reactivity. Metakaolin, derived from thermally activated kaolinite, is among the most effective geopolymer precursors due to its high purity and reactivity. Red clay, which contains significant amounts of iron oxide (Fe₂O₃), has also been investigated, although its role in geopolymerization is still being studied due to potential effects on structural and thermal properties [25], [26], [27]. </w:t>
      </w:r>
    </w:p>
    <w:p w14:paraId="05DD8003"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Despite extensive research on various clay-based precursors, KRC has remained largely unexplored for geopolymer coating applications. This fine-grained soil is locally abundant and readily available in the municipality of Kauswagan, Lanao del Norte, Philippines, yet it remains an untapped resource [28]. Its potential as a geopolymer precursor is of particular interest due to its availability and chemical composition, which could make it a cost-effective and sustainable alternative to conventional geopolymer materials. Exploring the potential of KRC for geopolymer coatings could offer a new strategy for improving fire resistance, mechanical strength, and environmental sustainability. This investigation may also yield valuable insights into the effective use of locally available resources for advanced material applications.</w:t>
      </w:r>
    </w:p>
    <w:p w14:paraId="1D84A66B"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In this study, sugarcane bagasse ash (SCBA) and Kauswagan Red Clay (KRC) are explored as alternative aluminosilicate precursors for the development of a geopolymer-based fire-retardant coating for steel applications. By utilizing these locally available waste materials, the research aims to contribute to the advancement of sustainable, cost-effective, and environmentally friendly fire protection solutions. To optimize the coating’s formulation, response surface methodology (RSM), specifically the Box-Behnken design model, is employed to investigate the effects of key parameters, including the Si/Al ratio, nanosilica wt %, and geopolymer-binder-coating-to-alkyd paint (GBC/AP) ratio. The developed geopolymer fire retardant coating (GFC) is then applied to steel substrates and subjected to mechanical and thermal performance evaluations, including adhesion tests, fire resistance tests, and thermogravimetric analysis (TGA). The surface morphology of the coating is characterized using scanning electron microscopy (SEM). Through this approach, the study aims to establish the feasibility of SCBA and KRC as viable geopolymer precursors while addressing the challenges associated with waste valorization and fire safety in industrial and structural applications. The findings are expected to contribute to the ongoing development of eco-efficient fireproofing technologies, paving the way for sustainable advancements in construction and materials engineering.</w:t>
      </w:r>
    </w:p>
    <w:p w14:paraId="46602B9F" w14:textId="5CEDDB60" w:rsidR="00064269" w:rsidRPr="00966FED" w:rsidRDefault="00064269" w:rsidP="00E93491">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METHODOLOGY</w:t>
      </w:r>
    </w:p>
    <w:p w14:paraId="7975C053" w14:textId="77777777" w:rsidR="004343C1" w:rsidRPr="00966FED" w:rsidRDefault="004343C1" w:rsidP="00E93491">
      <w:pPr>
        <w:spacing w:line="240" w:lineRule="auto"/>
        <w:jc w:val="both"/>
        <w:rPr>
          <w:rFonts w:ascii="Times New Roman" w:hAnsi="Times New Roman" w:cs="Times New Roman"/>
        </w:rPr>
      </w:pPr>
      <w:r w:rsidRPr="00966FED">
        <w:rPr>
          <w:rFonts w:ascii="Times New Roman" w:hAnsi="Times New Roman" w:cs="Times New Roman"/>
        </w:rPr>
        <w:lastRenderedPageBreak/>
        <w:t>The Box–Behnken design with five center points was used to optimize and evaluate the effects of the Si/Al ratio, nanosilica wt percentage (wt%), and geopolymer-binder-coating-to-alkyd paint (GBC/AP) ratio on the fire performance of the developed coating system. The design was employed as the response surface methodology (RSM) to investigate the interactions among these three formulation variables and their influence on the time required for the backside of the coated steel sheet to reach 300°C (TT300). The Box–Behnken Design was selected because it is one of the most commonly used experimental designs in RSM [29] and has demonstrated greater efficiency in response outcomes compared to the Central Composite Design and Full Factorial Design [30].</w:t>
      </w:r>
    </w:p>
    <w:p w14:paraId="35602651" w14:textId="77777777" w:rsidR="004343C1" w:rsidRPr="00966FED" w:rsidRDefault="004343C1" w:rsidP="00E93491">
      <w:pPr>
        <w:spacing w:line="240" w:lineRule="auto"/>
        <w:jc w:val="both"/>
        <w:rPr>
          <w:rFonts w:ascii="Times New Roman" w:hAnsi="Times New Roman" w:cs="Times New Roman"/>
        </w:rPr>
      </w:pPr>
      <w:r w:rsidRPr="00966FED">
        <w:rPr>
          <w:rFonts w:ascii="Times New Roman" w:hAnsi="Times New Roman" w:cs="Times New Roman"/>
        </w:rPr>
        <w:t>Three experimental factors were investigated in the experiment, the Si/Al ratio, nanosilica weight percentage (wt%), and geopolymer-binder-coating-to-alkyd paint (GBC/AP) ratio which were designated as A, B, and C, respectively. The selected ranges of the formulation parameters were determined based on previous studies on geopolymer coatings and preliminary laboratory trials conducted prior to the experimental design. The Si/Al ratio range of 3–5 was selected because previous studies have shown that geopolymer systems within this range generally exhibit improved mechanical strength, thermal stability, and adhesion when used for high-temperature applications [16]. Ratios lower than this range tend to produce more rigid structures prone to cracking, while excessively high ratios may lead to incomplete dissolution of aluminosilicate precursors and reduced structural homogeneity. The nanosilica content range of 0.3–0.6 wt% was selected based on studies demonstrating that small additions of nanosilica can significantly enhance the compactness of the geopolymer matrix and improve the formation of a stable char layer during fire exposure, while excessive nanosilica may lead to particle agglomeration and reduced dispersion within the coating system [5], [6]. The selected GBC/AP ratio range (0.3–0.5) was determined through preliminary mixing trials to ensure sufficient geopolymer incorporation while maintaining the workability, coating uniformity, and adhesion of the paint-based system.</w:t>
      </w:r>
    </w:p>
    <w:p w14:paraId="44AAB623" w14:textId="77777777" w:rsidR="004343C1" w:rsidRPr="00966FED" w:rsidRDefault="004343C1" w:rsidP="00E93491">
      <w:pPr>
        <w:spacing w:line="240" w:lineRule="auto"/>
        <w:jc w:val="both"/>
        <w:rPr>
          <w:rFonts w:ascii="Times New Roman" w:hAnsi="Times New Roman" w:cs="Times New Roman"/>
        </w:rPr>
      </w:pPr>
      <w:r w:rsidRPr="00966FED">
        <w:rPr>
          <w:rFonts w:ascii="Times New Roman" w:hAnsi="Times New Roman" w:cs="Times New Roman"/>
        </w:rPr>
        <w:t>The three levels and ranges of these factors are shown in Table 1. The main response in the experiment is the time taken for the backside of the steel sheet to reach 300°C (TT300). Design Expert software version 13 (Stat-Ease Inc., Minneapolis, MN, USA) was utilized to create the design matrix and serve as the statistical tool for data analysis. Analysis of variance (ANOVA) was conducted to assess the significance and interactions of the main factors, with a confidence level set at 95% and an alpha value of 0.05. Regression models were applied to examine the effects of different factors on fire performance, and contour plots were generated for clearer visualization. Additionally, the fire performance of the steel sheet coated with pure AP was evaluated as the positive control.</w:t>
      </w:r>
    </w:p>
    <w:p w14:paraId="0EE12898" w14:textId="77777777" w:rsidR="004343C1" w:rsidRPr="00966FED" w:rsidRDefault="004343C1" w:rsidP="00E93491">
      <w:pPr>
        <w:spacing w:line="240" w:lineRule="auto"/>
        <w:jc w:val="both"/>
        <w:rPr>
          <w:rFonts w:ascii="Times New Roman" w:eastAsiaTheme="minorEastAsia" w:hAnsi="Times New Roman" w:cs="Times New Roman"/>
          <w:b/>
          <w:bCs/>
          <w:color w:val="000000"/>
        </w:rPr>
      </w:pPr>
      <w:r w:rsidRPr="00966FED">
        <w:rPr>
          <w:rFonts w:ascii="Times New Roman" w:hAnsi="Times New Roman" w:cs="Times New Roman"/>
        </w:rPr>
        <w:t>The sugarcane bagasse (SCB) used in this study was sourced from Crystal Sugar Milling Company in Maramag, Bukidnon, Philippines. It was initially washed with running water to remove surface impurities and then oven-dried at 105°C for 24 hours. Following this, the dried SCB underwent a chemical pretreatment process involving soaking in 0.1 M HCl to eliminate residual minerals, metal ions, and other impurities. The pretreated SCB was then thoroughly rinsed with running water until the pH was neutralized, ensuring the removal of excess acid [31], [32]. After washing, the pretreated SCB was oven-dried at 105°C for 24 hours. The dried, pretreated SCB was subsequently subjected to controlled combustion in a furnace at 700°C for 3 hours [33]</w:t>
      </w:r>
      <w:r w:rsidRPr="00966FED">
        <w:rPr>
          <w:rFonts w:ascii="Times New Roman" w:eastAsiaTheme="minorEastAsia" w:hAnsi="Times New Roman" w:cs="Times New Roman"/>
          <w:b/>
          <w:bCs/>
          <w:color w:val="000000"/>
        </w:rPr>
        <w:t xml:space="preserve"> </w:t>
      </w:r>
    </w:p>
    <w:p w14:paraId="2685EEE4" w14:textId="77777777" w:rsidR="00041570" w:rsidRPr="00966FED" w:rsidRDefault="00041570" w:rsidP="00E93491">
      <w:pPr>
        <w:spacing w:line="240" w:lineRule="auto"/>
        <w:jc w:val="both"/>
        <w:rPr>
          <w:rFonts w:ascii="Times New Roman" w:eastAsiaTheme="minorEastAsia" w:hAnsi="Times New Roman" w:cs="Times New Roman"/>
          <w:b/>
          <w:bCs/>
          <w:color w:val="000000"/>
        </w:rPr>
      </w:pPr>
    </w:p>
    <w:p w14:paraId="52494425" w14:textId="77777777" w:rsidR="00F84AA5" w:rsidRPr="00966FED" w:rsidRDefault="00F84AA5" w:rsidP="00E93491">
      <w:pPr>
        <w:spacing w:line="240" w:lineRule="auto"/>
        <w:jc w:val="both"/>
        <w:rPr>
          <w:rFonts w:ascii="Times New Roman" w:eastAsiaTheme="minorEastAsia" w:hAnsi="Times New Roman" w:cs="Times New Roman"/>
          <w:b/>
          <w:bCs/>
          <w:color w:val="000000"/>
        </w:rPr>
      </w:pPr>
    </w:p>
    <w:p w14:paraId="777D34F1" w14:textId="79544B9D" w:rsidR="00041570" w:rsidRPr="00041570" w:rsidRDefault="00041570" w:rsidP="00E93491">
      <w:pPr>
        <w:spacing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 xml:space="preserve">Table 1. </w:t>
      </w:r>
      <w:r w:rsidR="00533486" w:rsidRPr="00966FED">
        <w:rPr>
          <w:rFonts w:ascii="Times New Roman" w:eastAsiaTheme="minorEastAsia" w:hAnsi="Times New Roman" w:cs="Times New Roman"/>
          <w:b/>
          <w:bCs/>
          <w:color w:val="000000"/>
          <w:lang w:val="en-US"/>
        </w:rPr>
        <w:t>Factors and levels for the mixed design.</w:t>
      </w:r>
    </w:p>
    <w:tbl>
      <w:tblPr>
        <w:tblW w:w="5000" w:type="pct"/>
        <w:tblCellMar>
          <w:top w:w="15" w:type="dxa"/>
          <w:left w:w="15" w:type="dxa"/>
          <w:bottom w:w="15" w:type="dxa"/>
          <w:right w:w="15" w:type="dxa"/>
        </w:tblCellMar>
        <w:tblLook w:val="04A0" w:firstRow="1" w:lastRow="0" w:firstColumn="1" w:lastColumn="0" w:noHBand="0" w:noVBand="1"/>
      </w:tblPr>
      <w:tblGrid>
        <w:gridCol w:w="2071"/>
        <w:gridCol w:w="1258"/>
        <w:gridCol w:w="2456"/>
        <w:gridCol w:w="2456"/>
        <w:gridCol w:w="2456"/>
      </w:tblGrid>
      <w:tr w:rsidR="00670346" w:rsidRPr="00966FED" w14:paraId="00C9D433" w14:textId="77777777" w:rsidTr="00F84AA5">
        <w:tc>
          <w:tcPr>
            <w:tcW w:w="968" w:type="pct"/>
            <w:vMerge w:val="restart"/>
            <w:tcBorders>
              <w:top w:val="single" w:sz="8" w:space="0" w:color="000000"/>
            </w:tcBorders>
            <w:vAlign w:val="center"/>
            <w:hideMark/>
          </w:tcPr>
          <w:p w14:paraId="1964F52B"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Factor</w:t>
            </w:r>
          </w:p>
        </w:tc>
        <w:tc>
          <w:tcPr>
            <w:tcW w:w="588" w:type="pct"/>
            <w:vMerge w:val="restart"/>
            <w:tcBorders>
              <w:top w:val="single" w:sz="8" w:space="0" w:color="000000"/>
            </w:tcBorders>
            <w:vAlign w:val="center"/>
            <w:hideMark/>
          </w:tcPr>
          <w:p w14:paraId="511E3096"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Symbol</w:t>
            </w:r>
          </w:p>
        </w:tc>
        <w:tc>
          <w:tcPr>
            <w:tcW w:w="3444" w:type="pct"/>
            <w:gridSpan w:val="3"/>
            <w:tcBorders>
              <w:top w:val="single" w:sz="8" w:space="0" w:color="000000"/>
              <w:bottom w:val="single" w:sz="4" w:space="0" w:color="000000"/>
            </w:tcBorders>
            <w:vAlign w:val="center"/>
            <w:hideMark/>
          </w:tcPr>
          <w:p w14:paraId="0E3ACCA7" w14:textId="77777777" w:rsidR="00041570" w:rsidRPr="00041570" w:rsidRDefault="00041570" w:rsidP="00E93491">
            <w:pPr>
              <w:spacing w:after="0" w:line="240" w:lineRule="auto"/>
              <w:jc w:val="center"/>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Levels</w:t>
            </w:r>
          </w:p>
        </w:tc>
      </w:tr>
      <w:tr w:rsidR="00F84AA5" w:rsidRPr="00966FED" w14:paraId="73462C9B" w14:textId="77777777" w:rsidTr="00F84AA5">
        <w:trPr>
          <w:trHeight w:val="136"/>
        </w:trPr>
        <w:tc>
          <w:tcPr>
            <w:tcW w:w="968" w:type="pct"/>
            <w:vMerge/>
            <w:tcBorders>
              <w:top w:val="single" w:sz="8" w:space="0" w:color="000000"/>
            </w:tcBorders>
            <w:vAlign w:val="center"/>
            <w:hideMark/>
          </w:tcPr>
          <w:p w14:paraId="59DE5E79"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p>
        </w:tc>
        <w:tc>
          <w:tcPr>
            <w:tcW w:w="588" w:type="pct"/>
            <w:vMerge/>
            <w:tcBorders>
              <w:top w:val="single" w:sz="8" w:space="0" w:color="000000"/>
            </w:tcBorders>
            <w:vAlign w:val="center"/>
            <w:hideMark/>
          </w:tcPr>
          <w:p w14:paraId="42DB3FC5"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p>
        </w:tc>
        <w:tc>
          <w:tcPr>
            <w:tcW w:w="1148" w:type="pct"/>
            <w:tcBorders>
              <w:top w:val="single" w:sz="4" w:space="0" w:color="000000"/>
              <w:bottom w:val="single" w:sz="4" w:space="0" w:color="000000"/>
            </w:tcBorders>
            <w:vAlign w:val="center"/>
            <w:hideMark/>
          </w:tcPr>
          <w:p w14:paraId="702A3883"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-1</w:t>
            </w:r>
          </w:p>
        </w:tc>
        <w:tc>
          <w:tcPr>
            <w:tcW w:w="1148" w:type="pct"/>
            <w:tcBorders>
              <w:top w:val="single" w:sz="4" w:space="0" w:color="000000"/>
              <w:bottom w:val="single" w:sz="4" w:space="0" w:color="000000"/>
            </w:tcBorders>
            <w:vAlign w:val="center"/>
            <w:hideMark/>
          </w:tcPr>
          <w:p w14:paraId="1EC6F287"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w:t>
            </w:r>
          </w:p>
        </w:tc>
        <w:tc>
          <w:tcPr>
            <w:tcW w:w="1148" w:type="pct"/>
            <w:tcBorders>
              <w:top w:val="single" w:sz="4" w:space="0" w:color="000000"/>
              <w:bottom w:val="single" w:sz="4" w:space="0" w:color="000000"/>
            </w:tcBorders>
            <w:vAlign w:val="center"/>
            <w:hideMark/>
          </w:tcPr>
          <w:p w14:paraId="5152DF1D"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1</w:t>
            </w:r>
          </w:p>
        </w:tc>
      </w:tr>
      <w:tr w:rsidR="00F84AA5" w:rsidRPr="00966FED" w14:paraId="7A1423C9" w14:textId="77777777" w:rsidTr="00F84AA5">
        <w:tc>
          <w:tcPr>
            <w:tcW w:w="968" w:type="pct"/>
            <w:vAlign w:val="center"/>
            <w:hideMark/>
          </w:tcPr>
          <w:p w14:paraId="662A24AD"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Si/Al ratio</w:t>
            </w:r>
          </w:p>
        </w:tc>
        <w:tc>
          <w:tcPr>
            <w:tcW w:w="588" w:type="pct"/>
            <w:vAlign w:val="center"/>
            <w:hideMark/>
          </w:tcPr>
          <w:p w14:paraId="79CDF01D"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A</w:t>
            </w:r>
          </w:p>
        </w:tc>
        <w:tc>
          <w:tcPr>
            <w:tcW w:w="1148" w:type="pct"/>
            <w:tcBorders>
              <w:top w:val="single" w:sz="4" w:space="0" w:color="000000"/>
            </w:tcBorders>
            <w:vAlign w:val="center"/>
            <w:hideMark/>
          </w:tcPr>
          <w:p w14:paraId="6C817E9F"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3</w:t>
            </w:r>
          </w:p>
        </w:tc>
        <w:tc>
          <w:tcPr>
            <w:tcW w:w="1148" w:type="pct"/>
            <w:tcBorders>
              <w:top w:val="single" w:sz="4" w:space="0" w:color="000000"/>
            </w:tcBorders>
            <w:vAlign w:val="center"/>
            <w:hideMark/>
          </w:tcPr>
          <w:p w14:paraId="3EE37DCB"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4</w:t>
            </w:r>
          </w:p>
        </w:tc>
        <w:tc>
          <w:tcPr>
            <w:tcW w:w="1148" w:type="pct"/>
            <w:tcBorders>
              <w:top w:val="single" w:sz="4" w:space="0" w:color="000000"/>
            </w:tcBorders>
            <w:vAlign w:val="center"/>
            <w:hideMark/>
          </w:tcPr>
          <w:p w14:paraId="385D9B1B"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5</w:t>
            </w:r>
          </w:p>
        </w:tc>
      </w:tr>
      <w:tr w:rsidR="00F84AA5" w:rsidRPr="00966FED" w14:paraId="0181515B" w14:textId="77777777" w:rsidTr="00F84AA5">
        <w:tc>
          <w:tcPr>
            <w:tcW w:w="968" w:type="pct"/>
            <w:vAlign w:val="center"/>
            <w:hideMark/>
          </w:tcPr>
          <w:p w14:paraId="71ADD312"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nanosilica wt%</w:t>
            </w:r>
          </w:p>
        </w:tc>
        <w:tc>
          <w:tcPr>
            <w:tcW w:w="588" w:type="pct"/>
            <w:vAlign w:val="center"/>
            <w:hideMark/>
          </w:tcPr>
          <w:p w14:paraId="34875FE3"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B</w:t>
            </w:r>
          </w:p>
        </w:tc>
        <w:tc>
          <w:tcPr>
            <w:tcW w:w="1148" w:type="pct"/>
            <w:vAlign w:val="center"/>
            <w:hideMark/>
          </w:tcPr>
          <w:p w14:paraId="4876552A"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0.3</w:t>
            </w:r>
          </w:p>
        </w:tc>
        <w:tc>
          <w:tcPr>
            <w:tcW w:w="1148" w:type="pct"/>
            <w:vAlign w:val="center"/>
            <w:hideMark/>
          </w:tcPr>
          <w:p w14:paraId="7EAE13F4"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0.45</w:t>
            </w:r>
          </w:p>
        </w:tc>
        <w:tc>
          <w:tcPr>
            <w:tcW w:w="1148" w:type="pct"/>
            <w:vAlign w:val="center"/>
            <w:hideMark/>
          </w:tcPr>
          <w:p w14:paraId="774086D3"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0.6</w:t>
            </w:r>
          </w:p>
        </w:tc>
      </w:tr>
      <w:tr w:rsidR="00F84AA5" w:rsidRPr="00966FED" w14:paraId="4818889C" w14:textId="77777777" w:rsidTr="00F84AA5">
        <w:tc>
          <w:tcPr>
            <w:tcW w:w="968" w:type="pct"/>
            <w:tcBorders>
              <w:bottom w:val="single" w:sz="8" w:space="0" w:color="000000"/>
            </w:tcBorders>
            <w:vAlign w:val="center"/>
            <w:hideMark/>
          </w:tcPr>
          <w:p w14:paraId="591AB78B"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GBC/AP ratio</w:t>
            </w:r>
          </w:p>
        </w:tc>
        <w:tc>
          <w:tcPr>
            <w:tcW w:w="588" w:type="pct"/>
            <w:tcBorders>
              <w:bottom w:val="single" w:sz="8" w:space="0" w:color="000000"/>
            </w:tcBorders>
            <w:vAlign w:val="center"/>
            <w:hideMark/>
          </w:tcPr>
          <w:p w14:paraId="71004522"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C</w:t>
            </w:r>
          </w:p>
        </w:tc>
        <w:tc>
          <w:tcPr>
            <w:tcW w:w="1148" w:type="pct"/>
            <w:tcBorders>
              <w:bottom w:val="single" w:sz="8" w:space="0" w:color="000000"/>
            </w:tcBorders>
            <w:vAlign w:val="center"/>
            <w:hideMark/>
          </w:tcPr>
          <w:p w14:paraId="32691566"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0.3</w:t>
            </w:r>
          </w:p>
        </w:tc>
        <w:tc>
          <w:tcPr>
            <w:tcW w:w="1148" w:type="pct"/>
            <w:tcBorders>
              <w:bottom w:val="single" w:sz="8" w:space="0" w:color="000000"/>
            </w:tcBorders>
            <w:vAlign w:val="center"/>
            <w:hideMark/>
          </w:tcPr>
          <w:p w14:paraId="0466C133"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0.4</w:t>
            </w:r>
          </w:p>
        </w:tc>
        <w:tc>
          <w:tcPr>
            <w:tcW w:w="1148" w:type="pct"/>
            <w:tcBorders>
              <w:bottom w:val="single" w:sz="8" w:space="0" w:color="000000"/>
            </w:tcBorders>
            <w:vAlign w:val="center"/>
            <w:hideMark/>
          </w:tcPr>
          <w:p w14:paraId="750E7E84"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0.5</w:t>
            </w:r>
          </w:p>
        </w:tc>
      </w:tr>
    </w:tbl>
    <w:p w14:paraId="161F51D8" w14:textId="77777777" w:rsidR="00533486" w:rsidRPr="00966FED" w:rsidRDefault="00533486" w:rsidP="00E93491">
      <w:pPr>
        <w:spacing w:before="240" w:after="240" w:line="240" w:lineRule="auto"/>
        <w:jc w:val="both"/>
        <w:rPr>
          <w:rFonts w:ascii="Times New Roman" w:hAnsi="Times New Roman" w:cs="Times New Roman"/>
        </w:rPr>
      </w:pPr>
      <w:r w:rsidRPr="00966FED">
        <w:rPr>
          <w:rFonts w:ascii="Times New Roman" w:hAnsi="Times New Roman" w:cs="Times New Roman"/>
        </w:rPr>
        <w:t>Kauswagan Red Clay (KRC) was sourced from the municipality of Kauswagan, Lanao del Norte, Philippines. The raw KRC was washed with running water to remove surface contaminants and then oven-dried at 105°C for 24 hours. The dried KRC was then pulverized using a mortar grinder to achieve a fine and uniform particle size. The ground KRC was then subjected to calcination at 750 °C for 2 hours to enhance its reactivity[24], [34].</w:t>
      </w:r>
    </w:p>
    <w:p w14:paraId="1529CE19" w14:textId="77777777" w:rsidR="00533486" w:rsidRPr="00966FED" w:rsidRDefault="00533486" w:rsidP="00E93491">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rPr>
        <w:lastRenderedPageBreak/>
        <w:t>Both SCBA and KRC were further pulverized using a mortar grinder and sieved through a 250-mesh sieve to achieve a uniform particle size, ensuring better dispersion and increased surface area for enhanced reactivity [35]. Subsequently, X-ray Fluorescence (XRF) analysis (Rigaku NEX CG II) was performed to determine their elemental composition, as presented in Table 2. The chemicals used in this study were HCl, NaOH, and Na₂SiO₃. These were sourced from the Sustainable Resource Engineering Research for Construction Technologies Center (SuRER CT) at Mindanao State University – Iligan Institute of Technology. The AP used in the experiment was Davies Gloss-It Quick Dry Enamel Paint DV-300 White.</w:t>
      </w:r>
      <w:r w:rsidRPr="00966FED">
        <w:rPr>
          <w:rFonts w:ascii="Times New Roman" w:hAnsi="Times New Roman" w:cs="Times New Roman"/>
          <w:b/>
          <w:bCs/>
          <w:sz w:val="28"/>
          <w:szCs w:val="28"/>
        </w:rPr>
        <w:t xml:space="preserve"> </w:t>
      </w:r>
    </w:p>
    <w:p w14:paraId="265D955B" w14:textId="77CA4771" w:rsidR="00173F38" w:rsidRPr="00173F38" w:rsidRDefault="00173F38" w:rsidP="00E93491">
      <w:pPr>
        <w:spacing w:before="240" w:after="240" w:line="240" w:lineRule="auto"/>
        <w:jc w:val="both"/>
        <w:rPr>
          <w:rFonts w:ascii="Times New Roman" w:hAnsi="Times New Roman" w:cs="Times New Roman"/>
          <w:b/>
          <w:bCs/>
          <w:lang w:val="en-US"/>
        </w:rPr>
      </w:pPr>
      <w:r w:rsidRPr="00173F38">
        <w:rPr>
          <w:rFonts w:ascii="Times New Roman" w:hAnsi="Times New Roman" w:cs="Times New Roman"/>
          <w:b/>
          <w:bCs/>
          <w:lang w:val="en-US"/>
        </w:rPr>
        <w:t>Table 2. X-ray Fluorescence (XRF) Analysis of SCBA and KRC.</w:t>
      </w:r>
    </w:p>
    <w:tbl>
      <w:tblPr>
        <w:tblW w:w="5000" w:type="pct"/>
        <w:jc w:val="center"/>
        <w:tblCellMar>
          <w:top w:w="15" w:type="dxa"/>
          <w:left w:w="15" w:type="dxa"/>
          <w:bottom w:w="15" w:type="dxa"/>
          <w:right w:w="15" w:type="dxa"/>
        </w:tblCellMar>
        <w:tblLook w:val="04A0" w:firstRow="1" w:lastRow="0" w:firstColumn="1" w:lastColumn="0" w:noHBand="0" w:noVBand="1"/>
      </w:tblPr>
      <w:tblGrid>
        <w:gridCol w:w="3937"/>
        <w:gridCol w:w="3596"/>
        <w:gridCol w:w="3164"/>
      </w:tblGrid>
      <w:tr w:rsidR="00173F38" w:rsidRPr="00173F38" w14:paraId="3BDF181C" w14:textId="77777777" w:rsidTr="00173F38">
        <w:trPr>
          <w:trHeight w:val="20"/>
          <w:jc w:val="center"/>
        </w:trPr>
        <w:tc>
          <w:tcPr>
            <w:tcW w:w="1840" w:type="pct"/>
            <w:vMerge w:val="restart"/>
            <w:tcBorders>
              <w:top w:val="single" w:sz="4" w:space="0" w:color="000000"/>
              <w:bottom w:val="single" w:sz="4" w:space="0" w:color="000000"/>
            </w:tcBorders>
            <w:tcMar>
              <w:top w:w="0" w:type="dxa"/>
              <w:left w:w="115" w:type="dxa"/>
              <w:bottom w:w="0" w:type="dxa"/>
              <w:right w:w="115" w:type="dxa"/>
            </w:tcMar>
            <w:vAlign w:val="center"/>
            <w:hideMark/>
          </w:tcPr>
          <w:p w14:paraId="6F379B7F" w14:textId="77777777" w:rsidR="00173F38" w:rsidRPr="00173F38" w:rsidRDefault="00173F38" w:rsidP="00E93491">
            <w:pPr>
              <w:spacing w:after="0" w:line="240" w:lineRule="auto"/>
              <w:jc w:val="both"/>
              <w:rPr>
                <w:rFonts w:ascii="Times New Roman" w:hAnsi="Times New Roman" w:cs="Times New Roman"/>
                <w:b/>
                <w:bCs/>
                <w:lang w:val="en-US"/>
              </w:rPr>
            </w:pPr>
            <w:r w:rsidRPr="00173F38">
              <w:rPr>
                <w:rFonts w:ascii="Times New Roman" w:hAnsi="Times New Roman" w:cs="Times New Roman"/>
                <w:b/>
                <w:bCs/>
                <w:lang w:val="en-US"/>
              </w:rPr>
              <w:t>Element</w:t>
            </w:r>
          </w:p>
        </w:tc>
        <w:tc>
          <w:tcPr>
            <w:tcW w:w="3160" w:type="pct"/>
            <w:gridSpan w:val="2"/>
            <w:tcBorders>
              <w:top w:val="single" w:sz="4" w:space="0" w:color="000000"/>
              <w:bottom w:val="single" w:sz="4" w:space="0" w:color="000000"/>
            </w:tcBorders>
            <w:tcMar>
              <w:top w:w="0" w:type="dxa"/>
              <w:left w:w="115" w:type="dxa"/>
              <w:bottom w:w="0" w:type="dxa"/>
              <w:right w:w="115" w:type="dxa"/>
            </w:tcMar>
            <w:hideMark/>
          </w:tcPr>
          <w:p w14:paraId="4355565D" w14:textId="77777777" w:rsidR="00173F38" w:rsidRPr="00173F38" w:rsidRDefault="00173F38" w:rsidP="00E93491">
            <w:pPr>
              <w:spacing w:after="0" w:line="240" w:lineRule="auto"/>
              <w:jc w:val="center"/>
              <w:rPr>
                <w:rFonts w:ascii="Times New Roman" w:hAnsi="Times New Roman" w:cs="Times New Roman"/>
                <w:b/>
                <w:bCs/>
                <w:lang w:val="en-US"/>
              </w:rPr>
            </w:pPr>
            <w:r w:rsidRPr="00173F38">
              <w:rPr>
                <w:rFonts w:ascii="Times New Roman" w:hAnsi="Times New Roman" w:cs="Times New Roman"/>
                <w:b/>
                <w:bCs/>
                <w:lang w:val="en-US"/>
              </w:rPr>
              <w:t>% Composition</w:t>
            </w:r>
          </w:p>
        </w:tc>
      </w:tr>
      <w:tr w:rsidR="00286616" w:rsidRPr="00966FED" w14:paraId="33B6DD60" w14:textId="77777777" w:rsidTr="00173F38">
        <w:trPr>
          <w:trHeight w:val="43"/>
          <w:jc w:val="center"/>
        </w:trPr>
        <w:tc>
          <w:tcPr>
            <w:tcW w:w="1840" w:type="pct"/>
            <w:vMerge/>
            <w:tcBorders>
              <w:top w:val="single" w:sz="4" w:space="0" w:color="000000"/>
              <w:bottom w:val="single" w:sz="4" w:space="0" w:color="000000"/>
            </w:tcBorders>
            <w:vAlign w:val="center"/>
            <w:hideMark/>
          </w:tcPr>
          <w:p w14:paraId="78ACBA58" w14:textId="77777777" w:rsidR="00173F38" w:rsidRPr="00173F38" w:rsidRDefault="00173F38" w:rsidP="00E93491">
            <w:pPr>
              <w:spacing w:after="0" w:line="240" w:lineRule="auto"/>
              <w:jc w:val="both"/>
              <w:rPr>
                <w:rFonts w:ascii="Times New Roman" w:hAnsi="Times New Roman" w:cs="Times New Roman"/>
                <w:b/>
                <w:bCs/>
                <w:lang w:val="en-US"/>
              </w:rPr>
            </w:pPr>
          </w:p>
        </w:tc>
        <w:tc>
          <w:tcPr>
            <w:tcW w:w="1681" w:type="pct"/>
            <w:tcBorders>
              <w:top w:val="single" w:sz="4" w:space="0" w:color="000000"/>
              <w:bottom w:val="single" w:sz="4" w:space="0" w:color="000000"/>
            </w:tcBorders>
            <w:tcMar>
              <w:top w:w="0" w:type="dxa"/>
              <w:left w:w="115" w:type="dxa"/>
              <w:bottom w:w="0" w:type="dxa"/>
              <w:right w:w="115" w:type="dxa"/>
            </w:tcMar>
            <w:hideMark/>
          </w:tcPr>
          <w:p w14:paraId="1575A973"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SCBA</w:t>
            </w:r>
          </w:p>
        </w:tc>
        <w:tc>
          <w:tcPr>
            <w:tcW w:w="1479" w:type="pct"/>
            <w:tcBorders>
              <w:top w:val="single" w:sz="4" w:space="0" w:color="000000"/>
              <w:bottom w:val="single" w:sz="4" w:space="0" w:color="000000"/>
            </w:tcBorders>
            <w:tcMar>
              <w:top w:w="0" w:type="dxa"/>
              <w:left w:w="115" w:type="dxa"/>
              <w:bottom w:w="0" w:type="dxa"/>
              <w:right w:w="115" w:type="dxa"/>
            </w:tcMar>
            <w:hideMark/>
          </w:tcPr>
          <w:p w14:paraId="5DF24E68"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KRC</w:t>
            </w:r>
          </w:p>
        </w:tc>
      </w:tr>
      <w:tr w:rsidR="00286616" w:rsidRPr="00966FED" w14:paraId="02994E8F" w14:textId="77777777" w:rsidTr="00173F38">
        <w:trPr>
          <w:trHeight w:val="20"/>
          <w:jc w:val="center"/>
        </w:trPr>
        <w:tc>
          <w:tcPr>
            <w:tcW w:w="1840" w:type="pct"/>
            <w:tcBorders>
              <w:top w:val="single" w:sz="4" w:space="0" w:color="000000"/>
            </w:tcBorders>
            <w:tcMar>
              <w:top w:w="0" w:type="dxa"/>
              <w:left w:w="115" w:type="dxa"/>
              <w:bottom w:w="0" w:type="dxa"/>
              <w:right w:w="115" w:type="dxa"/>
            </w:tcMar>
            <w:hideMark/>
          </w:tcPr>
          <w:p w14:paraId="09576D71"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SiO</w:t>
            </w:r>
            <w:r w:rsidRPr="00173F38">
              <w:rPr>
                <w:rFonts w:ascii="Times New Roman" w:hAnsi="Times New Roman" w:cs="Times New Roman"/>
                <w:vertAlign w:val="subscript"/>
                <w:lang w:val="en-US"/>
              </w:rPr>
              <w:t>2</w:t>
            </w:r>
          </w:p>
        </w:tc>
        <w:tc>
          <w:tcPr>
            <w:tcW w:w="1681" w:type="pct"/>
            <w:tcBorders>
              <w:top w:val="single" w:sz="4" w:space="0" w:color="000000"/>
            </w:tcBorders>
            <w:tcMar>
              <w:top w:w="0" w:type="dxa"/>
              <w:left w:w="115" w:type="dxa"/>
              <w:bottom w:w="0" w:type="dxa"/>
              <w:right w:w="115" w:type="dxa"/>
            </w:tcMar>
            <w:hideMark/>
          </w:tcPr>
          <w:p w14:paraId="7A0E390D"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75.05</w:t>
            </w:r>
          </w:p>
        </w:tc>
        <w:tc>
          <w:tcPr>
            <w:tcW w:w="1479" w:type="pct"/>
            <w:tcBorders>
              <w:top w:val="single" w:sz="4" w:space="0" w:color="000000"/>
            </w:tcBorders>
            <w:tcMar>
              <w:top w:w="0" w:type="dxa"/>
              <w:left w:w="115" w:type="dxa"/>
              <w:bottom w:w="0" w:type="dxa"/>
              <w:right w:w="115" w:type="dxa"/>
            </w:tcMar>
            <w:hideMark/>
          </w:tcPr>
          <w:p w14:paraId="0EAF9FFC"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44.42</w:t>
            </w:r>
          </w:p>
        </w:tc>
      </w:tr>
      <w:tr w:rsidR="00286616" w:rsidRPr="00966FED" w14:paraId="551E1312" w14:textId="77777777" w:rsidTr="00173F38">
        <w:trPr>
          <w:trHeight w:val="20"/>
          <w:jc w:val="center"/>
        </w:trPr>
        <w:tc>
          <w:tcPr>
            <w:tcW w:w="1840" w:type="pct"/>
            <w:tcMar>
              <w:top w:w="0" w:type="dxa"/>
              <w:left w:w="115" w:type="dxa"/>
              <w:bottom w:w="0" w:type="dxa"/>
              <w:right w:w="115" w:type="dxa"/>
            </w:tcMar>
            <w:hideMark/>
          </w:tcPr>
          <w:p w14:paraId="4E67666A"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Al</w:t>
            </w:r>
            <w:r w:rsidRPr="00173F38">
              <w:rPr>
                <w:rFonts w:ascii="Times New Roman" w:hAnsi="Times New Roman" w:cs="Times New Roman"/>
                <w:vertAlign w:val="subscript"/>
                <w:lang w:val="en-US"/>
              </w:rPr>
              <w:t>2</w:t>
            </w:r>
            <w:r w:rsidRPr="00173F38">
              <w:rPr>
                <w:rFonts w:ascii="Times New Roman" w:hAnsi="Times New Roman" w:cs="Times New Roman"/>
                <w:lang w:val="en-US"/>
              </w:rPr>
              <w:t>O</w:t>
            </w:r>
            <w:r w:rsidRPr="00173F38">
              <w:rPr>
                <w:rFonts w:ascii="Times New Roman" w:hAnsi="Times New Roman" w:cs="Times New Roman"/>
                <w:vertAlign w:val="subscript"/>
                <w:lang w:val="en-US"/>
              </w:rPr>
              <w:t>3</w:t>
            </w:r>
          </w:p>
        </w:tc>
        <w:tc>
          <w:tcPr>
            <w:tcW w:w="1681" w:type="pct"/>
            <w:tcMar>
              <w:top w:w="0" w:type="dxa"/>
              <w:left w:w="115" w:type="dxa"/>
              <w:bottom w:w="0" w:type="dxa"/>
              <w:right w:w="115" w:type="dxa"/>
            </w:tcMar>
            <w:hideMark/>
          </w:tcPr>
          <w:p w14:paraId="6FD0DFA0"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6.25</w:t>
            </w:r>
          </w:p>
        </w:tc>
        <w:tc>
          <w:tcPr>
            <w:tcW w:w="1479" w:type="pct"/>
            <w:tcMar>
              <w:top w:w="0" w:type="dxa"/>
              <w:left w:w="115" w:type="dxa"/>
              <w:bottom w:w="0" w:type="dxa"/>
              <w:right w:w="115" w:type="dxa"/>
            </w:tcMar>
            <w:hideMark/>
          </w:tcPr>
          <w:p w14:paraId="3B1FFC47"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36.11</w:t>
            </w:r>
          </w:p>
        </w:tc>
      </w:tr>
      <w:tr w:rsidR="00286616" w:rsidRPr="00966FED" w14:paraId="2C273A65" w14:textId="77777777" w:rsidTr="00173F38">
        <w:trPr>
          <w:trHeight w:val="20"/>
          <w:jc w:val="center"/>
        </w:trPr>
        <w:tc>
          <w:tcPr>
            <w:tcW w:w="1840" w:type="pct"/>
            <w:tcMar>
              <w:top w:w="0" w:type="dxa"/>
              <w:left w:w="115" w:type="dxa"/>
              <w:bottom w:w="0" w:type="dxa"/>
              <w:right w:w="115" w:type="dxa"/>
            </w:tcMar>
            <w:hideMark/>
          </w:tcPr>
          <w:p w14:paraId="7DCE8D3A"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Fe</w:t>
            </w:r>
            <w:r w:rsidRPr="00173F38">
              <w:rPr>
                <w:rFonts w:ascii="Times New Roman" w:hAnsi="Times New Roman" w:cs="Times New Roman"/>
                <w:vertAlign w:val="subscript"/>
                <w:lang w:val="en-US"/>
              </w:rPr>
              <w:t>2</w:t>
            </w:r>
            <w:r w:rsidRPr="00173F38">
              <w:rPr>
                <w:rFonts w:ascii="Times New Roman" w:hAnsi="Times New Roman" w:cs="Times New Roman"/>
                <w:lang w:val="en-US"/>
              </w:rPr>
              <w:t>O</w:t>
            </w:r>
            <w:r w:rsidRPr="00173F38">
              <w:rPr>
                <w:rFonts w:ascii="Times New Roman" w:hAnsi="Times New Roman" w:cs="Times New Roman"/>
                <w:vertAlign w:val="subscript"/>
                <w:lang w:val="en-US"/>
              </w:rPr>
              <w:t>3</w:t>
            </w:r>
          </w:p>
        </w:tc>
        <w:tc>
          <w:tcPr>
            <w:tcW w:w="1681" w:type="pct"/>
            <w:tcMar>
              <w:top w:w="0" w:type="dxa"/>
              <w:left w:w="115" w:type="dxa"/>
              <w:bottom w:w="0" w:type="dxa"/>
              <w:right w:w="115" w:type="dxa"/>
            </w:tcMar>
            <w:hideMark/>
          </w:tcPr>
          <w:p w14:paraId="780CD54A"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3.10</w:t>
            </w:r>
          </w:p>
        </w:tc>
        <w:tc>
          <w:tcPr>
            <w:tcW w:w="1479" w:type="pct"/>
            <w:tcMar>
              <w:top w:w="0" w:type="dxa"/>
              <w:left w:w="115" w:type="dxa"/>
              <w:bottom w:w="0" w:type="dxa"/>
              <w:right w:w="115" w:type="dxa"/>
            </w:tcMar>
            <w:hideMark/>
          </w:tcPr>
          <w:p w14:paraId="1F5F7564"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16.27</w:t>
            </w:r>
          </w:p>
        </w:tc>
      </w:tr>
      <w:tr w:rsidR="00286616" w:rsidRPr="00966FED" w14:paraId="122497FC" w14:textId="77777777" w:rsidTr="00173F38">
        <w:trPr>
          <w:trHeight w:val="20"/>
          <w:jc w:val="center"/>
        </w:trPr>
        <w:tc>
          <w:tcPr>
            <w:tcW w:w="1840" w:type="pct"/>
            <w:tcMar>
              <w:top w:w="0" w:type="dxa"/>
              <w:left w:w="115" w:type="dxa"/>
              <w:bottom w:w="0" w:type="dxa"/>
              <w:right w:w="115" w:type="dxa"/>
            </w:tcMar>
            <w:hideMark/>
          </w:tcPr>
          <w:p w14:paraId="77F80FF3"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CaO</w:t>
            </w:r>
          </w:p>
        </w:tc>
        <w:tc>
          <w:tcPr>
            <w:tcW w:w="1681" w:type="pct"/>
            <w:tcMar>
              <w:top w:w="0" w:type="dxa"/>
              <w:left w:w="115" w:type="dxa"/>
              <w:bottom w:w="0" w:type="dxa"/>
              <w:right w:w="115" w:type="dxa"/>
            </w:tcMar>
            <w:hideMark/>
          </w:tcPr>
          <w:p w14:paraId="0288E6A0"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5.61</w:t>
            </w:r>
          </w:p>
        </w:tc>
        <w:tc>
          <w:tcPr>
            <w:tcW w:w="1479" w:type="pct"/>
            <w:tcMar>
              <w:top w:w="0" w:type="dxa"/>
              <w:left w:w="115" w:type="dxa"/>
              <w:bottom w:w="0" w:type="dxa"/>
              <w:right w:w="115" w:type="dxa"/>
            </w:tcMar>
            <w:hideMark/>
          </w:tcPr>
          <w:p w14:paraId="590439A7"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0.19</w:t>
            </w:r>
          </w:p>
        </w:tc>
      </w:tr>
      <w:tr w:rsidR="00286616" w:rsidRPr="00966FED" w14:paraId="18D99D42" w14:textId="77777777" w:rsidTr="00173F38">
        <w:trPr>
          <w:trHeight w:val="20"/>
          <w:jc w:val="center"/>
        </w:trPr>
        <w:tc>
          <w:tcPr>
            <w:tcW w:w="1840" w:type="pct"/>
            <w:tcMar>
              <w:top w:w="0" w:type="dxa"/>
              <w:left w:w="115" w:type="dxa"/>
              <w:bottom w:w="0" w:type="dxa"/>
              <w:right w:w="115" w:type="dxa"/>
            </w:tcMar>
            <w:hideMark/>
          </w:tcPr>
          <w:p w14:paraId="20E760A3"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MgO</w:t>
            </w:r>
          </w:p>
        </w:tc>
        <w:tc>
          <w:tcPr>
            <w:tcW w:w="1681" w:type="pct"/>
            <w:tcMar>
              <w:top w:w="0" w:type="dxa"/>
              <w:left w:w="115" w:type="dxa"/>
              <w:bottom w:w="0" w:type="dxa"/>
              <w:right w:w="115" w:type="dxa"/>
            </w:tcMar>
            <w:hideMark/>
          </w:tcPr>
          <w:p w14:paraId="677308A2"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2.99</w:t>
            </w:r>
          </w:p>
        </w:tc>
        <w:tc>
          <w:tcPr>
            <w:tcW w:w="1479" w:type="pct"/>
            <w:tcMar>
              <w:top w:w="0" w:type="dxa"/>
              <w:left w:w="115" w:type="dxa"/>
              <w:bottom w:w="0" w:type="dxa"/>
              <w:right w:w="115" w:type="dxa"/>
            </w:tcMar>
            <w:hideMark/>
          </w:tcPr>
          <w:p w14:paraId="431F0A44"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0.10</w:t>
            </w:r>
          </w:p>
        </w:tc>
      </w:tr>
      <w:tr w:rsidR="00286616" w:rsidRPr="00966FED" w14:paraId="152D59C7" w14:textId="77777777" w:rsidTr="00173F38">
        <w:trPr>
          <w:trHeight w:val="20"/>
          <w:jc w:val="center"/>
        </w:trPr>
        <w:tc>
          <w:tcPr>
            <w:tcW w:w="1840" w:type="pct"/>
            <w:tcMar>
              <w:top w:w="0" w:type="dxa"/>
              <w:left w:w="115" w:type="dxa"/>
              <w:bottom w:w="0" w:type="dxa"/>
              <w:right w:w="115" w:type="dxa"/>
            </w:tcMar>
            <w:hideMark/>
          </w:tcPr>
          <w:p w14:paraId="6F72BC8C"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Others</w:t>
            </w:r>
          </w:p>
        </w:tc>
        <w:tc>
          <w:tcPr>
            <w:tcW w:w="1681" w:type="pct"/>
            <w:tcMar>
              <w:top w:w="0" w:type="dxa"/>
              <w:left w:w="115" w:type="dxa"/>
              <w:bottom w:w="0" w:type="dxa"/>
              <w:right w:w="115" w:type="dxa"/>
            </w:tcMar>
            <w:hideMark/>
          </w:tcPr>
          <w:p w14:paraId="1FB84351"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1.23</w:t>
            </w:r>
          </w:p>
        </w:tc>
        <w:tc>
          <w:tcPr>
            <w:tcW w:w="1479" w:type="pct"/>
            <w:tcMar>
              <w:top w:w="0" w:type="dxa"/>
              <w:left w:w="115" w:type="dxa"/>
              <w:bottom w:w="0" w:type="dxa"/>
              <w:right w:w="115" w:type="dxa"/>
            </w:tcMar>
            <w:hideMark/>
          </w:tcPr>
          <w:p w14:paraId="7AFB4906"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1.60</w:t>
            </w:r>
          </w:p>
        </w:tc>
      </w:tr>
      <w:tr w:rsidR="00286616" w:rsidRPr="00966FED" w14:paraId="6837B3FD" w14:textId="77777777" w:rsidTr="00173F38">
        <w:trPr>
          <w:trHeight w:val="20"/>
          <w:jc w:val="center"/>
        </w:trPr>
        <w:tc>
          <w:tcPr>
            <w:tcW w:w="1840" w:type="pct"/>
            <w:tcBorders>
              <w:bottom w:val="single" w:sz="4" w:space="0" w:color="000000"/>
            </w:tcBorders>
            <w:tcMar>
              <w:top w:w="0" w:type="dxa"/>
              <w:left w:w="115" w:type="dxa"/>
              <w:bottom w:w="0" w:type="dxa"/>
              <w:right w:w="115" w:type="dxa"/>
            </w:tcMar>
            <w:hideMark/>
          </w:tcPr>
          <w:p w14:paraId="07D9DEAB"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LOI</w:t>
            </w:r>
          </w:p>
        </w:tc>
        <w:tc>
          <w:tcPr>
            <w:tcW w:w="1681" w:type="pct"/>
            <w:tcBorders>
              <w:bottom w:val="single" w:sz="4" w:space="0" w:color="000000"/>
            </w:tcBorders>
            <w:tcMar>
              <w:top w:w="0" w:type="dxa"/>
              <w:left w:w="115" w:type="dxa"/>
              <w:bottom w:w="0" w:type="dxa"/>
              <w:right w:w="115" w:type="dxa"/>
            </w:tcMar>
            <w:hideMark/>
          </w:tcPr>
          <w:p w14:paraId="4C400283"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4.31</w:t>
            </w:r>
          </w:p>
        </w:tc>
        <w:tc>
          <w:tcPr>
            <w:tcW w:w="1479" w:type="pct"/>
            <w:tcBorders>
              <w:bottom w:val="single" w:sz="4" w:space="0" w:color="000000"/>
            </w:tcBorders>
            <w:tcMar>
              <w:top w:w="0" w:type="dxa"/>
              <w:left w:w="115" w:type="dxa"/>
              <w:bottom w:w="0" w:type="dxa"/>
              <w:right w:w="115" w:type="dxa"/>
            </w:tcMar>
            <w:hideMark/>
          </w:tcPr>
          <w:p w14:paraId="4EAD44DD"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0.93</w:t>
            </w:r>
          </w:p>
        </w:tc>
      </w:tr>
      <w:tr w:rsidR="00173F38" w:rsidRPr="00173F38" w14:paraId="16697D85" w14:textId="77777777" w:rsidTr="00173F38">
        <w:trPr>
          <w:jc w:val="center"/>
        </w:trPr>
        <w:tc>
          <w:tcPr>
            <w:tcW w:w="1840" w:type="pct"/>
            <w:tcBorders>
              <w:top w:val="single" w:sz="4" w:space="0" w:color="000000"/>
            </w:tcBorders>
            <w:tcMar>
              <w:top w:w="0" w:type="dxa"/>
              <w:left w:w="115" w:type="dxa"/>
              <w:bottom w:w="0" w:type="dxa"/>
              <w:right w:w="115" w:type="dxa"/>
            </w:tcMar>
            <w:hideMark/>
          </w:tcPr>
          <w:p w14:paraId="3C00EBB8" w14:textId="77777777" w:rsidR="00173F38" w:rsidRPr="00173F38" w:rsidRDefault="00173F38" w:rsidP="00E93491">
            <w:pPr>
              <w:spacing w:before="240" w:after="240" w:line="240" w:lineRule="auto"/>
              <w:jc w:val="both"/>
              <w:rPr>
                <w:rFonts w:ascii="Times New Roman" w:hAnsi="Times New Roman" w:cs="Times New Roman"/>
                <w:b/>
                <w:bCs/>
                <w:lang w:val="en-US"/>
              </w:rPr>
            </w:pPr>
          </w:p>
        </w:tc>
        <w:tc>
          <w:tcPr>
            <w:tcW w:w="3160" w:type="pct"/>
            <w:gridSpan w:val="2"/>
            <w:tcBorders>
              <w:top w:val="single" w:sz="4" w:space="0" w:color="000000"/>
            </w:tcBorders>
            <w:tcMar>
              <w:top w:w="0" w:type="dxa"/>
              <w:left w:w="115" w:type="dxa"/>
              <w:bottom w:w="0" w:type="dxa"/>
              <w:right w:w="115" w:type="dxa"/>
            </w:tcMar>
            <w:hideMark/>
          </w:tcPr>
          <w:p w14:paraId="0A5FC086" w14:textId="77777777" w:rsidR="00173F38" w:rsidRPr="00173F38" w:rsidRDefault="00173F38" w:rsidP="00E93491">
            <w:pPr>
              <w:spacing w:before="240" w:after="240" w:line="240" w:lineRule="auto"/>
              <w:jc w:val="both"/>
              <w:rPr>
                <w:rFonts w:ascii="Times New Roman" w:hAnsi="Times New Roman" w:cs="Times New Roman"/>
                <w:b/>
                <w:bCs/>
                <w:lang w:val="en-US"/>
              </w:rPr>
            </w:pPr>
          </w:p>
        </w:tc>
      </w:tr>
    </w:tbl>
    <w:p w14:paraId="0CBCD576" w14:textId="6BC1F59F" w:rsidR="00533486" w:rsidRPr="00966FED" w:rsidRDefault="00173F38" w:rsidP="00E93491">
      <w:pPr>
        <w:spacing w:before="240" w:after="240" w:line="240" w:lineRule="auto"/>
        <w:jc w:val="center"/>
        <w:rPr>
          <w:rFonts w:ascii="Times New Roman" w:hAnsi="Times New Roman" w:cs="Times New Roman"/>
          <w:lang w:val="en-US"/>
        </w:rPr>
      </w:pPr>
      <w:r w:rsidRPr="00173F38">
        <w:rPr>
          <w:rFonts w:ascii="Times New Roman" w:hAnsi="Times New Roman" w:cs="Times New Roman"/>
          <w:lang w:val="en-US"/>
        </w:rPr>
        <w:t>LOI = Loss on ignition, Others = K</w:t>
      </w:r>
      <w:r w:rsidRPr="00173F38">
        <w:rPr>
          <w:rFonts w:ascii="Times New Roman" w:hAnsi="Times New Roman" w:cs="Times New Roman"/>
          <w:vertAlign w:val="subscript"/>
          <w:lang w:val="en-US"/>
        </w:rPr>
        <w:t>2</w:t>
      </w:r>
      <w:r w:rsidRPr="00173F38">
        <w:rPr>
          <w:rFonts w:ascii="Times New Roman" w:hAnsi="Times New Roman" w:cs="Times New Roman"/>
          <w:lang w:val="en-US"/>
        </w:rPr>
        <w:t>O, Na</w:t>
      </w:r>
      <w:r w:rsidRPr="00173F38">
        <w:rPr>
          <w:rFonts w:ascii="Times New Roman" w:hAnsi="Times New Roman" w:cs="Times New Roman"/>
          <w:vertAlign w:val="subscript"/>
          <w:lang w:val="en-US"/>
        </w:rPr>
        <w:t>2</w:t>
      </w:r>
      <w:r w:rsidRPr="00173F38">
        <w:rPr>
          <w:rFonts w:ascii="Times New Roman" w:hAnsi="Times New Roman" w:cs="Times New Roman"/>
          <w:lang w:val="en-US"/>
        </w:rPr>
        <w:t>O, TiO</w:t>
      </w:r>
      <w:r w:rsidRPr="00173F38">
        <w:rPr>
          <w:rFonts w:ascii="Times New Roman" w:hAnsi="Times New Roman" w:cs="Times New Roman"/>
          <w:vertAlign w:val="subscript"/>
          <w:lang w:val="en-US"/>
        </w:rPr>
        <w:t>2</w:t>
      </w:r>
      <w:r w:rsidRPr="00173F38">
        <w:rPr>
          <w:rFonts w:ascii="Times New Roman" w:hAnsi="Times New Roman" w:cs="Times New Roman"/>
          <w:lang w:val="en-US"/>
        </w:rPr>
        <w:t>, P</w:t>
      </w:r>
      <w:r w:rsidRPr="00173F38">
        <w:rPr>
          <w:rFonts w:ascii="Times New Roman" w:hAnsi="Times New Roman" w:cs="Times New Roman"/>
          <w:vertAlign w:val="subscript"/>
          <w:lang w:val="en-US"/>
        </w:rPr>
        <w:t>2</w:t>
      </w:r>
      <w:r w:rsidRPr="00173F38">
        <w:rPr>
          <w:rFonts w:ascii="Times New Roman" w:hAnsi="Times New Roman" w:cs="Times New Roman"/>
          <w:lang w:val="en-US"/>
        </w:rPr>
        <w:t>O</w:t>
      </w:r>
      <w:r w:rsidRPr="00173F38">
        <w:rPr>
          <w:rFonts w:ascii="Times New Roman" w:hAnsi="Times New Roman" w:cs="Times New Roman"/>
          <w:vertAlign w:val="subscript"/>
          <w:lang w:val="en-US"/>
        </w:rPr>
        <w:t>5</w:t>
      </w:r>
    </w:p>
    <w:p w14:paraId="404E757F" w14:textId="00817F6D" w:rsidR="00F273A3" w:rsidRPr="00966FED" w:rsidRDefault="00F273A3"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synthesis of the geopolymer-based fire-retardant coating (GFC) involved two main steps: (1) the preparation of the Alkaline Activator (AA) solution and (2) the synthesis of the GFC. The flowchart of the synthesis is shown in Figure 1. The AA solution was prepared by directly adding Na2SiO3 into 8 M NaOH solution at a 5.5 ratio, the solution was prepared 24 hours prior to the production of the GFC. This facilitates the formation of reactive silicate species, improves its reactivity, and ensures a consistent geopolymerization process [11], [18]. The geopolymer binder coating was prepared by first blending the dry raw materials—SCBA, KRC, and nanosilica—using a mechanical stirrer for 5 minutes. The alkaline activator (AA) solution was then added to the mixture, maintaining a constant Na₂O/Al₂O₃ ratio of 0.8. Water was introduced at a fixed water-to-geopolymer binder coating ratio of 0.30. The entire mixture was then mechanically stirred for an additional 15 minutes to ensure uniform consistency.</w:t>
      </w:r>
    </w:p>
    <w:p w14:paraId="1CFE5005" w14:textId="77777777" w:rsidR="00F273A3" w:rsidRPr="00966FED" w:rsidRDefault="00F273A3"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prepared GBC was then mixed with the AP and mixed thoroughly for 15 minutes producing the homogeneous GFC. The developed GFC was applied on stainless steel sheets with dimensions of 100 mm x 150 mm x 0.4 mm and with a coating thickness of 0.8 ± 0.1 mm. The stainless-steel sheets were cleaned using sandpaper and washed with acetone before application to ensure the removal of grease and oil on the surface. The coated metal sheets were then cured for 14 days at room temperature [18], [36]. A sample of the developed GFC applied on a steel sheet is shown in Figure 2.</w:t>
      </w:r>
    </w:p>
    <w:p w14:paraId="055FACE1" w14:textId="77777777" w:rsidR="00412DF6" w:rsidRPr="00966FED" w:rsidRDefault="00412DF6" w:rsidP="00E93491">
      <w:pPr>
        <w:spacing w:before="240" w:after="240" w:line="240" w:lineRule="auto"/>
        <w:jc w:val="both"/>
        <w:rPr>
          <w:rFonts w:ascii="Times New Roman" w:hAnsi="Times New Roman" w:cs="Times New Roman"/>
        </w:rPr>
      </w:pPr>
    </w:p>
    <w:p w14:paraId="69BE38BF" w14:textId="77777777" w:rsidR="0032420F" w:rsidRPr="00966FED" w:rsidRDefault="0032420F" w:rsidP="00E93491">
      <w:pPr>
        <w:spacing w:before="240" w:after="240" w:line="240" w:lineRule="auto"/>
        <w:rPr>
          <w:rFonts w:ascii="Times New Roman" w:hAnsi="Times New Roman" w:cs="Times New Roman"/>
          <w:b/>
          <w:bCs/>
          <w:lang w:val="en-US"/>
        </w:rPr>
      </w:pPr>
      <w:r w:rsidRPr="00966FED">
        <w:rPr>
          <w:rFonts w:ascii="Times New Roman" w:hAnsi="Times New Roman" w:cs="Times New Roman"/>
          <w:b/>
          <w:bCs/>
          <w:lang w:val="en-US"/>
        </w:rPr>
        <w:t xml:space="preserve">Figure 1. The flow chart of the synthesis of GFC. </w:t>
      </w:r>
    </w:p>
    <w:p w14:paraId="7AEC7E9A" w14:textId="3095467F" w:rsidR="00533486" w:rsidRPr="00966FED" w:rsidRDefault="00F273A3" w:rsidP="00E93491">
      <w:pPr>
        <w:spacing w:before="240" w:after="240" w:line="240" w:lineRule="auto"/>
        <w:rPr>
          <w:rFonts w:ascii="Times New Roman" w:hAnsi="Times New Roman" w:cs="Times New Roman"/>
          <w:b/>
          <w:bCs/>
          <w:sz w:val="28"/>
          <w:szCs w:val="28"/>
        </w:rPr>
      </w:pPr>
      <w:r w:rsidRPr="00966FED">
        <w:rPr>
          <w:rFonts w:ascii="Times New Roman" w:hAnsi="Times New Roman" w:cs="Times New Roman"/>
          <w:noProof/>
          <w:color w:val="000000"/>
          <w:sz w:val="22"/>
          <w:szCs w:val="22"/>
          <w:bdr w:val="none" w:sz="0" w:space="0" w:color="auto" w:frame="1"/>
        </w:rPr>
        <w:lastRenderedPageBreak/>
        <w:drawing>
          <wp:inline distT="0" distB="0" distL="0" distR="0" wp14:anchorId="3A7E1FAA" wp14:editId="30FD1D11">
            <wp:extent cx="4946073" cy="4439911"/>
            <wp:effectExtent l="0" t="0" r="0" b="0"/>
            <wp:docPr id="365922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755" cy="4440524"/>
                    </a:xfrm>
                    <a:prstGeom prst="rect">
                      <a:avLst/>
                    </a:prstGeom>
                    <a:noFill/>
                    <a:ln>
                      <a:noFill/>
                    </a:ln>
                  </pic:spPr>
                </pic:pic>
              </a:graphicData>
            </a:graphic>
          </wp:inline>
        </w:drawing>
      </w:r>
    </w:p>
    <w:p w14:paraId="456AC6C8" w14:textId="51A691ED" w:rsidR="00537DBD" w:rsidRPr="00966FED" w:rsidRDefault="0013238B" w:rsidP="00E93491">
      <w:pPr>
        <w:spacing w:before="240" w:after="240" w:line="240" w:lineRule="auto"/>
        <w:rPr>
          <w:rFonts w:ascii="Times New Roman" w:hAnsi="Times New Roman" w:cs="Times New Roman"/>
          <w:b/>
          <w:bCs/>
          <w:lang w:val="en-US"/>
        </w:rPr>
      </w:pPr>
      <w:r w:rsidRPr="00966FED">
        <w:rPr>
          <w:rFonts w:ascii="Times New Roman" w:hAnsi="Times New Roman" w:cs="Times New Roman"/>
          <w:b/>
          <w:bCs/>
          <w:lang w:val="en-US"/>
        </w:rPr>
        <w:t xml:space="preserve">Figure 1. The flow chart of the synthesis of GFC. </w:t>
      </w:r>
    </w:p>
    <w:p w14:paraId="7608BA3A" w14:textId="5457BFED" w:rsidR="00F273A3" w:rsidRPr="00966FED" w:rsidRDefault="00D81256" w:rsidP="00E93491">
      <w:pPr>
        <w:spacing w:before="240" w:after="240" w:line="240" w:lineRule="auto"/>
        <w:rPr>
          <w:rFonts w:ascii="Times New Roman" w:hAnsi="Times New Roman" w:cs="Times New Roman"/>
          <w:b/>
          <w:bCs/>
          <w:sz w:val="28"/>
          <w:szCs w:val="28"/>
        </w:rPr>
      </w:pPr>
      <w:r w:rsidRPr="00966FED">
        <w:rPr>
          <w:rFonts w:ascii="Times New Roman" w:hAnsi="Times New Roman" w:cs="Times New Roman"/>
          <w:noProof/>
          <w:color w:val="000000"/>
          <w:sz w:val="22"/>
          <w:szCs w:val="22"/>
          <w:bdr w:val="none" w:sz="0" w:space="0" w:color="auto" w:frame="1"/>
        </w:rPr>
        <w:drawing>
          <wp:inline distT="0" distB="0" distL="0" distR="0" wp14:anchorId="27D8F90B" wp14:editId="3645CA1D">
            <wp:extent cx="2860358" cy="2794215"/>
            <wp:effectExtent l="0" t="0" r="0" b="6350"/>
            <wp:docPr id="1743898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128" t="14123" r="19266" b="11706"/>
                    <a:stretch>
                      <a:fillRect/>
                    </a:stretch>
                  </pic:blipFill>
                  <pic:spPr bwMode="auto">
                    <a:xfrm>
                      <a:off x="0" y="0"/>
                      <a:ext cx="2871680" cy="2805275"/>
                    </a:xfrm>
                    <a:prstGeom prst="rect">
                      <a:avLst/>
                    </a:prstGeom>
                    <a:noFill/>
                    <a:ln>
                      <a:noFill/>
                    </a:ln>
                    <a:extLst>
                      <a:ext uri="{53640926-AAD7-44D8-BBD7-CCE9431645EC}">
                        <a14:shadowObscured xmlns:a14="http://schemas.microsoft.com/office/drawing/2010/main"/>
                      </a:ext>
                    </a:extLst>
                  </pic:spPr>
                </pic:pic>
              </a:graphicData>
            </a:graphic>
          </wp:inline>
        </w:drawing>
      </w:r>
    </w:p>
    <w:p w14:paraId="20FA895A" w14:textId="77777777" w:rsidR="00A23FE7" w:rsidRPr="00A23FE7" w:rsidRDefault="00A23FE7" w:rsidP="00E93491">
      <w:pPr>
        <w:spacing w:before="240" w:after="240" w:line="240" w:lineRule="auto"/>
        <w:jc w:val="both"/>
        <w:rPr>
          <w:rFonts w:ascii="Times New Roman" w:hAnsi="Times New Roman" w:cs="Times New Roman"/>
          <w:lang w:val="en-US"/>
        </w:rPr>
      </w:pPr>
      <w:r w:rsidRPr="00A23FE7">
        <w:rPr>
          <w:rFonts w:ascii="Times New Roman" w:hAnsi="Times New Roman" w:cs="Times New Roman"/>
          <w:lang w:val="en-US"/>
        </w:rPr>
        <w:t>The fire resistance test setup was adapted from the methods reported by Abdullah et al. (2021) and Basri et al. (2021) [18], [36], both of which follow established standard fire testing procedures. The adapted configuration enabled the generation of comparative thermal performance data necessary for material optimization at the laboratory scale. Accordingly, the test setup was considered suitable for preliminary evaluation during the developmental stage prior to conducting full-scale fire tests.</w:t>
      </w:r>
    </w:p>
    <w:p w14:paraId="4674061B" w14:textId="77777777" w:rsidR="00A23FE7" w:rsidRPr="00966FED" w:rsidRDefault="00A23FE7" w:rsidP="00E93491">
      <w:pPr>
        <w:spacing w:before="240" w:after="240" w:line="240" w:lineRule="auto"/>
        <w:jc w:val="both"/>
        <w:rPr>
          <w:rFonts w:ascii="Times New Roman" w:hAnsi="Times New Roman" w:cs="Times New Roman"/>
          <w:lang w:val="en-US"/>
        </w:rPr>
      </w:pPr>
      <w:r w:rsidRPr="00A23FE7">
        <w:rPr>
          <w:rFonts w:ascii="Times New Roman" w:hAnsi="Times New Roman" w:cs="Times New Roman"/>
          <w:lang w:val="en-US"/>
        </w:rPr>
        <w:t xml:space="preserve">A blow torch was set up at a distance of 7 cm from the painted surface and directly fired at the center of the steel plate. A thermocouple is attached at the back side of the coated steel plate where no coating was applied and the temperature against time data was gathered using a data acquisition device. The test continued until a backside </w:t>
      </w:r>
      <w:r w:rsidRPr="00A23FE7">
        <w:rPr>
          <w:rFonts w:ascii="Times New Roman" w:hAnsi="Times New Roman" w:cs="Times New Roman"/>
          <w:lang w:val="en-US"/>
        </w:rPr>
        <w:lastRenderedPageBreak/>
        <w:t>temperature of 300 °C was reached. A bare mild steel plate and a steel plate coated with AP only were used as the control samples. The fire resistance setup is shown in Figures 3a and 3b.</w:t>
      </w:r>
    </w:p>
    <w:p w14:paraId="19362389" w14:textId="77777777" w:rsidR="00A23FE7" w:rsidRPr="00A23FE7" w:rsidRDefault="00A23FE7" w:rsidP="00E93491">
      <w:pPr>
        <w:spacing w:before="240" w:after="240" w:line="240" w:lineRule="auto"/>
        <w:jc w:val="both"/>
        <w:rPr>
          <w:rFonts w:ascii="Times New Roman" w:hAnsi="Times New Roman" w:cs="Times New Roman"/>
          <w:b/>
          <w:bCs/>
          <w:lang w:val="en-US"/>
        </w:rPr>
      </w:pPr>
      <w:r w:rsidRPr="00A23FE7">
        <w:rPr>
          <w:rFonts w:ascii="Times New Roman" w:hAnsi="Times New Roman" w:cs="Times New Roman"/>
          <w:b/>
          <w:bCs/>
          <w:lang w:val="en-US"/>
        </w:rPr>
        <w:t>Figure 3. The fire resistance test (a) setup (b) during testing.</w:t>
      </w:r>
    </w:p>
    <w:tbl>
      <w:tblPr>
        <w:tblW w:w="8448" w:type="dxa"/>
        <w:jc w:val="center"/>
        <w:tblLayout w:type="fixed"/>
        <w:tblLook w:val="0000" w:firstRow="0" w:lastRow="0" w:firstColumn="0" w:lastColumn="0" w:noHBand="0" w:noVBand="0"/>
      </w:tblPr>
      <w:tblGrid>
        <w:gridCol w:w="4180"/>
        <w:gridCol w:w="4268"/>
      </w:tblGrid>
      <w:tr w:rsidR="00925511" w:rsidRPr="00966FED" w14:paraId="51393734" w14:textId="77777777" w:rsidTr="00AC0ED3">
        <w:trPr>
          <w:jc w:val="center"/>
        </w:trPr>
        <w:tc>
          <w:tcPr>
            <w:tcW w:w="4180" w:type="dxa"/>
            <w:vAlign w:val="center"/>
          </w:tcPr>
          <w:p w14:paraId="15A12B40" w14:textId="77777777" w:rsidR="00925511" w:rsidRPr="00966FED" w:rsidRDefault="00925511" w:rsidP="00E93491">
            <w:pPr>
              <w:pBdr>
                <w:top w:val="nil"/>
                <w:left w:val="nil"/>
                <w:bottom w:val="nil"/>
                <w:right w:val="nil"/>
                <w:between w:val="nil"/>
              </w:pBdr>
              <w:spacing w:after="120" w:line="240" w:lineRule="auto"/>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1B07A7AD" wp14:editId="0FB84CE6">
                  <wp:extent cx="2479747" cy="2551177"/>
                  <wp:effectExtent l="0" t="0" r="0" b="0"/>
                  <wp:docPr id="213836813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0"/>
                          <a:srcRect l="23388" r="3708"/>
                          <a:stretch>
                            <a:fillRect/>
                          </a:stretch>
                        </pic:blipFill>
                        <pic:spPr>
                          <a:xfrm rot="5400000">
                            <a:off x="0" y="0"/>
                            <a:ext cx="2479747" cy="2551177"/>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59264" behindDoc="0" locked="0" layoutInCell="1" hidden="0" allowOverlap="1" wp14:anchorId="2C6ADE1C" wp14:editId="1AD7A7C0">
                      <wp:simplePos x="0" y="0"/>
                      <wp:positionH relativeFrom="column">
                        <wp:posOffset>-11111</wp:posOffset>
                      </wp:positionH>
                      <wp:positionV relativeFrom="paragraph">
                        <wp:posOffset>-7301</wp:posOffset>
                      </wp:positionV>
                      <wp:extent cx="337185" cy="1414145"/>
                      <wp:effectExtent l="0" t="0" r="0" b="0"/>
                      <wp:wrapNone/>
                      <wp:docPr id="2138368121" name="Rectangle 2138368121"/>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139FF9D6" w14:textId="77777777" w:rsidR="00925511" w:rsidRDefault="00925511" w:rsidP="00925511">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anchor>
                  </w:drawing>
                </mc:Choice>
                <mc:Fallback>
                  <w:pict>
                    <v:rect w14:anchorId="2C6ADE1C" id="Rectangle 2138368121" o:spid="_x0000_s1026" style="position:absolute;margin-left:-.85pt;margin-top:-.55pt;width:26.5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" stroked="f">
                      <v:textbox inset="2.53958mm,1.2694mm,2.53958mm,1.2694mm">
                        <w:txbxContent>
                          <w:p w14:paraId="139FF9D6" w14:textId="77777777" w:rsidR="00925511" w:rsidRDefault="00925511" w:rsidP="00925511">
                            <w:pPr>
                              <w:textDirection w:val="btLr"/>
                            </w:pPr>
                            <w:r>
                              <w:rPr>
                                <w:rFonts w:ascii="Calibri" w:eastAsia="Calibri" w:hAnsi="Calibri" w:cs="Calibri"/>
                                <w:color w:val="000000"/>
                                <w:sz w:val="18"/>
                              </w:rPr>
                              <w:t>(a)</w:t>
                            </w:r>
                          </w:p>
                        </w:txbxContent>
                      </v:textbox>
                    </v:rect>
                  </w:pict>
                </mc:Fallback>
              </mc:AlternateContent>
            </w:r>
          </w:p>
        </w:tc>
        <w:tc>
          <w:tcPr>
            <w:tcW w:w="4268" w:type="dxa"/>
            <w:vAlign w:val="center"/>
          </w:tcPr>
          <w:p w14:paraId="6304FBB5" w14:textId="77777777" w:rsidR="00925511" w:rsidRPr="00966FED" w:rsidRDefault="00925511" w:rsidP="00E93491">
            <w:pPr>
              <w:pBdr>
                <w:top w:val="nil"/>
                <w:left w:val="nil"/>
                <w:bottom w:val="nil"/>
                <w:right w:val="nil"/>
                <w:between w:val="nil"/>
              </w:pBdr>
              <w:spacing w:after="120" w:line="240" w:lineRule="auto"/>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5E4B207A" wp14:editId="0329DD36">
                  <wp:extent cx="2456363" cy="2429663"/>
                  <wp:effectExtent l="0" t="0" r="0" b="0"/>
                  <wp:docPr id="213836813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1"/>
                          <a:srcRect l="24171"/>
                          <a:stretch>
                            <a:fillRect/>
                          </a:stretch>
                        </pic:blipFill>
                        <pic:spPr>
                          <a:xfrm rot="5400000">
                            <a:off x="0" y="0"/>
                            <a:ext cx="2456363" cy="2429663"/>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0288" behindDoc="0" locked="0" layoutInCell="1" hidden="0" allowOverlap="1" wp14:anchorId="781821E0" wp14:editId="50D89699">
                      <wp:simplePos x="0" y="0"/>
                      <wp:positionH relativeFrom="column">
                        <wp:posOffset>68899</wp:posOffset>
                      </wp:positionH>
                      <wp:positionV relativeFrom="paragraph">
                        <wp:posOffset>-35241</wp:posOffset>
                      </wp:positionV>
                      <wp:extent cx="337185" cy="1414145"/>
                      <wp:effectExtent l="0" t="0" r="0" b="0"/>
                      <wp:wrapNone/>
                      <wp:docPr id="2138368080" name="Rectangle 2138368080"/>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7B404501" w14:textId="77777777" w:rsidR="00925511" w:rsidRDefault="00925511" w:rsidP="00925511">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anchor>
                  </w:drawing>
                </mc:Choice>
                <mc:Fallback>
                  <w:pict>
                    <v:rect w14:anchorId="781821E0" id="Rectangle 2138368080" o:spid="_x0000_s1027" style="position:absolute;left:0;text-align:left;margin-left:5.45pt;margin-top:-2.75pt;width:26.5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" stroked="f">
                      <v:textbox inset="2.53958mm,1.2694mm,2.53958mm,1.2694mm">
                        <w:txbxContent>
                          <w:p w14:paraId="7B404501" w14:textId="77777777" w:rsidR="00925511" w:rsidRDefault="00925511" w:rsidP="00925511">
                            <w:pPr>
                              <w:textDirection w:val="btLr"/>
                            </w:pPr>
                            <w:r>
                              <w:rPr>
                                <w:rFonts w:ascii="Calibri" w:eastAsia="Calibri" w:hAnsi="Calibri" w:cs="Calibri"/>
                                <w:color w:val="000000"/>
                                <w:sz w:val="18"/>
                              </w:rPr>
                              <w:t>(b)</w:t>
                            </w:r>
                          </w:p>
                        </w:txbxContent>
                      </v:textbox>
                    </v:rect>
                  </w:pict>
                </mc:Fallback>
              </mc:AlternateContent>
            </w:r>
          </w:p>
        </w:tc>
      </w:tr>
    </w:tbl>
    <w:p w14:paraId="6CA719A3" w14:textId="77777777" w:rsidR="006616F7" w:rsidRPr="00966FED" w:rsidRDefault="006616F7"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adhesion test is a critical evaluation for the GFC, ensuring its durability, performance, and long-term stability when applied to metal surfaces. Strong adhesion is essential to prevent peeling, flaking, or delamination, which could compromise the coating’s fire-retardant and protective properties over time.</w:t>
      </w:r>
    </w:p>
    <w:p w14:paraId="618F86B0" w14:textId="77777777" w:rsidR="006616F7" w:rsidRPr="00966FED" w:rsidRDefault="006616F7" w:rsidP="00E93491">
      <w:pPr>
        <w:spacing w:before="240" w:after="240" w:line="240" w:lineRule="auto"/>
        <w:jc w:val="both"/>
        <w:rPr>
          <w:rFonts w:ascii="Times New Roman" w:hAnsi="Times New Roman" w:cs="Times New Roman"/>
        </w:rPr>
      </w:pPr>
      <w:r w:rsidRPr="00966FED">
        <w:rPr>
          <w:rFonts w:ascii="Times New Roman" w:hAnsi="Times New Roman" w:cs="Times New Roman"/>
        </w:rPr>
        <w:t>To assess adhesion strength, the ASTM D3359-17 standard test was performed. In this test, the coated steel surface was incised using a blade to create a crosshatch pattern. A strip of paper tape was then firmly applied over the incised area, pressed down to ensure contact, and quickly pulled off. The extent of coating detachment was then compared against the ASTM classification standards to determine adhesion quality. The ASTM D3359-17 rating system is shown in Table 3. According to the ASTM standard, a coating is considered to have acceptable adhesion if the detached area is less than 50% of the incised pattern (1B to 5B).</w:t>
      </w:r>
    </w:p>
    <w:p w14:paraId="5A2EED2C" w14:textId="77777777" w:rsidR="006616F7" w:rsidRPr="00966FED" w:rsidRDefault="006616F7" w:rsidP="00E93491">
      <w:pPr>
        <w:spacing w:before="240" w:after="240" w:line="240" w:lineRule="auto"/>
        <w:jc w:val="both"/>
        <w:rPr>
          <w:rFonts w:ascii="Times New Roman" w:hAnsi="Times New Roman" w:cs="Times New Roman"/>
        </w:rPr>
      </w:pPr>
      <w:r w:rsidRPr="00966FED">
        <w:rPr>
          <w:rFonts w:ascii="Times New Roman" w:hAnsi="Times New Roman" w:cs="Times New Roman"/>
        </w:rPr>
        <w:t>Thermogravimetric Analysis (TGA) was employed to assess the thermal decomposition and stability of the GFC, particularly for high-temperature applications, by tracking the sample's weight loss as a function of temperature. The analysis was conducted using a TGA 4000 (PerkinElmer Inc., U.K.). For the test, 5–10 grams of the sample were placed in alumina crucibles and loaded into the TGA chamber. The samples were then heated from 30 °C to 900 °C at a controlled rate of 20 °C/min under a nitrogen atmosphere, maintained at a constant flow rate of 20 mL/min [27]. The use of nitrogen prevents unwanted oxidation, ensuring that the observed weight loss is due to thermal degradation alone rather than combustion.</w:t>
      </w:r>
    </w:p>
    <w:p w14:paraId="079291FD" w14:textId="11404F40" w:rsidR="00F74FC6" w:rsidRPr="00966FED" w:rsidRDefault="006616F7"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surface morphology of the GFC samples before and after the fire resistance test was examined using Scanning Electron Microscopy (JEOL JSM-IT200) at magnifications of x1000 and x8000. The pre-test SEM analysis helps assess the initial surface structure and uniformity of the GFC. Meanwhile, the post-test analysis provides insights into thermal degradation effects, crack formation, and structural integrity after exposure to high temperatures.</w:t>
      </w:r>
    </w:p>
    <w:p w14:paraId="0B11B2A6" w14:textId="77777777" w:rsidR="00F74FC6" w:rsidRPr="00966FED" w:rsidRDefault="00F74FC6" w:rsidP="00E93491">
      <w:pPr>
        <w:pBdr>
          <w:top w:val="nil"/>
          <w:left w:val="nil"/>
          <w:bottom w:val="nil"/>
          <w:right w:val="nil"/>
          <w:between w:val="nil"/>
        </w:pBdr>
        <w:spacing w:line="240" w:lineRule="auto"/>
        <w:rPr>
          <w:rFonts w:ascii="Times New Roman" w:eastAsia="Calibri" w:hAnsi="Times New Roman" w:cs="Times New Roman"/>
          <w:color w:val="000000"/>
        </w:rPr>
      </w:pPr>
      <w:r w:rsidRPr="00966FED">
        <w:rPr>
          <w:rFonts w:ascii="Times New Roman" w:eastAsia="Calibri" w:hAnsi="Times New Roman" w:cs="Times New Roman"/>
          <w:b/>
          <w:bCs/>
          <w:color w:val="000000"/>
        </w:rPr>
        <w:t xml:space="preserve">Table 3. </w:t>
      </w:r>
      <w:r w:rsidRPr="00966FED">
        <w:rPr>
          <w:rFonts w:ascii="Times New Roman" w:eastAsia="Calibri" w:hAnsi="Times New Roman" w:cs="Times New Roman"/>
          <w:color w:val="000000"/>
        </w:rPr>
        <w:t>Classification for adhesion test.</w:t>
      </w:r>
    </w:p>
    <w:tbl>
      <w:tblPr>
        <w:tblW w:w="10052" w:type="dxa"/>
        <w:tblBorders>
          <w:top w:val="single" w:sz="8" w:space="0" w:color="000000"/>
          <w:bottom w:val="single" w:sz="8" w:space="0" w:color="000000"/>
        </w:tblBorders>
        <w:tblLayout w:type="fixed"/>
        <w:tblLook w:val="0400" w:firstRow="0" w:lastRow="0" w:firstColumn="0" w:lastColumn="0" w:noHBand="0" w:noVBand="1"/>
      </w:tblPr>
      <w:tblGrid>
        <w:gridCol w:w="2070"/>
        <w:gridCol w:w="5580"/>
        <w:gridCol w:w="2402"/>
      </w:tblGrid>
      <w:tr w:rsidR="00F74FC6" w:rsidRPr="00966FED" w14:paraId="3E1C22C5" w14:textId="77777777" w:rsidTr="00AC0ED3">
        <w:tc>
          <w:tcPr>
            <w:tcW w:w="2070" w:type="dxa"/>
            <w:tcBorders>
              <w:bottom w:val="single" w:sz="4" w:space="0" w:color="000000"/>
            </w:tcBorders>
            <w:vAlign w:val="center"/>
          </w:tcPr>
          <w:p w14:paraId="40FF510A" w14:textId="77777777" w:rsidR="00F74FC6" w:rsidRPr="00966FED" w:rsidRDefault="00F74FC6"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Classification</w:t>
            </w:r>
          </w:p>
        </w:tc>
        <w:tc>
          <w:tcPr>
            <w:tcW w:w="5580" w:type="dxa"/>
            <w:tcBorders>
              <w:bottom w:val="single" w:sz="4" w:space="0" w:color="000000"/>
            </w:tcBorders>
            <w:vAlign w:val="center"/>
          </w:tcPr>
          <w:p w14:paraId="1DD4BD98" w14:textId="77777777" w:rsidR="00F74FC6" w:rsidRPr="00966FED" w:rsidRDefault="00F74FC6"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Definition</w:t>
            </w:r>
          </w:p>
        </w:tc>
        <w:tc>
          <w:tcPr>
            <w:tcW w:w="2402" w:type="dxa"/>
            <w:tcBorders>
              <w:bottom w:val="single" w:sz="4" w:space="0" w:color="000000"/>
            </w:tcBorders>
            <w:vAlign w:val="center"/>
          </w:tcPr>
          <w:p w14:paraId="057A40FF" w14:textId="77777777" w:rsidR="00F74FC6" w:rsidRPr="00966FED" w:rsidRDefault="00F74FC6"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 Area Removed</w:t>
            </w:r>
          </w:p>
        </w:tc>
      </w:tr>
      <w:tr w:rsidR="00F74FC6" w:rsidRPr="00966FED" w14:paraId="2AD1E937" w14:textId="77777777" w:rsidTr="00AC0ED3">
        <w:tc>
          <w:tcPr>
            <w:tcW w:w="2070" w:type="dxa"/>
          </w:tcPr>
          <w:p w14:paraId="586EB8E1"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5580" w:type="dxa"/>
          </w:tcPr>
          <w:p w14:paraId="2AB77D5C"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The edges of the cuts are completely smooth, and none of the squares in the lattice is detached.</w:t>
            </w:r>
          </w:p>
        </w:tc>
        <w:tc>
          <w:tcPr>
            <w:tcW w:w="2402" w:type="dxa"/>
          </w:tcPr>
          <w:p w14:paraId="5C51024B"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w:t>
            </w:r>
          </w:p>
        </w:tc>
      </w:tr>
      <w:tr w:rsidR="00F74FC6" w:rsidRPr="00966FED" w14:paraId="14CEC0A1" w14:textId="77777777" w:rsidTr="00AC0ED3">
        <w:tc>
          <w:tcPr>
            <w:tcW w:w="2070" w:type="dxa"/>
          </w:tcPr>
          <w:p w14:paraId="51ECA105"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4B</w:t>
            </w:r>
          </w:p>
        </w:tc>
        <w:tc>
          <w:tcPr>
            <w:tcW w:w="5580" w:type="dxa"/>
          </w:tcPr>
          <w:p w14:paraId="7DEA25F0"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Small flakes of the coating detach at the intersection.</w:t>
            </w:r>
          </w:p>
        </w:tc>
        <w:tc>
          <w:tcPr>
            <w:tcW w:w="2402" w:type="dxa"/>
          </w:tcPr>
          <w:p w14:paraId="1ABE6253"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&lt;5%</w:t>
            </w:r>
          </w:p>
        </w:tc>
      </w:tr>
      <w:tr w:rsidR="00F74FC6" w:rsidRPr="00966FED" w14:paraId="712A8CE5" w14:textId="77777777" w:rsidTr="00AC0ED3">
        <w:tc>
          <w:tcPr>
            <w:tcW w:w="2070" w:type="dxa"/>
          </w:tcPr>
          <w:p w14:paraId="5AC095FC"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3B</w:t>
            </w:r>
          </w:p>
        </w:tc>
        <w:tc>
          <w:tcPr>
            <w:tcW w:w="5580" w:type="dxa"/>
          </w:tcPr>
          <w:p w14:paraId="2946D8EA"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Small flakes detach along the edges and intersections of cuts.</w:t>
            </w:r>
          </w:p>
        </w:tc>
        <w:tc>
          <w:tcPr>
            <w:tcW w:w="2402" w:type="dxa"/>
          </w:tcPr>
          <w:p w14:paraId="1DFC3FDC"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5-15%</w:t>
            </w:r>
          </w:p>
        </w:tc>
      </w:tr>
      <w:tr w:rsidR="00F74FC6" w:rsidRPr="00966FED" w14:paraId="0B199A60" w14:textId="77777777" w:rsidTr="00AC0ED3">
        <w:tc>
          <w:tcPr>
            <w:tcW w:w="2070" w:type="dxa"/>
          </w:tcPr>
          <w:p w14:paraId="086C3351"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2B</w:t>
            </w:r>
          </w:p>
        </w:tc>
        <w:tc>
          <w:tcPr>
            <w:tcW w:w="5580" w:type="dxa"/>
          </w:tcPr>
          <w:p w14:paraId="39F9634C"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The coating flakes along the edges and parts of the squares.</w:t>
            </w:r>
          </w:p>
        </w:tc>
        <w:tc>
          <w:tcPr>
            <w:tcW w:w="2402" w:type="dxa"/>
          </w:tcPr>
          <w:p w14:paraId="2F632F48"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15-35%</w:t>
            </w:r>
          </w:p>
        </w:tc>
      </w:tr>
      <w:tr w:rsidR="00F74FC6" w:rsidRPr="00966FED" w14:paraId="6C54CEDE" w14:textId="77777777" w:rsidTr="00F74FC6">
        <w:trPr>
          <w:trHeight w:val="64"/>
        </w:trPr>
        <w:tc>
          <w:tcPr>
            <w:tcW w:w="2070" w:type="dxa"/>
          </w:tcPr>
          <w:p w14:paraId="704417B5"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lastRenderedPageBreak/>
              <w:t>1B</w:t>
            </w:r>
          </w:p>
        </w:tc>
        <w:tc>
          <w:tcPr>
            <w:tcW w:w="5580" w:type="dxa"/>
          </w:tcPr>
          <w:p w14:paraId="7F4E7BDA"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Large sections of the coating detach along the cuts.</w:t>
            </w:r>
          </w:p>
        </w:tc>
        <w:tc>
          <w:tcPr>
            <w:tcW w:w="2402" w:type="dxa"/>
          </w:tcPr>
          <w:p w14:paraId="00F25934"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35-65%</w:t>
            </w:r>
          </w:p>
        </w:tc>
      </w:tr>
      <w:tr w:rsidR="00F74FC6" w:rsidRPr="00966FED" w14:paraId="6608E976" w14:textId="77777777" w:rsidTr="00AC0ED3">
        <w:tc>
          <w:tcPr>
            <w:tcW w:w="2070" w:type="dxa"/>
          </w:tcPr>
          <w:p w14:paraId="0C911696"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0B</w:t>
            </w:r>
          </w:p>
        </w:tc>
        <w:tc>
          <w:tcPr>
            <w:tcW w:w="5580" w:type="dxa"/>
          </w:tcPr>
          <w:p w14:paraId="351C21C7"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Severe flaking and detachment occur.</w:t>
            </w:r>
          </w:p>
        </w:tc>
        <w:tc>
          <w:tcPr>
            <w:tcW w:w="2402" w:type="dxa"/>
          </w:tcPr>
          <w:p w14:paraId="1348AC5B"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&gt;65%</w:t>
            </w:r>
          </w:p>
        </w:tc>
      </w:tr>
    </w:tbl>
    <w:p w14:paraId="3F675CD7" w14:textId="068DF692" w:rsidR="00443393" w:rsidRPr="00966FED" w:rsidRDefault="00443393" w:rsidP="00E93491">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RESULTS AND DISCUSSION</w:t>
      </w:r>
    </w:p>
    <w:p w14:paraId="7D5F833F" w14:textId="77777777" w:rsidR="00670346" w:rsidRPr="00966FED" w:rsidRDefault="00670346"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complete design matrix with two replications and their respective response value for TT300 is shown in Table 4. The uncoated steel sheet reached 300 °C in 58 s, while the control sample, which contained no geopolymer additive, took 82 s.</w:t>
      </w:r>
    </w:p>
    <w:p w14:paraId="543B035E" w14:textId="77777777" w:rsidR="00670346" w:rsidRPr="00966FED" w:rsidRDefault="00670346"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experimental data were analyzed using Design-Expert software, and a two-factor interaction (2-FI) model was found to best fit the data. The significance of the overall model and its individual terms was evaluated through a sequential F-test, Lack-of-Fit test, and ANOVA.</w:t>
      </w:r>
    </w:p>
    <w:p w14:paraId="080E1E45" w14:textId="39EC9882" w:rsidR="00670346" w:rsidRPr="00966FED" w:rsidRDefault="00670346" w:rsidP="00E93491">
      <w:pPr>
        <w:spacing w:before="240" w:after="240" w:line="240" w:lineRule="auto"/>
        <w:jc w:val="both"/>
        <w:rPr>
          <w:rFonts w:ascii="Times New Roman" w:hAnsi="Times New Roman" w:cs="Times New Roman"/>
        </w:rPr>
      </w:pPr>
      <w:r w:rsidRPr="00966FED">
        <w:rPr>
          <w:rFonts w:ascii="Times New Roman" w:hAnsi="Times New Roman" w:cs="Times New Roman"/>
        </w:rPr>
        <w:t xml:space="preserve">Table 5 summarizes the statistical analysis for TT300, revealing that factors A, B, and C are highly significant, with p-values less than 0.0001. Additionally, interaction terms AB, AC, and BC were found to be significant, having p-values below 0.0500. The Lack of Fit F-value of 1.00 and its 45.02% probability of occurrence due to noise (p-value) indicate that the lack of fit is non-significant, which is desirable. This suggests that the model closely fits the experimental data, with minimal </w:t>
      </w:r>
      <w:r w:rsidR="007856FF" w:rsidRPr="00966FED">
        <w:rPr>
          <w:rFonts w:ascii="Times New Roman" w:hAnsi="Times New Roman" w:cs="Times New Roman"/>
        </w:rPr>
        <w:t>unexplained variability.</w:t>
      </w:r>
    </w:p>
    <w:p w14:paraId="1B559BBA" w14:textId="77777777" w:rsidR="00FE0BB8" w:rsidRPr="00966FED" w:rsidRDefault="00FE0BB8" w:rsidP="00E93491">
      <w:pPr>
        <w:spacing w:line="240" w:lineRule="auto"/>
        <w:jc w:val="center"/>
        <w:rPr>
          <w:rFonts w:ascii="Times New Roman" w:eastAsia="Calibri" w:hAnsi="Times New Roman" w:cs="Times New Roman"/>
        </w:rPr>
      </w:pPr>
      <w:r w:rsidRPr="00966FED">
        <w:rPr>
          <w:rFonts w:ascii="Times New Roman" w:eastAsia="Calibri" w:hAnsi="Times New Roman" w:cs="Times New Roman"/>
          <w:b/>
          <w:bCs/>
        </w:rPr>
        <w:t xml:space="preserve">Table 4. </w:t>
      </w:r>
      <w:r w:rsidRPr="00966FED">
        <w:rPr>
          <w:rFonts w:ascii="Times New Roman" w:eastAsia="Calibri" w:hAnsi="Times New Roman" w:cs="Times New Roman"/>
        </w:rPr>
        <w:t>Design matrix and response value for the time taken to reach the backside temperature of 300 °C</w:t>
      </w:r>
    </w:p>
    <w:tbl>
      <w:tblPr>
        <w:tblW w:w="10052" w:type="dxa"/>
        <w:jc w:val="center"/>
        <w:tblBorders>
          <w:top w:val="single" w:sz="4" w:space="0" w:color="000000"/>
          <w:bottom w:val="single" w:sz="4" w:space="0" w:color="000000"/>
        </w:tblBorders>
        <w:tblLayout w:type="fixed"/>
        <w:tblLook w:val="0400" w:firstRow="0" w:lastRow="0" w:firstColumn="0" w:lastColumn="0" w:noHBand="0" w:noVBand="1"/>
      </w:tblPr>
      <w:tblGrid>
        <w:gridCol w:w="1006"/>
        <w:gridCol w:w="1006"/>
        <w:gridCol w:w="1005"/>
        <w:gridCol w:w="1005"/>
        <w:gridCol w:w="1005"/>
        <w:gridCol w:w="1005"/>
        <w:gridCol w:w="1005"/>
        <w:gridCol w:w="1005"/>
        <w:gridCol w:w="1007"/>
        <w:gridCol w:w="1003"/>
      </w:tblGrid>
      <w:tr w:rsidR="00FE0BB8" w:rsidRPr="00966FED" w14:paraId="32FEB93B" w14:textId="77777777" w:rsidTr="00AC0ED3">
        <w:trPr>
          <w:trHeight w:val="208"/>
          <w:jc w:val="center"/>
        </w:trPr>
        <w:tc>
          <w:tcPr>
            <w:tcW w:w="1006" w:type="dxa"/>
            <w:vMerge w:val="restart"/>
            <w:tcBorders>
              <w:top w:val="single" w:sz="8" w:space="0" w:color="000000"/>
            </w:tcBorders>
            <w:vAlign w:val="center"/>
          </w:tcPr>
          <w:p w14:paraId="3E43F082"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Sample</w:t>
            </w:r>
          </w:p>
        </w:tc>
        <w:tc>
          <w:tcPr>
            <w:tcW w:w="3016" w:type="dxa"/>
            <w:gridSpan w:val="3"/>
            <w:tcBorders>
              <w:top w:val="single" w:sz="8" w:space="0" w:color="000000"/>
              <w:bottom w:val="nil"/>
            </w:tcBorders>
            <w:vAlign w:val="center"/>
          </w:tcPr>
          <w:p w14:paraId="4F6E7F12"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Coded Factors</w:t>
            </w:r>
          </w:p>
        </w:tc>
        <w:tc>
          <w:tcPr>
            <w:tcW w:w="1005" w:type="dxa"/>
            <w:vMerge w:val="restart"/>
            <w:tcBorders>
              <w:top w:val="single" w:sz="8" w:space="0" w:color="000000"/>
            </w:tcBorders>
            <w:vAlign w:val="center"/>
          </w:tcPr>
          <w:p w14:paraId="5D0DB931"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TT300</w:t>
            </w:r>
          </w:p>
        </w:tc>
        <w:tc>
          <w:tcPr>
            <w:tcW w:w="1005" w:type="dxa"/>
            <w:vMerge w:val="restart"/>
            <w:tcBorders>
              <w:top w:val="single" w:sz="8" w:space="0" w:color="000000"/>
            </w:tcBorders>
            <w:vAlign w:val="center"/>
          </w:tcPr>
          <w:p w14:paraId="72867CF7"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Sample</w:t>
            </w:r>
          </w:p>
        </w:tc>
        <w:tc>
          <w:tcPr>
            <w:tcW w:w="3017" w:type="dxa"/>
            <w:gridSpan w:val="3"/>
            <w:tcBorders>
              <w:top w:val="single" w:sz="8" w:space="0" w:color="000000"/>
            </w:tcBorders>
            <w:vAlign w:val="center"/>
          </w:tcPr>
          <w:p w14:paraId="2C750CB6"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Coded Factors</w:t>
            </w:r>
          </w:p>
        </w:tc>
        <w:tc>
          <w:tcPr>
            <w:tcW w:w="1003" w:type="dxa"/>
            <w:vMerge w:val="restart"/>
            <w:tcBorders>
              <w:top w:val="single" w:sz="8" w:space="0" w:color="000000"/>
            </w:tcBorders>
            <w:vAlign w:val="center"/>
          </w:tcPr>
          <w:p w14:paraId="21757B0F"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TT300</w:t>
            </w:r>
          </w:p>
        </w:tc>
      </w:tr>
      <w:tr w:rsidR="00FE0BB8" w:rsidRPr="00966FED" w14:paraId="30266B26" w14:textId="77777777" w:rsidTr="00AC0ED3">
        <w:trPr>
          <w:trHeight w:val="207"/>
          <w:jc w:val="center"/>
        </w:trPr>
        <w:tc>
          <w:tcPr>
            <w:tcW w:w="1006" w:type="dxa"/>
            <w:vMerge/>
            <w:tcBorders>
              <w:top w:val="single" w:sz="8" w:space="0" w:color="000000"/>
            </w:tcBorders>
            <w:vAlign w:val="center"/>
          </w:tcPr>
          <w:p w14:paraId="7114CA8C" w14:textId="77777777" w:rsidR="00FE0BB8" w:rsidRPr="00966FED" w:rsidRDefault="00FE0BB8" w:rsidP="00E93491">
            <w:pPr>
              <w:widowControl w:val="0"/>
              <w:pBdr>
                <w:top w:val="nil"/>
                <w:left w:val="nil"/>
                <w:bottom w:val="nil"/>
                <w:right w:val="nil"/>
                <w:between w:val="nil"/>
              </w:pBdr>
              <w:spacing w:after="0" w:line="240" w:lineRule="auto"/>
              <w:rPr>
                <w:rFonts w:ascii="Times New Roman" w:eastAsia="Calibri" w:hAnsi="Times New Roman" w:cs="Times New Roman"/>
                <w:b/>
                <w:bCs/>
              </w:rPr>
            </w:pPr>
          </w:p>
        </w:tc>
        <w:tc>
          <w:tcPr>
            <w:tcW w:w="1006" w:type="dxa"/>
            <w:tcBorders>
              <w:top w:val="nil"/>
              <w:bottom w:val="single" w:sz="4" w:space="0" w:color="000000"/>
            </w:tcBorders>
            <w:vAlign w:val="center"/>
          </w:tcPr>
          <w:p w14:paraId="45AB4CF4"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A</w:t>
            </w:r>
          </w:p>
        </w:tc>
        <w:tc>
          <w:tcPr>
            <w:tcW w:w="1005" w:type="dxa"/>
            <w:tcBorders>
              <w:bottom w:val="single" w:sz="4" w:space="0" w:color="000000"/>
            </w:tcBorders>
            <w:vAlign w:val="center"/>
          </w:tcPr>
          <w:p w14:paraId="57B3FC4A"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B</w:t>
            </w:r>
          </w:p>
        </w:tc>
        <w:tc>
          <w:tcPr>
            <w:tcW w:w="1005" w:type="dxa"/>
            <w:tcBorders>
              <w:bottom w:val="single" w:sz="4" w:space="0" w:color="000000"/>
            </w:tcBorders>
            <w:vAlign w:val="center"/>
          </w:tcPr>
          <w:p w14:paraId="2EE27FF2"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w:t>
            </w:r>
          </w:p>
        </w:tc>
        <w:tc>
          <w:tcPr>
            <w:tcW w:w="1005" w:type="dxa"/>
            <w:vMerge/>
            <w:tcBorders>
              <w:top w:val="single" w:sz="8" w:space="0" w:color="000000"/>
            </w:tcBorders>
            <w:vAlign w:val="center"/>
          </w:tcPr>
          <w:p w14:paraId="42533151" w14:textId="77777777" w:rsidR="00FE0BB8" w:rsidRPr="00966FED" w:rsidRDefault="00FE0BB8" w:rsidP="00E93491">
            <w:pPr>
              <w:widowControl w:val="0"/>
              <w:pBdr>
                <w:top w:val="nil"/>
                <w:left w:val="nil"/>
                <w:bottom w:val="nil"/>
                <w:right w:val="nil"/>
                <w:between w:val="nil"/>
              </w:pBdr>
              <w:spacing w:after="0" w:line="240" w:lineRule="auto"/>
              <w:rPr>
                <w:rFonts w:ascii="Times New Roman" w:eastAsia="Calibri" w:hAnsi="Times New Roman" w:cs="Times New Roman"/>
                <w:b/>
                <w:bCs/>
              </w:rPr>
            </w:pPr>
          </w:p>
        </w:tc>
        <w:tc>
          <w:tcPr>
            <w:tcW w:w="1005" w:type="dxa"/>
            <w:vMerge/>
            <w:tcBorders>
              <w:top w:val="single" w:sz="8" w:space="0" w:color="000000"/>
            </w:tcBorders>
            <w:vAlign w:val="center"/>
          </w:tcPr>
          <w:p w14:paraId="0C97D86E" w14:textId="77777777" w:rsidR="00FE0BB8" w:rsidRPr="00966FED" w:rsidRDefault="00FE0BB8" w:rsidP="00E93491">
            <w:pPr>
              <w:widowControl w:val="0"/>
              <w:pBdr>
                <w:top w:val="nil"/>
                <w:left w:val="nil"/>
                <w:bottom w:val="nil"/>
                <w:right w:val="nil"/>
                <w:between w:val="nil"/>
              </w:pBdr>
              <w:spacing w:after="0" w:line="240" w:lineRule="auto"/>
              <w:rPr>
                <w:rFonts w:ascii="Times New Roman" w:eastAsia="Calibri" w:hAnsi="Times New Roman" w:cs="Times New Roman"/>
                <w:b/>
                <w:bCs/>
              </w:rPr>
            </w:pPr>
          </w:p>
        </w:tc>
        <w:tc>
          <w:tcPr>
            <w:tcW w:w="1005" w:type="dxa"/>
            <w:tcBorders>
              <w:bottom w:val="single" w:sz="4" w:space="0" w:color="000000"/>
            </w:tcBorders>
            <w:vAlign w:val="center"/>
          </w:tcPr>
          <w:p w14:paraId="3856ABEF"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A</w:t>
            </w:r>
          </w:p>
        </w:tc>
        <w:tc>
          <w:tcPr>
            <w:tcW w:w="1005" w:type="dxa"/>
            <w:tcBorders>
              <w:bottom w:val="single" w:sz="4" w:space="0" w:color="000000"/>
            </w:tcBorders>
            <w:vAlign w:val="center"/>
          </w:tcPr>
          <w:p w14:paraId="700EBD99"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B</w:t>
            </w:r>
          </w:p>
        </w:tc>
        <w:tc>
          <w:tcPr>
            <w:tcW w:w="1007" w:type="dxa"/>
            <w:tcBorders>
              <w:bottom w:val="single" w:sz="4" w:space="0" w:color="000000"/>
            </w:tcBorders>
            <w:vAlign w:val="center"/>
          </w:tcPr>
          <w:p w14:paraId="008C8541"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w:t>
            </w:r>
          </w:p>
        </w:tc>
        <w:tc>
          <w:tcPr>
            <w:tcW w:w="1003" w:type="dxa"/>
            <w:vMerge/>
            <w:tcBorders>
              <w:top w:val="single" w:sz="8" w:space="0" w:color="000000"/>
            </w:tcBorders>
            <w:vAlign w:val="center"/>
          </w:tcPr>
          <w:p w14:paraId="29E0CD08" w14:textId="77777777" w:rsidR="00FE0BB8" w:rsidRPr="00966FED" w:rsidRDefault="00FE0BB8" w:rsidP="00E93491">
            <w:pPr>
              <w:widowControl w:val="0"/>
              <w:pBdr>
                <w:top w:val="nil"/>
                <w:left w:val="nil"/>
                <w:bottom w:val="nil"/>
                <w:right w:val="nil"/>
                <w:between w:val="nil"/>
              </w:pBdr>
              <w:spacing w:after="0" w:line="240" w:lineRule="auto"/>
              <w:rPr>
                <w:rFonts w:ascii="Times New Roman" w:eastAsia="Calibri" w:hAnsi="Times New Roman" w:cs="Times New Roman"/>
                <w:b/>
                <w:bCs/>
              </w:rPr>
            </w:pPr>
          </w:p>
        </w:tc>
      </w:tr>
      <w:tr w:rsidR="00FE0BB8" w:rsidRPr="00966FED" w14:paraId="35E7243D" w14:textId="77777777" w:rsidTr="00AC0ED3">
        <w:trPr>
          <w:trHeight w:val="270"/>
          <w:jc w:val="center"/>
        </w:trPr>
        <w:tc>
          <w:tcPr>
            <w:tcW w:w="1006" w:type="dxa"/>
            <w:tcBorders>
              <w:top w:val="single" w:sz="4" w:space="0" w:color="000000"/>
              <w:bottom w:val="nil"/>
            </w:tcBorders>
            <w:vAlign w:val="center"/>
          </w:tcPr>
          <w:p w14:paraId="4CE95B7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w:t>
            </w:r>
          </w:p>
        </w:tc>
        <w:tc>
          <w:tcPr>
            <w:tcW w:w="1006" w:type="dxa"/>
            <w:tcBorders>
              <w:top w:val="single" w:sz="4" w:space="0" w:color="000000"/>
              <w:bottom w:val="nil"/>
            </w:tcBorders>
            <w:vAlign w:val="center"/>
          </w:tcPr>
          <w:p w14:paraId="2F66F7C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single" w:sz="4" w:space="0" w:color="000000"/>
              <w:bottom w:val="nil"/>
            </w:tcBorders>
            <w:vAlign w:val="center"/>
          </w:tcPr>
          <w:p w14:paraId="1C3D568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single" w:sz="4" w:space="0" w:color="000000"/>
              <w:bottom w:val="nil"/>
            </w:tcBorders>
            <w:vAlign w:val="center"/>
          </w:tcPr>
          <w:p w14:paraId="782D57D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single" w:sz="4" w:space="0" w:color="000000"/>
              <w:bottom w:val="nil"/>
            </w:tcBorders>
            <w:vAlign w:val="center"/>
          </w:tcPr>
          <w:p w14:paraId="7E8F313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95</w:t>
            </w:r>
          </w:p>
        </w:tc>
        <w:tc>
          <w:tcPr>
            <w:tcW w:w="1005" w:type="dxa"/>
            <w:tcBorders>
              <w:top w:val="single" w:sz="4" w:space="0" w:color="000000"/>
              <w:bottom w:val="nil"/>
            </w:tcBorders>
            <w:vAlign w:val="center"/>
          </w:tcPr>
          <w:p w14:paraId="5660C71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S18</w:t>
            </w:r>
          </w:p>
        </w:tc>
        <w:tc>
          <w:tcPr>
            <w:tcW w:w="1005" w:type="dxa"/>
            <w:tcBorders>
              <w:top w:val="single" w:sz="4" w:space="0" w:color="000000"/>
              <w:bottom w:val="nil"/>
            </w:tcBorders>
            <w:vAlign w:val="center"/>
          </w:tcPr>
          <w:p w14:paraId="59C3177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single" w:sz="4" w:space="0" w:color="000000"/>
              <w:bottom w:val="nil"/>
            </w:tcBorders>
            <w:vAlign w:val="center"/>
          </w:tcPr>
          <w:p w14:paraId="2C684D6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single" w:sz="4" w:space="0" w:color="000000"/>
              <w:bottom w:val="nil"/>
            </w:tcBorders>
            <w:vAlign w:val="center"/>
          </w:tcPr>
          <w:p w14:paraId="386F51F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3" w:type="dxa"/>
            <w:tcBorders>
              <w:top w:val="single" w:sz="4" w:space="0" w:color="000000"/>
              <w:bottom w:val="nil"/>
            </w:tcBorders>
            <w:vAlign w:val="center"/>
          </w:tcPr>
          <w:p w14:paraId="21A79AB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92</w:t>
            </w:r>
          </w:p>
        </w:tc>
      </w:tr>
      <w:tr w:rsidR="00FE0BB8" w:rsidRPr="00966FED" w14:paraId="34FBB1F9" w14:textId="77777777" w:rsidTr="00AC0ED3">
        <w:trPr>
          <w:trHeight w:val="270"/>
          <w:jc w:val="center"/>
        </w:trPr>
        <w:tc>
          <w:tcPr>
            <w:tcW w:w="1006" w:type="dxa"/>
            <w:tcBorders>
              <w:top w:val="nil"/>
              <w:bottom w:val="nil"/>
            </w:tcBorders>
            <w:vAlign w:val="center"/>
          </w:tcPr>
          <w:p w14:paraId="7F66161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w:t>
            </w:r>
          </w:p>
        </w:tc>
        <w:tc>
          <w:tcPr>
            <w:tcW w:w="1006" w:type="dxa"/>
            <w:tcBorders>
              <w:top w:val="nil"/>
              <w:bottom w:val="nil"/>
            </w:tcBorders>
            <w:vAlign w:val="center"/>
          </w:tcPr>
          <w:p w14:paraId="0A6B749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57636EE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1CA3B0A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4EBBAFE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178</w:t>
            </w:r>
          </w:p>
        </w:tc>
        <w:tc>
          <w:tcPr>
            <w:tcW w:w="1005" w:type="dxa"/>
            <w:tcBorders>
              <w:top w:val="nil"/>
              <w:bottom w:val="nil"/>
            </w:tcBorders>
            <w:vAlign w:val="center"/>
          </w:tcPr>
          <w:p w14:paraId="11574F1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S19</w:t>
            </w:r>
          </w:p>
        </w:tc>
        <w:tc>
          <w:tcPr>
            <w:tcW w:w="1005" w:type="dxa"/>
            <w:tcBorders>
              <w:top w:val="nil"/>
              <w:bottom w:val="nil"/>
            </w:tcBorders>
            <w:vAlign w:val="center"/>
          </w:tcPr>
          <w:p w14:paraId="5D80EA1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35A2111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2576357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42EDB9B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201</w:t>
            </w:r>
          </w:p>
        </w:tc>
      </w:tr>
      <w:tr w:rsidR="00FE0BB8" w:rsidRPr="00966FED" w14:paraId="7997B19E" w14:textId="77777777" w:rsidTr="00AC0ED3">
        <w:trPr>
          <w:trHeight w:val="270"/>
          <w:jc w:val="center"/>
        </w:trPr>
        <w:tc>
          <w:tcPr>
            <w:tcW w:w="1006" w:type="dxa"/>
            <w:tcBorders>
              <w:top w:val="nil"/>
              <w:bottom w:val="nil"/>
            </w:tcBorders>
            <w:vAlign w:val="center"/>
          </w:tcPr>
          <w:p w14:paraId="36E7724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w:t>
            </w:r>
          </w:p>
        </w:tc>
        <w:tc>
          <w:tcPr>
            <w:tcW w:w="1006" w:type="dxa"/>
            <w:tcBorders>
              <w:top w:val="nil"/>
              <w:bottom w:val="nil"/>
            </w:tcBorders>
            <w:vAlign w:val="center"/>
          </w:tcPr>
          <w:p w14:paraId="6817D8F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5EA9CD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4490F28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5" w:type="dxa"/>
            <w:tcBorders>
              <w:top w:val="nil"/>
              <w:bottom w:val="nil"/>
            </w:tcBorders>
            <w:vAlign w:val="center"/>
          </w:tcPr>
          <w:p w14:paraId="07B3EA1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177</w:t>
            </w:r>
          </w:p>
        </w:tc>
        <w:tc>
          <w:tcPr>
            <w:tcW w:w="1005" w:type="dxa"/>
            <w:tcBorders>
              <w:top w:val="nil"/>
              <w:bottom w:val="nil"/>
            </w:tcBorders>
            <w:vAlign w:val="center"/>
          </w:tcPr>
          <w:p w14:paraId="1C28938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S20</w:t>
            </w:r>
          </w:p>
        </w:tc>
        <w:tc>
          <w:tcPr>
            <w:tcW w:w="1005" w:type="dxa"/>
            <w:tcBorders>
              <w:top w:val="nil"/>
              <w:bottom w:val="nil"/>
            </w:tcBorders>
            <w:vAlign w:val="center"/>
          </w:tcPr>
          <w:p w14:paraId="5BAF8E3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8EF78F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7" w:type="dxa"/>
            <w:tcBorders>
              <w:top w:val="nil"/>
              <w:bottom w:val="nil"/>
            </w:tcBorders>
            <w:vAlign w:val="center"/>
          </w:tcPr>
          <w:p w14:paraId="16019E2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3" w:type="dxa"/>
            <w:tcBorders>
              <w:top w:val="nil"/>
              <w:bottom w:val="nil"/>
            </w:tcBorders>
            <w:vAlign w:val="center"/>
          </w:tcPr>
          <w:p w14:paraId="571C73E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113</w:t>
            </w:r>
          </w:p>
        </w:tc>
      </w:tr>
      <w:tr w:rsidR="00FE0BB8" w:rsidRPr="00966FED" w14:paraId="2417F3FA" w14:textId="77777777" w:rsidTr="00AC0ED3">
        <w:trPr>
          <w:trHeight w:val="270"/>
          <w:jc w:val="center"/>
        </w:trPr>
        <w:tc>
          <w:tcPr>
            <w:tcW w:w="1006" w:type="dxa"/>
            <w:tcBorders>
              <w:top w:val="nil"/>
              <w:bottom w:val="nil"/>
            </w:tcBorders>
            <w:vAlign w:val="center"/>
          </w:tcPr>
          <w:p w14:paraId="4B8603E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w:t>
            </w:r>
          </w:p>
        </w:tc>
        <w:tc>
          <w:tcPr>
            <w:tcW w:w="1006" w:type="dxa"/>
            <w:tcBorders>
              <w:top w:val="nil"/>
              <w:bottom w:val="nil"/>
            </w:tcBorders>
            <w:vAlign w:val="center"/>
          </w:tcPr>
          <w:p w14:paraId="6F5027A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710E2C1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47BEB3C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7A043E3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165</w:t>
            </w:r>
          </w:p>
        </w:tc>
        <w:tc>
          <w:tcPr>
            <w:tcW w:w="1005" w:type="dxa"/>
            <w:tcBorders>
              <w:top w:val="nil"/>
              <w:bottom w:val="nil"/>
            </w:tcBorders>
            <w:vAlign w:val="center"/>
          </w:tcPr>
          <w:p w14:paraId="0FD300F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S21</w:t>
            </w:r>
          </w:p>
        </w:tc>
        <w:tc>
          <w:tcPr>
            <w:tcW w:w="1005" w:type="dxa"/>
            <w:tcBorders>
              <w:top w:val="nil"/>
              <w:bottom w:val="nil"/>
            </w:tcBorders>
            <w:vAlign w:val="center"/>
          </w:tcPr>
          <w:p w14:paraId="2CDA01C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4283835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4A527C1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3" w:type="dxa"/>
            <w:tcBorders>
              <w:top w:val="nil"/>
              <w:bottom w:val="nil"/>
            </w:tcBorders>
            <w:vAlign w:val="center"/>
          </w:tcPr>
          <w:p w14:paraId="596F763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178</w:t>
            </w:r>
          </w:p>
        </w:tc>
      </w:tr>
      <w:tr w:rsidR="00FE0BB8" w:rsidRPr="00966FED" w14:paraId="1E6AF9EA" w14:textId="77777777" w:rsidTr="00AC0ED3">
        <w:trPr>
          <w:trHeight w:val="270"/>
          <w:jc w:val="center"/>
        </w:trPr>
        <w:tc>
          <w:tcPr>
            <w:tcW w:w="1006" w:type="dxa"/>
            <w:tcBorders>
              <w:top w:val="nil"/>
              <w:bottom w:val="nil"/>
            </w:tcBorders>
            <w:vAlign w:val="center"/>
          </w:tcPr>
          <w:p w14:paraId="45F7944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S5</w:t>
            </w:r>
          </w:p>
        </w:tc>
        <w:tc>
          <w:tcPr>
            <w:tcW w:w="1006" w:type="dxa"/>
            <w:tcBorders>
              <w:top w:val="nil"/>
              <w:bottom w:val="nil"/>
            </w:tcBorders>
            <w:vAlign w:val="center"/>
          </w:tcPr>
          <w:p w14:paraId="4600A5E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21E8C87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5" w:type="dxa"/>
            <w:tcBorders>
              <w:top w:val="nil"/>
              <w:bottom w:val="nil"/>
            </w:tcBorders>
            <w:vAlign w:val="center"/>
          </w:tcPr>
          <w:p w14:paraId="7A6020C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54D6431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125</w:t>
            </w:r>
          </w:p>
        </w:tc>
        <w:tc>
          <w:tcPr>
            <w:tcW w:w="1005" w:type="dxa"/>
            <w:tcBorders>
              <w:top w:val="nil"/>
              <w:bottom w:val="nil"/>
            </w:tcBorders>
            <w:vAlign w:val="center"/>
          </w:tcPr>
          <w:p w14:paraId="3AD7B5D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S22</w:t>
            </w:r>
          </w:p>
        </w:tc>
        <w:tc>
          <w:tcPr>
            <w:tcW w:w="1005" w:type="dxa"/>
            <w:tcBorders>
              <w:top w:val="nil"/>
              <w:bottom w:val="nil"/>
            </w:tcBorders>
            <w:vAlign w:val="center"/>
          </w:tcPr>
          <w:p w14:paraId="0067208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0F58338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7" w:type="dxa"/>
            <w:tcBorders>
              <w:top w:val="nil"/>
              <w:bottom w:val="nil"/>
            </w:tcBorders>
            <w:vAlign w:val="center"/>
          </w:tcPr>
          <w:p w14:paraId="45BCF93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3" w:type="dxa"/>
            <w:tcBorders>
              <w:top w:val="nil"/>
              <w:bottom w:val="nil"/>
            </w:tcBorders>
            <w:vAlign w:val="center"/>
          </w:tcPr>
          <w:p w14:paraId="7DB185E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146</w:t>
            </w:r>
          </w:p>
        </w:tc>
      </w:tr>
      <w:tr w:rsidR="00FE0BB8" w:rsidRPr="00966FED" w14:paraId="2A6C26BA" w14:textId="77777777" w:rsidTr="00AC0ED3">
        <w:trPr>
          <w:trHeight w:val="270"/>
          <w:jc w:val="center"/>
        </w:trPr>
        <w:tc>
          <w:tcPr>
            <w:tcW w:w="1006" w:type="dxa"/>
            <w:tcBorders>
              <w:top w:val="nil"/>
              <w:bottom w:val="nil"/>
            </w:tcBorders>
            <w:vAlign w:val="center"/>
          </w:tcPr>
          <w:p w14:paraId="0902376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S6</w:t>
            </w:r>
          </w:p>
        </w:tc>
        <w:tc>
          <w:tcPr>
            <w:tcW w:w="1006" w:type="dxa"/>
            <w:tcBorders>
              <w:top w:val="nil"/>
              <w:bottom w:val="nil"/>
            </w:tcBorders>
            <w:vAlign w:val="center"/>
          </w:tcPr>
          <w:p w14:paraId="35139F5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4CD4A64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5" w:type="dxa"/>
            <w:tcBorders>
              <w:top w:val="nil"/>
              <w:bottom w:val="nil"/>
            </w:tcBorders>
            <w:vAlign w:val="center"/>
          </w:tcPr>
          <w:p w14:paraId="14FC755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342E929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105</w:t>
            </w:r>
          </w:p>
        </w:tc>
        <w:tc>
          <w:tcPr>
            <w:tcW w:w="1005" w:type="dxa"/>
            <w:tcBorders>
              <w:top w:val="nil"/>
              <w:bottom w:val="nil"/>
            </w:tcBorders>
            <w:vAlign w:val="center"/>
          </w:tcPr>
          <w:p w14:paraId="79BAEB6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S23</w:t>
            </w:r>
          </w:p>
        </w:tc>
        <w:tc>
          <w:tcPr>
            <w:tcW w:w="1005" w:type="dxa"/>
            <w:tcBorders>
              <w:top w:val="nil"/>
              <w:bottom w:val="nil"/>
            </w:tcBorders>
            <w:vAlign w:val="center"/>
          </w:tcPr>
          <w:p w14:paraId="12E6610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2B253EC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7" w:type="dxa"/>
            <w:tcBorders>
              <w:top w:val="nil"/>
              <w:bottom w:val="nil"/>
            </w:tcBorders>
            <w:vAlign w:val="center"/>
          </w:tcPr>
          <w:p w14:paraId="4EE748F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19E612C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111</w:t>
            </w:r>
          </w:p>
        </w:tc>
      </w:tr>
      <w:tr w:rsidR="00FE0BB8" w:rsidRPr="00966FED" w14:paraId="3C3D7EC4" w14:textId="77777777" w:rsidTr="00AC0ED3">
        <w:trPr>
          <w:trHeight w:val="270"/>
          <w:jc w:val="center"/>
        </w:trPr>
        <w:tc>
          <w:tcPr>
            <w:tcW w:w="1006" w:type="dxa"/>
            <w:tcBorders>
              <w:top w:val="nil"/>
              <w:bottom w:val="nil"/>
            </w:tcBorders>
            <w:vAlign w:val="center"/>
          </w:tcPr>
          <w:p w14:paraId="121688C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S7</w:t>
            </w:r>
          </w:p>
        </w:tc>
        <w:tc>
          <w:tcPr>
            <w:tcW w:w="1006" w:type="dxa"/>
            <w:tcBorders>
              <w:top w:val="nil"/>
              <w:bottom w:val="nil"/>
            </w:tcBorders>
            <w:vAlign w:val="center"/>
          </w:tcPr>
          <w:p w14:paraId="0589567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00C7D55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5" w:type="dxa"/>
            <w:tcBorders>
              <w:top w:val="nil"/>
              <w:bottom w:val="nil"/>
            </w:tcBorders>
            <w:vAlign w:val="center"/>
          </w:tcPr>
          <w:p w14:paraId="0D508C4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66233F1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309</w:t>
            </w:r>
          </w:p>
        </w:tc>
        <w:tc>
          <w:tcPr>
            <w:tcW w:w="1005" w:type="dxa"/>
            <w:tcBorders>
              <w:top w:val="nil"/>
              <w:bottom w:val="nil"/>
            </w:tcBorders>
            <w:vAlign w:val="center"/>
          </w:tcPr>
          <w:p w14:paraId="71372D0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S24</w:t>
            </w:r>
          </w:p>
        </w:tc>
        <w:tc>
          <w:tcPr>
            <w:tcW w:w="1005" w:type="dxa"/>
            <w:tcBorders>
              <w:top w:val="nil"/>
              <w:bottom w:val="nil"/>
            </w:tcBorders>
            <w:vAlign w:val="center"/>
          </w:tcPr>
          <w:p w14:paraId="6CC7506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3563E71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7" w:type="dxa"/>
            <w:tcBorders>
              <w:top w:val="nil"/>
              <w:bottom w:val="nil"/>
            </w:tcBorders>
            <w:vAlign w:val="center"/>
          </w:tcPr>
          <w:p w14:paraId="54A44FD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3E96DA3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291</w:t>
            </w:r>
          </w:p>
        </w:tc>
      </w:tr>
      <w:tr w:rsidR="00FE0BB8" w:rsidRPr="00966FED" w14:paraId="58DF3F6C" w14:textId="77777777" w:rsidTr="00AC0ED3">
        <w:trPr>
          <w:trHeight w:val="270"/>
          <w:jc w:val="center"/>
        </w:trPr>
        <w:tc>
          <w:tcPr>
            <w:tcW w:w="1006" w:type="dxa"/>
            <w:tcBorders>
              <w:top w:val="nil"/>
              <w:bottom w:val="nil"/>
            </w:tcBorders>
            <w:vAlign w:val="center"/>
          </w:tcPr>
          <w:p w14:paraId="1E34ED7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S8</w:t>
            </w:r>
          </w:p>
        </w:tc>
        <w:tc>
          <w:tcPr>
            <w:tcW w:w="1006" w:type="dxa"/>
            <w:tcBorders>
              <w:top w:val="nil"/>
              <w:bottom w:val="nil"/>
            </w:tcBorders>
            <w:vAlign w:val="center"/>
          </w:tcPr>
          <w:p w14:paraId="6F85990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34DB73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077A2F5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7575FFC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126</w:t>
            </w:r>
          </w:p>
        </w:tc>
        <w:tc>
          <w:tcPr>
            <w:tcW w:w="1005" w:type="dxa"/>
            <w:tcBorders>
              <w:top w:val="nil"/>
              <w:bottom w:val="nil"/>
            </w:tcBorders>
            <w:vAlign w:val="center"/>
          </w:tcPr>
          <w:p w14:paraId="4AE26ED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S25</w:t>
            </w:r>
          </w:p>
        </w:tc>
        <w:tc>
          <w:tcPr>
            <w:tcW w:w="1005" w:type="dxa"/>
            <w:tcBorders>
              <w:top w:val="nil"/>
              <w:bottom w:val="nil"/>
            </w:tcBorders>
            <w:vAlign w:val="center"/>
          </w:tcPr>
          <w:p w14:paraId="6BC2867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20AD801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3B16B0F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708FD4A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157</w:t>
            </w:r>
          </w:p>
        </w:tc>
      </w:tr>
      <w:tr w:rsidR="00FE0BB8" w:rsidRPr="00966FED" w14:paraId="4C3D6C68" w14:textId="77777777" w:rsidTr="00AC0ED3">
        <w:trPr>
          <w:trHeight w:val="270"/>
          <w:jc w:val="center"/>
        </w:trPr>
        <w:tc>
          <w:tcPr>
            <w:tcW w:w="1006" w:type="dxa"/>
            <w:tcBorders>
              <w:top w:val="nil"/>
              <w:bottom w:val="nil"/>
            </w:tcBorders>
            <w:vAlign w:val="center"/>
          </w:tcPr>
          <w:p w14:paraId="07910A3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S9</w:t>
            </w:r>
          </w:p>
        </w:tc>
        <w:tc>
          <w:tcPr>
            <w:tcW w:w="1006" w:type="dxa"/>
            <w:tcBorders>
              <w:top w:val="nil"/>
              <w:bottom w:val="nil"/>
            </w:tcBorders>
            <w:vAlign w:val="center"/>
          </w:tcPr>
          <w:p w14:paraId="6240F29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70A736D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59EFA17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5" w:type="dxa"/>
            <w:tcBorders>
              <w:top w:val="nil"/>
              <w:bottom w:val="nil"/>
            </w:tcBorders>
            <w:vAlign w:val="center"/>
          </w:tcPr>
          <w:p w14:paraId="5912E1B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337</w:t>
            </w:r>
          </w:p>
        </w:tc>
        <w:tc>
          <w:tcPr>
            <w:tcW w:w="1005" w:type="dxa"/>
            <w:tcBorders>
              <w:top w:val="nil"/>
              <w:bottom w:val="nil"/>
            </w:tcBorders>
            <w:vAlign w:val="center"/>
          </w:tcPr>
          <w:p w14:paraId="446946B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S26</w:t>
            </w:r>
          </w:p>
        </w:tc>
        <w:tc>
          <w:tcPr>
            <w:tcW w:w="1005" w:type="dxa"/>
            <w:tcBorders>
              <w:top w:val="nil"/>
              <w:bottom w:val="nil"/>
            </w:tcBorders>
            <w:vAlign w:val="center"/>
          </w:tcPr>
          <w:p w14:paraId="15CB17F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2B63937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261CCDD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3" w:type="dxa"/>
            <w:tcBorders>
              <w:top w:val="nil"/>
              <w:bottom w:val="nil"/>
            </w:tcBorders>
            <w:vAlign w:val="center"/>
          </w:tcPr>
          <w:p w14:paraId="3A117EE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293</w:t>
            </w:r>
          </w:p>
        </w:tc>
      </w:tr>
      <w:tr w:rsidR="00FE0BB8" w:rsidRPr="00966FED" w14:paraId="57232177" w14:textId="77777777" w:rsidTr="00AC0ED3">
        <w:trPr>
          <w:trHeight w:val="270"/>
          <w:jc w:val="center"/>
        </w:trPr>
        <w:tc>
          <w:tcPr>
            <w:tcW w:w="1006" w:type="dxa"/>
            <w:tcBorders>
              <w:top w:val="nil"/>
              <w:bottom w:val="nil"/>
            </w:tcBorders>
            <w:vAlign w:val="center"/>
          </w:tcPr>
          <w:p w14:paraId="6B74B67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S10</w:t>
            </w:r>
          </w:p>
        </w:tc>
        <w:tc>
          <w:tcPr>
            <w:tcW w:w="1006" w:type="dxa"/>
            <w:tcBorders>
              <w:top w:val="nil"/>
              <w:bottom w:val="nil"/>
            </w:tcBorders>
            <w:vAlign w:val="center"/>
          </w:tcPr>
          <w:p w14:paraId="778991A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73A6A9E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5BD21B0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2664AAD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176</w:t>
            </w:r>
          </w:p>
        </w:tc>
        <w:tc>
          <w:tcPr>
            <w:tcW w:w="1005" w:type="dxa"/>
            <w:tcBorders>
              <w:top w:val="nil"/>
              <w:bottom w:val="nil"/>
            </w:tcBorders>
            <w:vAlign w:val="center"/>
          </w:tcPr>
          <w:p w14:paraId="7EFB1A9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S27</w:t>
            </w:r>
          </w:p>
        </w:tc>
        <w:tc>
          <w:tcPr>
            <w:tcW w:w="1005" w:type="dxa"/>
            <w:tcBorders>
              <w:top w:val="nil"/>
              <w:bottom w:val="nil"/>
            </w:tcBorders>
            <w:vAlign w:val="center"/>
          </w:tcPr>
          <w:p w14:paraId="023862A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482CAED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7" w:type="dxa"/>
            <w:tcBorders>
              <w:top w:val="nil"/>
              <w:bottom w:val="nil"/>
            </w:tcBorders>
            <w:vAlign w:val="center"/>
          </w:tcPr>
          <w:p w14:paraId="753CBE6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36618B2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213</w:t>
            </w:r>
          </w:p>
        </w:tc>
      </w:tr>
      <w:tr w:rsidR="00FE0BB8" w:rsidRPr="00966FED" w14:paraId="09B8E69B" w14:textId="77777777" w:rsidTr="00AC0ED3">
        <w:trPr>
          <w:trHeight w:val="270"/>
          <w:jc w:val="center"/>
        </w:trPr>
        <w:tc>
          <w:tcPr>
            <w:tcW w:w="1006" w:type="dxa"/>
            <w:tcBorders>
              <w:top w:val="nil"/>
              <w:bottom w:val="nil"/>
            </w:tcBorders>
            <w:vAlign w:val="center"/>
          </w:tcPr>
          <w:p w14:paraId="79C7C01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S11</w:t>
            </w:r>
          </w:p>
        </w:tc>
        <w:tc>
          <w:tcPr>
            <w:tcW w:w="1006" w:type="dxa"/>
            <w:tcBorders>
              <w:top w:val="nil"/>
              <w:bottom w:val="nil"/>
            </w:tcBorders>
            <w:vAlign w:val="center"/>
          </w:tcPr>
          <w:p w14:paraId="7F207DA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1C8261E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50F22E0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75DCF0A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153</w:t>
            </w:r>
          </w:p>
        </w:tc>
        <w:tc>
          <w:tcPr>
            <w:tcW w:w="1005" w:type="dxa"/>
            <w:tcBorders>
              <w:top w:val="nil"/>
              <w:bottom w:val="nil"/>
            </w:tcBorders>
            <w:vAlign w:val="center"/>
          </w:tcPr>
          <w:p w14:paraId="3809FBC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S28</w:t>
            </w:r>
          </w:p>
        </w:tc>
        <w:tc>
          <w:tcPr>
            <w:tcW w:w="1005" w:type="dxa"/>
            <w:tcBorders>
              <w:top w:val="nil"/>
              <w:bottom w:val="nil"/>
            </w:tcBorders>
            <w:vAlign w:val="center"/>
          </w:tcPr>
          <w:p w14:paraId="720D06E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8CE2D7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18B444D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56C2C97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163</w:t>
            </w:r>
          </w:p>
        </w:tc>
      </w:tr>
      <w:tr w:rsidR="00FE0BB8" w:rsidRPr="00966FED" w14:paraId="4A0B892D" w14:textId="77777777" w:rsidTr="00AC0ED3">
        <w:trPr>
          <w:trHeight w:val="270"/>
          <w:jc w:val="center"/>
        </w:trPr>
        <w:tc>
          <w:tcPr>
            <w:tcW w:w="1006" w:type="dxa"/>
            <w:tcBorders>
              <w:top w:val="nil"/>
              <w:bottom w:val="nil"/>
            </w:tcBorders>
            <w:vAlign w:val="center"/>
          </w:tcPr>
          <w:p w14:paraId="1573772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S12</w:t>
            </w:r>
          </w:p>
        </w:tc>
        <w:tc>
          <w:tcPr>
            <w:tcW w:w="1006" w:type="dxa"/>
            <w:tcBorders>
              <w:top w:val="nil"/>
              <w:bottom w:val="nil"/>
            </w:tcBorders>
            <w:vAlign w:val="center"/>
          </w:tcPr>
          <w:p w14:paraId="09AE67B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02CD7D7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205341F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5" w:type="dxa"/>
            <w:tcBorders>
              <w:top w:val="nil"/>
              <w:bottom w:val="nil"/>
            </w:tcBorders>
            <w:vAlign w:val="center"/>
          </w:tcPr>
          <w:p w14:paraId="351613E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129</w:t>
            </w:r>
          </w:p>
        </w:tc>
        <w:tc>
          <w:tcPr>
            <w:tcW w:w="1005" w:type="dxa"/>
            <w:tcBorders>
              <w:top w:val="nil"/>
              <w:bottom w:val="nil"/>
            </w:tcBorders>
            <w:vAlign w:val="center"/>
          </w:tcPr>
          <w:p w14:paraId="2B070CE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S29</w:t>
            </w:r>
          </w:p>
        </w:tc>
        <w:tc>
          <w:tcPr>
            <w:tcW w:w="1005" w:type="dxa"/>
            <w:tcBorders>
              <w:top w:val="nil"/>
              <w:bottom w:val="nil"/>
            </w:tcBorders>
            <w:vAlign w:val="center"/>
          </w:tcPr>
          <w:p w14:paraId="48865D9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65C1771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4A02BC9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3" w:type="dxa"/>
            <w:tcBorders>
              <w:top w:val="nil"/>
              <w:bottom w:val="nil"/>
            </w:tcBorders>
            <w:vAlign w:val="center"/>
          </w:tcPr>
          <w:p w14:paraId="660ADEA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107</w:t>
            </w:r>
          </w:p>
        </w:tc>
      </w:tr>
      <w:tr w:rsidR="00FE0BB8" w:rsidRPr="00966FED" w14:paraId="272B14C4" w14:textId="77777777" w:rsidTr="00AC0ED3">
        <w:trPr>
          <w:trHeight w:val="270"/>
          <w:jc w:val="center"/>
        </w:trPr>
        <w:tc>
          <w:tcPr>
            <w:tcW w:w="1006" w:type="dxa"/>
            <w:tcBorders>
              <w:top w:val="nil"/>
              <w:bottom w:val="nil"/>
            </w:tcBorders>
            <w:vAlign w:val="center"/>
          </w:tcPr>
          <w:p w14:paraId="379A502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S13</w:t>
            </w:r>
          </w:p>
        </w:tc>
        <w:tc>
          <w:tcPr>
            <w:tcW w:w="1006" w:type="dxa"/>
            <w:tcBorders>
              <w:top w:val="nil"/>
              <w:bottom w:val="nil"/>
            </w:tcBorders>
            <w:vAlign w:val="center"/>
          </w:tcPr>
          <w:p w14:paraId="3601A29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7C82E9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55B00A4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5D8650D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186</w:t>
            </w:r>
          </w:p>
        </w:tc>
        <w:tc>
          <w:tcPr>
            <w:tcW w:w="1005" w:type="dxa"/>
            <w:tcBorders>
              <w:top w:val="nil"/>
              <w:bottom w:val="nil"/>
            </w:tcBorders>
            <w:vAlign w:val="center"/>
          </w:tcPr>
          <w:p w14:paraId="04D7C07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S30</w:t>
            </w:r>
          </w:p>
        </w:tc>
        <w:tc>
          <w:tcPr>
            <w:tcW w:w="1005" w:type="dxa"/>
            <w:tcBorders>
              <w:top w:val="nil"/>
              <w:bottom w:val="nil"/>
            </w:tcBorders>
            <w:vAlign w:val="center"/>
          </w:tcPr>
          <w:p w14:paraId="63FF5AD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564CBA2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588D5D8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4249E03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138</w:t>
            </w:r>
          </w:p>
        </w:tc>
      </w:tr>
      <w:tr w:rsidR="00FE0BB8" w:rsidRPr="00966FED" w14:paraId="1D9F04A5" w14:textId="77777777" w:rsidTr="00AC0ED3">
        <w:trPr>
          <w:trHeight w:val="270"/>
          <w:jc w:val="center"/>
        </w:trPr>
        <w:tc>
          <w:tcPr>
            <w:tcW w:w="1006" w:type="dxa"/>
            <w:tcBorders>
              <w:top w:val="nil"/>
              <w:bottom w:val="nil"/>
            </w:tcBorders>
            <w:vAlign w:val="center"/>
          </w:tcPr>
          <w:p w14:paraId="3AC86FE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S14</w:t>
            </w:r>
          </w:p>
        </w:tc>
        <w:tc>
          <w:tcPr>
            <w:tcW w:w="1006" w:type="dxa"/>
            <w:tcBorders>
              <w:top w:val="nil"/>
              <w:bottom w:val="nil"/>
            </w:tcBorders>
            <w:vAlign w:val="center"/>
          </w:tcPr>
          <w:p w14:paraId="367AD74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21A276A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70AE715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6F3E981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107</w:t>
            </w:r>
          </w:p>
        </w:tc>
        <w:tc>
          <w:tcPr>
            <w:tcW w:w="1005" w:type="dxa"/>
            <w:tcBorders>
              <w:top w:val="nil"/>
              <w:bottom w:val="nil"/>
            </w:tcBorders>
            <w:vAlign w:val="center"/>
          </w:tcPr>
          <w:p w14:paraId="4F5E0F8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S31</w:t>
            </w:r>
          </w:p>
        </w:tc>
        <w:tc>
          <w:tcPr>
            <w:tcW w:w="1005" w:type="dxa"/>
            <w:tcBorders>
              <w:top w:val="nil"/>
              <w:bottom w:val="nil"/>
            </w:tcBorders>
            <w:vAlign w:val="center"/>
          </w:tcPr>
          <w:p w14:paraId="6687D35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03C47EA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7" w:type="dxa"/>
            <w:tcBorders>
              <w:top w:val="nil"/>
              <w:bottom w:val="nil"/>
            </w:tcBorders>
            <w:vAlign w:val="center"/>
          </w:tcPr>
          <w:p w14:paraId="243B039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3" w:type="dxa"/>
            <w:tcBorders>
              <w:top w:val="nil"/>
              <w:bottom w:val="nil"/>
            </w:tcBorders>
            <w:vAlign w:val="center"/>
          </w:tcPr>
          <w:p w14:paraId="0706740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128</w:t>
            </w:r>
          </w:p>
        </w:tc>
      </w:tr>
      <w:tr w:rsidR="00FE0BB8" w:rsidRPr="00966FED" w14:paraId="18B64EFE" w14:textId="77777777" w:rsidTr="00AC0ED3">
        <w:trPr>
          <w:trHeight w:val="270"/>
          <w:jc w:val="center"/>
        </w:trPr>
        <w:tc>
          <w:tcPr>
            <w:tcW w:w="1006" w:type="dxa"/>
            <w:tcBorders>
              <w:top w:val="nil"/>
              <w:bottom w:val="nil"/>
            </w:tcBorders>
            <w:vAlign w:val="center"/>
          </w:tcPr>
          <w:p w14:paraId="7881F35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S15</w:t>
            </w:r>
          </w:p>
        </w:tc>
        <w:tc>
          <w:tcPr>
            <w:tcW w:w="1006" w:type="dxa"/>
            <w:tcBorders>
              <w:top w:val="nil"/>
              <w:bottom w:val="nil"/>
            </w:tcBorders>
            <w:vAlign w:val="center"/>
          </w:tcPr>
          <w:p w14:paraId="2C6098A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10CC64D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0C44FB0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4D5EDF2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167</w:t>
            </w:r>
          </w:p>
        </w:tc>
        <w:tc>
          <w:tcPr>
            <w:tcW w:w="1005" w:type="dxa"/>
            <w:tcBorders>
              <w:top w:val="nil"/>
              <w:bottom w:val="nil"/>
            </w:tcBorders>
            <w:vAlign w:val="center"/>
          </w:tcPr>
          <w:p w14:paraId="4BA2FFE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S32</w:t>
            </w:r>
          </w:p>
        </w:tc>
        <w:tc>
          <w:tcPr>
            <w:tcW w:w="1005" w:type="dxa"/>
            <w:tcBorders>
              <w:top w:val="nil"/>
              <w:bottom w:val="nil"/>
            </w:tcBorders>
            <w:vAlign w:val="center"/>
          </w:tcPr>
          <w:p w14:paraId="474037F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05B063B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5AEE1A8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7B7D807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131</w:t>
            </w:r>
          </w:p>
        </w:tc>
      </w:tr>
      <w:tr w:rsidR="00FE0BB8" w:rsidRPr="00966FED" w14:paraId="32DD4A63" w14:textId="77777777" w:rsidTr="00AC0ED3">
        <w:trPr>
          <w:trHeight w:val="270"/>
          <w:jc w:val="center"/>
        </w:trPr>
        <w:tc>
          <w:tcPr>
            <w:tcW w:w="1006" w:type="dxa"/>
            <w:tcBorders>
              <w:top w:val="nil"/>
              <w:bottom w:val="nil"/>
            </w:tcBorders>
            <w:vAlign w:val="center"/>
          </w:tcPr>
          <w:p w14:paraId="2501203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S16</w:t>
            </w:r>
          </w:p>
        </w:tc>
        <w:tc>
          <w:tcPr>
            <w:tcW w:w="1006" w:type="dxa"/>
            <w:tcBorders>
              <w:top w:val="nil"/>
              <w:bottom w:val="nil"/>
            </w:tcBorders>
            <w:vAlign w:val="center"/>
          </w:tcPr>
          <w:p w14:paraId="373CE14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359C173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4033ADC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199EEE2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102</w:t>
            </w:r>
          </w:p>
        </w:tc>
        <w:tc>
          <w:tcPr>
            <w:tcW w:w="1005" w:type="dxa"/>
            <w:tcBorders>
              <w:top w:val="nil"/>
              <w:bottom w:val="nil"/>
            </w:tcBorders>
            <w:vAlign w:val="center"/>
          </w:tcPr>
          <w:p w14:paraId="012445B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S33</w:t>
            </w:r>
          </w:p>
        </w:tc>
        <w:tc>
          <w:tcPr>
            <w:tcW w:w="1005" w:type="dxa"/>
            <w:tcBorders>
              <w:top w:val="nil"/>
              <w:bottom w:val="nil"/>
            </w:tcBorders>
            <w:vAlign w:val="center"/>
          </w:tcPr>
          <w:p w14:paraId="6793194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113DA18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7" w:type="dxa"/>
            <w:tcBorders>
              <w:top w:val="nil"/>
              <w:bottom w:val="nil"/>
            </w:tcBorders>
            <w:vAlign w:val="center"/>
          </w:tcPr>
          <w:p w14:paraId="046B344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1FC0648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127</w:t>
            </w:r>
          </w:p>
        </w:tc>
      </w:tr>
      <w:tr w:rsidR="00FE0BB8" w:rsidRPr="00966FED" w14:paraId="49A4CFF6" w14:textId="77777777" w:rsidTr="00AC0ED3">
        <w:trPr>
          <w:trHeight w:val="270"/>
          <w:jc w:val="center"/>
        </w:trPr>
        <w:tc>
          <w:tcPr>
            <w:tcW w:w="1006" w:type="dxa"/>
            <w:tcBorders>
              <w:top w:val="nil"/>
              <w:bottom w:val="nil"/>
            </w:tcBorders>
            <w:vAlign w:val="center"/>
          </w:tcPr>
          <w:p w14:paraId="6E7B8C6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S17</w:t>
            </w:r>
          </w:p>
        </w:tc>
        <w:tc>
          <w:tcPr>
            <w:tcW w:w="1006" w:type="dxa"/>
            <w:tcBorders>
              <w:top w:val="nil"/>
              <w:bottom w:val="nil"/>
            </w:tcBorders>
            <w:vAlign w:val="center"/>
          </w:tcPr>
          <w:p w14:paraId="14C666D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1A6355A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5" w:type="dxa"/>
            <w:tcBorders>
              <w:top w:val="nil"/>
              <w:bottom w:val="nil"/>
            </w:tcBorders>
            <w:vAlign w:val="center"/>
          </w:tcPr>
          <w:p w14:paraId="6FD935C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5" w:type="dxa"/>
            <w:tcBorders>
              <w:top w:val="nil"/>
              <w:bottom w:val="nil"/>
            </w:tcBorders>
            <w:vAlign w:val="center"/>
          </w:tcPr>
          <w:p w14:paraId="7AF07B1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260</w:t>
            </w:r>
          </w:p>
        </w:tc>
        <w:tc>
          <w:tcPr>
            <w:tcW w:w="1005" w:type="dxa"/>
            <w:tcBorders>
              <w:top w:val="nil"/>
              <w:bottom w:val="nil"/>
            </w:tcBorders>
            <w:vAlign w:val="center"/>
          </w:tcPr>
          <w:p w14:paraId="76AF07E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S34</w:t>
            </w:r>
          </w:p>
        </w:tc>
        <w:tc>
          <w:tcPr>
            <w:tcW w:w="1005" w:type="dxa"/>
            <w:tcBorders>
              <w:top w:val="nil"/>
              <w:bottom w:val="nil"/>
            </w:tcBorders>
            <w:vAlign w:val="center"/>
          </w:tcPr>
          <w:p w14:paraId="33D028E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53BEE27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7" w:type="dxa"/>
            <w:tcBorders>
              <w:top w:val="nil"/>
              <w:bottom w:val="nil"/>
            </w:tcBorders>
            <w:vAlign w:val="center"/>
          </w:tcPr>
          <w:p w14:paraId="5D03BFC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3" w:type="dxa"/>
            <w:tcBorders>
              <w:top w:val="nil"/>
              <w:bottom w:val="nil"/>
            </w:tcBorders>
            <w:vAlign w:val="center"/>
          </w:tcPr>
          <w:p w14:paraId="73E23F5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251</w:t>
            </w:r>
          </w:p>
        </w:tc>
      </w:tr>
    </w:tbl>
    <w:p w14:paraId="38C886C9" w14:textId="2D1EA8B0" w:rsidR="00AD56EC" w:rsidRPr="00966FED" w:rsidRDefault="00AD56EC" w:rsidP="001D0AFA">
      <w:pPr>
        <w:widowControl w:val="0"/>
        <w:pBdr>
          <w:top w:val="nil"/>
          <w:left w:val="nil"/>
          <w:bottom w:val="nil"/>
          <w:right w:val="nil"/>
          <w:between w:val="nil"/>
        </w:pBdr>
        <w:spacing w:after="0" w:line="240" w:lineRule="auto"/>
        <w:jc w:val="center"/>
        <w:rPr>
          <w:rFonts w:ascii="Times New Roman" w:hAnsi="Times New Roman" w:cs="Times New Roman"/>
        </w:rPr>
      </w:pPr>
      <w:r w:rsidRPr="00966FED">
        <w:rPr>
          <w:rFonts w:ascii="Times New Roman" w:hAnsi="Times New Roman" w:cs="Times New Roman"/>
        </w:rPr>
        <w:t>TT300 = Time taken to reach backside temperature of 300 °C (in seconds).</w:t>
      </w:r>
    </w:p>
    <w:p w14:paraId="2F7C1DAD" w14:textId="77777777" w:rsidR="001D0AFA" w:rsidRPr="00966FED" w:rsidRDefault="001D0AFA" w:rsidP="001D0AFA">
      <w:pPr>
        <w:widowControl w:val="0"/>
        <w:pBdr>
          <w:top w:val="nil"/>
          <w:left w:val="nil"/>
          <w:bottom w:val="nil"/>
          <w:right w:val="nil"/>
          <w:between w:val="nil"/>
        </w:pBdr>
        <w:spacing w:after="0" w:line="240" w:lineRule="auto"/>
        <w:jc w:val="center"/>
        <w:rPr>
          <w:rFonts w:ascii="Times New Roman" w:hAnsi="Times New Roman" w:cs="Times New Roman"/>
        </w:rPr>
      </w:pPr>
    </w:p>
    <w:p w14:paraId="4D3686FF" w14:textId="77777777" w:rsidR="00B355B2" w:rsidRPr="00966FED" w:rsidRDefault="00B355B2" w:rsidP="00E93491">
      <w:pPr>
        <w:spacing w:line="240" w:lineRule="auto"/>
        <w:ind w:firstLine="284"/>
        <w:rPr>
          <w:rFonts w:ascii="Times New Roman" w:eastAsia="Calibri" w:hAnsi="Times New Roman" w:cs="Times New Roman"/>
          <w:b/>
          <w:bCs/>
        </w:rPr>
      </w:pPr>
      <w:r w:rsidRPr="00966FED">
        <w:rPr>
          <w:rFonts w:ascii="Times New Roman" w:eastAsia="Calibri" w:hAnsi="Times New Roman" w:cs="Times New Roman"/>
          <w:b/>
          <w:bCs/>
        </w:rPr>
        <w:t xml:space="preserve">Table 5. </w:t>
      </w:r>
      <w:r w:rsidRPr="00966FED">
        <w:rPr>
          <w:rFonts w:ascii="Times New Roman" w:eastAsia="Calibri" w:hAnsi="Times New Roman" w:cs="Times New Roman"/>
        </w:rPr>
        <w:t>ANOVA for TT300.</w:t>
      </w:r>
    </w:p>
    <w:tbl>
      <w:tblPr>
        <w:tblW w:w="5000" w:type="pct"/>
        <w:jc w:val="center"/>
        <w:tblBorders>
          <w:top w:val="single" w:sz="4" w:space="0" w:color="000000"/>
          <w:bottom w:val="single" w:sz="4" w:space="0" w:color="000000"/>
        </w:tblBorders>
        <w:tblLook w:val="0400" w:firstRow="0" w:lastRow="0" w:firstColumn="0" w:lastColumn="0" w:noHBand="0" w:noVBand="1"/>
      </w:tblPr>
      <w:tblGrid>
        <w:gridCol w:w="1688"/>
        <w:gridCol w:w="2024"/>
        <w:gridCol w:w="727"/>
        <w:gridCol w:w="1763"/>
        <w:gridCol w:w="1098"/>
        <w:gridCol w:w="1187"/>
        <w:gridCol w:w="2210"/>
      </w:tblGrid>
      <w:tr w:rsidR="00B355B2" w:rsidRPr="00966FED" w14:paraId="3A51A67D" w14:textId="77777777" w:rsidTr="00B355B2">
        <w:trPr>
          <w:jc w:val="center"/>
        </w:trPr>
        <w:tc>
          <w:tcPr>
            <w:tcW w:w="789" w:type="pct"/>
            <w:tcBorders>
              <w:top w:val="single" w:sz="8" w:space="0" w:color="000000"/>
              <w:bottom w:val="single" w:sz="4" w:space="0" w:color="000000"/>
            </w:tcBorders>
            <w:vAlign w:val="center"/>
          </w:tcPr>
          <w:p w14:paraId="3FE5BA81"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Source</w:t>
            </w:r>
          </w:p>
        </w:tc>
        <w:tc>
          <w:tcPr>
            <w:tcW w:w="946" w:type="pct"/>
            <w:tcBorders>
              <w:top w:val="single" w:sz="8" w:space="0" w:color="000000"/>
              <w:bottom w:val="single" w:sz="4" w:space="0" w:color="000000"/>
            </w:tcBorders>
            <w:vAlign w:val="center"/>
          </w:tcPr>
          <w:p w14:paraId="6B30C6D8"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Sum of Squares</w:t>
            </w:r>
          </w:p>
        </w:tc>
        <w:tc>
          <w:tcPr>
            <w:tcW w:w="340" w:type="pct"/>
            <w:tcBorders>
              <w:top w:val="single" w:sz="8" w:space="0" w:color="000000"/>
              <w:bottom w:val="single" w:sz="4" w:space="0" w:color="000000"/>
            </w:tcBorders>
            <w:vAlign w:val="center"/>
          </w:tcPr>
          <w:p w14:paraId="49494075"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DoF</w:t>
            </w:r>
          </w:p>
        </w:tc>
        <w:tc>
          <w:tcPr>
            <w:tcW w:w="824" w:type="pct"/>
            <w:tcBorders>
              <w:top w:val="single" w:sz="8" w:space="0" w:color="000000"/>
              <w:bottom w:val="single" w:sz="4" w:space="0" w:color="000000"/>
            </w:tcBorders>
            <w:vAlign w:val="center"/>
          </w:tcPr>
          <w:p w14:paraId="1A3AA93D"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Mean Square</w:t>
            </w:r>
          </w:p>
        </w:tc>
        <w:tc>
          <w:tcPr>
            <w:tcW w:w="513" w:type="pct"/>
            <w:tcBorders>
              <w:top w:val="single" w:sz="8" w:space="0" w:color="000000"/>
              <w:bottom w:val="single" w:sz="4" w:space="0" w:color="000000"/>
            </w:tcBorders>
            <w:vAlign w:val="center"/>
          </w:tcPr>
          <w:p w14:paraId="577B4FBE"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F-value</w:t>
            </w:r>
          </w:p>
        </w:tc>
        <w:tc>
          <w:tcPr>
            <w:tcW w:w="555" w:type="pct"/>
            <w:tcBorders>
              <w:top w:val="single" w:sz="8" w:space="0" w:color="000000"/>
              <w:bottom w:val="single" w:sz="4" w:space="0" w:color="000000"/>
            </w:tcBorders>
            <w:vAlign w:val="center"/>
          </w:tcPr>
          <w:p w14:paraId="30AF09E9"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p-value</w:t>
            </w:r>
          </w:p>
        </w:tc>
        <w:tc>
          <w:tcPr>
            <w:tcW w:w="1034" w:type="pct"/>
            <w:tcBorders>
              <w:top w:val="single" w:sz="8" w:space="0" w:color="000000"/>
              <w:bottom w:val="single" w:sz="4" w:space="0" w:color="000000"/>
            </w:tcBorders>
            <w:vAlign w:val="center"/>
          </w:tcPr>
          <w:p w14:paraId="461BF9F9"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Remarks</w:t>
            </w:r>
          </w:p>
        </w:tc>
      </w:tr>
      <w:tr w:rsidR="00B355B2" w:rsidRPr="00966FED" w14:paraId="320A3FD0" w14:textId="77777777" w:rsidTr="00B355B2">
        <w:trPr>
          <w:jc w:val="center"/>
        </w:trPr>
        <w:tc>
          <w:tcPr>
            <w:tcW w:w="789" w:type="pct"/>
            <w:tcBorders>
              <w:top w:val="single" w:sz="4" w:space="0" w:color="000000"/>
              <w:bottom w:val="nil"/>
            </w:tcBorders>
            <w:vAlign w:val="center"/>
          </w:tcPr>
          <w:p w14:paraId="696CEBD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Model</w:t>
            </w:r>
          </w:p>
        </w:tc>
        <w:tc>
          <w:tcPr>
            <w:tcW w:w="946" w:type="pct"/>
            <w:tcBorders>
              <w:top w:val="single" w:sz="4" w:space="0" w:color="000000"/>
              <w:bottom w:val="nil"/>
            </w:tcBorders>
            <w:vAlign w:val="center"/>
          </w:tcPr>
          <w:p w14:paraId="12A1710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1.31E+05</w:t>
            </w:r>
          </w:p>
        </w:tc>
        <w:tc>
          <w:tcPr>
            <w:tcW w:w="340" w:type="pct"/>
            <w:tcBorders>
              <w:top w:val="single" w:sz="4" w:space="0" w:color="000000"/>
              <w:bottom w:val="nil"/>
            </w:tcBorders>
            <w:vAlign w:val="center"/>
          </w:tcPr>
          <w:p w14:paraId="567ACB8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6</w:t>
            </w:r>
          </w:p>
        </w:tc>
        <w:tc>
          <w:tcPr>
            <w:tcW w:w="824" w:type="pct"/>
            <w:tcBorders>
              <w:top w:val="single" w:sz="4" w:space="0" w:color="000000"/>
              <w:bottom w:val="nil"/>
            </w:tcBorders>
            <w:vAlign w:val="center"/>
          </w:tcPr>
          <w:p w14:paraId="3FDFB32B"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21835.02</w:t>
            </w:r>
          </w:p>
        </w:tc>
        <w:tc>
          <w:tcPr>
            <w:tcW w:w="513" w:type="pct"/>
            <w:tcBorders>
              <w:top w:val="single" w:sz="4" w:space="0" w:color="000000"/>
              <w:bottom w:val="nil"/>
            </w:tcBorders>
            <w:vAlign w:val="center"/>
          </w:tcPr>
          <w:p w14:paraId="03E95563"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39.78</w:t>
            </w:r>
          </w:p>
        </w:tc>
        <w:tc>
          <w:tcPr>
            <w:tcW w:w="555" w:type="pct"/>
            <w:tcBorders>
              <w:top w:val="single" w:sz="4" w:space="0" w:color="000000"/>
              <w:bottom w:val="nil"/>
            </w:tcBorders>
            <w:vAlign w:val="center"/>
          </w:tcPr>
          <w:p w14:paraId="297D657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 0.0001</w:t>
            </w:r>
          </w:p>
        </w:tc>
        <w:tc>
          <w:tcPr>
            <w:tcW w:w="1034" w:type="pct"/>
            <w:tcBorders>
              <w:top w:val="single" w:sz="4" w:space="0" w:color="000000"/>
              <w:bottom w:val="nil"/>
            </w:tcBorders>
            <w:vAlign w:val="center"/>
          </w:tcPr>
          <w:p w14:paraId="4AAB8B42"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Highly Significant</w:t>
            </w:r>
          </w:p>
        </w:tc>
      </w:tr>
      <w:tr w:rsidR="00B355B2" w:rsidRPr="00966FED" w14:paraId="4BFB23A6" w14:textId="77777777" w:rsidTr="00B355B2">
        <w:trPr>
          <w:jc w:val="center"/>
        </w:trPr>
        <w:tc>
          <w:tcPr>
            <w:tcW w:w="789" w:type="pct"/>
            <w:tcBorders>
              <w:top w:val="nil"/>
              <w:bottom w:val="nil"/>
            </w:tcBorders>
            <w:vAlign w:val="center"/>
          </w:tcPr>
          <w:p w14:paraId="4E3EEA6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A-Si/Al</w:t>
            </w:r>
          </w:p>
        </w:tc>
        <w:tc>
          <w:tcPr>
            <w:tcW w:w="946" w:type="pct"/>
            <w:tcBorders>
              <w:top w:val="nil"/>
              <w:bottom w:val="nil"/>
            </w:tcBorders>
            <w:vAlign w:val="center"/>
          </w:tcPr>
          <w:p w14:paraId="5EB42599"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78260.06</w:t>
            </w:r>
          </w:p>
        </w:tc>
        <w:tc>
          <w:tcPr>
            <w:tcW w:w="340" w:type="pct"/>
            <w:tcBorders>
              <w:top w:val="nil"/>
              <w:bottom w:val="nil"/>
            </w:tcBorders>
            <w:vAlign w:val="center"/>
          </w:tcPr>
          <w:p w14:paraId="40133BCB"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3CE9B316"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78260.06</w:t>
            </w:r>
          </w:p>
        </w:tc>
        <w:tc>
          <w:tcPr>
            <w:tcW w:w="513" w:type="pct"/>
            <w:tcBorders>
              <w:top w:val="nil"/>
              <w:bottom w:val="nil"/>
            </w:tcBorders>
            <w:vAlign w:val="center"/>
          </w:tcPr>
          <w:p w14:paraId="6C8832C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142.59</w:t>
            </w:r>
          </w:p>
        </w:tc>
        <w:tc>
          <w:tcPr>
            <w:tcW w:w="555" w:type="pct"/>
            <w:tcBorders>
              <w:top w:val="nil"/>
              <w:bottom w:val="nil"/>
            </w:tcBorders>
            <w:vAlign w:val="center"/>
          </w:tcPr>
          <w:p w14:paraId="400FCED6"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 0.0001</w:t>
            </w:r>
          </w:p>
        </w:tc>
        <w:tc>
          <w:tcPr>
            <w:tcW w:w="1034" w:type="pct"/>
            <w:tcBorders>
              <w:top w:val="nil"/>
              <w:bottom w:val="nil"/>
            </w:tcBorders>
          </w:tcPr>
          <w:p w14:paraId="397EAE8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Highly Significant</w:t>
            </w:r>
          </w:p>
        </w:tc>
      </w:tr>
      <w:tr w:rsidR="00B355B2" w:rsidRPr="00966FED" w14:paraId="356A97E5" w14:textId="77777777" w:rsidTr="00B355B2">
        <w:trPr>
          <w:jc w:val="center"/>
        </w:trPr>
        <w:tc>
          <w:tcPr>
            <w:tcW w:w="789" w:type="pct"/>
            <w:tcBorders>
              <w:top w:val="nil"/>
              <w:bottom w:val="nil"/>
            </w:tcBorders>
            <w:vAlign w:val="center"/>
          </w:tcPr>
          <w:p w14:paraId="7C937BA1"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B-Nanosilica</w:t>
            </w:r>
          </w:p>
        </w:tc>
        <w:tc>
          <w:tcPr>
            <w:tcW w:w="946" w:type="pct"/>
            <w:tcBorders>
              <w:top w:val="nil"/>
              <w:bottom w:val="nil"/>
            </w:tcBorders>
            <w:vAlign w:val="center"/>
          </w:tcPr>
          <w:p w14:paraId="40FAD802"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11556.25</w:t>
            </w:r>
          </w:p>
        </w:tc>
        <w:tc>
          <w:tcPr>
            <w:tcW w:w="340" w:type="pct"/>
            <w:tcBorders>
              <w:top w:val="nil"/>
              <w:bottom w:val="nil"/>
            </w:tcBorders>
            <w:vAlign w:val="center"/>
          </w:tcPr>
          <w:p w14:paraId="723D9CC4"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40B3F574"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11556.25</w:t>
            </w:r>
          </w:p>
        </w:tc>
        <w:tc>
          <w:tcPr>
            <w:tcW w:w="513" w:type="pct"/>
            <w:tcBorders>
              <w:top w:val="nil"/>
              <w:bottom w:val="nil"/>
            </w:tcBorders>
            <w:vAlign w:val="center"/>
          </w:tcPr>
          <w:p w14:paraId="52DC2C7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21.06</w:t>
            </w:r>
          </w:p>
        </w:tc>
        <w:tc>
          <w:tcPr>
            <w:tcW w:w="555" w:type="pct"/>
            <w:tcBorders>
              <w:top w:val="nil"/>
              <w:bottom w:val="nil"/>
            </w:tcBorders>
            <w:vAlign w:val="center"/>
          </w:tcPr>
          <w:p w14:paraId="63A3D74E"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 0.0001</w:t>
            </w:r>
          </w:p>
        </w:tc>
        <w:tc>
          <w:tcPr>
            <w:tcW w:w="1034" w:type="pct"/>
            <w:tcBorders>
              <w:top w:val="nil"/>
              <w:bottom w:val="nil"/>
            </w:tcBorders>
          </w:tcPr>
          <w:p w14:paraId="1F87BD01"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Highly Significant</w:t>
            </w:r>
          </w:p>
        </w:tc>
      </w:tr>
      <w:tr w:rsidR="00B355B2" w:rsidRPr="00966FED" w14:paraId="2823B2D5" w14:textId="77777777" w:rsidTr="00B355B2">
        <w:trPr>
          <w:jc w:val="center"/>
        </w:trPr>
        <w:tc>
          <w:tcPr>
            <w:tcW w:w="789" w:type="pct"/>
            <w:tcBorders>
              <w:top w:val="nil"/>
              <w:bottom w:val="nil"/>
            </w:tcBorders>
            <w:vAlign w:val="center"/>
          </w:tcPr>
          <w:p w14:paraId="5551FF7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C-GBC/AP</w:t>
            </w:r>
          </w:p>
        </w:tc>
        <w:tc>
          <w:tcPr>
            <w:tcW w:w="946" w:type="pct"/>
            <w:tcBorders>
              <w:top w:val="nil"/>
              <w:bottom w:val="nil"/>
            </w:tcBorders>
            <w:vAlign w:val="center"/>
          </w:tcPr>
          <w:p w14:paraId="45C13DF5"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24885.06</w:t>
            </w:r>
          </w:p>
        </w:tc>
        <w:tc>
          <w:tcPr>
            <w:tcW w:w="340" w:type="pct"/>
            <w:tcBorders>
              <w:top w:val="nil"/>
              <w:bottom w:val="nil"/>
            </w:tcBorders>
            <w:vAlign w:val="center"/>
          </w:tcPr>
          <w:p w14:paraId="2172CAC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4BDA07EA"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24885.06</w:t>
            </w:r>
          </w:p>
        </w:tc>
        <w:tc>
          <w:tcPr>
            <w:tcW w:w="513" w:type="pct"/>
            <w:tcBorders>
              <w:top w:val="nil"/>
              <w:bottom w:val="nil"/>
            </w:tcBorders>
            <w:vAlign w:val="center"/>
          </w:tcPr>
          <w:p w14:paraId="066E6AC3"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45.34</w:t>
            </w:r>
          </w:p>
        </w:tc>
        <w:tc>
          <w:tcPr>
            <w:tcW w:w="555" w:type="pct"/>
            <w:tcBorders>
              <w:top w:val="nil"/>
              <w:bottom w:val="nil"/>
            </w:tcBorders>
            <w:vAlign w:val="center"/>
          </w:tcPr>
          <w:p w14:paraId="55026AA5"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 0.0001</w:t>
            </w:r>
          </w:p>
        </w:tc>
        <w:tc>
          <w:tcPr>
            <w:tcW w:w="1034" w:type="pct"/>
            <w:tcBorders>
              <w:top w:val="nil"/>
              <w:bottom w:val="nil"/>
            </w:tcBorders>
          </w:tcPr>
          <w:p w14:paraId="58C2116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Significant</w:t>
            </w:r>
          </w:p>
        </w:tc>
      </w:tr>
      <w:tr w:rsidR="00B355B2" w:rsidRPr="00966FED" w14:paraId="0069E9A6" w14:textId="77777777" w:rsidTr="00B355B2">
        <w:trPr>
          <w:jc w:val="center"/>
        </w:trPr>
        <w:tc>
          <w:tcPr>
            <w:tcW w:w="789" w:type="pct"/>
            <w:tcBorders>
              <w:top w:val="nil"/>
              <w:bottom w:val="nil"/>
            </w:tcBorders>
            <w:vAlign w:val="center"/>
          </w:tcPr>
          <w:p w14:paraId="7C90513E"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AB</w:t>
            </w:r>
          </w:p>
        </w:tc>
        <w:tc>
          <w:tcPr>
            <w:tcW w:w="946" w:type="pct"/>
            <w:tcBorders>
              <w:top w:val="nil"/>
              <w:bottom w:val="nil"/>
            </w:tcBorders>
            <w:vAlign w:val="center"/>
          </w:tcPr>
          <w:p w14:paraId="4789BCB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4950.13</w:t>
            </w:r>
          </w:p>
        </w:tc>
        <w:tc>
          <w:tcPr>
            <w:tcW w:w="340" w:type="pct"/>
            <w:tcBorders>
              <w:top w:val="nil"/>
              <w:bottom w:val="nil"/>
            </w:tcBorders>
            <w:vAlign w:val="center"/>
          </w:tcPr>
          <w:p w14:paraId="0A1AC3BB"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3FD39654"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4950.13</w:t>
            </w:r>
          </w:p>
        </w:tc>
        <w:tc>
          <w:tcPr>
            <w:tcW w:w="513" w:type="pct"/>
            <w:tcBorders>
              <w:top w:val="nil"/>
              <w:bottom w:val="nil"/>
            </w:tcBorders>
            <w:vAlign w:val="center"/>
          </w:tcPr>
          <w:p w14:paraId="333AF39A"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9.02</w:t>
            </w:r>
          </w:p>
        </w:tc>
        <w:tc>
          <w:tcPr>
            <w:tcW w:w="555" w:type="pct"/>
            <w:tcBorders>
              <w:top w:val="nil"/>
              <w:bottom w:val="nil"/>
            </w:tcBorders>
            <w:vAlign w:val="center"/>
          </w:tcPr>
          <w:p w14:paraId="77A021A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0.0057</w:t>
            </w:r>
          </w:p>
        </w:tc>
        <w:tc>
          <w:tcPr>
            <w:tcW w:w="1034" w:type="pct"/>
            <w:tcBorders>
              <w:top w:val="nil"/>
              <w:bottom w:val="nil"/>
            </w:tcBorders>
            <w:vAlign w:val="center"/>
          </w:tcPr>
          <w:p w14:paraId="5538D5AB"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Significant</w:t>
            </w:r>
          </w:p>
        </w:tc>
      </w:tr>
      <w:tr w:rsidR="00B355B2" w:rsidRPr="00966FED" w14:paraId="271B6A74" w14:textId="77777777" w:rsidTr="00B355B2">
        <w:trPr>
          <w:jc w:val="center"/>
        </w:trPr>
        <w:tc>
          <w:tcPr>
            <w:tcW w:w="789" w:type="pct"/>
            <w:tcBorders>
              <w:top w:val="nil"/>
              <w:bottom w:val="nil"/>
            </w:tcBorders>
            <w:vAlign w:val="center"/>
          </w:tcPr>
          <w:p w14:paraId="7A3547B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AC</w:t>
            </w:r>
          </w:p>
        </w:tc>
        <w:tc>
          <w:tcPr>
            <w:tcW w:w="946" w:type="pct"/>
            <w:tcBorders>
              <w:top w:val="nil"/>
              <w:bottom w:val="nil"/>
            </w:tcBorders>
            <w:vAlign w:val="center"/>
          </w:tcPr>
          <w:p w14:paraId="690C289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7080.5</w:t>
            </w:r>
          </w:p>
        </w:tc>
        <w:tc>
          <w:tcPr>
            <w:tcW w:w="340" w:type="pct"/>
            <w:tcBorders>
              <w:top w:val="nil"/>
              <w:bottom w:val="nil"/>
            </w:tcBorders>
            <w:vAlign w:val="center"/>
          </w:tcPr>
          <w:p w14:paraId="127E289C"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0CE8B6E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7080.5</w:t>
            </w:r>
          </w:p>
        </w:tc>
        <w:tc>
          <w:tcPr>
            <w:tcW w:w="513" w:type="pct"/>
            <w:tcBorders>
              <w:top w:val="nil"/>
              <w:bottom w:val="nil"/>
            </w:tcBorders>
            <w:vAlign w:val="center"/>
          </w:tcPr>
          <w:p w14:paraId="56BD614E"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12.9</w:t>
            </w:r>
          </w:p>
        </w:tc>
        <w:tc>
          <w:tcPr>
            <w:tcW w:w="555" w:type="pct"/>
            <w:tcBorders>
              <w:top w:val="nil"/>
              <w:bottom w:val="nil"/>
            </w:tcBorders>
            <w:vAlign w:val="center"/>
          </w:tcPr>
          <w:p w14:paraId="3A4ADFA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0.0013</w:t>
            </w:r>
          </w:p>
        </w:tc>
        <w:tc>
          <w:tcPr>
            <w:tcW w:w="1034" w:type="pct"/>
            <w:tcBorders>
              <w:top w:val="nil"/>
              <w:bottom w:val="nil"/>
            </w:tcBorders>
            <w:vAlign w:val="center"/>
          </w:tcPr>
          <w:p w14:paraId="6573D0BA"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Significant</w:t>
            </w:r>
          </w:p>
        </w:tc>
      </w:tr>
      <w:tr w:rsidR="00B355B2" w:rsidRPr="00966FED" w14:paraId="474E3BD2" w14:textId="77777777" w:rsidTr="00B355B2">
        <w:trPr>
          <w:jc w:val="center"/>
        </w:trPr>
        <w:tc>
          <w:tcPr>
            <w:tcW w:w="789" w:type="pct"/>
            <w:tcBorders>
              <w:top w:val="nil"/>
              <w:bottom w:val="nil"/>
            </w:tcBorders>
            <w:vAlign w:val="center"/>
          </w:tcPr>
          <w:p w14:paraId="61CFB9C8"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BC</w:t>
            </w:r>
          </w:p>
        </w:tc>
        <w:tc>
          <w:tcPr>
            <w:tcW w:w="946" w:type="pct"/>
            <w:tcBorders>
              <w:top w:val="nil"/>
              <w:bottom w:val="nil"/>
            </w:tcBorders>
            <w:vAlign w:val="center"/>
          </w:tcPr>
          <w:p w14:paraId="79171F18"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4278.13</w:t>
            </w:r>
          </w:p>
        </w:tc>
        <w:tc>
          <w:tcPr>
            <w:tcW w:w="340" w:type="pct"/>
            <w:tcBorders>
              <w:top w:val="nil"/>
              <w:bottom w:val="nil"/>
            </w:tcBorders>
            <w:vAlign w:val="center"/>
          </w:tcPr>
          <w:p w14:paraId="0710DC13"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2CD77E39"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4278.13</w:t>
            </w:r>
          </w:p>
        </w:tc>
        <w:tc>
          <w:tcPr>
            <w:tcW w:w="513" w:type="pct"/>
            <w:tcBorders>
              <w:top w:val="nil"/>
              <w:bottom w:val="nil"/>
            </w:tcBorders>
            <w:vAlign w:val="center"/>
          </w:tcPr>
          <w:p w14:paraId="621228D2"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7.8</w:t>
            </w:r>
          </w:p>
        </w:tc>
        <w:tc>
          <w:tcPr>
            <w:tcW w:w="555" w:type="pct"/>
            <w:tcBorders>
              <w:top w:val="nil"/>
              <w:bottom w:val="nil"/>
            </w:tcBorders>
            <w:vAlign w:val="center"/>
          </w:tcPr>
          <w:p w14:paraId="6DB4F181"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0.0095</w:t>
            </w:r>
          </w:p>
        </w:tc>
        <w:tc>
          <w:tcPr>
            <w:tcW w:w="1034" w:type="pct"/>
            <w:tcBorders>
              <w:top w:val="nil"/>
              <w:bottom w:val="nil"/>
            </w:tcBorders>
            <w:vAlign w:val="center"/>
          </w:tcPr>
          <w:p w14:paraId="51A1CD4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Significant</w:t>
            </w:r>
          </w:p>
        </w:tc>
      </w:tr>
      <w:tr w:rsidR="00B355B2" w:rsidRPr="00966FED" w14:paraId="1A7D9709" w14:textId="77777777" w:rsidTr="00B355B2">
        <w:trPr>
          <w:jc w:val="center"/>
        </w:trPr>
        <w:tc>
          <w:tcPr>
            <w:tcW w:w="789" w:type="pct"/>
            <w:tcBorders>
              <w:top w:val="nil"/>
              <w:bottom w:val="single" w:sz="4" w:space="0" w:color="000000"/>
            </w:tcBorders>
            <w:vAlign w:val="center"/>
          </w:tcPr>
          <w:p w14:paraId="1F59C54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Lack of Fit</w:t>
            </w:r>
          </w:p>
        </w:tc>
        <w:tc>
          <w:tcPr>
            <w:tcW w:w="946" w:type="pct"/>
            <w:tcBorders>
              <w:top w:val="nil"/>
              <w:bottom w:val="single" w:sz="4" w:space="0" w:color="000000"/>
            </w:tcBorders>
            <w:vAlign w:val="center"/>
          </w:tcPr>
          <w:p w14:paraId="51F0F98C"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3297.35</w:t>
            </w:r>
          </w:p>
        </w:tc>
        <w:tc>
          <w:tcPr>
            <w:tcW w:w="340" w:type="pct"/>
            <w:tcBorders>
              <w:top w:val="nil"/>
              <w:bottom w:val="single" w:sz="4" w:space="0" w:color="000000"/>
            </w:tcBorders>
            <w:vAlign w:val="center"/>
          </w:tcPr>
          <w:p w14:paraId="24A24CC6"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6</w:t>
            </w:r>
          </w:p>
        </w:tc>
        <w:tc>
          <w:tcPr>
            <w:tcW w:w="824" w:type="pct"/>
            <w:tcBorders>
              <w:top w:val="nil"/>
              <w:bottom w:val="single" w:sz="4" w:space="0" w:color="000000"/>
            </w:tcBorders>
            <w:vAlign w:val="center"/>
          </w:tcPr>
          <w:p w14:paraId="0168046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549.56</w:t>
            </w:r>
          </w:p>
        </w:tc>
        <w:tc>
          <w:tcPr>
            <w:tcW w:w="513" w:type="pct"/>
            <w:tcBorders>
              <w:top w:val="nil"/>
              <w:bottom w:val="single" w:sz="4" w:space="0" w:color="000000"/>
            </w:tcBorders>
            <w:vAlign w:val="center"/>
          </w:tcPr>
          <w:p w14:paraId="0E7D86F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555" w:type="pct"/>
            <w:tcBorders>
              <w:top w:val="nil"/>
              <w:bottom w:val="single" w:sz="4" w:space="0" w:color="000000"/>
            </w:tcBorders>
            <w:vAlign w:val="center"/>
          </w:tcPr>
          <w:p w14:paraId="00AE5C6A"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0.4502</w:t>
            </w:r>
          </w:p>
        </w:tc>
        <w:tc>
          <w:tcPr>
            <w:tcW w:w="1034" w:type="pct"/>
            <w:tcBorders>
              <w:top w:val="nil"/>
              <w:bottom w:val="single" w:sz="4" w:space="0" w:color="000000"/>
            </w:tcBorders>
            <w:vAlign w:val="center"/>
          </w:tcPr>
          <w:p w14:paraId="3C1C087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Not Significant</w:t>
            </w:r>
          </w:p>
        </w:tc>
      </w:tr>
    </w:tbl>
    <w:p w14:paraId="360BA517" w14:textId="77777777" w:rsidR="001D0AFA" w:rsidRPr="00966FED" w:rsidRDefault="001D0AFA" w:rsidP="001D0AFA">
      <w:pPr>
        <w:spacing w:line="240" w:lineRule="auto"/>
        <w:jc w:val="both"/>
        <w:rPr>
          <w:rFonts w:ascii="Times New Roman" w:eastAsia="Calibri" w:hAnsi="Times New Roman" w:cs="Times New Roman"/>
        </w:rPr>
      </w:pPr>
      <w:r w:rsidRPr="00966FED">
        <w:rPr>
          <w:rFonts w:ascii="Times New Roman" w:eastAsia="Calibri" w:hAnsi="Times New Roman" w:cs="Times New Roman"/>
        </w:rPr>
        <w:t>Furthermore, the predicted R² of 0.8409 and the adjusted R² of 0.8758 indicate that the selected factors account for 84.09% of the total response variation. The small difference between the predicted and adjusted R</w:t>
      </w:r>
      <w:r w:rsidRPr="00966FED">
        <w:rPr>
          <w:rFonts w:ascii="Times New Roman" w:eastAsia="Calibri" w:hAnsi="Times New Roman" w:cs="Times New Roman"/>
          <w:vertAlign w:val="superscript"/>
        </w:rPr>
        <w:t>2</w:t>
      </w:r>
      <w:r w:rsidRPr="00966FED">
        <w:rPr>
          <w:rFonts w:ascii="Times New Roman" w:eastAsia="Calibri" w:hAnsi="Times New Roman" w:cs="Times New Roman"/>
        </w:rPr>
        <w:t xml:space="preserve"> suggests </w:t>
      </w:r>
      <w:r w:rsidRPr="00966FED">
        <w:rPr>
          <w:rFonts w:ascii="Times New Roman" w:eastAsia="Calibri" w:hAnsi="Times New Roman" w:cs="Times New Roman"/>
        </w:rPr>
        <w:lastRenderedPageBreak/>
        <w:t>minimal overfitting and ensures reasonable accuracy on new data findings. The model also has an Adequate Precision ratio of 20.579, which is well above the threshold of 4, confirming a strong signal-to-noise ratio. This high value signifies that the model is statistically reliable and can be effectively used for predicting responses, optimizing process parameters, and navigating the design space with confidence.</w:t>
      </w:r>
    </w:p>
    <w:p w14:paraId="77C939F8"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The effects of the factors on the fire resistance performance (TT300) of the geopolymer-based is quantitatively described by the regression model presented in equation </w:t>
      </w:r>
      <w:r w:rsidRPr="00966FED">
        <w:rPr>
          <w:rFonts w:ascii="Times New Roman" w:eastAsia="Calibri" w:hAnsi="Times New Roman" w:cs="Times New Roman"/>
          <w:b/>
          <w:bCs/>
        </w:rPr>
        <w:t>(1)</w:t>
      </w:r>
      <w:r w:rsidRPr="00966FED">
        <w:rPr>
          <w:rFonts w:ascii="Times New Roman" w:eastAsia="Calibri" w:hAnsi="Times New Roman" w:cs="Times New Roman"/>
        </w:rPr>
        <w:t xml:space="preserve">. It can be observed that all factors were found to positively affect TT300. That is, an increase in A, B, or C results in an increase of TT300. Moreover, this model can be used to predict the value of the response. </w:t>
      </w:r>
    </w:p>
    <w:tbl>
      <w:tblPr>
        <w:tblpPr w:leftFromText="180" w:rightFromText="180" w:vertAnchor="text" w:tblpY="17"/>
        <w:tblW w:w="5000" w:type="pct"/>
        <w:tblLook w:val="0400" w:firstRow="0" w:lastRow="0" w:firstColumn="0" w:lastColumn="0" w:noHBand="0" w:noVBand="1"/>
      </w:tblPr>
      <w:tblGrid>
        <w:gridCol w:w="8881"/>
        <w:gridCol w:w="1816"/>
      </w:tblGrid>
      <w:tr w:rsidR="001D0AFA" w:rsidRPr="00966FED" w14:paraId="1F51E4CE" w14:textId="77777777" w:rsidTr="00AC0ED3">
        <w:tc>
          <w:tcPr>
            <w:tcW w:w="4151" w:type="pct"/>
          </w:tcPr>
          <w:p w14:paraId="7DC1DE65" w14:textId="77777777" w:rsidR="001D0AFA" w:rsidRPr="00966FED" w:rsidRDefault="001D0AFA" w:rsidP="00AC0ED3">
            <w:pPr>
              <w:spacing w:line="240" w:lineRule="auto"/>
              <w:jc w:val="both"/>
              <w:rPr>
                <w:rFonts w:ascii="Times New Roman" w:hAnsi="Times New Roman" w:cs="Times New Roman"/>
              </w:rPr>
            </w:pPr>
            <w:r w:rsidRPr="00966FED">
              <w:rPr>
                <w:rFonts w:ascii="Times New Roman" w:hAnsi="Times New Roman" w:cs="Times New Roman"/>
                <w:b/>
                <w:bCs/>
                <w:i/>
                <w:iCs/>
              </w:rPr>
              <w:t>Y</w:t>
            </w:r>
            <w:r w:rsidRPr="00966FED">
              <w:rPr>
                <w:rFonts w:ascii="Times New Roman" w:hAnsi="Times New Roman" w:cs="Times New Roman"/>
                <w:b/>
                <w:bCs/>
                <w:i/>
                <w:iCs/>
                <w:vertAlign w:val="subscript"/>
              </w:rPr>
              <w:t>TT300</w:t>
            </w:r>
            <w:r w:rsidRPr="00966FED">
              <w:rPr>
                <w:rFonts w:ascii="Times New Roman" w:hAnsi="Times New Roman" w:cs="Times New Roman"/>
                <w:i/>
                <w:iCs/>
              </w:rPr>
              <w:t xml:space="preserve"> = </w:t>
            </w:r>
            <w:r w:rsidRPr="00966FED">
              <w:rPr>
                <w:rFonts w:ascii="Times New Roman" w:hAnsi="Times New Roman" w:cs="Times New Roman"/>
              </w:rPr>
              <w:t>169.47 + 69.94A + 26.88B + 39.44C +24.87AB + 29.75AC + 23.13BC</w:t>
            </w:r>
          </w:p>
        </w:tc>
        <w:tc>
          <w:tcPr>
            <w:tcW w:w="849" w:type="pct"/>
            <w:vAlign w:val="center"/>
          </w:tcPr>
          <w:p w14:paraId="117DB9E9" w14:textId="77777777" w:rsidR="001D0AFA" w:rsidRPr="00966FED" w:rsidRDefault="001D0AFA" w:rsidP="00AC0ED3">
            <w:pPr>
              <w:spacing w:line="240" w:lineRule="auto"/>
              <w:jc w:val="both"/>
              <w:rPr>
                <w:rFonts w:ascii="Times New Roman" w:hAnsi="Times New Roman" w:cs="Times New Roman"/>
                <w:b/>
                <w:bCs/>
              </w:rPr>
            </w:pPr>
            <w:r w:rsidRPr="00966FED">
              <w:rPr>
                <w:rFonts w:ascii="Times New Roman" w:hAnsi="Times New Roman" w:cs="Times New Roman"/>
                <w:b/>
                <w:bCs/>
              </w:rPr>
              <w:t>(1)</w:t>
            </w:r>
          </w:p>
        </w:tc>
      </w:tr>
    </w:tbl>
    <w:p w14:paraId="23C37F6A" w14:textId="77777777" w:rsidR="001D0AFA" w:rsidRPr="00966FED" w:rsidRDefault="001D0AFA" w:rsidP="001D0AFA">
      <w:pPr>
        <w:spacing w:line="240" w:lineRule="auto"/>
        <w:ind w:firstLine="284"/>
        <w:jc w:val="both"/>
        <w:rPr>
          <w:rFonts w:ascii="Times New Roman" w:eastAsia="Calibri" w:hAnsi="Times New Roman" w:cs="Times New Roman"/>
          <w:i/>
          <w:iCs/>
        </w:rPr>
      </w:pPr>
      <w:r w:rsidRPr="00966FED">
        <w:rPr>
          <w:rFonts w:ascii="Times New Roman" w:eastAsia="Calibri" w:hAnsi="Times New Roman" w:cs="Times New Roman"/>
        </w:rPr>
        <w:t xml:space="preserve">Aside from equation </w:t>
      </w:r>
      <w:r w:rsidRPr="00966FED">
        <w:rPr>
          <w:rFonts w:ascii="Times New Roman" w:eastAsia="Calibri" w:hAnsi="Times New Roman" w:cs="Times New Roman"/>
          <w:b/>
          <w:bCs/>
        </w:rPr>
        <w:t xml:space="preserve">(1), </w:t>
      </w:r>
      <w:r w:rsidRPr="00966FED">
        <w:rPr>
          <w:rFonts w:ascii="Times New Roman" w:eastAsia="Calibri" w:hAnsi="Times New Roman" w:cs="Times New Roman"/>
        </w:rPr>
        <w:t xml:space="preserve">Figures 4-6 illustrate the interaction between the factors and the time taken to reach the backside temperature of 300 °C (TT300). Figures 4a and 4b, show that the increase in both Si/Al ratio (A) and nanosilica wt% (B) increases the time taken to reach 300 °C above 250 s. Figures 5a and 5b, indicate that the increase in both Si/Al ratio (A) and GBC/AP ratio (C) increases the time taken to reach 300 °C above 300 s. Finally, in Figures 6a and 6b, it can be observed that the increase in both nanosilica wt% (B) and GBC/AP ratio (C) increase the time taken to reach 300 °C above 240 s. </w:t>
      </w:r>
    </w:p>
    <w:p w14:paraId="1DFBD16A"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The improved thermal performance at higher Si/Al ratios is attributed to the increased presence of amorphous silica, which enhances the thermal stability of the geopolymer matrix. Amorphous silica contributes to the formation of a more rigid and thermally resistant geopolymer network, reducing thermal degradation and enhancing fire resistance </w:t>
      </w:r>
      <w:r w:rsidRPr="00966FED">
        <w:rPr>
          <w:rFonts w:ascii="Times New Roman" w:eastAsia="Calibri" w:hAnsi="Times New Roman" w:cs="Times New Roman"/>
          <w:color w:val="000000"/>
        </w:rPr>
        <w:t>[36], [37], [38], [39]</w:t>
      </w:r>
      <w:r w:rsidRPr="00966FED">
        <w:rPr>
          <w:rFonts w:ascii="Times New Roman" w:eastAsia="Calibri" w:hAnsi="Times New Roman" w:cs="Times New Roman"/>
        </w:rPr>
        <w:t xml:space="preserve">. This improvement is also associated with the increased formation of thermally stable Si–O–Si bonds.These bonds are stronger and more thermally stable than Si–O–Al bonds due to their higher bond dissociation energy  </w:t>
      </w:r>
      <w:r w:rsidRPr="00966FED">
        <w:rPr>
          <w:rFonts w:ascii="Times New Roman" w:eastAsia="Calibri" w:hAnsi="Times New Roman" w:cs="Times New Roman"/>
          <w:color w:val="000000"/>
        </w:rPr>
        <w:t>[40], [41]</w:t>
      </w:r>
      <w:r w:rsidRPr="00966FED">
        <w:rPr>
          <w:rFonts w:ascii="Times New Roman" w:eastAsia="Calibri" w:hAnsi="Times New Roman" w:cs="Times New Roman"/>
        </w:rPr>
        <w:t xml:space="preserve">. </w:t>
      </w:r>
    </w:p>
    <w:p w14:paraId="609D830F"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Higher Si/Al ratios promote the formation of an expanded intumescent char layer that acts as an insulating barrier, limiting heat transfer to the substrate </w:t>
      </w:r>
      <w:r w:rsidRPr="00966FED">
        <w:rPr>
          <w:rFonts w:ascii="Times New Roman" w:eastAsia="Calibri" w:hAnsi="Times New Roman" w:cs="Times New Roman"/>
          <w:color w:val="000000"/>
        </w:rPr>
        <w:t>[42]</w:t>
      </w:r>
      <w:r w:rsidRPr="00966FED">
        <w:rPr>
          <w:rFonts w:ascii="Times New Roman" w:eastAsia="Calibri" w:hAnsi="Times New Roman" w:cs="Times New Roman"/>
        </w:rPr>
        <w:t xml:space="preserve">. On the other hand, lower Si/Al ratios increase the likelihood of cracking within the geopolymer matrix </w:t>
      </w:r>
      <w:r w:rsidRPr="00966FED">
        <w:rPr>
          <w:rFonts w:ascii="Times New Roman" w:eastAsia="Calibri" w:hAnsi="Times New Roman" w:cs="Times New Roman"/>
          <w:color w:val="000000"/>
        </w:rPr>
        <w:t>[43]</w:t>
      </w:r>
      <w:r w:rsidRPr="00966FED">
        <w:rPr>
          <w:rFonts w:ascii="Times New Roman" w:eastAsia="Calibri" w:hAnsi="Times New Roman" w:cs="Times New Roman"/>
        </w:rPr>
        <w:t xml:space="preserve">. This behavior is associated with increased shrinkage of the geopolymer matrix during high-temperature exposure </w:t>
      </w:r>
      <w:r w:rsidRPr="00966FED">
        <w:rPr>
          <w:rFonts w:ascii="Times New Roman" w:eastAsia="Calibri" w:hAnsi="Times New Roman" w:cs="Times New Roman"/>
          <w:color w:val="000000"/>
        </w:rPr>
        <w:t>[44], [45]</w:t>
      </w:r>
      <w:r w:rsidRPr="00966FED">
        <w:rPr>
          <w:rFonts w:ascii="Times New Roman" w:eastAsia="Calibri" w:hAnsi="Times New Roman" w:cs="Times New Roman"/>
        </w:rPr>
        <w:t xml:space="preserve"> As a result, the coating with a higher Si/Al ratio demonstrates superior fire resistance, making it a more effective thermal protective barrier </w:t>
      </w:r>
      <w:r w:rsidRPr="00966FED">
        <w:rPr>
          <w:rFonts w:ascii="Times New Roman" w:eastAsia="Calibri" w:hAnsi="Times New Roman" w:cs="Times New Roman"/>
          <w:color w:val="000000"/>
        </w:rPr>
        <w:t>[16]</w:t>
      </w:r>
      <w:r w:rsidRPr="00966FED">
        <w:rPr>
          <w:rFonts w:ascii="Times New Roman" w:eastAsia="Calibri" w:hAnsi="Times New Roman" w:cs="Times New Roman"/>
        </w:rPr>
        <w:t>. This improved expansion behavior is essential for maintaining the protective properties of the coating over prolonged exposure to heat.</w:t>
      </w:r>
    </w:p>
    <w:p w14:paraId="15B9AF18"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Moreover, the incorporation of the GBC into the AP has significantly enhanced its thermal performance. This improvement can be attributed to the presence of a GBC, which increases the coating’s resistance to combustion and effectively delays heat penetration. As a result, the underlying substrate remains protected for a longer duration, reducing its direct exposure to the fire source. Additionally, a higher GBC/AP ratio results in greater thermal stability and lower weight loss. This is because a lower proportion of paint in the mixture reduces the presence of volatile components, which are more prone to thermal degradation. As a result, the coating maintains its structural integrity more effectively under high temperatures, enhancing its fire-retardant properties </w:t>
      </w:r>
      <w:r w:rsidRPr="00966FED">
        <w:rPr>
          <w:rFonts w:ascii="Times New Roman" w:eastAsia="Calibri" w:hAnsi="Times New Roman" w:cs="Times New Roman"/>
          <w:color w:val="000000"/>
        </w:rPr>
        <w:t>[46]</w:t>
      </w:r>
      <w:r w:rsidRPr="00966FED">
        <w:rPr>
          <w:rFonts w:ascii="Times New Roman" w:eastAsia="Calibri" w:hAnsi="Times New Roman" w:cs="Times New Roman"/>
        </w:rPr>
        <w:t>.</w:t>
      </w:r>
    </w:p>
    <w:p w14:paraId="0F7EDAA1"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Furthermore, the improved fire resistance performance observed can also be attributed to the denser and more compact structure of the GFC with the addition of nanosilica. This results in a stronger char layer formed upon exposure to high temperatures. This protective char acts as an insulating barrier, significantly reducing heat transfer between the fire and the underlying substrate. </w:t>
      </w:r>
      <w:r w:rsidRPr="00966FED">
        <w:rPr>
          <w:rFonts w:ascii="Times New Roman" w:hAnsi="Times New Roman" w:cs="Times New Roman"/>
          <w:color w:val="000000"/>
        </w:rPr>
        <w:t>[3], [47], [48]</w:t>
      </w:r>
      <w:r w:rsidRPr="00966FED">
        <w:rPr>
          <w:rFonts w:ascii="Times New Roman" w:eastAsia="Calibri" w:hAnsi="Times New Roman" w:cs="Times New Roman"/>
        </w:rPr>
        <w:t xml:space="preserve">. </w:t>
      </w:r>
    </w:p>
    <w:p w14:paraId="1095FABA"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The parameters were optimized to maximize the time taken to reach 300 °C by setting the minimum and maximum values for TT300 to 92 s and 337 s, respectively. In range was chosen as the constraint for factors Si/Al ratio, nanosilica wt%, and GBC/AP. While maximizing the response, TT300. The value of parameters required to achieve the optimum thermal performance of the geopolymer coating is shown in Figure 7. The values of the optimum parameters are Si/Al ratio of 4.728 ±0.001, nanosilica wt% of 0.583 ±0.001, and GBC/AP ratio of 0.497 ±0.001, which is predicted to obtain a value for TT300 of 340 s. The optimization yielded a desirability value of 1.000, confirming that all parameters met the criteria for achieving maximum thermal performance. </w:t>
      </w:r>
    </w:p>
    <w:p w14:paraId="64C079CD"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The optimized parameters were validated by calculating the percent error between the predicted value and the experimental value. The validation requires an acceptable error value of below 15.00% [18], [49]. To verify the </w:t>
      </w:r>
      <w:r w:rsidRPr="00966FED">
        <w:rPr>
          <w:rFonts w:ascii="Times New Roman" w:eastAsia="Calibri" w:hAnsi="Times New Roman" w:cs="Times New Roman"/>
        </w:rPr>
        <w:lastRenderedPageBreak/>
        <w:t>reproducibility of the regression model and RSM model, three replicates of the optimized GFC were subjected to validation. Table 6 shows the result of the experimental validation of the optimized parameters for the fire resistance test. Compared to the predicted value of 340 s, an average percent error of 6.67% of the experimental value was obtained, which falls within the acceptable range of below 15.00%. Thus, it can be concluded that the developed regression and RSM models effectively optimized the response values</w:t>
      </w:r>
    </w:p>
    <w:p w14:paraId="470D8B35"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t xml:space="preserve">Figure 4. </w:t>
      </w:r>
      <w:r w:rsidRPr="00966FED">
        <w:rPr>
          <w:rFonts w:ascii="Times New Roman" w:eastAsia="Calibri" w:hAnsi="Times New Roman" w:cs="Times New Roman"/>
        </w:rPr>
        <w:t xml:space="preserve">Effect of Si/Al ratio and nanosilica wt% on TT300 in the fire resistance test </w:t>
      </w:r>
      <w:r w:rsidRPr="00966FED">
        <w:rPr>
          <w:rFonts w:ascii="Times New Roman" w:eastAsia="Calibri" w:hAnsi="Times New Roman" w:cs="Times New Roman"/>
          <w:b/>
          <w:bCs/>
        </w:rPr>
        <w:t>(a)</w:t>
      </w:r>
      <w:r w:rsidRPr="00966FED">
        <w:rPr>
          <w:rFonts w:ascii="Times New Roman" w:eastAsia="Calibri" w:hAnsi="Times New Roman" w:cs="Times New Roman"/>
        </w:rPr>
        <w:t xml:space="preserve"> contour plot </w:t>
      </w:r>
      <w:r w:rsidRPr="00966FED">
        <w:rPr>
          <w:rFonts w:ascii="Times New Roman" w:eastAsia="Calibri" w:hAnsi="Times New Roman" w:cs="Times New Roman"/>
          <w:b/>
          <w:bCs/>
        </w:rPr>
        <w:t>(b)</w:t>
      </w:r>
      <w:r w:rsidRPr="00966FED">
        <w:rPr>
          <w:rFonts w:ascii="Times New Roman" w:eastAsia="Calibri" w:hAnsi="Times New Roman" w:cs="Times New Roman"/>
        </w:rPr>
        <w:t xml:space="preserve"> 3D surface.</w:t>
      </w:r>
    </w:p>
    <w:tbl>
      <w:tblPr>
        <w:tblW w:w="8563" w:type="dxa"/>
        <w:jc w:val="center"/>
        <w:tblLayout w:type="fixed"/>
        <w:tblLook w:val="0000" w:firstRow="0" w:lastRow="0" w:firstColumn="0" w:lastColumn="0" w:noHBand="0" w:noVBand="0"/>
      </w:tblPr>
      <w:tblGrid>
        <w:gridCol w:w="4057"/>
        <w:gridCol w:w="4506"/>
      </w:tblGrid>
      <w:tr w:rsidR="001D0AFA" w:rsidRPr="00966FED" w14:paraId="3D97AAC8" w14:textId="77777777" w:rsidTr="00AC0ED3">
        <w:trPr>
          <w:jc w:val="center"/>
        </w:trPr>
        <w:tc>
          <w:tcPr>
            <w:tcW w:w="4057" w:type="dxa"/>
            <w:vAlign w:val="center"/>
          </w:tcPr>
          <w:p w14:paraId="6DA25302"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2D57CFA6" wp14:editId="1CC5E401">
                  <wp:extent cx="2133600" cy="2008909"/>
                  <wp:effectExtent l="0" t="0" r="0" b="0"/>
                  <wp:docPr id="21383681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a:srcRect/>
                          <a:stretch>
                            <a:fillRect/>
                          </a:stretch>
                        </pic:blipFill>
                        <pic:spPr>
                          <a:xfrm>
                            <a:off x="0" y="0"/>
                            <a:ext cx="2141460" cy="2016309"/>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2336" behindDoc="0" locked="0" layoutInCell="1" hidden="0" allowOverlap="1" wp14:anchorId="6EC8C5E3" wp14:editId="275C9944">
                      <wp:simplePos x="0" y="0"/>
                      <wp:positionH relativeFrom="column">
                        <wp:posOffset>-81596</wp:posOffset>
                      </wp:positionH>
                      <wp:positionV relativeFrom="paragraph">
                        <wp:posOffset>-69530</wp:posOffset>
                      </wp:positionV>
                      <wp:extent cx="337185" cy="1414145"/>
                      <wp:effectExtent l="0" t="0" r="0" b="0"/>
                      <wp:wrapNone/>
                      <wp:docPr id="2138368113" name="Rectangle 2138368113"/>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73EAF1D1" w14:textId="77777777" w:rsidR="001D0AFA" w:rsidRDefault="001D0AFA" w:rsidP="001D0AFA">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anchor>
                  </w:drawing>
                </mc:Choice>
                <mc:Fallback>
                  <w:pict>
                    <v:rect w14:anchorId="6EC8C5E3" id="Rectangle 2138368113" o:spid="_x0000_s1028" style="position:absolute;margin-left:-6.4pt;margin-top:-5.45pt;width:26.55pt;height:111.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" stroked="f">
                      <v:textbox inset="2.53958mm,1.2694mm,2.53958mm,1.2694mm">
                        <w:txbxContent>
                          <w:p w14:paraId="73EAF1D1" w14:textId="77777777" w:rsidR="001D0AFA" w:rsidRDefault="001D0AFA" w:rsidP="001D0AFA">
                            <w:pPr>
                              <w:textDirection w:val="btLr"/>
                            </w:pPr>
                            <w:r>
                              <w:rPr>
                                <w:rFonts w:ascii="Calibri" w:eastAsia="Calibri" w:hAnsi="Calibri" w:cs="Calibri"/>
                                <w:color w:val="000000"/>
                                <w:sz w:val="18"/>
                              </w:rPr>
                              <w:t>(a)</w:t>
                            </w:r>
                          </w:p>
                        </w:txbxContent>
                      </v:textbox>
                    </v:rect>
                  </w:pict>
                </mc:Fallback>
              </mc:AlternateContent>
            </w:r>
          </w:p>
        </w:tc>
        <w:tc>
          <w:tcPr>
            <w:tcW w:w="4506" w:type="dxa"/>
            <w:vAlign w:val="center"/>
          </w:tcPr>
          <w:p w14:paraId="07575D01"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26708CA9" wp14:editId="46D109C2">
                  <wp:extent cx="2209800" cy="1933171"/>
                  <wp:effectExtent l="0" t="0" r="0" b="0"/>
                  <wp:docPr id="21383681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l="3164" t="4033"/>
                          <a:stretch>
                            <a:fillRect/>
                          </a:stretch>
                        </pic:blipFill>
                        <pic:spPr>
                          <a:xfrm>
                            <a:off x="0" y="0"/>
                            <a:ext cx="2216127" cy="1938706"/>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3360" behindDoc="0" locked="0" layoutInCell="1" hidden="0" allowOverlap="1" wp14:anchorId="5C703390" wp14:editId="5776FE37">
                      <wp:simplePos x="0" y="0"/>
                      <wp:positionH relativeFrom="column">
                        <wp:posOffset>-66356</wp:posOffset>
                      </wp:positionH>
                      <wp:positionV relativeFrom="paragraph">
                        <wp:posOffset>-18096</wp:posOffset>
                      </wp:positionV>
                      <wp:extent cx="337185" cy="1414145"/>
                      <wp:effectExtent l="0" t="0" r="0" b="0"/>
                      <wp:wrapNone/>
                      <wp:docPr id="2138368107" name="Rectangle 2138368107"/>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174BC821" w14:textId="77777777" w:rsidR="001D0AFA" w:rsidRDefault="001D0AFA" w:rsidP="001D0AFA">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anchor>
                  </w:drawing>
                </mc:Choice>
                <mc:Fallback>
                  <w:pict>
                    <v:rect w14:anchorId="5C703390" id="Rectangle 2138368107" o:spid="_x0000_s1029" style="position:absolute;margin-left:-5.2pt;margin-top:-1.4pt;width:26.55pt;height:111.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" stroked="f">
                      <v:textbox inset="2.53958mm,1.2694mm,2.53958mm,1.2694mm">
                        <w:txbxContent>
                          <w:p w14:paraId="174BC821" w14:textId="77777777" w:rsidR="001D0AFA" w:rsidRDefault="001D0AFA" w:rsidP="001D0AFA">
                            <w:pPr>
                              <w:textDirection w:val="btLr"/>
                            </w:pPr>
                            <w:r>
                              <w:rPr>
                                <w:rFonts w:ascii="Calibri" w:eastAsia="Calibri" w:hAnsi="Calibri" w:cs="Calibri"/>
                                <w:color w:val="000000"/>
                                <w:sz w:val="18"/>
                              </w:rPr>
                              <w:t>(b)</w:t>
                            </w:r>
                          </w:p>
                        </w:txbxContent>
                      </v:textbox>
                    </v:rect>
                  </w:pict>
                </mc:Fallback>
              </mc:AlternateContent>
            </w:r>
          </w:p>
        </w:tc>
      </w:tr>
    </w:tbl>
    <w:p w14:paraId="7E7F9611" w14:textId="77777777" w:rsidR="001D0AFA" w:rsidRPr="00966FED" w:rsidRDefault="001D0AFA" w:rsidP="001D0AFA">
      <w:pPr>
        <w:widowControl w:val="0"/>
        <w:pBdr>
          <w:top w:val="nil"/>
          <w:left w:val="nil"/>
          <w:bottom w:val="nil"/>
          <w:right w:val="nil"/>
          <w:between w:val="nil"/>
        </w:pBdr>
        <w:spacing w:line="240" w:lineRule="auto"/>
        <w:rPr>
          <w:rFonts w:ascii="Times New Roman" w:eastAsia="Calibri" w:hAnsi="Times New Roman" w:cs="Times New Roman"/>
          <w:sz w:val="16"/>
          <w:szCs w:val="16"/>
        </w:rPr>
      </w:pPr>
      <w:r w:rsidRPr="00966FED">
        <w:rPr>
          <w:rFonts w:ascii="Times New Roman" w:eastAsia="Calibri" w:hAnsi="Times New Roman" w:cs="Times New Roman"/>
          <w:b/>
          <w:bCs/>
        </w:rPr>
        <w:t xml:space="preserve">Figure 5. </w:t>
      </w:r>
      <w:r w:rsidRPr="00966FED">
        <w:rPr>
          <w:rFonts w:ascii="Times New Roman" w:eastAsia="Calibri" w:hAnsi="Times New Roman" w:cs="Times New Roman"/>
        </w:rPr>
        <w:t>Effect of Si/Al ratio and GBC/AP ratio on TT300 in the fire resistance test (a) contour plot (b) 3D surface.</w:t>
      </w:r>
    </w:p>
    <w:tbl>
      <w:tblPr>
        <w:tblW w:w="9132" w:type="dxa"/>
        <w:jc w:val="center"/>
        <w:tblLayout w:type="fixed"/>
        <w:tblLook w:val="0000" w:firstRow="0" w:lastRow="0" w:firstColumn="0" w:lastColumn="0" w:noHBand="0" w:noVBand="0"/>
      </w:tblPr>
      <w:tblGrid>
        <w:gridCol w:w="4300"/>
        <w:gridCol w:w="4832"/>
      </w:tblGrid>
      <w:tr w:rsidR="001D0AFA" w:rsidRPr="00966FED" w14:paraId="18A0CE49" w14:textId="77777777" w:rsidTr="00AC0ED3">
        <w:trPr>
          <w:jc w:val="center"/>
        </w:trPr>
        <w:tc>
          <w:tcPr>
            <w:tcW w:w="4250" w:type="dxa"/>
            <w:vAlign w:val="center"/>
          </w:tcPr>
          <w:p w14:paraId="7FACFB17"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0B037B32" wp14:editId="1F99E044">
                  <wp:extent cx="2376055" cy="1988127"/>
                  <wp:effectExtent l="0" t="0" r="5715" b="0"/>
                  <wp:docPr id="21383681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2386905" cy="1997206"/>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4384" behindDoc="0" locked="0" layoutInCell="1" hidden="0" allowOverlap="1" wp14:anchorId="6D3D65E5" wp14:editId="677AF02F">
                      <wp:simplePos x="0" y="0"/>
                      <wp:positionH relativeFrom="column">
                        <wp:posOffset>-71436</wp:posOffset>
                      </wp:positionH>
                      <wp:positionV relativeFrom="paragraph">
                        <wp:posOffset>-4761</wp:posOffset>
                      </wp:positionV>
                      <wp:extent cx="337185" cy="1414145"/>
                      <wp:effectExtent l="0" t="0" r="0" b="0"/>
                      <wp:wrapNone/>
                      <wp:docPr id="2138368118" name="Rectangle 2138368118"/>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51494E5D" w14:textId="77777777" w:rsidR="001D0AFA" w:rsidRDefault="001D0AFA" w:rsidP="001D0AFA">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anchor>
                  </w:drawing>
                </mc:Choice>
                <mc:Fallback>
                  <w:pict>
                    <v:rect w14:anchorId="6D3D65E5" id="Rectangle 2138368118" o:spid="_x0000_s1030" style="position:absolute;margin-left:-5.6pt;margin-top:-.35pt;width:26.55pt;height:111.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" stroked="f">
                      <v:textbox inset="2.53958mm,1.2694mm,2.53958mm,1.2694mm">
                        <w:txbxContent>
                          <w:p w14:paraId="51494E5D" w14:textId="77777777" w:rsidR="001D0AFA" w:rsidRDefault="001D0AFA" w:rsidP="001D0AFA">
                            <w:pPr>
                              <w:textDirection w:val="btLr"/>
                            </w:pPr>
                            <w:r>
                              <w:rPr>
                                <w:rFonts w:ascii="Calibri" w:eastAsia="Calibri" w:hAnsi="Calibri" w:cs="Calibri"/>
                                <w:color w:val="000000"/>
                                <w:sz w:val="18"/>
                              </w:rPr>
                              <w:t>(a)</w:t>
                            </w:r>
                          </w:p>
                        </w:txbxContent>
                      </v:textbox>
                    </v:rect>
                  </w:pict>
                </mc:Fallback>
              </mc:AlternateContent>
            </w:r>
          </w:p>
        </w:tc>
        <w:tc>
          <w:tcPr>
            <w:tcW w:w="4776" w:type="dxa"/>
            <w:vAlign w:val="center"/>
          </w:tcPr>
          <w:p w14:paraId="2A29975F"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725D2DC9" wp14:editId="7BB27BBD">
                  <wp:extent cx="2708563" cy="1939636"/>
                  <wp:effectExtent l="0" t="0" r="0" b="3810"/>
                  <wp:docPr id="21383681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2729848" cy="1954879"/>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5408" behindDoc="0" locked="0" layoutInCell="1" hidden="0" allowOverlap="1" wp14:anchorId="09420E74" wp14:editId="4631374E">
                      <wp:simplePos x="0" y="0"/>
                      <wp:positionH relativeFrom="column">
                        <wp:posOffset>-79056</wp:posOffset>
                      </wp:positionH>
                      <wp:positionV relativeFrom="paragraph">
                        <wp:posOffset>-4761</wp:posOffset>
                      </wp:positionV>
                      <wp:extent cx="337185" cy="1414145"/>
                      <wp:effectExtent l="0" t="0" r="0" b="0"/>
                      <wp:wrapNone/>
                      <wp:docPr id="2138368109" name="Rectangle 2138368109"/>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04501E5B" w14:textId="77777777" w:rsidR="001D0AFA" w:rsidRDefault="001D0AFA" w:rsidP="001D0AFA">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anchor>
                  </w:drawing>
                </mc:Choice>
                <mc:Fallback>
                  <w:pict>
                    <v:rect w14:anchorId="09420E74" id="Rectangle 2138368109" o:spid="_x0000_s1031" style="position:absolute;margin-left:-6.2pt;margin-top:-.35pt;width:26.55pt;height:111.3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" stroked="f">
                      <v:textbox inset="2.53958mm,1.2694mm,2.53958mm,1.2694mm">
                        <w:txbxContent>
                          <w:p w14:paraId="04501E5B" w14:textId="77777777" w:rsidR="001D0AFA" w:rsidRDefault="001D0AFA" w:rsidP="001D0AFA">
                            <w:pPr>
                              <w:textDirection w:val="btLr"/>
                            </w:pPr>
                            <w:r>
                              <w:rPr>
                                <w:rFonts w:ascii="Calibri" w:eastAsia="Calibri" w:hAnsi="Calibri" w:cs="Calibri"/>
                                <w:color w:val="000000"/>
                                <w:sz w:val="18"/>
                              </w:rPr>
                              <w:t>(b)</w:t>
                            </w:r>
                          </w:p>
                        </w:txbxContent>
                      </v:textbox>
                    </v:rect>
                  </w:pict>
                </mc:Fallback>
              </mc:AlternateContent>
            </w:r>
          </w:p>
        </w:tc>
      </w:tr>
    </w:tbl>
    <w:tbl>
      <w:tblPr>
        <w:tblpPr w:leftFromText="180" w:rightFromText="180" w:vertAnchor="text" w:horzAnchor="margin" w:tblpXSpec="center" w:tblpY="757"/>
        <w:tblW w:w="9132" w:type="dxa"/>
        <w:tblLayout w:type="fixed"/>
        <w:tblLook w:val="0000" w:firstRow="0" w:lastRow="0" w:firstColumn="0" w:lastColumn="0" w:noHBand="0" w:noVBand="0"/>
      </w:tblPr>
      <w:tblGrid>
        <w:gridCol w:w="4266"/>
        <w:gridCol w:w="4866"/>
      </w:tblGrid>
      <w:tr w:rsidR="001D0AFA" w:rsidRPr="00966FED" w14:paraId="2B8BA38A" w14:textId="77777777" w:rsidTr="00AC0ED3">
        <w:tc>
          <w:tcPr>
            <w:tcW w:w="4266" w:type="dxa"/>
            <w:vAlign w:val="center"/>
          </w:tcPr>
          <w:p w14:paraId="6C1697E4"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692389E5" wp14:editId="136DF8E0">
                  <wp:extent cx="2348346" cy="2346422"/>
                  <wp:effectExtent l="0" t="0" r="0" b="0"/>
                  <wp:docPr id="213836814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a:stretch>
                            <a:fillRect/>
                          </a:stretch>
                        </pic:blipFill>
                        <pic:spPr>
                          <a:xfrm>
                            <a:off x="0" y="0"/>
                            <a:ext cx="2350721" cy="2348795"/>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6432" behindDoc="0" locked="0" layoutInCell="1" hidden="0" allowOverlap="1" wp14:anchorId="7CF16550" wp14:editId="53C8BA41">
                      <wp:simplePos x="0" y="0"/>
                      <wp:positionH relativeFrom="column">
                        <wp:posOffset>-83501</wp:posOffset>
                      </wp:positionH>
                      <wp:positionV relativeFrom="paragraph">
                        <wp:posOffset>2224</wp:posOffset>
                      </wp:positionV>
                      <wp:extent cx="337185" cy="1414145"/>
                      <wp:effectExtent l="0" t="0" r="0" b="0"/>
                      <wp:wrapNone/>
                      <wp:docPr id="2138368112" name="Rectangle 2138368112"/>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10A93100" w14:textId="77777777" w:rsidR="001D0AFA" w:rsidRDefault="001D0AFA" w:rsidP="001D0AFA">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anchor>
                  </w:drawing>
                </mc:Choice>
                <mc:Fallback>
                  <w:pict>
                    <v:rect w14:anchorId="7CF16550" id="Rectangle 2138368112" o:spid="_x0000_s1032" style="position:absolute;margin-left:-6.55pt;margin-top:.2pt;width:26.55pt;height:111.3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" stroked="f">
                      <v:textbox inset="2.53958mm,1.2694mm,2.53958mm,1.2694mm">
                        <w:txbxContent>
                          <w:p w14:paraId="10A93100" w14:textId="77777777" w:rsidR="001D0AFA" w:rsidRDefault="001D0AFA" w:rsidP="001D0AFA">
                            <w:pPr>
                              <w:textDirection w:val="btLr"/>
                            </w:pPr>
                            <w:r>
                              <w:rPr>
                                <w:rFonts w:ascii="Calibri" w:eastAsia="Calibri" w:hAnsi="Calibri" w:cs="Calibri"/>
                                <w:color w:val="000000"/>
                                <w:sz w:val="18"/>
                              </w:rPr>
                              <w:t>(a)</w:t>
                            </w:r>
                          </w:p>
                        </w:txbxContent>
                      </v:textbox>
                    </v:rect>
                  </w:pict>
                </mc:Fallback>
              </mc:AlternateContent>
            </w:r>
          </w:p>
        </w:tc>
        <w:tc>
          <w:tcPr>
            <w:tcW w:w="4866" w:type="dxa"/>
            <w:vAlign w:val="center"/>
          </w:tcPr>
          <w:p w14:paraId="39CDE9B5"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569E23C2" wp14:editId="0BCEA2A5">
                  <wp:extent cx="2644775" cy="2346356"/>
                  <wp:effectExtent l="0" t="0" r="3175" b="0"/>
                  <wp:docPr id="21383681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t="2772"/>
                          <a:stretch>
                            <a:fillRect/>
                          </a:stretch>
                        </pic:blipFill>
                        <pic:spPr>
                          <a:xfrm>
                            <a:off x="0" y="0"/>
                            <a:ext cx="2649459" cy="2350511"/>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7456" behindDoc="0" locked="0" layoutInCell="1" hidden="0" allowOverlap="1" wp14:anchorId="11424D44" wp14:editId="379ADB75">
                      <wp:simplePos x="0" y="0"/>
                      <wp:positionH relativeFrom="column">
                        <wp:posOffset>-68261</wp:posOffset>
                      </wp:positionH>
                      <wp:positionV relativeFrom="paragraph">
                        <wp:posOffset>-5396</wp:posOffset>
                      </wp:positionV>
                      <wp:extent cx="337185" cy="1414145"/>
                      <wp:effectExtent l="0" t="0" r="0" b="0"/>
                      <wp:wrapNone/>
                      <wp:docPr id="2138368105" name="Rectangle 2138368105"/>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45C9795C" w14:textId="77777777" w:rsidR="001D0AFA" w:rsidRDefault="001D0AFA" w:rsidP="001D0AFA">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anchor>
                  </w:drawing>
                </mc:Choice>
                <mc:Fallback>
                  <w:pict>
                    <v:rect w14:anchorId="11424D44" id="Rectangle 2138368105" o:spid="_x0000_s1033" style="position:absolute;margin-left:-5.35pt;margin-top:-.4pt;width:26.55pt;height:111.3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" stroked="f">
                      <v:textbox inset="2.53958mm,1.2694mm,2.53958mm,1.2694mm">
                        <w:txbxContent>
                          <w:p w14:paraId="45C9795C" w14:textId="77777777" w:rsidR="001D0AFA" w:rsidRDefault="001D0AFA" w:rsidP="001D0AFA">
                            <w:pPr>
                              <w:textDirection w:val="btLr"/>
                            </w:pPr>
                            <w:r>
                              <w:rPr>
                                <w:rFonts w:ascii="Calibri" w:eastAsia="Calibri" w:hAnsi="Calibri" w:cs="Calibri"/>
                                <w:color w:val="000000"/>
                                <w:sz w:val="18"/>
                              </w:rPr>
                              <w:t>(b)</w:t>
                            </w:r>
                          </w:p>
                        </w:txbxContent>
                      </v:textbox>
                    </v:rect>
                  </w:pict>
                </mc:Fallback>
              </mc:AlternateContent>
            </w:r>
          </w:p>
        </w:tc>
      </w:tr>
    </w:tbl>
    <w:p w14:paraId="270DB65B" w14:textId="77777777" w:rsidR="001D0AFA" w:rsidRPr="00966FED" w:rsidRDefault="001D0AFA" w:rsidP="001D0AFA">
      <w:pPr>
        <w:spacing w:line="240" w:lineRule="auto"/>
        <w:rPr>
          <w:rFonts w:ascii="Times New Roman" w:eastAsia="Calibri" w:hAnsi="Times New Roman" w:cs="Times New Roman"/>
          <w:sz w:val="16"/>
          <w:szCs w:val="16"/>
        </w:rPr>
      </w:pPr>
      <w:r w:rsidRPr="00966FED">
        <w:rPr>
          <w:rFonts w:ascii="Times New Roman" w:eastAsia="Calibri" w:hAnsi="Times New Roman" w:cs="Times New Roman"/>
          <w:b/>
          <w:bCs/>
        </w:rPr>
        <w:t xml:space="preserve">Figure 6. </w:t>
      </w:r>
      <w:r w:rsidRPr="00966FED">
        <w:rPr>
          <w:rFonts w:ascii="Times New Roman" w:eastAsia="Calibri" w:hAnsi="Times New Roman" w:cs="Times New Roman"/>
        </w:rPr>
        <w:t>Effect of nanosilica wt% and GBC/AP ratio on TT300 in the fire resistance test (a) contour plot (b) 3D surface.</w:t>
      </w:r>
    </w:p>
    <w:p w14:paraId="54199700" w14:textId="77777777" w:rsidR="001D0AFA" w:rsidRPr="00966FED" w:rsidRDefault="001D0AFA" w:rsidP="001D0AFA">
      <w:pPr>
        <w:spacing w:line="240" w:lineRule="auto"/>
        <w:rPr>
          <w:rFonts w:ascii="Times New Roman" w:eastAsia="Calibri" w:hAnsi="Times New Roman" w:cs="Times New Roman"/>
          <w:b/>
          <w:bCs/>
          <w:sz w:val="16"/>
          <w:szCs w:val="16"/>
        </w:rPr>
      </w:pPr>
    </w:p>
    <w:p w14:paraId="74C2C1F3" w14:textId="77777777" w:rsidR="001D0AFA" w:rsidRPr="00966FED" w:rsidRDefault="001D0AFA" w:rsidP="001D0AFA">
      <w:pPr>
        <w:spacing w:line="240" w:lineRule="auto"/>
        <w:rPr>
          <w:rFonts w:ascii="Times New Roman" w:eastAsia="Calibri" w:hAnsi="Times New Roman" w:cs="Times New Roman"/>
        </w:rPr>
      </w:pPr>
    </w:p>
    <w:p w14:paraId="6E977725" w14:textId="77777777" w:rsidR="001D0AFA" w:rsidRPr="00966FED" w:rsidRDefault="001D0AFA" w:rsidP="001D0AFA">
      <w:pPr>
        <w:spacing w:line="240" w:lineRule="auto"/>
        <w:rPr>
          <w:rFonts w:ascii="Times New Roman" w:eastAsia="Calibri" w:hAnsi="Times New Roman" w:cs="Times New Roman"/>
        </w:rPr>
      </w:pPr>
    </w:p>
    <w:p w14:paraId="43C2A7A0" w14:textId="77777777" w:rsidR="001D0AFA" w:rsidRPr="00966FED" w:rsidRDefault="001D0AFA" w:rsidP="001D0AFA">
      <w:pPr>
        <w:spacing w:line="240" w:lineRule="auto"/>
        <w:rPr>
          <w:rFonts w:ascii="Times New Roman" w:eastAsia="Calibri" w:hAnsi="Times New Roman" w:cs="Times New Roman"/>
        </w:rPr>
      </w:pPr>
    </w:p>
    <w:p w14:paraId="1DA56F3B"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lastRenderedPageBreak/>
        <w:t xml:space="preserve">Figure 7. </w:t>
      </w:r>
      <w:r w:rsidRPr="00966FED">
        <w:rPr>
          <w:rFonts w:ascii="Times New Roman" w:eastAsia="Calibri" w:hAnsi="Times New Roman" w:cs="Times New Roman"/>
        </w:rPr>
        <w:t>Optimum parameters for optimum thermal performance.</w:t>
      </w:r>
      <w:r w:rsidRPr="00966FED">
        <w:rPr>
          <w:rFonts w:ascii="Times New Roman" w:eastAsia="Times" w:hAnsi="Times New Roman" w:cs="Times New Roman"/>
          <w:noProof/>
          <w:color w:val="000000"/>
          <w:sz w:val="18"/>
          <w:szCs w:val="18"/>
        </w:rPr>
        <w:drawing>
          <wp:inline distT="0" distB="0" distL="0" distR="0" wp14:anchorId="4AE1E25B" wp14:editId="56B5A881">
            <wp:extent cx="5546421" cy="2264873"/>
            <wp:effectExtent l="0" t="0" r="0" b="0"/>
            <wp:docPr id="21383681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a:stretch>
                      <a:fillRect/>
                    </a:stretch>
                  </pic:blipFill>
                  <pic:spPr>
                    <a:xfrm>
                      <a:off x="0" y="0"/>
                      <a:ext cx="5546421" cy="2264873"/>
                    </a:xfrm>
                    <a:prstGeom prst="rect">
                      <a:avLst/>
                    </a:prstGeom>
                    <a:ln/>
                  </pic:spPr>
                </pic:pic>
              </a:graphicData>
            </a:graphic>
          </wp:inline>
        </w:drawing>
      </w:r>
    </w:p>
    <w:p w14:paraId="6EA8F68F"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t xml:space="preserve">Table 6. </w:t>
      </w:r>
      <w:r w:rsidRPr="00966FED">
        <w:rPr>
          <w:rFonts w:ascii="Times New Roman" w:eastAsia="Calibri" w:hAnsi="Times New Roman" w:cs="Times New Roman"/>
        </w:rPr>
        <w:t>Experimental validation of the optimized parameters for fire resistance test.</w:t>
      </w:r>
    </w:p>
    <w:tbl>
      <w:tblPr>
        <w:tblW w:w="5000" w:type="pct"/>
        <w:tblBorders>
          <w:top w:val="single" w:sz="8" w:space="0" w:color="000000"/>
          <w:bottom w:val="single" w:sz="8" w:space="0" w:color="000000"/>
        </w:tblBorders>
        <w:tblLook w:val="0400" w:firstRow="0" w:lastRow="0" w:firstColumn="0" w:lastColumn="0" w:noHBand="0" w:noVBand="1"/>
      </w:tblPr>
      <w:tblGrid>
        <w:gridCol w:w="2597"/>
        <w:gridCol w:w="75"/>
        <w:gridCol w:w="2674"/>
        <w:gridCol w:w="2771"/>
        <w:gridCol w:w="2580"/>
      </w:tblGrid>
      <w:tr w:rsidR="001D0AFA" w:rsidRPr="00966FED" w14:paraId="3A94E3EB" w14:textId="77777777" w:rsidTr="00AC0ED3">
        <w:tc>
          <w:tcPr>
            <w:tcW w:w="5000" w:type="pct"/>
            <w:gridSpan w:val="5"/>
            <w:tcBorders>
              <w:top w:val="single" w:sz="8" w:space="0" w:color="000000"/>
              <w:bottom w:val="single" w:sz="4" w:space="0" w:color="000000"/>
            </w:tcBorders>
            <w:vAlign w:val="center"/>
          </w:tcPr>
          <w:p w14:paraId="6307BAC4"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TT300 (s)</w:t>
            </w:r>
          </w:p>
        </w:tc>
      </w:tr>
      <w:tr w:rsidR="001D0AFA" w:rsidRPr="00966FED" w14:paraId="7D973104" w14:textId="77777777" w:rsidTr="00AC0ED3">
        <w:tc>
          <w:tcPr>
            <w:tcW w:w="1249" w:type="pct"/>
            <w:gridSpan w:val="2"/>
            <w:tcBorders>
              <w:top w:val="single" w:sz="4" w:space="0" w:color="000000"/>
              <w:bottom w:val="single" w:sz="4" w:space="0" w:color="000000"/>
            </w:tcBorders>
            <w:vAlign w:val="center"/>
          </w:tcPr>
          <w:p w14:paraId="7CF88BBA" w14:textId="77777777" w:rsidR="001D0AFA" w:rsidRPr="00966FED" w:rsidRDefault="001D0AFA" w:rsidP="00AC0ED3">
            <w:pPr>
              <w:spacing w:after="0" w:line="240" w:lineRule="auto"/>
              <w:jc w:val="center"/>
              <w:rPr>
                <w:rFonts w:ascii="Times New Roman" w:eastAsia="Calibri" w:hAnsi="Times New Roman" w:cs="Times New Roman"/>
              </w:rPr>
            </w:pPr>
          </w:p>
        </w:tc>
        <w:tc>
          <w:tcPr>
            <w:tcW w:w="1250" w:type="pct"/>
            <w:tcBorders>
              <w:top w:val="single" w:sz="4" w:space="0" w:color="000000"/>
              <w:bottom w:val="single" w:sz="4" w:space="0" w:color="000000"/>
            </w:tcBorders>
            <w:vAlign w:val="center"/>
          </w:tcPr>
          <w:p w14:paraId="66156B35"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Predicted Value</w:t>
            </w:r>
          </w:p>
        </w:tc>
        <w:tc>
          <w:tcPr>
            <w:tcW w:w="1294" w:type="pct"/>
            <w:tcBorders>
              <w:top w:val="single" w:sz="4" w:space="0" w:color="000000"/>
              <w:bottom w:val="single" w:sz="4" w:space="0" w:color="000000"/>
            </w:tcBorders>
            <w:vAlign w:val="center"/>
          </w:tcPr>
          <w:p w14:paraId="5EBECE35"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Experimental Value</w:t>
            </w:r>
          </w:p>
        </w:tc>
        <w:tc>
          <w:tcPr>
            <w:tcW w:w="1206" w:type="pct"/>
            <w:tcBorders>
              <w:top w:val="single" w:sz="4" w:space="0" w:color="000000"/>
              <w:bottom w:val="single" w:sz="4" w:space="0" w:color="000000"/>
            </w:tcBorders>
          </w:tcPr>
          <w:p w14:paraId="58F9AE0E"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Error (%)</w:t>
            </w:r>
          </w:p>
        </w:tc>
      </w:tr>
      <w:tr w:rsidR="001D0AFA" w:rsidRPr="00966FED" w14:paraId="342DBEB8" w14:textId="77777777" w:rsidTr="00AC0ED3">
        <w:tc>
          <w:tcPr>
            <w:tcW w:w="1249" w:type="pct"/>
            <w:gridSpan w:val="2"/>
            <w:vAlign w:val="center"/>
          </w:tcPr>
          <w:p w14:paraId="2C404FCE"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SV1</w:t>
            </w:r>
          </w:p>
        </w:tc>
        <w:tc>
          <w:tcPr>
            <w:tcW w:w="1250" w:type="pct"/>
            <w:vAlign w:val="center"/>
          </w:tcPr>
          <w:p w14:paraId="3A42544C"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340</w:t>
            </w:r>
          </w:p>
        </w:tc>
        <w:tc>
          <w:tcPr>
            <w:tcW w:w="1294" w:type="pct"/>
            <w:vAlign w:val="center"/>
          </w:tcPr>
          <w:p w14:paraId="1DA8C5DF"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310</w:t>
            </w:r>
          </w:p>
        </w:tc>
        <w:tc>
          <w:tcPr>
            <w:tcW w:w="1206" w:type="pct"/>
          </w:tcPr>
          <w:p w14:paraId="6EBBC2D1"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8.82</w:t>
            </w:r>
          </w:p>
        </w:tc>
      </w:tr>
      <w:tr w:rsidR="001D0AFA" w:rsidRPr="00966FED" w14:paraId="4D9A432C" w14:textId="77777777" w:rsidTr="00AC0ED3">
        <w:tc>
          <w:tcPr>
            <w:tcW w:w="1249" w:type="pct"/>
            <w:gridSpan w:val="2"/>
            <w:vAlign w:val="center"/>
          </w:tcPr>
          <w:p w14:paraId="59FA56CF"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SV2</w:t>
            </w:r>
          </w:p>
        </w:tc>
        <w:tc>
          <w:tcPr>
            <w:tcW w:w="1250" w:type="pct"/>
          </w:tcPr>
          <w:p w14:paraId="73E1255A"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340</w:t>
            </w:r>
          </w:p>
        </w:tc>
        <w:tc>
          <w:tcPr>
            <w:tcW w:w="1294" w:type="pct"/>
            <w:vAlign w:val="center"/>
          </w:tcPr>
          <w:p w14:paraId="1F62EBF4"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353</w:t>
            </w:r>
          </w:p>
        </w:tc>
        <w:tc>
          <w:tcPr>
            <w:tcW w:w="1206" w:type="pct"/>
          </w:tcPr>
          <w:p w14:paraId="3102A5AA"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3.82</w:t>
            </w:r>
          </w:p>
        </w:tc>
      </w:tr>
      <w:tr w:rsidR="001D0AFA" w:rsidRPr="00966FED" w14:paraId="18F4DB6E" w14:textId="77777777" w:rsidTr="00AC0ED3">
        <w:tc>
          <w:tcPr>
            <w:tcW w:w="1249" w:type="pct"/>
            <w:gridSpan w:val="2"/>
            <w:vAlign w:val="center"/>
          </w:tcPr>
          <w:p w14:paraId="320FD5B6"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SV3</w:t>
            </w:r>
          </w:p>
        </w:tc>
        <w:tc>
          <w:tcPr>
            <w:tcW w:w="1250" w:type="pct"/>
          </w:tcPr>
          <w:p w14:paraId="24868215"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340</w:t>
            </w:r>
          </w:p>
        </w:tc>
        <w:tc>
          <w:tcPr>
            <w:tcW w:w="1294" w:type="pct"/>
            <w:vAlign w:val="center"/>
          </w:tcPr>
          <w:p w14:paraId="573926BC"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315</w:t>
            </w:r>
          </w:p>
        </w:tc>
        <w:tc>
          <w:tcPr>
            <w:tcW w:w="1206" w:type="pct"/>
          </w:tcPr>
          <w:p w14:paraId="468FE299"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7.35</w:t>
            </w:r>
          </w:p>
        </w:tc>
      </w:tr>
      <w:tr w:rsidR="001D0AFA" w:rsidRPr="00966FED" w14:paraId="782F7E59" w14:textId="77777777" w:rsidTr="00AC0ED3">
        <w:tc>
          <w:tcPr>
            <w:tcW w:w="1214" w:type="pct"/>
            <w:vAlign w:val="center"/>
          </w:tcPr>
          <w:p w14:paraId="0492C842"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Average</w:t>
            </w:r>
          </w:p>
        </w:tc>
        <w:tc>
          <w:tcPr>
            <w:tcW w:w="2580" w:type="pct"/>
            <w:gridSpan w:val="3"/>
            <w:vAlign w:val="center"/>
          </w:tcPr>
          <w:p w14:paraId="0E192F6C"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326</w:t>
            </w:r>
          </w:p>
        </w:tc>
        <w:tc>
          <w:tcPr>
            <w:tcW w:w="1206" w:type="pct"/>
          </w:tcPr>
          <w:p w14:paraId="773CF27C"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6.67</w:t>
            </w:r>
          </w:p>
        </w:tc>
      </w:tr>
    </w:tbl>
    <w:p w14:paraId="510F0D8C" w14:textId="77777777" w:rsidR="001D0AFA" w:rsidRPr="00966FED" w:rsidRDefault="001D0AFA" w:rsidP="001D0AFA">
      <w:pPr>
        <w:spacing w:line="240" w:lineRule="auto"/>
        <w:jc w:val="center"/>
        <w:rPr>
          <w:rFonts w:ascii="Times New Roman" w:eastAsia="Calibri" w:hAnsi="Times New Roman" w:cs="Times New Roman"/>
        </w:rPr>
      </w:pPr>
      <w:r w:rsidRPr="00966FED">
        <w:rPr>
          <w:rFonts w:ascii="Times New Roman" w:eastAsia="Calibri" w:hAnsi="Times New Roman" w:cs="Times New Roman"/>
        </w:rPr>
        <w:t>SV = Sample Validation; A = 4.728 ±0.001, B =0.583 ±0.001, C = 0.497 ±0.001</w:t>
      </w:r>
    </w:p>
    <w:p w14:paraId="49879F62"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It can be observed that the experimental value took 326 s to reach a backside temperature of 300 °C, while the control sample took 82 s. This indicates that the incorporation of GBC into the paint effectively enhances its fire resistance performance. Figures 8a and 8b show the surface structure of the control sample and the optimized geopolymer after the fire resistance test. It can be observed that a hole was formed at the center of the control sample, while, in the optimized GFC sample, the center remained intact. This finding confirms that the addition of the GBC to the AP improves the compactness and density of the char layer, thereby enhancing its protective performance </w:t>
      </w:r>
      <w:r w:rsidRPr="00966FED">
        <w:rPr>
          <w:rFonts w:ascii="Times New Roman" w:hAnsi="Times New Roman" w:cs="Times New Roman"/>
          <w:color w:val="000000"/>
        </w:rPr>
        <w:t>[3], [46], [47], [48]</w:t>
      </w:r>
      <w:r w:rsidRPr="00966FED">
        <w:rPr>
          <w:rFonts w:ascii="Times New Roman" w:eastAsia="Calibri" w:hAnsi="Times New Roman" w:cs="Times New Roman"/>
        </w:rPr>
        <w:t xml:space="preserve">. </w:t>
      </w:r>
    </w:p>
    <w:p w14:paraId="72FA3F2D"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t xml:space="preserve">Figure 8. (a) </w:t>
      </w:r>
      <w:r w:rsidRPr="00966FED">
        <w:rPr>
          <w:rFonts w:ascii="Times New Roman" w:eastAsia="Calibri" w:hAnsi="Times New Roman" w:cs="Times New Roman"/>
        </w:rPr>
        <w:t xml:space="preserve">Control sample and </w:t>
      </w:r>
      <w:r w:rsidRPr="00966FED">
        <w:rPr>
          <w:rFonts w:ascii="Times New Roman" w:eastAsia="Calibri" w:hAnsi="Times New Roman" w:cs="Times New Roman"/>
          <w:b/>
          <w:bCs/>
        </w:rPr>
        <w:t>(b)</w:t>
      </w:r>
      <w:r w:rsidRPr="00966FED">
        <w:rPr>
          <w:rFonts w:ascii="Times New Roman" w:eastAsia="Calibri" w:hAnsi="Times New Roman" w:cs="Times New Roman"/>
        </w:rPr>
        <w:t xml:space="preserve"> optimized GFC sample after fire resistance test.</w:t>
      </w:r>
    </w:p>
    <w:tbl>
      <w:tblPr>
        <w:tblW w:w="4671" w:type="dxa"/>
        <w:tblLayout w:type="fixed"/>
        <w:tblLook w:val="0000" w:firstRow="0" w:lastRow="0" w:firstColumn="0" w:lastColumn="0" w:noHBand="0" w:noVBand="0"/>
      </w:tblPr>
      <w:tblGrid>
        <w:gridCol w:w="2402"/>
        <w:gridCol w:w="2269"/>
      </w:tblGrid>
      <w:tr w:rsidR="001D0AFA" w:rsidRPr="00966FED" w14:paraId="262B6DCA" w14:textId="77777777" w:rsidTr="00AC0ED3">
        <w:tc>
          <w:tcPr>
            <w:tcW w:w="2402" w:type="dxa"/>
            <w:vAlign w:val="center"/>
          </w:tcPr>
          <w:p w14:paraId="0556939E" w14:textId="77777777" w:rsidR="001D0AFA" w:rsidRPr="00966FED" w:rsidRDefault="001D0AFA" w:rsidP="00AC0ED3">
            <w:pPr>
              <w:pBdr>
                <w:top w:val="nil"/>
                <w:left w:val="nil"/>
                <w:bottom w:val="nil"/>
                <w:right w:val="nil"/>
                <w:between w:val="nil"/>
              </w:pBdr>
              <w:spacing w:after="120" w:line="240" w:lineRule="auto"/>
              <w:jc w:val="center"/>
              <w:rPr>
                <w:rFonts w:ascii="Times New Roman" w:eastAsia="Palatino Linotype" w:hAnsi="Times New Roman" w:cs="Times New Roman"/>
                <w:color w:val="000000"/>
                <w:sz w:val="20"/>
                <w:szCs w:val="20"/>
              </w:rPr>
            </w:pPr>
            <w:r w:rsidRPr="00966FED">
              <w:rPr>
                <w:rFonts w:ascii="Times New Roman" w:hAnsi="Times New Roman" w:cs="Times New Roman"/>
                <w:noProof/>
              </w:rPr>
              <mc:AlternateContent>
                <mc:Choice Requires="wps">
                  <w:drawing>
                    <wp:anchor distT="45720" distB="45720" distL="114300" distR="114300" simplePos="0" relativeHeight="251668480" behindDoc="0" locked="0" layoutInCell="1" hidden="0" allowOverlap="1" wp14:anchorId="120E48D7" wp14:editId="490D09C4">
                      <wp:simplePos x="0" y="0"/>
                      <wp:positionH relativeFrom="column">
                        <wp:posOffset>-73660</wp:posOffset>
                      </wp:positionH>
                      <wp:positionV relativeFrom="paragraph">
                        <wp:posOffset>-19050</wp:posOffset>
                      </wp:positionV>
                      <wp:extent cx="327660" cy="353060"/>
                      <wp:effectExtent l="0" t="0" r="0" b="8890"/>
                      <wp:wrapNone/>
                      <wp:docPr id="2138368089" name="Rectangle 2138368089"/>
                      <wp:cNvGraphicFramePr/>
                      <a:graphic xmlns:a="http://schemas.openxmlformats.org/drawingml/2006/main">
                        <a:graphicData uri="http://schemas.microsoft.com/office/word/2010/wordprocessingShape">
                          <wps:wsp>
                            <wps:cNvSpPr/>
                            <wps:spPr>
                              <a:xfrm>
                                <a:off x="0" y="0"/>
                                <a:ext cx="327660" cy="353060"/>
                              </a:xfrm>
                              <a:prstGeom prst="rect">
                                <a:avLst/>
                              </a:prstGeom>
                              <a:solidFill>
                                <a:srgbClr val="FFFFFF"/>
                              </a:solidFill>
                              <a:ln>
                                <a:noFill/>
                              </a:ln>
                            </wps:spPr>
                            <wps:txbx>
                              <w:txbxContent>
                                <w:p w14:paraId="5D418647" w14:textId="77777777" w:rsidR="001D0AFA" w:rsidRDefault="001D0AFA" w:rsidP="001D0AFA">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0E48D7" id="Rectangle 2138368089" o:spid="_x0000_s1034" style="position:absolute;left:0;text-align:left;margin-left:-5.8pt;margin-top:-1.5pt;width:25.8pt;height:27.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" stroked="f">
                      <v:textbox inset="2.53958mm,1.2694mm,2.53958mm,1.2694mm">
                        <w:txbxContent>
                          <w:p w14:paraId="5D418647" w14:textId="77777777" w:rsidR="001D0AFA" w:rsidRDefault="001D0AFA" w:rsidP="001D0AFA">
                            <w:pPr>
                              <w:textDirection w:val="btLr"/>
                            </w:pPr>
                            <w:r>
                              <w:rPr>
                                <w:rFonts w:ascii="Calibri" w:eastAsia="Calibri" w:hAnsi="Calibri" w:cs="Calibri"/>
                                <w:color w:val="000000"/>
                                <w:sz w:val="18"/>
                              </w:rPr>
                              <w:t>(a)</w:t>
                            </w:r>
                          </w:p>
                        </w:txbxContent>
                      </v:textbox>
                    </v:rect>
                  </w:pict>
                </mc:Fallback>
              </mc:AlternateContent>
            </w:r>
            <w:r w:rsidRPr="00966FED">
              <w:rPr>
                <w:rFonts w:ascii="Times New Roman" w:eastAsia="Palatino Linotype" w:hAnsi="Times New Roman" w:cs="Times New Roman"/>
                <w:noProof/>
                <w:color w:val="000000"/>
                <w:sz w:val="20"/>
                <w:szCs w:val="20"/>
              </w:rPr>
              <w:drawing>
                <wp:inline distT="0" distB="0" distL="0" distR="0" wp14:anchorId="143C7DBF" wp14:editId="6FB0BE2F">
                  <wp:extent cx="1662546" cy="1558636"/>
                  <wp:effectExtent l="0" t="0" r="0" b="3810"/>
                  <wp:docPr id="2138368144"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9"/>
                          <a:srcRect l="21312" t="16028" r="17466" b="5521"/>
                          <a:stretch>
                            <a:fillRect/>
                          </a:stretch>
                        </pic:blipFill>
                        <pic:spPr>
                          <a:xfrm>
                            <a:off x="0" y="0"/>
                            <a:ext cx="1663754" cy="1559768"/>
                          </a:xfrm>
                          <a:prstGeom prst="rect">
                            <a:avLst/>
                          </a:prstGeom>
                          <a:ln/>
                        </pic:spPr>
                      </pic:pic>
                    </a:graphicData>
                  </a:graphic>
                </wp:inline>
              </w:drawing>
            </w:r>
          </w:p>
        </w:tc>
        <w:tc>
          <w:tcPr>
            <w:tcW w:w="2269" w:type="dxa"/>
            <w:vAlign w:val="center"/>
          </w:tcPr>
          <w:p w14:paraId="6569C806" w14:textId="77777777" w:rsidR="001D0AFA" w:rsidRPr="00966FED" w:rsidRDefault="001D0AFA" w:rsidP="00AC0ED3">
            <w:pPr>
              <w:pBdr>
                <w:top w:val="nil"/>
                <w:left w:val="nil"/>
                <w:bottom w:val="nil"/>
                <w:right w:val="nil"/>
                <w:between w:val="nil"/>
              </w:pBdr>
              <w:spacing w:after="120" w:line="240" w:lineRule="auto"/>
              <w:jc w:val="both"/>
              <w:rPr>
                <w:rFonts w:ascii="Times New Roman" w:eastAsia="Palatino Linotype" w:hAnsi="Times New Roman" w:cs="Times New Roman"/>
                <w:color w:val="000000"/>
                <w:sz w:val="20"/>
                <w:szCs w:val="20"/>
              </w:rPr>
            </w:pPr>
            <w:r w:rsidRPr="00966FED">
              <w:rPr>
                <w:rFonts w:ascii="Times New Roman" w:hAnsi="Times New Roman" w:cs="Times New Roman"/>
                <w:noProof/>
              </w:rPr>
              <mc:AlternateContent>
                <mc:Choice Requires="wps">
                  <w:drawing>
                    <wp:anchor distT="45720" distB="45720" distL="114300" distR="114300" simplePos="0" relativeHeight="251669504" behindDoc="0" locked="0" layoutInCell="1" hidden="0" allowOverlap="1" wp14:anchorId="6A7CFAF2" wp14:editId="57B40914">
                      <wp:simplePos x="0" y="0"/>
                      <wp:positionH relativeFrom="column">
                        <wp:posOffset>-86995</wp:posOffset>
                      </wp:positionH>
                      <wp:positionV relativeFrom="paragraph">
                        <wp:posOffset>-62865</wp:posOffset>
                      </wp:positionV>
                      <wp:extent cx="327660" cy="387350"/>
                      <wp:effectExtent l="0" t="0" r="0" b="0"/>
                      <wp:wrapNone/>
                      <wp:docPr id="2138368102" name="Rectangle 2138368102"/>
                      <wp:cNvGraphicFramePr/>
                      <a:graphic xmlns:a="http://schemas.openxmlformats.org/drawingml/2006/main">
                        <a:graphicData uri="http://schemas.microsoft.com/office/word/2010/wordprocessingShape">
                          <wps:wsp>
                            <wps:cNvSpPr/>
                            <wps:spPr>
                              <a:xfrm>
                                <a:off x="0" y="0"/>
                                <a:ext cx="327660" cy="387350"/>
                              </a:xfrm>
                              <a:prstGeom prst="rect">
                                <a:avLst/>
                              </a:prstGeom>
                              <a:solidFill>
                                <a:srgbClr val="FFFFFF"/>
                              </a:solidFill>
                              <a:ln>
                                <a:noFill/>
                              </a:ln>
                            </wps:spPr>
                            <wps:txbx>
                              <w:txbxContent>
                                <w:p w14:paraId="35C9330D" w14:textId="77777777" w:rsidR="001D0AFA" w:rsidRDefault="001D0AFA" w:rsidP="001D0AFA">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7CFAF2" id="Rectangle 2138368102" o:spid="_x0000_s1035" style="position:absolute;left:0;text-align:left;margin-left:-6.85pt;margin-top:-4.95pt;width:25.8pt;height:3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" stroked="f">
                      <v:textbox inset="2.53958mm,1.2694mm,2.53958mm,1.2694mm">
                        <w:txbxContent>
                          <w:p w14:paraId="35C9330D" w14:textId="77777777" w:rsidR="001D0AFA" w:rsidRDefault="001D0AFA" w:rsidP="001D0AFA">
                            <w:pPr>
                              <w:textDirection w:val="btLr"/>
                            </w:pPr>
                            <w:r>
                              <w:rPr>
                                <w:rFonts w:ascii="Calibri" w:eastAsia="Calibri" w:hAnsi="Calibri" w:cs="Calibri"/>
                                <w:color w:val="000000"/>
                                <w:sz w:val="18"/>
                              </w:rPr>
                              <w:t>(b)</w:t>
                            </w:r>
                          </w:p>
                        </w:txbxContent>
                      </v:textbox>
                    </v:rect>
                  </w:pict>
                </mc:Fallback>
              </mc:AlternateContent>
            </w:r>
            <w:r w:rsidRPr="00966FED">
              <w:rPr>
                <w:rFonts w:ascii="Times New Roman" w:eastAsia="Palatino Linotype" w:hAnsi="Times New Roman" w:cs="Times New Roman"/>
                <w:noProof/>
                <w:color w:val="000000"/>
                <w:sz w:val="20"/>
                <w:szCs w:val="20"/>
              </w:rPr>
              <w:drawing>
                <wp:inline distT="0" distB="0" distL="0" distR="0" wp14:anchorId="30CD2513" wp14:editId="49141774">
                  <wp:extent cx="1627909" cy="1551709"/>
                  <wp:effectExtent l="0" t="0" r="0" b="0"/>
                  <wp:docPr id="2138368145"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0"/>
                          <a:srcRect l="24948" t="19978" r="17599" b="7322"/>
                          <a:stretch>
                            <a:fillRect/>
                          </a:stretch>
                        </pic:blipFill>
                        <pic:spPr>
                          <a:xfrm rot="10800000">
                            <a:off x="0" y="0"/>
                            <a:ext cx="1628344" cy="1552124"/>
                          </a:xfrm>
                          <a:prstGeom prst="rect">
                            <a:avLst/>
                          </a:prstGeom>
                          <a:ln/>
                        </pic:spPr>
                      </pic:pic>
                    </a:graphicData>
                  </a:graphic>
                </wp:inline>
              </w:drawing>
            </w:r>
          </w:p>
        </w:tc>
      </w:tr>
    </w:tbl>
    <w:p w14:paraId="0322E039" w14:textId="77777777" w:rsidR="001D0AFA" w:rsidRPr="00966FED" w:rsidRDefault="001D0AFA" w:rsidP="001D0AFA">
      <w:pPr>
        <w:widowControl w:val="0"/>
        <w:pBdr>
          <w:top w:val="nil"/>
          <w:left w:val="nil"/>
          <w:bottom w:val="nil"/>
          <w:right w:val="nil"/>
          <w:between w:val="nil"/>
        </w:pBdr>
        <w:spacing w:after="0" w:line="240" w:lineRule="auto"/>
        <w:rPr>
          <w:rFonts w:ascii="Times New Roman" w:hAnsi="Times New Roman" w:cs="Times New Roman"/>
        </w:rPr>
      </w:pPr>
    </w:p>
    <w:p w14:paraId="197759FE" w14:textId="43275EA3"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The adhesion strength of the coating on the substrate is critical to provide better fire protection. Table 7 summarizes the results of the cross-cut test for the GBC as an additive to AP. Results showed that all samples have a rating of 5B, which is the highest rating that can be obtained by ASTM standards, in which no squares were detached from the substrate, and the edges of the cuts were smooth. A sample of the adhesion test results of the GFC is shown in Figure 9.</w:t>
      </w:r>
    </w:p>
    <w:p w14:paraId="6E60ED83" w14:textId="77777777" w:rsidR="001D0AFA" w:rsidRPr="00966FED" w:rsidRDefault="001D0AFA" w:rsidP="001D0AFA">
      <w:pPr>
        <w:spacing w:line="240" w:lineRule="auto"/>
        <w:ind w:firstLine="284"/>
        <w:rPr>
          <w:rFonts w:ascii="Times New Roman" w:eastAsia="Calibri" w:hAnsi="Times New Roman" w:cs="Times New Roman"/>
        </w:rPr>
      </w:pPr>
    </w:p>
    <w:p w14:paraId="57302FD3" w14:textId="77777777" w:rsidR="001D0AFA" w:rsidRPr="00966FED" w:rsidRDefault="001D0AFA" w:rsidP="001D0AFA">
      <w:pPr>
        <w:spacing w:line="240" w:lineRule="auto"/>
        <w:ind w:firstLine="284"/>
        <w:rPr>
          <w:rFonts w:ascii="Times New Roman" w:eastAsia="Calibri" w:hAnsi="Times New Roman" w:cs="Times New Roman"/>
        </w:rPr>
      </w:pPr>
    </w:p>
    <w:p w14:paraId="2CC490C4" w14:textId="77777777" w:rsidR="001D0AFA" w:rsidRPr="00966FED" w:rsidRDefault="001D0AFA" w:rsidP="001D0AFA">
      <w:pPr>
        <w:spacing w:line="240" w:lineRule="auto"/>
        <w:ind w:firstLine="284"/>
        <w:rPr>
          <w:rFonts w:ascii="Times New Roman" w:eastAsia="Calibri" w:hAnsi="Times New Roman" w:cs="Times New Roman"/>
        </w:rPr>
      </w:pPr>
    </w:p>
    <w:p w14:paraId="702A5791" w14:textId="77777777" w:rsidR="001D0AFA" w:rsidRPr="00966FED" w:rsidRDefault="001D0AFA" w:rsidP="001D0AFA">
      <w:pPr>
        <w:spacing w:line="240" w:lineRule="auto"/>
        <w:ind w:firstLine="284"/>
        <w:rPr>
          <w:rFonts w:ascii="Times New Roman" w:eastAsia="Calibri" w:hAnsi="Times New Roman" w:cs="Times New Roman"/>
        </w:rPr>
      </w:pPr>
    </w:p>
    <w:p w14:paraId="6C00AFB7" w14:textId="64047131" w:rsidR="001D0AFA" w:rsidRPr="00966FED" w:rsidRDefault="001D0AFA" w:rsidP="001D0AFA">
      <w:pPr>
        <w:spacing w:line="240" w:lineRule="auto"/>
        <w:rPr>
          <w:rFonts w:ascii="Times New Roman" w:eastAsia="Calibri" w:hAnsi="Times New Roman" w:cs="Times New Roman"/>
          <w:b/>
          <w:bCs/>
        </w:rPr>
      </w:pPr>
      <w:r w:rsidRPr="00966FED">
        <w:rPr>
          <w:rFonts w:ascii="Times New Roman" w:eastAsia="Calibri" w:hAnsi="Times New Roman" w:cs="Times New Roman"/>
          <w:b/>
          <w:bCs/>
        </w:rPr>
        <w:lastRenderedPageBreak/>
        <w:t xml:space="preserve">Table 7. </w:t>
      </w:r>
      <w:r w:rsidRPr="00966FED">
        <w:rPr>
          <w:rFonts w:ascii="Times New Roman" w:eastAsia="Calibri" w:hAnsi="Times New Roman" w:cs="Times New Roman"/>
        </w:rPr>
        <w:t>Classification for adhesion test.</w:t>
      </w:r>
    </w:p>
    <w:tbl>
      <w:tblPr>
        <w:tblW w:w="5000" w:type="pct"/>
        <w:jc w:val="center"/>
        <w:tblBorders>
          <w:top w:val="single" w:sz="8" w:space="0" w:color="000000"/>
          <w:bottom w:val="single" w:sz="8" w:space="0" w:color="000000"/>
        </w:tblBorders>
        <w:tblLook w:val="0400" w:firstRow="0" w:lastRow="0" w:firstColumn="0" w:lastColumn="0" w:noHBand="0" w:noVBand="1"/>
      </w:tblPr>
      <w:tblGrid>
        <w:gridCol w:w="1855"/>
        <w:gridCol w:w="3256"/>
        <w:gridCol w:w="1861"/>
        <w:gridCol w:w="3725"/>
      </w:tblGrid>
      <w:tr w:rsidR="001D0AFA" w:rsidRPr="00966FED" w14:paraId="549AFAF7" w14:textId="77777777" w:rsidTr="00AC0ED3">
        <w:trPr>
          <w:jc w:val="center"/>
        </w:trPr>
        <w:tc>
          <w:tcPr>
            <w:tcW w:w="867" w:type="pct"/>
            <w:tcBorders>
              <w:bottom w:val="single" w:sz="4" w:space="0" w:color="000000"/>
            </w:tcBorders>
            <w:vAlign w:val="center"/>
          </w:tcPr>
          <w:p w14:paraId="7161E47C" w14:textId="77777777" w:rsidR="001D0AFA" w:rsidRPr="00966FED" w:rsidRDefault="001D0AFA" w:rsidP="00AC0ED3">
            <w:pPr>
              <w:spacing w:line="240" w:lineRule="auto"/>
              <w:jc w:val="center"/>
              <w:rPr>
                <w:rFonts w:ascii="Times New Roman" w:eastAsia="Calibri" w:hAnsi="Times New Roman" w:cs="Times New Roman"/>
                <w:b/>
                <w:bCs/>
              </w:rPr>
            </w:pPr>
            <w:r w:rsidRPr="00966FED">
              <w:rPr>
                <w:rFonts w:ascii="Times New Roman" w:eastAsia="Calibri" w:hAnsi="Times New Roman" w:cs="Times New Roman"/>
                <w:b/>
                <w:bCs/>
              </w:rPr>
              <w:t>Run</w:t>
            </w:r>
          </w:p>
        </w:tc>
        <w:tc>
          <w:tcPr>
            <w:tcW w:w="1522" w:type="pct"/>
            <w:tcBorders>
              <w:bottom w:val="single" w:sz="4" w:space="0" w:color="000000"/>
            </w:tcBorders>
            <w:vAlign w:val="center"/>
          </w:tcPr>
          <w:p w14:paraId="53875445" w14:textId="77777777" w:rsidR="001D0AFA" w:rsidRPr="00966FED" w:rsidRDefault="001D0AFA" w:rsidP="00AC0ED3">
            <w:pPr>
              <w:spacing w:line="240" w:lineRule="auto"/>
              <w:jc w:val="center"/>
              <w:rPr>
                <w:rFonts w:ascii="Times New Roman" w:eastAsia="Calibri" w:hAnsi="Times New Roman" w:cs="Times New Roman"/>
                <w:b/>
                <w:bCs/>
              </w:rPr>
            </w:pPr>
            <w:r w:rsidRPr="00966FED">
              <w:rPr>
                <w:rFonts w:ascii="Times New Roman" w:eastAsia="Calibri" w:hAnsi="Times New Roman" w:cs="Times New Roman"/>
                <w:b/>
                <w:bCs/>
              </w:rPr>
              <w:t>Classification</w:t>
            </w:r>
          </w:p>
        </w:tc>
        <w:tc>
          <w:tcPr>
            <w:tcW w:w="870" w:type="pct"/>
            <w:tcBorders>
              <w:bottom w:val="single" w:sz="4" w:space="0" w:color="000000"/>
            </w:tcBorders>
            <w:vAlign w:val="center"/>
          </w:tcPr>
          <w:p w14:paraId="09B8B236" w14:textId="77777777" w:rsidR="001D0AFA" w:rsidRPr="00966FED" w:rsidRDefault="001D0AFA" w:rsidP="00AC0ED3">
            <w:pPr>
              <w:spacing w:line="240" w:lineRule="auto"/>
              <w:jc w:val="center"/>
              <w:rPr>
                <w:rFonts w:ascii="Times New Roman" w:eastAsia="Calibri" w:hAnsi="Times New Roman" w:cs="Times New Roman"/>
                <w:b/>
                <w:bCs/>
              </w:rPr>
            </w:pPr>
            <w:r w:rsidRPr="00966FED">
              <w:rPr>
                <w:rFonts w:ascii="Times New Roman" w:eastAsia="Calibri" w:hAnsi="Times New Roman" w:cs="Times New Roman"/>
                <w:b/>
                <w:bCs/>
              </w:rPr>
              <w:t>Run</w:t>
            </w:r>
          </w:p>
        </w:tc>
        <w:tc>
          <w:tcPr>
            <w:tcW w:w="1741" w:type="pct"/>
            <w:tcBorders>
              <w:bottom w:val="single" w:sz="4" w:space="0" w:color="000000"/>
            </w:tcBorders>
            <w:vAlign w:val="center"/>
          </w:tcPr>
          <w:p w14:paraId="0D997E9D" w14:textId="77777777" w:rsidR="001D0AFA" w:rsidRPr="00966FED" w:rsidRDefault="001D0AFA" w:rsidP="00AC0ED3">
            <w:pPr>
              <w:spacing w:line="240" w:lineRule="auto"/>
              <w:jc w:val="center"/>
              <w:rPr>
                <w:rFonts w:ascii="Times New Roman" w:eastAsia="Calibri" w:hAnsi="Times New Roman" w:cs="Times New Roman"/>
                <w:b/>
                <w:bCs/>
              </w:rPr>
            </w:pPr>
            <w:r w:rsidRPr="00966FED">
              <w:rPr>
                <w:rFonts w:ascii="Times New Roman" w:eastAsia="Calibri" w:hAnsi="Times New Roman" w:cs="Times New Roman"/>
                <w:b/>
                <w:bCs/>
              </w:rPr>
              <w:t>Classification</w:t>
            </w:r>
          </w:p>
        </w:tc>
      </w:tr>
      <w:tr w:rsidR="001D0AFA" w:rsidRPr="00966FED" w14:paraId="33B64B35" w14:textId="77777777" w:rsidTr="00AC0ED3">
        <w:trPr>
          <w:jc w:val="center"/>
        </w:trPr>
        <w:tc>
          <w:tcPr>
            <w:tcW w:w="867" w:type="pct"/>
          </w:tcPr>
          <w:p w14:paraId="589ABCD5"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w:t>
            </w:r>
          </w:p>
        </w:tc>
        <w:tc>
          <w:tcPr>
            <w:tcW w:w="1522" w:type="pct"/>
          </w:tcPr>
          <w:p w14:paraId="434B0ED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31846728"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S10</w:t>
            </w:r>
          </w:p>
        </w:tc>
        <w:tc>
          <w:tcPr>
            <w:tcW w:w="1741" w:type="pct"/>
          </w:tcPr>
          <w:p w14:paraId="3F762D57"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2C2FF30C" w14:textId="77777777" w:rsidTr="00AC0ED3">
        <w:trPr>
          <w:jc w:val="center"/>
        </w:trPr>
        <w:tc>
          <w:tcPr>
            <w:tcW w:w="867" w:type="pct"/>
          </w:tcPr>
          <w:p w14:paraId="736FF99B"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S2</w:t>
            </w:r>
          </w:p>
        </w:tc>
        <w:tc>
          <w:tcPr>
            <w:tcW w:w="1522" w:type="pct"/>
          </w:tcPr>
          <w:p w14:paraId="29C7A8D8"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6BA531EB"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S11</w:t>
            </w:r>
          </w:p>
        </w:tc>
        <w:tc>
          <w:tcPr>
            <w:tcW w:w="1741" w:type="pct"/>
          </w:tcPr>
          <w:p w14:paraId="3B790134"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40E1A977" w14:textId="77777777" w:rsidTr="00AC0ED3">
        <w:trPr>
          <w:jc w:val="center"/>
        </w:trPr>
        <w:tc>
          <w:tcPr>
            <w:tcW w:w="867" w:type="pct"/>
          </w:tcPr>
          <w:p w14:paraId="468BCDF4"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S3</w:t>
            </w:r>
          </w:p>
        </w:tc>
        <w:tc>
          <w:tcPr>
            <w:tcW w:w="1522" w:type="pct"/>
          </w:tcPr>
          <w:p w14:paraId="7C68E520"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5F2AF48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S12</w:t>
            </w:r>
          </w:p>
        </w:tc>
        <w:tc>
          <w:tcPr>
            <w:tcW w:w="1741" w:type="pct"/>
          </w:tcPr>
          <w:p w14:paraId="0DF3110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3EB05C55" w14:textId="77777777" w:rsidTr="00AC0ED3">
        <w:trPr>
          <w:jc w:val="center"/>
        </w:trPr>
        <w:tc>
          <w:tcPr>
            <w:tcW w:w="867" w:type="pct"/>
          </w:tcPr>
          <w:p w14:paraId="2C2F053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S4</w:t>
            </w:r>
          </w:p>
        </w:tc>
        <w:tc>
          <w:tcPr>
            <w:tcW w:w="1522" w:type="pct"/>
          </w:tcPr>
          <w:p w14:paraId="22E8A1D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5194B2A8"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S13</w:t>
            </w:r>
          </w:p>
        </w:tc>
        <w:tc>
          <w:tcPr>
            <w:tcW w:w="1741" w:type="pct"/>
          </w:tcPr>
          <w:p w14:paraId="5096A7CE"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654BAB55" w14:textId="77777777" w:rsidTr="00AC0ED3">
        <w:trPr>
          <w:jc w:val="center"/>
        </w:trPr>
        <w:tc>
          <w:tcPr>
            <w:tcW w:w="867" w:type="pct"/>
          </w:tcPr>
          <w:p w14:paraId="0ED3023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S5</w:t>
            </w:r>
          </w:p>
        </w:tc>
        <w:tc>
          <w:tcPr>
            <w:tcW w:w="1522" w:type="pct"/>
          </w:tcPr>
          <w:p w14:paraId="5007FF6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5DDEA21B"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S14</w:t>
            </w:r>
          </w:p>
        </w:tc>
        <w:tc>
          <w:tcPr>
            <w:tcW w:w="1741" w:type="pct"/>
          </w:tcPr>
          <w:p w14:paraId="40FDD7C6"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59A95131" w14:textId="77777777" w:rsidTr="00AC0ED3">
        <w:trPr>
          <w:jc w:val="center"/>
        </w:trPr>
        <w:tc>
          <w:tcPr>
            <w:tcW w:w="867" w:type="pct"/>
          </w:tcPr>
          <w:p w14:paraId="22F8C501"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S6</w:t>
            </w:r>
          </w:p>
        </w:tc>
        <w:tc>
          <w:tcPr>
            <w:tcW w:w="1522" w:type="pct"/>
          </w:tcPr>
          <w:p w14:paraId="3CAA8B2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75A87409"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S15</w:t>
            </w:r>
          </w:p>
        </w:tc>
        <w:tc>
          <w:tcPr>
            <w:tcW w:w="1741" w:type="pct"/>
          </w:tcPr>
          <w:p w14:paraId="5A78718F"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11834082" w14:textId="77777777" w:rsidTr="00AC0ED3">
        <w:trPr>
          <w:jc w:val="center"/>
        </w:trPr>
        <w:tc>
          <w:tcPr>
            <w:tcW w:w="867" w:type="pct"/>
          </w:tcPr>
          <w:p w14:paraId="4F9CA143"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S7</w:t>
            </w:r>
          </w:p>
        </w:tc>
        <w:tc>
          <w:tcPr>
            <w:tcW w:w="1522" w:type="pct"/>
          </w:tcPr>
          <w:p w14:paraId="46E366B9"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1CE8A9D1"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S16</w:t>
            </w:r>
          </w:p>
        </w:tc>
        <w:tc>
          <w:tcPr>
            <w:tcW w:w="1741" w:type="pct"/>
          </w:tcPr>
          <w:p w14:paraId="24C76BE7"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42E21F65" w14:textId="77777777" w:rsidTr="00AC0ED3">
        <w:trPr>
          <w:jc w:val="center"/>
        </w:trPr>
        <w:tc>
          <w:tcPr>
            <w:tcW w:w="867" w:type="pct"/>
          </w:tcPr>
          <w:p w14:paraId="734E688E"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S8</w:t>
            </w:r>
          </w:p>
        </w:tc>
        <w:tc>
          <w:tcPr>
            <w:tcW w:w="1522" w:type="pct"/>
          </w:tcPr>
          <w:p w14:paraId="220E0BAB"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0FE2712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S17</w:t>
            </w:r>
          </w:p>
        </w:tc>
        <w:tc>
          <w:tcPr>
            <w:tcW w:w="1741" w:type="pct"/>
          </w:tcPr>
          <w:p w14:paraId="7D1C547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741A9AF3" w14:textId="77777777" w:rsidTr="00AC0ED3">
        <w:trPr>
          <w:jc w:val="center"/>
        </w:trPr>
        <w:tc>
          <w:tcPr>
            <w:tcW w:w="867" w:type="pct"/>
          </w:tcPr>
          <w:p w14:paraId="77DB3364"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S9</w:t>
            </w:r>
          </w:p>
        </w:tc>
        <w:tc>
          <w:tcPr>
            <w:tcW w:w="1522" w:type="pct"/>
          </w:tcPr>
          <w:p w14:paraId="2F4F6B08"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14C9D45F" w14:textId="77777777" w:rsidR="001D0AFA" w:rsidRPr="00966FED" w:rsidRDefault="001D0AFA" w:rsidP="00AC0ED3">
            <w:pPr>
              <w:spacing w:line="240" w:lineRule="auto"/>
              <w:jc w:val="center"/>
              <w:rPr>
                <w:rFonts w:ascii="Times New Roman" w:eastAsia="Calibri" w:hAnsi="Times New Roman" w:cs="Times New Roman"/>
              </w:rPr>
            </w:pPr>
          </w:p>
        </w:tc>
        <w:tc>
          <w:tcPr>
            <w:tcW w:w="1741" w:type="pct"/>
          </w:tcPr>
          <w:p w14:paraId="1DE4F869" w14:textId="77777777" w:rsidR="001D0AFA" w:rsidRPr="00966FED" w:rsidRDefault="001D0AFA" w:rsidP="00AC0ED3">
            <w:pPr>
              <w:spacing w:line="240" w:lineRule="auto"/>
              <w:jc w:val="center"/>
              <w:rPr>
                <w:rFonts w:ascii="Times New Roman" w:eastAsia="Calibri" w:hAnsi="Times New Roman" w:cs="Times New Roman"/>
              </w:rPr>
            </w:pPr>
          </w:p>
        </w:tc>
      </w:tr>
    </w:tbl>
    <w:p w14:paraId="1B6BA88F" w14:textId="77777777" w:rsidR="001D0AFA" w:rsidRPr="00966FED" w:rsidRDefault="001D0AFA" w:rsidP="001D0AFA">
      <w:pPr>
        <w:widowControl w:val="0"/>
        <w:pBdr>
          <w:top w:val="nil"/>
          <w:left w:val="nil"/>
          <w:bottom w:val="nil"/>
          <w:right w:val="nil"/>
          <w:between w:val="nil"/>
        </w:pBdr>
        <w:spacing w:after="0" w:line="240" w:lineRule="auto"/>
        <w:rPr>
          <w:rFonts w:ascii="Times New Roman" w:hAnsi="Times New Roman" w:cs="Times New Roman"/>
        </w:rPr>
      </w:pPr>
    </w:p>
    <w:p w14:paraId="0C2E3CC3"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t xml:space="preserve">Figure 9. </w:t>
      </w:r>
      <w:r w:rsidRPr="00966FED">
        <w:rPr>
          <w:rFonts w:ascii="Times New Roman" w:eastAsia="Calibri" w:hAnsi="Times New Roman" w:cs="Times New Roman"/>
        </w:rPr>
        <w:t>Geopolymer coating adhesion test.</w:t>
      </w:r>
    </w:p>
    <w:p w14:paraId="64DDAAE7"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hAnsi="Times New Roman" w:cs="Times New Roman"/>
          <w:noProof/>
        </w:rPr>
        <w:drawing>
          <wp:inline distT="0" distB="0" distL="0" distR="0" wp14:anchorId="72232217" wp14:editId="48DFCEBB">
            <wp:extent cx="2324451" cy="1949040"/>
            <wp:effectExtent l="0" t="0" r="0" b="0"/>
            <wp:docPr id="213836814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1"/>
                    <a:srcRect l="44685" t="46051" r="2615" b="20808"/>
                    <a:stretch>
                      <a:fillRect/>
                    </a:stretch>
                  </pic:blipFill>
                  <pic:spPr>
                    <a:xfrm>
                      <a:off x="0" y="0"/>
                      <a:ext cx="2324451" cy="1949040"/>
                    </a:xfrm>
                    <a:prstGeom prst="rect">
                      <a:avLst/>
                    </a:prstGeom>
                    <a:ln/>
                  </pic:spPr>
                </pic:pic>
              </a:graphicData>
            </a:graphic>
          </wp:inline>
        </w:drawing>
      </w:r>
    </w:p>
    <w:p w14:paraId="26F24440" w14:textId="77777777" w:rsidR="001D0AFA" w:rsidRPr="00966FED" w:rsidRDefault="001D0AFA" w:rsidP="001D0AFA">
      <w:pPr>
        <w:spacing w:line="240" w:lineRule="auto"/>
        <w:ind w:firstLine="284"/>
        <w:jc w:val="both"/>
        <w:rPr>
          <w:rFonts w:ascii="Times New Roman" w:eastAsia="Calibri" w:hAnsi="Times New Roman" w:cs="Times New Roman"/>
        </w:rPr>
      </w:pPr>
      <w:bookmarkStart w:id="0" w:name="_heading=h.bpo9eyo62qsz" w:colFirst="0" w:colLast="0"/>
      <w:bookmarkEnd w:id="0"/>
      <w:r w:rsidRPr="00966FED">
        <w:rPr>
          <w:rFonts w:ascii="Times New Roman" w:eastAsia="Calibri" w:hAnsi="Times New Roman" w:cs="Times New Roman"/>
        </w:rPr>
        <w:t xml:space="preserve">The thermal decomposition and stability of the GFC were analyzed. For this analysis, the best-performing and least-performing samples were selected to provide a comparative evaluation of their thermal resistance. Examining both extremes allows for a better understanding of the key factors influencing thermal stability, highlighting the effectiveness of the formulation with the highest performance while identifying the weaknesses of the least stable sample. The results of the thermal degradation analysis are presented in Figure 10. </w:t>
      </w:r>
    </w:p>
    <w:p w14:paraId="6EE808E2" w14:textId="32CEDBCA" w:rsidR="001D0AFA" w:rsidRPr="00966FED" w:rsidRDefault="001D0AFA" w:rsidP="001D0AFA">
      <w:pPr>
        <w:rPr>
          <w:rFonts w:ascii="Times New Roman" w:eastAsia="Calibri" w:hAnsi="Times New Roman" w:cs="Times New Roman"/>
        </w:rPr>
      </w:pPr>
      <w:r w:rsidRPr="00966FED">
        <w:rPr>
          <w:rFonts w:ascii="Times New Roman" w:eastAsia="Calibri" w:hAnsi="Times New Roman" w:cs="Times New Roman"/>
          <w:b/>
          <w:bCs/>
        </w:rPr>
        <w:t xml:space="preserve">Figure 10. </w:t>
      </w:r>
      <w:r w:rsidRPr="00966FED">
        <w:rPr>
          <w:rFonts w:ascii="Times New Roman" w:eastAsia="Calibri" w:hAnsi="Times New Roman" w:cs="Times New Roman"/>
        </w:rPr>
        <w:t xml:space="preserve">TG and DTG for </w:t>
      </w:r>
      <w:r w:rsidRPr="00966FED">
        <w:rPr>
          <w:rFonts w:ascii="Times New Roman" w:eastAsia="Calibri" w:hAnsi="Times New Roman" w:cs="Times New Roman"/>
          <w:b/>
          <w:bCs/>
        </w:rPr>
        <w:t>(a)</w:t>
      </w:r>
      <w:r w:rsidRPr="00966FED">
        <w:rPr>
          <w:rFonts w:ascii="Times New Roman" w:eastAsia="Calibri" w:hAnsi="Times New Roman" w:cs="Times New Roman"/>
        </w:rPr>
        <w:t xml:space="preserve"> Sample 1; </w:t>
      </w:r>
      <w:r w:rsidRPr="00966FED">
        <w:rPr>
          <w:rFonts w:ascii="Times New Roman" w:eastAsia="Calibri" w:hAnsi="Times New Roman" w:cs="Times New Roman"/>
          <w:b/>
          <w:bCs/>
        </w:rPr>
        <w:t>(b)</w:t>
      </w:r>
      <w:r w:rsidRPr="00966FED">
        <w:rPr>
          <w:rFonts w:ascii="Times New Roman" w:eastAsia="Calibri" w:hAnsi="Times New Roman" w:cs="Times New Roman"/>
        </w:rPr>
        <w:t xml:space="preserve"> Sample 9</w:t>
      </w:r>
    </w:p>
    <w:tbl>
      <w:tblPr>
        <w:tblW w:w="10052" w:type="dxa"/>
        <w:jc w:val="center"/>
        <w:tblLayout w:type="fixed"/>
        <w:tblLook w:val="0000" w:firstRow="0" w:lastRow="0" w:firstColumn="0" w:lastColumn="0" w:noHBand="0" w:noVBand="0"/>
      </w:tblPr>
      <w:tblGrid>
        <w:gridCol w:w="4835"/>
        <w:gridCol w:w="5217"/>
      </w:tblGrid>
      <w:tr w:rsidR="001D0AFA" w:rsidRPr="00966FED" w14:paraId="69CE7C81" w14:textId="77777777" w:rsidTr="00AC0ED3">
        <w:trPr>
          <w:jc w:val="center"/>
        </w:trPr>
        <w:tc>
          <w:tcPr>
            <w:tcW w:w="4835" w:type="dxa"/>
            <w:vAlign w:val="center"/>
          </w:tcPr>
          <w:p w14:paraId="56A9C8C7"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4D0AB7DF" wp14:editId="2F3CBAFB">
                  <wp:extent cx="3120048" cy="2512539"/>
                  <wp:effectExtent l="0" t="0" r="0" b="0"/>
                  <wp:docPr id="21383681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
                          <a:srcRect l="1776" t="3537" r="51522" b="5541"/>
                          <a:stretch>
                            <a:fillRect/>
                          </a:stretch>
                        </pic:blipFill>
                        <pic:spPr>
                          <a:xfrm>
                            <a:off x="0" y="0"/>
                            <a:ext cx="3120048" cy="2512539"/>
                          </a:xfrm>
                          <a:prstGeom prst="rect">
                            <a:avLst/>
                          </a:prstGeom>
                          <a:ln/>
                        </pic:spPr>
                      </pic:pic>
                    </a:graphicData>
                  </a:graphic>
                </wp:inline>
              </w:drawing>
            </w:r>
          </w:p>
        </w:tc>
        <w:tc>
          <w:tcPr>
            <w:tcW w:w="5217" w:type="dxa"/>
            <w:vAlign w:val="center"/>
          </w:tcPr>
          <w:p w14:paraId="4A884BBD"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47DE0846" wp14:editId="2BF03E25">
                  <wp:extent cx="3364041" cy="2501820"/>
                  <wp:effectExtent l="0" t="0" r="0" b="0"/>
                  <wp:docPr id="213836814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
                          <a:srcRect l="50016" t="5087" b="5045"/>
                          <a:stretch>
                            <a:fillRect/>
                          </a:stretch>
                        </pic:blipFill>
                        <pic:spPr>
                          <a:xfrm>
                            <a:off x="0" y="0"/>
                            <a:ext cx="3364041" cy="2501820"/>
                          </a:xfrm>
                          <a:prstGeom prst="rect">
                            <a:avLst/>
                          </a:prstGeom>
                          <a:ln/>
                        </pic:spPr>
                      </pic:pic>
                    </a:graphicData>
                  </a:graphic>
                </wp:inline>
              </w:drawing>
            </w:r>
          </w:p>
        </w:tc>
      </w:tr>
    </w:tbl>
    <w:p w14:paraId="4B34598E" w14:textId="77777777" w:rsidR="001D0AFA" w:rsidRPr="00966FED" w:rsidRDefault="001D0AFA" w:rsidP="005F584E">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lastRenderedPageBreak/>
        <w:t xml:space="preserve">In the initial phase of the investigation (30–200°C), Sample 1 exhibited a weight loss of 2.82%, while Sample 9 showed a higher weight loss of 3.67%. This can be attributed to the evaporation of free water, hydrogen-bonded water, and water bonded to silicate molecules formed during the geopolymerization process </w:t>
      </w:r>
      <w:r w:rsidRPr="00966FED">
        <w:rPr>
          <w:rFonts w:ascii="Times New Roman" w:eastAsia="Calibri" w:hAnsi="Times New Roman" w:cs="Times New Roman"/>
          <w:color w:val="000000"/>
        </w:rPr>
        <w:t>[18], [50]</w:t>
      </w:r>
      <w:r w:rsidRPr="00966FED">
        <w:rPr>
          <w:rFonts w:ascii="Times New Roman" w:eastAsia="Calibri" w:hAnsi="Times New Roman" w:cs="Times New Roman"/>
        </w:rPr>
        <w:t xml:space="preserve">. Additionally, further weight loss can be attributed to the softening stage of solvent vaporization </w:t>
      </w:r>
      <w:r w:rsidRPr="00966FED">
        <w:rPr>
          <w:rFonts w:ascii="Times New Roman" w:eastAsia="Calibri" w:hAnsi="Times New Roman" w:cs="Times New Roman"/>
          <w:color w:val="000000"/>
        </w:rPr>
        <w:t>[51]</w:t>
      </w:r>
      <w:r w:rsidRPr="00966FED">
        <w:rPr>
          <w:rFonts w:ascii="Times New Roman" w:eastAsia="Calibri" w:hAnsi="Times New Roman" w:cs="Times New Roman"/>
        </w:rPr>
        <w:t xml:space="preserve">. </w:t>
      </w:r>
    </w:p>
    <w:p w14:paraId="325C7321"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The small weight loss observed in Sample 1 can be correlated with its lower Si/Al ratio, which results in a denser, more rigid structure that retains moisture more effectively and delays decomposition. This can be attributed to the minimal water content evaporated when exposed to fire, thus generating less pressure in the pores and thermal expansion. Since thermal expansion plays a crucial role in enhancing the insulating properties of fire-resistant coatings, this reduced expansion prevents the formation of an effective protective barrier. Consequently, the diminished thermal expansion compromises its fire resistance by allowing greater heat transfer to the underlying substrate.</w:t>
      </w:r>
    </w:p>
    <w:p w14:paraId="1FB98AF6"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In contrast, a higher weight loss was observed for Sample 9. This behavior is associated with endothermic dehydration, which promotes faster intumescence during heat exposure. This result further supports the improved thermal insulation associated with higher Si/Al ratios </w:t>
      </w:r>
      <w:r w:rsidRPr="00966FED">
        <w:rPr>
          <w:rFonts w:ascii="Times New Roman" w:eastAsia="Calibri" w:hAnsi="Times New Roman" w:cs="Times New Roman"/>
          <w:color w:val="000000"/>
        </w:rPr>
        <w:t>[18]</w:t>
      </w:r>
      <w:r w:rsidRPr="00966FED">
        <w:rPr>
          <w:rFonts w:ascii="Times New Roman" w:eastAsia="Calibri" w:hAnsi="Times New Roman" w:cs="Times New Roman"/>
        </w:rPr>
        <w:t xml:space="preserve">. </w:t>
      </w:r>
    </w:p>
    <w:p w14:paraId="2C14CE45"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The subsequent stage of the TGA curve (200-500°C), where a weight loss of 32.19% and 25.10% was observed for Sample 1 and Sample 9, respectively, can be attributed to the oxidative degradation of AP [52]. This is depicted as the greater amount of weight loss in Sample 1, which can be attributed to the lower GBC/AP ratio. A lower GBC/AP ratio indicates a higher amount of AP used in the mixture. This results in an increase in oxidative degradation upon exposure to fire, resulting in higher weight loss.  In contrast, Sample 9 with the higher Si/Al ratio allows the formation of a more stable char layer during thermal expansion caused by the evaporation of water and the oxidative degradation of the AP. This stability is due to the 2D linear structure of the geopolymer paste [46], [52], [53]. This characteristic allows for the expansion of the coating during the formation of the intumescent layer, which aids in protecting the substrate from the heat source and increasing the time taken to reach 300°C.</w:t>
      </w:r>
    </w:p>
    <w:p w14:paraId="3539EACF"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The third and final stage of the TGA curve (500-900°C) is attributed to the loss of bound water in the geopolymer matrix. During this phase, the rate of water loss was examined, in which values of 0.01418 (%/°C) for Sample 1 and 0.01429 (%/°C) for Sample 9 were observed. No significant difference in the rate of water loss between the two samples, since the amount of water was held constant across all samples. This region also signifies where the material achieved thermal stability [18].</w:t>
      </w:r>
    </w:p>
    <w:p w14:paraId="09F1D474"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Furthermore, the residual weight of the coating was examined at the end of the experiment, revealing values of 59.33% and 65.53% for Samples 1 and 9, respectively. The lower residual weight for Sample 1 can be attributed to the higher amount of AP that underwent oxidative degradation, and the opposite is true for Sample 9. This lower residual weight indicates that Sample 1 is less stable during thermal degradation. In contrast, the higher residual weight of Sample 9 demonstrates superior thermal performance, implying that it can better withstand high-temperature conditions and has better thermal stability.</w:t>
      </w:r>
    </w:p>
    <w:p w14:paraId="5D069D4D" w14:textId="1E0245CD" w:rsidR="00284348" w:rsidRPr="00966FED" w:rsidRDefault="001D0AFA"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The GFC samples exhibiting the poorest (Sample 1), best (Sample 9), and optimized fire resistance performance were selected for further material characterization and microstructural analysis using scanning electron microscopy </w:t>
      </w:r>
      <w:r w:rsidR="00284348" w:rsidRPr="00966FED">
        <w:rPr>
          <w:rFonts w:ascii="Times New Roman" w:eastAsia="Calibri" w:hAnsi="Times New Roman" w:cs="Times New Roman"/>
        </w:rPr>
        <w:t xml:space="preserve">(SEM) at magnifications of x1000 and x8000. The SEM observations were interpreted based on observable microstructural features such as crack formation, particle distribution, and pore structure within the coating matrix. Figure 11 shows the SEM micrographs of the GFC samples before the fire resistance test. The SEM micrographs of Sample 1 show a relatively uniform matrix with fewer visible unreacted aluminosilicate particles. This observation is consistent with the lower Si/Al ratio, which may promote greater dissolution of precursor materials during geopolymerization. Additionally, it can also be attributed to the lower GBC/AP ratio, which indicates that the GBC was more effectively mixed with the AP, resulting in a more uniform surface. However, despite the smoother texture, visible cracks were present as shown in Figures 11a and 11b. This can be attributed to its lower Si/Al ratio, which makes the coating more rigid. This behavior is attributed to the lower Si/Al ratio, which results in a more rigid matrix with reduced resistance to thermal cracking. These cracks facilitate heat transfer to the substrate, thereby reducing fire resistance [11].  </w:t>
      </w:r>
    </w:p>
    <w:p w14:paraId="61CD853D" w14:textId="77777777"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In contrast, Sample 9 exhibited a surface containing a greater number of visible particles and microstructural heterogeneities, as shown in Figures 11c and 11d. These features may be associated with incomplete dissolution </w:t>
      </w:r>
      <w:r w:rsidRPr="00966FED">
        <w:rPr>
          <w:rFonts w:ascii="Times New Roman" w:eastAsia="Calibri" w:hAnsi="Times New Roman" w:cs="Times New Roman"/>
        </w:rPr>
        <w:lastRenderedPageBreak/>
        <w:t xml:space="preserve">of aluminosilicate precursors at higher Si/Al and GBC/AP ratios, resulting in the presence of residual particles within the coating matrix. That is, the aluminosilicate precursors used were not fully dissolved in the AA solution prior to mixing with the AP. Despite the presence of these residual particles, the coating exhibited improved fire resistance, likely due to the formation of a more stable geopolymer network and char layer during thermal exposure [18]. </w:t>
      </w:r>
    </w:p>
    <w:p w14:paraId="247D4F13" w14:textId="77777777"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Figures 11e and 11f show that the optimized GFC sample exhibited a more homogeneous microstructure with fewer visible unreacted particles and reduced microcrack formation. Aside from a high Si/Al ratio and low GBC/AP ratio. This improvement in homogeneity and structural integrity can also be attributed to the addition of nanosilica, which acts as a filler material, occupying voids within the geopolymer matrix and enhancing overall compactness.  The denser microstructure of the optimized coating promotes the formation of a stronger char layer, thereby delaying heat penetration to the substrate [47], [48].</w:t>
      </w:r>
    </w:p>
    <w:p w14:paraId="764F648A" w14:textId="2E9FC4D5"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After the samples were directly exposed to fire during the fire resistance test, the upper surface of the coating was analyzed to characterize its surface morphology. Figure 12 shows the SEM micrographs of the residue of the poorest (Sample 1), best (Sample 9), and optimized GFC samples after the fire resistance test at magnifications of 1000x and 8000x. The porosity of the GFC samples plays an important role in the formation of the char layer of the coating, which significantly influences the fire resistance performance of the coating. A porous structure reduces heat transfer between the fire source and the underlying substrate [54]. The presence of pores can be attributed to the rapid evaporation of water and the decomposition of volatile compounds within the coating during heat exposure [18], [55]. During the evaporation process of the free water in the coating, it escapes, creating a porous layer that acts as a pathway for the gas to escape. Furthermore, the evaporation of water molecules induces swelling of the coating, thereby enhancing its intumescent properties [56]. </w:t>
      </w:r>
    </w:p>
    <w:p w14:paraId="5ED0FDC3" w14:textId="77777777"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In Sample 1, shown in Figure 12a, SEM images clearly show the presence of wide cracks and large fissures within the char layer. The observed cracks in these samples are attributed to their lower Si/Al ratios. Lower Si/Al ratios produce a more rigid and less elastic coating structure. Reduced elasticity limits the coating’s ability to expand during thermal exposure, causing stress-induced fractures to widen as the material swells due to the escaping water vapor and volatile compounds [11]. Additionally, a lower Si/Al ratio results in shrinkage of the geopolymer matrix upon exposure to high-temperature as previously stated [44], [45]. Furthermore, this can also be attributed to its low GBC/AP ratio. A higher GBC/AP ratio means higher AP content, resulting in a higher number of volatile compounds decomposing [18], [43]. The presence of these cracks facilitates heat penetration, thereby reducing their fire resistance. </w:t>
      </w:r>
    </w:p>
    <w:p w14:paraId="12A416F5" w14:textId="77777777"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In contrast, Sample 9, shown in Figures 12c and 12d, exhibited a char layer containing smaller and less extensive cracks compared to Sample 1. This can be attributed to its higher Si/Al ratio and GBC/AP ratio. A high Si/Al ratio increases the elasticity of the coating and, at the same time, produces a more compact gel structure. This is attributed to the excellent dimensional stability of a higher Si/Al ratio when exposed to high temperatures. Thus, allowing the formation of a stronger intumescent char layer [57]. The increased GBC/AP ratio reduces the amount of AP in the formulation, thereby lowering the concentration of volatile compounds that decompose upon exposure to fire. These result in a more thermally stable coating with improved fire resistance.</w:t>
      </w:r>
    </w:p>
    <w:p w14:paraId="399DC362" w14:textId="3C1164CF" w:rsidR="001D0AFA" w:rsidRPr="00966FED" w:rsidRDefault="00284348" w:rsidP="00284348">
      <w:pPr>
        <w:spacing w:line="240" w:lineRule="auto"/>
        <w:ind w:firstLine="284"/>
        <w:jc w:val="both"/>
        <w:rPr>
          <w:rFonts w:ascii="Times New Roman" w:eastAsia="Calibri" w:hAnsi="Times New Roman" w:cs="Times New Roman"/>
        </w:rPr>
        <w:sectPr w:rsidR="001D0AFA" w:rsidRPr="00966FED" w:rsidSect="009C6A44">
          <w:pgSz w:w="11907" w:h="16840" w:code="9"/>
          <w:pgMar w:top="1080" w:right="605" w:bottom="605" w:left="605" w:header="346" w:footer="403" w:gutter="0"/>
          <w:cols w:space="708"/>
          <w:docGrid w:linePitch="360"/>
        </w:sectPr>
      </w:pPr>
      <w:r w:rsidRPr="00966FED">
        <w:rPr>
          <w:rFonts w:ascii="Times New Roman" w:eastAsia="Calibri" w:hAnsi="Times New Roman" w:cs="Times New Roman"/>
        </w:rPr>
        <w:t>Similarly, the optimized GFC, shown in Figures 12e and 12f, exhibited a more continuous char layer with fewer visible cracks and pores, indicating improved structural stability after thermal exposure. This enhanced homogeneity is due to the optimized balance of Si/Al and GBC/AP ratios, along with the incorporation of nanosilica. The presence of nanosilica enhances the structural integrity of the coating by promoting a more uniform expansion during heat exposure as it fills the voids in the coating matrix. Additionally, it ultimately strengthens the char layer by making it denser and more compact, thus improving its ability to withstand high temperatures, limiting direct heat penetration, and ensuring prolonged protection of the underlying substrate in high-temperature conditions [47], [48]. The combination of these factors demonstrates how the optimized formulation effectively enhances the protective capability of the GFC under extreme conditions.</w:t>
      </w:r>
    </w:p>
    <w:p w14:paraId="2E31FCF0" w14:textId="15030DEE" w:rsidR="001D0AFA" w:rsidRPr="00966FED" w:rsidRDefault="001D0AFA" w:rsidP="001D0AFA">
      <w:pPr>
        <w:rPr>
          <w:rFonts w:ascii="Times New Roman" w:eastAsia="Calibri" w:hAnsi="Times New Roman" w:cs="Times New Roman"/>
        </w:rPr>
      </w:pPr>
      <w:r w:rsidRPr="00966FED">
        <w:rPr>
          <w:rFonts w:ascii="Times New Roman" w:eastAsia="Calibri" w:hAnsi="Times New Roman" w:cs="Times New Roman"/>
          <w:b/>
          <w:bCs/>
        </w:rPr>
        <w:t xml:space="preserve">Figure 11. </w:t>
      </w:r>
      <w:r w:rsidRPr="00966FED">
        <w:rPr>
          <w:rFonts w:ascii="Times New Roman" w:eastAsia="Calibri" w:hAnsi="Times New Roman" w:cs="Times New Roman"/>
        </w:rPr>
        <w:t xml:space="preserve">SEM micrographs of the </w:t>
      </w:r>
      <w:r w:rsidRPr="00966FED">
        <w:rPr>
          <w:rFonts w:ascii="Times New Roman" w:eastAsia="Calibri" w:hAnsi="Times New Roman" w:cs="Times New Roman"/>
          <w:b/>
          <w:bCs/>
        </w:rPr>
        <w:t>(a,b)</w:t>
      </w:r>
      <w:r w:rsidRPr="00966FED">
        <w:rPr>
          <w:rFonts w:ascii="Times New Roman" w:eastAsia="Calibri" w:hAnsi="Times New Roman" w:cs="Times New Roman"/>
        </w:rPr>
        <w:t xml:space="preserve"> poorest (Sample 1), </w:t>
      </w:r>
      <w:r w:rsidRPr="00966FED">
        <w:rPr>
          <w:rFonts w:ascii="Times New Roman" w:eastAsia="Calibri" w:hAnsi="Times New Roman" w:cs="Times New Roman"/>
          <w:b/>
          <w:bCs/>
        </w:rPr>
        <w:t>(c,d)</w:t>
      </w:r>
      <w:r w:rsidRPr="00966FED">
        <w:rPr>
          <w:rFonts w:ascii="Times New Roman" w:eastAsia="Calibri" w:hAnsi="Times New Roman" w:cs="Times New Roman"/>
        </w:rPr>
        <w:t xml:space="preserve"> best (Sample 9), and </w:t>
      </w:r>
      <w:r w:rsidRPr="00966FED">
        <w:rPr>
          <w:rFonts w:ascii="Times New Roman" w:eastAsia="Calibri" w:hAnsi="Times New Roman" w:cs="Times New Roman"/>
          <w:b/>
          <w:bCs/>
        </w:rPr>
        <w:t>(e,f)</w:t>
      </w:r>
      <w:r w:rsidRPr="00966FED">
        <w:rPr>
          <w:rFonts w:ascii="Times New Roman" w:eastAsia="Calibri" w:hAnsi="Times New Roman" w:cs="Times New Roman"/>
        </w:rPr>
        <w:t xml:space="preserve"> optimized GFC samples before fire resistance test at 1000x (left, 10 µm) and 8000x (right, 2 µm) magnifications.</w:t>
      </w:r>
    </w:p>
    <w:tbl>
      <w:tblPr>
        <w:tblW w:w="9152" w:type="dxa"/>
        <w:jc w:val="center"/>
        <w:tblLayout w:type="fixed"/>
        <w:tblLook w:val="0000" w:firstRow="0" w:lastRow="0" w:firstColumn="0" w:lastColumn="0" w:noHBand="0" w:noVBand="0"/>
      </w:tblPr>
      <w:tblGrid>
        <w:gridCol w:w="4454"/>
        <w:gridCol w:w="4698"/>
      </w:tblGrid>
      <w:tr w:rsidR="001D0AFA" w:rsidRPr="00966FED" w14:paraId="4B7904BA" w14:textId="77777777" w:rsidTr="00AC0ED3">
        <w:trPr>
          <w:jc w:val="center"/>
        </w:trPr>
        <w:tc>
          <w:tcPr>
            <w:tcW w:w="4454" w:type="dxa"/>
            <w:vAlign w:val="center"/>
          </w:tcPr>
          <w:p w14:paraId="4EC1548F" w14:textId="3E6D409F" w:rsidR="001D0AFA" w:rsidRPr="00966FED" w:rsidRDefault="00966FED"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Calibri" w:hAnsi="Times New Roman" w:cs="Times New Roman"/>
                <w:noProof/>
              </w:rPr>
              <w:lastRenderedPageBreak/>
              <mc:AlternateContent>
                <mc:Choice Requires="wps">
                  <w:drawing>
                    <wp:anchor distT="45720" distB="45720" distL="114300" distR="114300" simplePos="0" relativeHeight="251708416" behindDoc="0" locked="0" layoutInCell="1" hidden="0" allowOverlap="1" wp14:anchorId="08EAEBA8" wp14:editId="34C9C05F">
                      <wp:simplePos x="0" y="0"/>
                      <wp:positionH relativeFrom="page">
                        <wp:posOffset>1850390</wp:posOffset>
                      </wp:positionH>
                      <wp:positionV relativeFrom="page">
                        <wp:posOffset>1529080</wp:posOffset>
                      </wp:positionV>
                      <wp:extent cx="669925" cy="387350"/>
                      <wp:effectExtent l="0" t="0" r="0" b="0"/>
                      <wp:wrapNone/>
                      <wp:docPr id="2138368087" name="Rectangle 2138368087"/>
                      <wp:cNvGraphicFramePr/>
                      <a:graphic xmlns:a="http://schemas.openxmlformats.org/drawingml/2006/main">
                        <a:graphicData uri="http://schemas.microsoft.com/office/word/2010/wordprocessingShape">
                          <wps:wsp>
                            <wps:cNvSpPr/>
                            <wps:spPr>
                              <a:xfrm>
                                <a:off x="0" y="0"/>
                                <a:ext cx="669925" cy="387350"/>
                              </a:xfrm>
                              <a:prstGeom prst="rect">
                                <a:avLst/>
                              </a:prstGeom>
                              <a:noFill/>
                              <a:ln>
                                <a:noFill/>
                              </a:ln>
                            </wps:spPr>
                            <wps:txbx>
                              <w:txbxContent>
                                <w:p w14:paraId="60A7BE09" w14:textId="77777777" w:rsidR="00966FED" w:rsidRDefault="00966FED" w:rsidP="00966FED">
                                  <w:pPr>
                                    <w:jc w:val="center"/>
                                    <w:textDirection w:val="btLr"/>
                                  </w:pPr>
                                  <w:r>
                                    <w:rPr>
                                      <w:color w:val="FFFF00"/>
                                    </w:rPr>
                                    <w:t>crack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EAEBA8" id="Rectangle 2138368087" o:spid="_x0000_s1036" style="position:absolute;left:0;text-align:left;margin-left:145.7pt;margin-top:120.4pt;width:52.75pt;height:30.5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" filled="f" stroked="f">
                      <v:textbox inset="2.53958mm,1.2694mm,2.53958mm,1.2694mm">
                        <w:txbxContent>
                          <w:p w14:paraId="60A7BE09" w14:textId="77777777" w:rsidR="00966FED" w:rsidRDefault="00966FED" w:rsidP="00966FED">
                            <w:pPr>
                              <w:jc w:val="center"/>
                              <w:textDirection w:val="btLr"/>
                            </w:pPr>
                            <w:r>
                              <w:rPr>
                                <w:color w:val="FFFF00"/>
                              </w:rPr>
                              <w:t>crack</w:t>
                            </w:r>
                          </w:p>
                        </w:txbxContent>
                      </v:textbox>
                      <w10:wrap anchorx="page" anchory="page"/>
                    </v:rect>
                  </w:pict>
                </mc:Fallback>
              </mc:AlternateContent>
            </w:r>
            <w:r w:rsidR="001D0AFA" w:rsidRPr="00966FED">
              <w:rPr>
                <w:rFonts w:ascii="Times New Roman" w:eastAsia="Palatino Linotype" w:hAnsi="Times New Roman" w:cs="Times New Roman"/>
                <w:noProof/>
                <w:color w:val="000000"/>
                <w:sz w:val="20"/>
                <w:szCs w:val="20"/>
              </w:rPr>
              <w:drawing>
                <wp:inline distT="0" distB="0" distL="0" distR="0" wp14:anchorId="629AF74C" wp14:editId="25CA55B6">
                  <wp:extent cx="2666274" cy="2133020"/>
                  <wp:effectExtent l="0" t="0" r="0" b="0"/>
                  <wp:docPr id="2138368149"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3"/>
                          <a:srcRect/>
                          <a:stretch>
                            <a:fillRect/>
                          </a:stretch>
                        </pic:blipFill>
                        <pic:spPr>
                          <a:xfrm>
                            <a:off x="0" y="0"/>
                            <a:ext cx="2666274" cy="2133020"/>
                          </a:xfrm>
                          <a:prstGeom prst="rect">
                            <a:avLst/>
                          </a:prstGeom>
                          <a:ln/>
                        </pic:spPr>
                      </pic:pic>
                    </a:graphicData>
                  </a:graphic>
                </wp:inline>
              </w:drawing>
            </w:r>
            <w:r w:rsidR="001D0AFA" w:rsidRPr="00966FED">
              <w:rPr>
                <w:rFonts w:ascii="Times New Roman" w:hAnsi="Times New Roman" w:cs="Times New Roman"/>
                <w:noProof/>
              </w:rPr>
              <mc:AlternateContent>
                <mc:Choice Requires="wps">
                  <w:drawing>
                    <wp:anchor distT="0" distB="0" distL="114300" distR="114300" simplePos="0" relativeHeight="251672576" behindDoc="0" locked="0" layoutInCell="1" hidden="0" allowOverlap="1" wp14:anchorId="2B542AAE" wp14:editId="56F6259C">
                      <wp:simplePos x="0" y="0"/>
                      <wp:positionH relativeFrom="column">
                        <wp:posOffset>926465</wp:posOffset>
                      </wp:positionH>
                      <wp:positionV relativeFrom="paragraph">
                        <wp:posOffset>878840</wp:posOffset>
                      </wp:positionV>
                      <wp:extent cx="738505" cy="738505"/>
                      <wp:effectExtent l="0" t="0" r="0" b="0"/>
                      <wp:wrapNone/>
                      <wp:docPr id="2138368084" name="Oval 2138368084"/>
                      <wp:cNvGraphicFramePr/>
                      <a:graphic xmlns:a="http://schemas.openxmlformats.org/drawingml/2006/main">
                        <a:graphicData uri="http://schemas.microsoft.com/office/word/2010/wordprocessingShape">
                          <wps:wsp>
                            <wps:cNvSpPr/>
                            <wps:spPr>
                              <a:xfrm>
                                <a:off x="4986273" y="3420273"/>
                                <a:ext cx="719455" cy="719455"/>
                              </a:xfrm>
                              <a:prstGeom prst="ellipse">
                                <a:avLst/>
                              </a:prstGeom>
                              <a:noFill/>
                              <a:ln w="19050" cap="flat" cmpd="sng">
                                <a:solidFill>
                                  <a:srgbClr val="FFFF00"/>
                                </a:solidFill>
                                <a:prstDash val="dash"/>
                                <a:miter lim="800000"/>
                                <a:headEnd type="none" w="sm" len="sm"/>
                                <a:tailEnd type="none" w="sm" len="sm"/>
                              </a:ln>
                            </wps:spPr>
                            <wps:txbx>
                              <w:txbxContent>
                                <w:p w14:paraId="623AA9D7" w14:textId="77777777" w:rsidR="001D0AFA" w:rsidRDefault="001D0AFA" w:rsidP="001D0AFA">
                                  <w:pPr>
                                    <w:textDirection w:val="btLr"/>
                                  </w:pPr>
                                </w:p>
                              </w:txbxContent>
                            </wps:txbx>
                            <wps:bodyPr spcFirstLastPara="1" wrap="square" lIns="91425" tIns="91425" rIns="91425" bIns="91425" anchor="ctr" anchorCtr="0">
                              <a:noAutofit/>
                            </wps:bodyPr>
                          </wps:wsp>
                        </a:graphicData>
                      </a:graphic>
                    </wp:anchor>
                  </w:drawing>
                </mc:Choice>
                <mc:Fallback>
                  <w:pict>
                    <v:oval w14:anchorId="2B542AAE" id="Oval 2138368084" o:spid="_x0000_s1037" style="position:absolute;left:0;text-align:left;margin-left:72.95pt;margin-top:69.2pt;width:58.15pt;height:5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" filled="f" strokecolor="yellow" strokeweight="1.5pt">
                      <v:stroke dashstyle="dash" startarrowwidth="narrow" startarrowlength="short" endarrowwidth="narrow" endarrowlength="short" joinstyle="miter"/>
                      <v:textbox inset="2.53958mm,2.53958mm,2.53958mm,2.53958mm">
                        <w:txbxContent>
                          <w:p w14:paraId="623AA9D7" w14:textId="77777777" w:rsidR="001D0AFA" w:rsidRDefault="001D0AFA" w:rsidP="001D0AFA">
                            <w:pPr>
                              <w:textDirection w:val="btLr"/>
                            </w:pPr>
                          </w:p>
                        </w:txbxContent>
                      </v:textbox>
                    </v:oval>
                  </w:pict>
                </mc:Fallback>
              </mc:AlternateContent>
            </w:r>
            <w:r w:rsidR="001D0AFA" w:rsidRPr="00966FED">
              <w:rPr>
                <w:rFonts w:ascii="Times New Roman" w:hAnsi="Times New Roman" w:cs="Times New Roman"/>
                <w:noProof/>
              </w:rPr>
              <mc:AlternateContent>
                <mc:Choice Requires="wps">
                  <w:drawing>
                    <wp:anchor distT="0" distB="0" distL="114300" distR="114300" simplePos="0" relativeHeight="251673600" behindDoc="0" locked="0" layoutInCell="1" hidden="0" allowOverlap="1" wp14:anchorId="3C0DA7B1" wp14:editId="72E6F8DB">
                      <wp:simplePos x="0" y="0"/>
                      <wp:positionH relativeFrom="column">
                        <wp:posOffset>1657985</wp:posOffset>
                      </wp:positionH>
                      <wp:positionV relativeFrom="paragraph">
                        <wp:posOffset>1153795</wp:posOffset>
                      </wp:positionV>
                      <wp:extent cx="1511300" cy="57785"/>
                      <wp:effectExtent l="0" t="0" r="0" b="0"/>
                      <wp:wrapNone/>
                      <wp:docPr id="2138368078" name="Straight Arrow Connector 2138368078"/>
                      <wp:cNvGraphicFramePr/>
                      <a:graphic xmlns:a="http://schemas.openxmlformats.org/drawingml/2006/main">
                        <a:graphicData uri="http://schemas.microsoft.com/office/word/2010/wordprocessingShape">
                          <wps:wsp>
                            <wps:cNvCnPr/>
                            <wps:spPr>
                              <a:xfrm rot="10800000" flipH="1">
                                <a:off x="4596700" y="3757458"/>
                                <a:ext cx="1498600" cy="4508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type w14:anchorId="1F456F55" id="_x0000_t32" coordsize="21600,21600" o:spt="32" o:oned="t" path="m,l21600,21600e" filled="f">
                      <v:path arrowok="t" fillok="f" o:connecttype="none"/>
                      <o:lock v:ext="edit" shapetype="t"/>
                    </v:shapetype>
                    <v:shape id="Straight Arrow Connector 2138368078" o:spid="_x0000_s1026" type="#_x0000_t32" style="position:absolute;margin-left:130.55pt;margin-top:90.85pt;width:119pt;height:4.55pt;rotation:18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" strokecolor="yellow" strokeweight="1pt">
                      <v:stroke dashstyle="dash" startarrowwidth="narrow" startarrowlength="short" endarrow="block" joinstyle="miter"/>
                    </v:shape>
                  </w:pict>
                </mc:Fallback>
              </mc:AlternateContent>
            </w:r>
            <w:r w:rsidR="001D0AFA" w:rsidRPr="00966FED">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21E5D54F" wp14:editId="0934F2F9">
                      <wp:simplePos x="0" y="0"/>
                      <wp:positionH relativeFrom="column">
                        <wp:posOffset>1458595</wp:posOffset>
                      </wp:positionH>
                      <wp:positionV relativeFrom="paragraph">
                        <wp:posOffset>1737995</wp:posOffset>
                      </wp:positionV>
                      <wp:extent cx="436880" cy="68580"/>
                      <wp:effectExtent l="0" t="0" r="0" b="0"/>
                      <wp:wrapNone/>
                      <wp:docPr id="2138368104" name="Straight Arrow Connector 2138368104"/>
                      <wp:cNvGraphicFramePr/>
                      <a:graphic xmlns:a="http://schemas.openxmlformats.org/drawingml/2006/main">
                        <a:graphicData uri="http://schemas.microsoft.com/office/word/2010/wordprocessingShape">
                          <wps:wsp>
                            <wps:cNvCnPr/>
                            <wps:spPr>
                              <a:xfrm flipH="1">
                                <a:off x="5133910" y="3752060"/>
                                <a:ext cx="424180" cy="5588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135E9030" id="Straight Arrow Connector 2138368104" o:spid="_x0000_s1026" type="#_x0000_t32" style="position:absolute;margin-left:114.85pt;margin-top:136.85pt;width:34.4pt;height:5.4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" strokecolor="yellow" strokeweight="1pt">
                      <v:stroke dashstyle="dash" startarrowwidth="narrow" startarrowlength="short" endarrow="block" joinstyle="miter"/>
                    </v:shape>
                  </w:pict>
                </mc:Fallback>
              </mc:AlternateContent>
            </w:r>
          </w:p>
        </w:tc>
        <w:tc>
          <w:tcPr>
            <w:tcW w:w="4698" w:type="dxa"/>
            <w:vAlign w:val="center"/>
          </w:tcPr>
          <w:p w14:paraId="69D5D5D4" w14:textId="0054F685" w:rsidR="001D0AFA" w:rsidRPr="00966FED" w:rsidRDefault="00966FED"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Calibri" w:hAnsi="Times New Roman" w:cs="Times New Roman"/>
                <w:noProof/>
              </w:rPr>
              <mc:AlternateContent>
                <mc:Choice Requires="wps">
                  <w:drawing>
                    <wp:anchor distT="45720" distB="45720" distL="114300" distR="114300" simplePos="0" relativeHeight="251710464" behindDoc="0" locked="0" layoutInCell="1" hidden="0" allowOverlap="1" wp14:anchorId="4D4158D3" wp14:editId="369289CB">
                      <wp:simplePos x="0" y="0"/>
                      <wp:positionH relativeFrom="page">
                        <wp:posOffset>2280285</wp:posOffset>
                      </wp:positionH>
                      <wp:positionV relativeFrom="page">
                        <wp:posOffset>1009015</wp:posOffset>
                      </wp:positionV>
                      <wp:extent cx="660400" cy="408305"/>
                      <wp:effectExtent l="0" t="0" r="0" b="0"/>
                      <wp:wrapNone/>
                      <wp:docPr id="2138368117" name="Rectangle 2138368117"/>
                      <wp:cNvGraphicFramePr/>
                      <a:graphic xmlns:a="http://schemas.openxmlformats.org/drawingml/2006/main">
                        <a:graphicData uri="http://schemas.microsoft.com/office/word/2010/wordprocessingShape">
                          <wps:wsp>
                            <wps:cNvSpPr/>
                            <wps:spPr>
                              <a:xfrm>
                                <a:off x="0" y="0"/>
                                <a:ext cx="660400" cy="408305"/>
                              </a:xfrm>
                              <a:prstGeom prst="rect">
                                <a:avLst/>
                              </a:prstGeom>
                              <a:noFill/>
                              <a:ln>
                                <a:noFill/>
                              </a:ln>
                            </wps:spPr>
                            <wps:txbx>
                              <w:txbxContent>
                                <w:p w14:paraId="313A3150" w14:textId="77777777" w:rsidR="00966FED" w:rsidRDefault="00966FED" w:rsidP="00966FED">
                                  <w:pPr>
                                    <w:jc w:val="center"/>
                                    <w:textDirection w:val="btLr"/>
                                  </w:pPr>
                                  <w:r>
                                    <w:rPr>
                                      <w:color w:val="FFFF00"/>
                                    </w:rPr>
                                    <w:t>crack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4158D3" id="Rectangle 2138368117" o:spid="_x0000_s1038" style="position:absolute;left:0;text-align:left;margin-left:179.55pt;margin-top:79.45pt;width:52pt;height:32.1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" filled="f" stroked="f">
                      <v:textbox inset="2.53958mm,1.2694mm,2.53958mm,1.2694mm">
                        <w:txbxContent>
                          <w:p w14:paraId="313A3150" w14:textId="77777777" w:rsidR="00966FED" w:rsidRDefault="00966FED" w:rsidP="00966FED">
                            <w:pPr>
                              <w:jc w:val="center"/>
                              <w:textDirection w:val="btLr"/>
                            </w:pPr>
                            <w:r>
                              <w:rPr>
                                <w:color w:val="FFFF00"/>
                              </w:rPr>
                              <w:t>crack</w:t>
                            </w:r>
                          </w:p>
                        </w:txbxContent>
                      </v:textbox>
                      <w10:wrap anchorx="page" anchory="page"/>
                    </v:rect>
                  </w:pict>
                </mc:Fallback>
              </mc:AlternateContent>
            </w:r>
            <w:r w:rsidR="001D0AFA" w:rsidRPr="00966FED">
              <w:rPr>
                <w:rFonts w:ascii="Times New Roman" w:eastAsia="Palatino Linotype" w:hAnsi="Times New Roman" w:cs="Times New Roman"/>
                <w:noProof/>
                <w:color w:val="000000"/>
                <w:sz w:val="20"/>
                <w:szCs w:val="20"/>
              </w:rPr>
              <w:drawing>
                <wp:inline distT="0" distB="0" distL="0" distR="0" wp14:anchorId="4F59E192" wp14:editId="462F70D6">
                  <wp:extent cx="2749258" cy="2199407"/>
                  <wp:effectExtent l="0" t="0" r="0" b="0"/>
                  <wp:docPr id="213836815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4"/>
                          <a:srcRect/>
                          <a:stretch>
                            <a:fillRect/>
                          </a:stretch>
                        </pic:blipFill>
                        <pic:spPr>
                          <a:xfrm>
                            <a:off x="0" y="0"/>
                            <a:ext cx="2749258" cy="2199407"/>
                          </a:xfrm>
                          <a:prstGeom prst="rect">
                            <a:avLst/>
                          </a:prstGeom>
                          <a:ln/>
                        </pic:spPr>
                      </pic:pic>
                    </a:graphicData>
                  </a:graphic>
                </wp:inline>
              </w:drawing>
            </w:r>
            <w:r w:rsidR="001D0AFA" w:rsidRPr="00966FED">
              <w:rPr>
                <w:rFonts w:ascii="Times New Roman" w:hAnsi="Times New Roman" w:cs="Times New Roman"/>
                <w:noProof/>
              </w:rPr>
              <mc:AlternateContent>
                <mc:Choice Requires="wps">
                  <w:drawing>
                    <wp:anchor distT="0" distB="0" distL="114300" distR="114300" simplePos="0" relativeHeight="251675648" behindDoc="0" locked="0" layoutInCell="1" hidden="0" allowOverlap="1" wp14:anchorId="25089092" wp14:editId="549EE7D0">
                      <wp:simplePos x="0" y="0"/>
                      <wp:positionH relativeFrom="column">
                        <wp:posOffset>1332230</wp:posOffset>
                      </wp:positionH>
                      <wp:positionV relativeFrom="paragraph">
                        <wp:posOffset>511809</wp:posOffset>
                      </wp:positionV>
                      <wp:extent cx="218440" cy="480060"/>
                      <wp:effectExtent l="0" t="0" r="0" b="0"/>
                      <wp:wrapNone/>
                      <wp:docPr id="2138368090" name="Straight Arrow Connector 2138368090"/>
                      <wp:cNvGraphicFramePr/>
                      <a:graphic xmlns:a="http://schemas.openxmlformats.org/drawingml/2006/main">
                        <a:graphicData uri="http://schemas.microsoft.com/office/word/2010/wordprocessingShape">
                          <wps:wsp>
                            <wps:cNvCnPr/>
                            <wps:spPr>
                              <a:xfrm flipH="1">
                                <a:off x="5243130" y="3546320"/>
                                <a:ext cx="205740" cy="46736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57F387C1" id="Straight Arrow Connector 2138368090" o:spid="_x0000_s1026" type="#_x0000_t32" style="position:absolute;margin-left:104.9pt;margin-top:40.3pt;width:17.2pt;height:37.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" strokecolor="yellow" strokeweight="1pt">
                      <v:stroke dashstyle="dash" startarrowwidth="narrow" startarrowlength="short" endarrow="block" joinstyle="miter"/>
                    </v:shape>
                  </w:pict>
                </mc:Fallback>
              </mc:AlternateContent>
            </w:r>
            <w:r w:rsidR="001D0AFA" w:rsidRPr="00966FED">
              <w:rPr>
                <w:rFonts w:ascii="Times New Roman" w:hAnsi="Times New Roman" w:cs="Times New Roman"/>
                <w:noProof/>
              </w:rPr>
              <mc:AlternateContent>
                <mc:Choice Requires="wps">
                  <w:drawing>
                    <wp:anchor distT="45720" distB="45720" distL="114300" distR="114300" simplePos="0" relativeHeight="251676672" behindDoc="0" locked="0" layoutInCell="1" hidden="0" allowOverlap="1" wp14:anchorId="6F2FE7EF" wp14:editId="1BE19FB5">
                      <wp:simplePos x="0" y="0"/>
                      <wp:positionH relativeFrom="column">
                        <wp:posOffset>895032</wp:posOffset>
                      </wp:positionH>
                      <wp:positionV relativeFrom="paragraph">
                        <wp:posOffset>206058</wp:posOffset>
                      </wp:positionV>
                      <wp:extent cx="1431925" cy="1414145"/>
                      <wp:effectExtent l="0" t="0" r="0" b="0"/>
                      <wp:wrapNone/>
                      <wp:docPr id="2138368110" name="Rectangle 2138368110"/>
                      <wp:cNvGraphicFramePr/>
                      <a:graphic xmlns:a="http://schemas.openxmlformats.org/drawingml/2006/main">
                        <a:graphicData uri="http://schemas.microsoft.com/office/word/2010/wordprocessingShape">
                          <wps:wsp>
                            <wps:cNvSpPr/>
                            <wps:spPr>
                              <a:xfrm>
                                <a:off x="4634800" y="3077690"/>
                                <a:ext cx="1422400" cy="1404620"/>
                              </a:xfrm>
                              <a:prstGeom prst="rect">
                                <a:avLst/>
                              </a:prstGeom>
                              <a:noFill/>
                              <a:ln>
                                <a:noFill/>
                              </a:ln>
                            </wps:spPr>
                            <wps:txbx>
                              <w:txbxContent>
                                <w:p w14:paraId="7F927C7C" w14:textId="77777777" w:rsidR="001D0AFA" w:rsidRDefault="001D0AFA" w:rsidP="001D0AFA">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6F2FE7EF" id="Rectangle 2138368110" o:spid="_x0000_s1039" style="position:absolute;left:0;text-align:left;margin-left:70.45pt;margin-top:16.25pt;width:112.75pt;height:111.3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" filled="f" stroked="f">
                      <v:textbox inset="2.53958mm,1.2694mm,2.53958mm,1.2694mm">
                        <w:txbxContent>
                          <w:p w14:paraId="7F927C7C" w14:textId="77777777" w:rsidR="001D0AFA" w:rsidRDefault="001D0AFA" w:rsidP="001D0AFA">
                            <w:pPr>
                              <w:jc w:val="center"/>
                              <w:textDirection w:val="btLr"/>
                            </w:pPr>
                            <w:r>
                              <w:rPr>
                                <w:color w:val="FFFF00"/>
                              </w:rPr>
                              <w:t>Geopolymer matrix</w:t>
                            </w:r>
                          </w:p>
                        </w:txbxContent>
                      </v:textbox>
                    </v:rect>
                  </w:pict>
                </mc:Fallback>
              </mc:AlternateContent>
            </w:r>
            <w:r w:rsidR="001D0AFA" w:rsidRPr="00966FED">
              <w:rPr>
                <w:rFonts w:ascii="Times New Roman" w:hAnsi="Times New Roman" w:cs="Times New Roman"/>
                <w:noProof/>
              </w:rPr>
              <mc:AlternateContent>
                <mc:Choice Requires="wps">
                  <w:drawing>
                    <wp:anchor distT="0" distB="0" distL="114300" distR="114300" simplePos="0" relativeHeight="251677696" behindDoc="0" locked="0" layoutInCell="1" hidden="0" allowOverlap="1" wp14:anchorId="39B89B2D" wp14:editId="7A25DE91">
                      <wp:simplePos x="0" y="0"/>
                      <wp:positionH relativeFrom="column">
                        <wp:posOffset>1744980</wp:posOffset>
                      </wp:positionH>
                      <wp:positionV relativeFrom="paragraph">
                        <wp:posOffset>1264285</wp:posOffset>
                      </wp:positionV>
                      <wp:extent cx="620395" cy="187325"/>
                      <wp:effectExtent l="0" t="0" r="0" b="0"/>
                      <wp:wrapNone/>
                      <wp:docPr id="2138368088" name="Straight Arrow Connector 2138368088"/>
                      <wp:cNvGraphicFramePr/>
                      <a:graphic xmlns:a="http://schemas.openxmlformats.org/drawingml/2006/main">
                        <a:graphicData uri="http://schemas.microsoft.com/office/word/2010/wordprocessingShape">
                          <wps:wsp>
                            <wps:cNvCnPr/>
                            <wps:spPr>
                              <a:xfrm flipH="1">
                                <a:off x="5042153" y="3692688"/>
                                <a:ext cx="607695" cy="17462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7CAE9CBF" id="Straight Arrow Connector 2138368088" o:spid="_x0000_s1026" type="#_x0000_t32" style="position:absolute;margin-left:137.4pt;margin-top:99.55pt;width:48.85pt;height:14.7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" strokecolor="yellow" strokeweight="1pt">
                      <v:stroke dashstyle="dash" startarrowwidth="narrow" startarrowlength="short" endarrow="block" joinstyle="miter"/>
                    </v:shape>
                  </w:pict>
                </mc:Fallback>
              </mc:AlternateContent>
            </w:r>
          </w:p>
        </w:tc>
      </w:tr>
      <w:tr w:rsidR="001D0AFA" w:rsidRPr="00966FED" w14:paraId="534EB035" w14:textId="77777777" w:rsidTr="00AC0ED3">
        <w:trPr>
          <w:jc w:val="center"/>
        </w:trPr>
        <w:tc>
          <w:tcPr>
            <w:tcW w:w="4454" w:type="dxa"/>
            <w:vAlign w:val="center"/>
          </w:tcPr>
          <w:p w14:paraId="7CB71DD2"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19D85CFC" wp14:editId="1C73F036">
                  <wp:extent cx="2682045" cy="2145636"/>
                  <wp:effectExtent l="0" t="0" r="0" b="0"/>
                  <wp:docPr id="213836815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5"/>
                          <a:srcRect/>
                          <a:stretch>
                            <a:fillRect/>
                          </a:stretch>
                        </pic:blipFill>
                        <pic:spPr>
                          <a:xfrm>
                            <a:off x="0" y="0"/>
                            <a:ext cx="2682045" cy="2145636"/>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78720" behindDoc="0" locked="0" layoutInCell="1" hidden="0" allowOverlap="1" wp14:anchorId="26D31818" wp14:editId="0B500758">
                      <wp:simplePos x="0" y="0"/>
                      <wp:positionH relativeFrom="column">
                        <wp:posOffset>1054100</wp:posOffset>
                      </wp:positionH>
                      <wp:positionV relativeFrom="paragraph">
                        <wp:posOffset>640080</wp:posOffset>
                      </wp:positionV>
                      <wp:extent cx="738505" cy="738505"/>
                      <wp:effectExtent l="0" t="0" r="0" b="0"/>
                      <wp:wrapNone/>
                      <wp:docPr id="2138368111" name="Oval 2138368111"/>
                      <wp:cNvGraphicFramePr/>
                      <a:graphic xmlns:a="http://schemas.openxmlformats.org/drawingml/2006/main">
                        <a:graphicData uri="http://schemas.microsoft.com/office/word/2010/wordprocessingShape">
                          <wps:wsp>
                            <wps:cNvSpPr/>
                            <wps:spPr>
                              <a:xfrm>
                                <a:off x="4986273" y="3420273"/>
                                <a:ext cx="719455" cy="719455"/>
                              </a:xfrm>
                              <a:prstGeom prst="ellipse">
                                <a:avLst/>
                              </a:prstGeom>
                              <a:noFill/>
                              <a:ln w="19050" cap="flat" cmpd="sng">
                                <a:solidFill>
                                  <a:srgbClr val="FFFF00"/>
                                </a:solidFill>
                                <a:prstDash val="dash"/>
                                <a:miter lim="800000"/>
                                <a:headEnd type="none" w="sm" len="sm"/>
                                <a:tailEnd type="none" w="sm" len="sm"/>
                              </a:ln>
                            </wps:spPr>
                            <wps:txbx>
                              <w:txbxContent>
                                <w:p w14:paraId="31BEAA04" w14:textId="77777777" w:rsidR="001D0AFA" w:rsidRDefault="001D0AFA" w:rsidP="001D0AFA">
                                  <w:pPr>
                                    <w:textDirection w:val="btLr"/>
                                  </w:pPr>
                                </w:p>
                              </w:txbxContent>
                            </wps:txbx>
                            <wps:bodyPr spcFirstLastPara="1" wrap="square" lIns="91425" tIns="91425" rIns="91425" bIns="91425" anchor="ctr" anchorCtr="0">
                              <a:noAutofit/>
                            </wps:bodyPr>
                          </wps:wsp>
                        </a:graphicData>
                      </a:graphic>
                    </wp:anchor>
                  </w:drawing>
                </mc:Choice>
                <mc:Fallback>
                  <w:pict>
                    <v:oval w14:anchorId="26D31818" id="Oval 2138368111" o:spid="_x0000_s1040" style="position:absolute;left:0;text-align:left;margin-left:83pt;margin-top:50.4pt;width:58.15pt;height:58.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" filled="f" strokecolor="yellow" strokeweight="1.5pt">
                      <v:stroke dashstyle="dash" startarrowwidth="narrow" startarrowlength="short" endarrowwidth="narrow" endarrowlength="short" joinstyle="miter"/>
                      <v:textbox inset="2.53958mm,2.53958mm,2.53958mm,2.53958mm">
                        <w:txbxContent>
                          <w:p w14:paraId="31BEAA04" w14:textId="77777777" w:rsidR="001D0AFA" w:rsidRDefault="001D0AFA" w:rsidP="001D0AFA">
                            <w:pPr>
                              <w:textDirection w:val="btLr"/>
                            </w:pPr>
                          </w:p>
                        </w:txbxContent>
                      </v:textbox>
                    </v:oval>
                  </w:pict>
                </mc:Fallback>
              </mc:AlternateContent>
            </w:r>
            <w:r w:rsidRPr="00966FED">
              <w:rPr>
                <w:rFonts w:ascii="Times New Roman" w:hAnsi="Times New Roman" w:cs="Times New Roman"/>
                <w:noProof/>
              </w:rPr>
              <mc:AlternateContent>
                <mc:Choice Requires="wps">
                  <w:drawing>
                    <wp:anchor distT="0" distB="0" distL="114300" distR="114300" simplePos="0" relativeHeight="251679744" behindDoc="0" locked="0" layoutInCell="1" hidden="0" allowOverlap="1" wp14:anchorId="18367E68" wp14:editId="7D9C2189">
                      <wp:simplePos x="0" y="0"/>
                      <wp:positionH relativeFrom="column">
                        <wp:posOffset>1779270</wp:posOffset>
                      </wp:positionH>
                      <wp:positionV relativeFrom="paragraph">
                        <wp:posOffset>960119</wp:posOffset>
                      </wp:positionV>
                      <wp:extent cx="1511300" cy="57785"/>
                      <wp:effectExtent l="0" t="0" r="0" b="0"/>
                      <wp:wrapNone/>
                      <wp:docPr id="2138368120" name="Straight Arrow Connector 2138368120"/>
                      <wp:cNvGraphicFramePr/>
                      <a:graphic xmlns:a="http://schemas.openxmlformats.org/drawingml/2006/main">
                        <a:graphicData uri="http://schemas.microsoft.com/office/word/2010/wordprocessingShape">
                          <wps:wsp>
                            <wps:cNvCnPr/>
                            <wps:spPr>
                              <a:xfrm rot="10800000" flipH="1">
                                <a:off x="4596700" y="3757458"/>
                                <a:ext cx="1498600" cy="4508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19EC3435" id="Straight Arrow Connector 2138368120" o:spid="_x0000_s1026" type="#_x0000_t32" style="position:absolute;margin-left:140.1pt;margin-top:75.6pt;width:119pt;height:4.55pt;rotation:18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0" distB="0" distL="114300" distR="114300" simplePos="0" relativeHeight="251680768" behindDoc="0" locked="0" layoutInCell="1" hidden="0" allowOverlap="1" wp14:anchorId="69BF8917" wp14:editId="73FB2F2A">
                      <wp:simplePos x="0" y="0"/>
                      <wp:positionH relativeFrom="column">
                        <wp:posOffset>654050</wp:posOffset>
                      </wp:positionH>
                      <wp:positionV relativeFrom="paragraph">
                        <wp:posOffset>582930</wp:posOffset>
                      </wp:positionV>
                      <wp:extent cx="99060" cy="346710"/>
                      <wp:effectExtent l="0" t="0" r="0" b="0"/>
                      <wp:wrapNone/>
                      <wp:docPr id="2138368116" name="Straight Arrow Connector 2138368116"/>
                      <wp:cNvGraphicFramePr/>
                      <a:graphic xmlns:a="http://schemas.openxmlformats.org/drawingml/2006/main">
                        <a:graphicData uri="http://schemas.microsoft.com/office/word/2010/wordprocessingShape">
                          <wps:wsp>
                            <wps:cNvCnPr/>
                            <wps:spPr>
                              <a:xfrm flipH="1">
                                <a:off x="5302820" y="3612995"/>
                                <a:ext cx="86360" cy="33401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0234A061" id="Straight Arrow Connector 2138368116" o:spid="_x0000_s1026" type="#_x0000_t32" style="position:absolute;margin-left:51.5pt;margin-top:45.9pt;width:7.8pt;height:27.3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81792" behindDoc="0" locked="0" layoutInCell="1" hidden="0" allowOverlap="1" wp14:anchorId="064D491C" wp14:editId="5DFA6B8C">
                      <wp:simplePos x="0" y="0"/>
                      <wp:positionH relativeFrom="column">
                        <wp:posOffset>291783</wp:posOffset>
                      </wp:positionH>
                      <wp:positionV relativeFrom="paragraph">
                        <wp:posOffset>276542</wp:posOffset>
                      </wp:positionV>
                      <wp:extent cx="1139825" cy="1414145"/>
                      <wp:effectExtent l="0" t="0" r="0" b="0"/>
                      <wp:wrapNone/>
                      <wp:docPr id="2138368098" name="Rectangle 2138368098"/>
                      <wp:cNvGraphicFramePr/>
                      <a:graphic xmlns:a="http://schemas.openxmlformats.org/drawingml/2006/main">
                        <a:graphicData uri="http://schemas.microsoft.com/office/word/2010/wordprocessingShape">
                          <wps:wsp>
                            <wps:cNvSpPr/>
                            <wps:spPr>
                              <a:xfrm>
                                <a:off x="4780850" y="3077690"/>
                                <a:ext cx="1130300" cy="1404620"/>
                              </a:xfrm>
                              <a:prstGeom prst="rect">
                                <a:avLst/>
                              </a:prstGeom>
                              <a:noFill/>
                              <a:ln>
                                <a:noFill/>
                              </a:ln>
                            </wps:spPr>
                            <wps:txbx>
                              <w:txbxContent>
                                <w:p w14:paraId="7A8D36CA" w14:textId="77777777" w:rsidR="001D0AFA" w:rsidRDefault="001D0AFA" w:rsidP="001D0AFA">
                                  <w:pPr>
                                    <w:jc w:val="center"/>
                                    <w:textDirection w:val="btLr"/>
                                  </w:pPr>
                                  <w:r>
                                    <w:rPr>
                                      <w:color w:val="FFFF00"/>
                                    </w:rPr>
                                    <w:t>unreacted SCBA</w:t>
                                  </w:r>
                                </w:p>
                              </w:txbxContent>
                            </wps:txbx>
                            <wps:bodyPr spcFirstLastPara="1" wrap="square" lIns="91425" tIns="45700" rIns="91425" bIns="45700" anchor="t" anchorCtr="0">
                              <a:noAutofit/>
                            </wps:bodyPr>
                          </wps:wsp>
                        </a:graphicData>
                      </a:graphic>
                    </wp:anchor>
                  </w:drawing>
                </mc:Choice>
                <mc:Fallback>
                  <w:pict>
                    <v:rect w14:anchorId="064D491C" id="Rectangle 2138368098" o:spid="_x0000_s1041" style="position:absolute;left:0;text-align:left;margin-left:23pt;margin-top:21.75pt;width:89.75pt;height:111.3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" filled="f" stroked="f">
                      <v:textbox inset="2.53958mm,1.2694mm,2.53958mm,1.2694mm">
                        <w:txbxContent>
                          <w:p w14:paraId="7A8D36CA" w14:textId="77777777" w:rsidR="001D0AFA" w:rsidRDefault="001D0AFA" w:rsidP="001D0AFA">
                            <w:pPr>
                              <w:jc w:val="center"/>
                              <w:textDirection w:val="btLr"/>
                            </w:pPr>
                            <w:r>
                              <w:rPr>
                                <w:color w:val="FFFF00"/>
                              </w:rPr>
                              <w:t>unreacted SCBA</w:t>
                            </w:r>
                          </w:p>
                        </w:txbxContent>
                      </v:textbox>
                    </v:rect>
                  </w:pict>
                </mc:Fallback>
              </mc:AlternateContent>
            </w:r>
          </w:p>
        </w:tc>
        <w:tc>
          <w:tcPr>
            <w:tcW w:w="4698" w:type="dxa"/>
            <w:vAlign w:val="center"/>
          </w:tcPr>
          <w:p w14:paraId="180001B8"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6AFCB26C" wp14:editId="7B55CDE5">
                  <wp:extent cx="2677483" cy="2141986"/>
                  <wp:effectExtent l="0" t="0" r="0" b="0"/>
                  <wp:docPr id="21383681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2677483" cy="2141986"/>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82816" behindDoc="0" locked="0" layoutInCell="1" hidden="0" allowOverlap="1" wp14:anchorId="25C8C35A" wp14:editId="21FB2299">
                      <wp:simplePos x="0" y="0"/>
                      <wp:positionH relativeFrom="column">
                        <wp:posOffset>1582420</wp:posOffset>
                      </wp:positionH>
                      <wp:positionV relativeFrom="paragraph">
                        <wp:posOffset>824865</wp:posOffset>
                      </wp:positionV>
                      <wp:extent cx="306705" cy="360680"/>
                      <wp:effectExtent l="0" t="0" r="0" b="0"/>
                      <wp:wrapNone/>
                      <wp:docPr id="2138368122" name="Straight Arrow Connector 2138368122"/>
                      <wp:cNvGraphicFramePr/>
                      <a:graphic xmlns:a="http://schemas.openxmlformats.org/drawingml/2006/main">
                        <a:graphicData uri="http://schemas.microsoft.com/office/word/2010/wordprocessingShape">
                          <wps:wsp>
                            <wps:cNvCnPr/>
                            <wps:spPr>
                              <a:xfrm flipH="1">
                                <a:off x="5198998" y="3606010"/>
                                <a:ext cx="294005" cy="34798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2C3D039B" id="Straight Arrow Connector 2138368122" o:spid="_x0000_s1026" type="#_x0000_t32" style="position:absolute;margin-left:124.6pt;margin-top:64.95pt;width:24.15pt;height:28.4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83840" behindDoc="0" locked="0" layoutInCell="1" hidden="0" allowOverlap="1" wp14:anchorId="3A6B0553" wp14:editId="36B80E68">
                      <wp:simplePos x="0" y="0"/>
                      <wp:positionH relativeFrom="column">
                        <wp:posOffset>1428433</wp:posOffset>
                      </wp:positionH>
                      <wp:positionV relativeFrom="paragraph">
                        <wp:posOffset>516572</wp:posOffset>
                      </wp:positionV>
                      <wp:extent cx="1139825" cy="1414145"/>
                      <wp:effectExtent l="0" t="0" r="0" b="0"/>
                      <wp:wrapNone/>
                      <wp:docPr id="2138368091" name="Rectangle 2138368091"/>
                      <wp:cNvGraphicFramePr/>
                      <a:graphic xmlns:a="http://schemas.openxmlformats.org/drawingml/2006/main">
                        <a:graphicData uri="http://schemas.microsoft.com/office/word/2010/wordprocessingShape">
                          <wps:wsp>
                            <wps:cNvSpPr/>
                            <wps:spPr>
                              <a:xfrm>
                                <a:off x="4780850" y="3077690"/>
                                <a:ext cx="1130300" cy="1404620"/>
                              </a:xfrm>
                              <a:prstGeom prst="rect">
                                <a:avLst/>
                              </a:prstGeom>
                              <a:noFill/>
                              <a:ln>
                                <a:noFill/>
                              </a:ln>
                            </wps:spPr>
                            <wps:txbx>
                              <w:txbxContent>
                                <w:p w14:paraId="167BCD56" w14:textId="77777777" w:rsidR="001D0AFA" w:rsidRDefault="001D0AFA" w:rsidP="001D0AFA">
                                  <w:pPr>
                                    <w:jc w:val="center"/>
                                    <w:textDirection w:val="btLr"/>
                                  </w:pPr>
                                  <w:r>
                                    <w:rPr>
                                      <w:color w:val="FFFF00"/>
                                    </w:rPr>
                                    <w:t>unreacted SCBA</w:t>
                                  </w:r>
                                </w:p>
                              </w:txbxContent>
                            </wps:txbx>
                            <wps:bodyPr spcFirstLastPara="1" wrap="square" lIns="91425" tIns="45700" rIns="91425" bIns="45700" anchor="t" anchorCtr="0">
                              <a:noAutofit/>
                            </wps:bodyPr>
                          </wps:wsp>
                        </a:graphicData>
                      </a:graphic>
                    </wp:anchor>
                  </w:drawing>
                </mc:Choice>
                <mc:Fallback>
                  <w:pict>
                    <v:rect w14:anchorId="3A6B0553" id="Rectangle 2138368091" o:spid="_x0000_s1042" style="position:absolute;left:0;text-align:left;margin-left:112.5pt;margin-top:40.65pt;width:89.75pt;height:111.3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" filled="f" stroked="f">
                      <v:textbox inset="2.53958mm,1.2694mm,2.53958mm,1.2694mm">
                        <w:txbxContent>
                          <w:p w14:paraId="167BCD56" w14:textId="77777777" w:rsidR="001D0AFA" w:rsidRDefault="001D0AFA" w:rsidP="001D0AFA">
                            <w:pPr>
                              <w:jc w:val="center"/>
                              <w:textDirection w:val="btLr"/>
                            </w:pPr>
                            <w:r>
                              <w:rPr>
                                <w:color w:val="FFFF00"/>
                              </w:rPr>
                              <w:t>unreacted SCBA</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684864" behindDoc="0" locked="0" layoutInCell="1" hidden="0" allowOverlap="1" wp14:anchorId="4E0D69AC" wp14:editId="739BC6AB">
                      <wp:simplePos x="0" y="0"/>
                      <wp:positionH relativeFrom="column">
                        <wp:posOffset>1939289</wp:posOffset>
                      </wp:positionH>
                      <wp:positionV relativeFrom="paragraph">
                        <wp:posOffset>822325</wp:posOffset>
                      </wp:positionV>
                      <wp:extent cx="88900" cy="279400"/>
                      <wp:effectExtent l="0" t="0" r="0" b="0"/>
                      <wp:wrapNone/>
                      <wp:docPr id="2138368096" name="Straight Arrow Connector 2138368096"/>
                      <wp:cNvGraphicFramePr/>
                      <a:graphic xmlns:a="http://schemas.openxmlformats.org/drawingml/2006/main">
                        <a:graphicData uri="http://schemas.microsoft.com/office/word/2010/wordprocessingShape">
                          <wps:wsp>
                            <wps:cNvCnPr/>
                            <wps:spPr>
                              <a:xfrm>
                                <a:off x="5307900" y="3646650"/>
                                <a:ext cx="76200" cy="26670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4174A65A" id="Straight Arrow Connector 2138368096" o:spid="_x0000_s1026" type="#_x0000_t32" style="position:absolute;margin-left:152.7pt;margin-top:64.75pt;width:7pt;height:2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" strokecolor="yellow" strokeweight="1pt">
                      <v:stroke dashstyle="dash" startarrowwidth="narrow" startarrowlength="short" endarrow="block" joinstyle="miter"/>
                    </v:shape>
                  </w:pict>
                </mc:Fallback>
              </mc:AlternateContent>
            </w:r>
          </w:p>
        </w:tc>
      </w:tr>
      <w:tr w:rsidR="001D0AFA" w:rsidRPr="00966FED" w14:paraId="122A5F15" w14:textId="77777777" w:rsidTr="00AC0ED3">
        <w:trPr>
          <w:jc w:val="center"/>
        </w:trPr>
        <w:tc>
          <w:tcPr>
            <w:tcW w:w="4454" w:type="dxa"/>
            <w:vAlign w:val="center"/>
          </w:tcPr>
          <w:p w14:paraId="0CCABC38"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3A21907F" wp14:editId="34B13413">
                  <wp:extent cx="2658497" cy="2126797"/>
                  <wp:effectExtent l="0" t="0" r="0" b="0"/>
                  <wp:docPr id="213836812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2658497" cy="2126797"/>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85888" behindDoc="0" locked="0" layoutInCell="1" hidden="0" allowOverlap="1" wp14:anchorId="0D2791E0" wp14:editId="4213F11A">
                      <wp:simplePos x="0" y="0"/>
                      <wp:positionH relativeFrom="column">
                        <wp:posOffset>613409</wp:posOffset>
                      </wp:positionH>
                      <wp:positionV relativeFrom="paragraph">
                        <wp:posOffset>978535</wp:posOffset>
                      </wp:positionV>
                      <wp:extent cx="738505" cy="738505"/>
                      <wp:effectExtent l="0" t="0" r="0" b="0"/>
                      <wp:wrapNone/>
                      <wp:docPr id="2138368097" name="Oval 2138368097"/>
                      <wp:cNvGraphicFramePr/>
                      <a:graphic xmlns:a="http://schemas.openxmlformats.org/drawingml/2006/main">
                        <a:graphicData uri="http://schemas.microsoft.com/office/word/2010/wordprocessingShape">
                          <wps:wsp>
                            <wps:cNvSpPr/>
                            <wps:spPr>
                              <a:xfrm>
                                <a:off x="4986273" y="3420273"/>
                                <a:ext cx="719455" cy="719455"/>
                              </a:xfrm>
                              <a:prstGeom prst="ellipse">
                                <a:avLst/>
                              </a:prstGeom>
                              <a:noFill/>
                              <a:ln w="19050" cap="flat" cmpd="sng">
                                <a:solidFill>
                                  <a:srgbClr val="FFFF00"/>
                                </a:solidFill>
                                <a:prstDash val="dash"/>
                                <a:miter lim="800000"/>
                                <a:headEnd type="none" w="sm" len="sm"/>
                                <a:tailEnd type="none" w="sm" len="sm"/>
                              </a:ln>
                            </wps:spPr>
                            <wps:txbx>
                              <w:txbxContent>
                                <w:p w14:paraId="268109BA" w14:textId="77777777" w:rsidR="001D0AFA" w:rsidRDefault="001D0AFA" w:rsidP="001D0AFA">
                                  <w:pPr>
                                    <w:textDirection w:val="btLr"/>
                                  </w:pPr>
                                </w:p>
                              </w:txbxContent>
                            </wps:txbx>
                            <wps:bodyPr spcFirstLastPara="1" wrap="square" lIns="91425" tIns="91425" rIns="91425" bIns="91425" anchor="ctr" anchorCtr="0">
                              <a:noAutofit/>
                            </wps:bodyPr>
                          </wps:wsp>
                        </a:graphicData>
                      </a:graphic>
                    </wp:anchor>
                  </w:drawing>
                </mc:Choice>
                <mc:Fallback>
                  <w:pict>
                    <v:oval w14:anchorId="0D2791E0" id="Oval 2138368097" o:spid="_x0000_s1043" style="position:absolute;left:0;text-align:left;margin-left:48.3pt;margin-top:77.05pt;width:58.15pt;height:58.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" filled="f" strokecolor="yellow" strokeweight="1.5pt">
                      <v:stroke dashstyle="dash" startarrowwidth="narrow" startarrowlength="short" endarrowwidth="narrow" endarrowlength="short" joinstyle="miter"/>
                      <v:textbox inset="2.53958mm,2.53958mm,2.53958mm,2.53958mm">
                        <w:txbxContent>
                          <w:p w14:paraId="268109BA" w14:textId="77777777" w:rsidR="001D0AFA" w:rsidRDefault="001D0AFA" w:rsidP="001D0AFA">
                            <w:pPr>
                              <w:textDirection w:val="btLr"/>
                            </w:pPr>
                          </w:p>
                        </w:txbxContent>
                      </v:textbox>
                    </v:oval>
                  </w:pict>
                </mc:Fallback>
              </mc:AlternateContent>
            </w:r>
            <w:r w:rsidRPr="00966FED">
              <w:rPr>
                <w:rFonts w:ascii="Times New Roman" w:hAnsi="Times New Roman" w:cs="Times New Roman"/>
                <w:noProof/>
              </w:rPr>
              <mc:AlternateContent>
                <mc:Choice Requires="wps">
                  <w:drawing>
                    <wp:anchor distT="0" distB="0" distL="114300" distR="114300" simplePos="0" relativeHeight="251686912" behindDoc="0" locked="0" layoutInCell="1" hidden="0" allowOverlap="1" wp14:anchorId="12154B2A" wp14:editId="55F14021">
                      <wp:simplePos x="0" y="0"/>
                      <wp:positionH relativeFrom="column">
                        <wp:posOffset>1336040</wp:posOffset>
                      </wp:positionH>
                      <wp:positionV relativeFrom="paragraph">
                        <wp:posOffset>1188085</wp:posOffset>
                      </wp:positionV>
                      <wp:extent cx="1832610" cy="142240"/>
                      <wp:effectExtent l="0" t="0" r="0" b="0"/>
                      <wp:wrapNone/>
                      <wp:docPr id="2138368079" name="Straight Arrow Connector 2138368079"/>
                      <wp:cNvGraphicFramePr/>
                      <a:graphic xmlns:a="http://schemas.openxmlformats.org/drawingml/2006/main">
                        <a:graphicData uri="http://schemas.microsoft.com/office/word/2010/wordprocessingShape">
                          <wps:wsp>
                            <wps:cNvCnPr/>
                            <wps:spPr>
                              <a:xfrm rot="10800000" flipH="1">
                                <a:off x="4436045" y="3715230"/>
                                <a:ext cx="1819910" cy="12954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304603E1" id="Straight Arrow Connector 2138368079" o:spid="_x0000_s1026" type="#_x0000_t32" style="position:absolute;margin-left:105.2pt;margin-top:93.55pt;width:144.3pt;height:11.2pt;rotation:18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" strokecolor="yellow" strokeweight="1pt">
                      <v:stroke dashstyle="dash" startarrowwidth="narrow" startarrowlength="short" endarrow="block" joinstyle="miter"/>
                    </v:shape>
                  </w:pict>
                </mc:Fallback>
              </mc:AlternateContent>
            </w:r>
          </w:p>
        </w:tc>
        <w:tc>
          <w:tcPr>
            <w:tcW w:w="4698" w:type="dxa"/>
            <w:vAlign w:val="center"/>
          </w:tcPr>
          <w:p w14:paraId="58A37773"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233622D5" wp14:editId="6EE30DFB">
                  <wp:extent cx="2649529" cy="2119623"/>
                  <wp:effectExtent l="0" t="0" r="0" b="0"/>
                  <wp:docPr id="213836812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a:srcRect/>
                          <a:stretch>
                            <a:fillRect/>
                          </a:stretch>
                        </pic:blipFill>
                        <pic:spPr>
                          <a:xfrm>
                            <a:off x="0" y="0"/>
                            <a:ext cx="2649529" cy="2119623"/>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87936" behindDoc="0" locked="0" layoutInCell="1" hidden="0" allowOverlap="1" wp14:anchorId="179C56C3" wp14:editId="63B944FD">
                      <wp:simplePos x="0" y="0"/>
                      <wp:positionH relativeFrom="column">
                        <wp:posOffset>986155</wp:posOffset>
                      </wp:positionH>
                      <wp:positionV relativeFrom="paragraph">
                        <wp:posOffset>652780</wp:posOffset>
                      </wp:positionV>
                      <wp:extent cx="218440" cy="480060"/>
                      <wp:effectExtent l="0" t="0" r="0" b="0"/>
                      <wp:wrapNone/>
                      <wp:docPr id="2138368114" name="Straight Arrow Connector 2138368114"/>
                      <wp:cNvGraphicFramePr/>
                      <a:graphic xmlns:a="http://schemas.openxmlformats.org/drawingml/2006/main">
                        <a:graphicData uri="http://schemas.microsoft.com/office/word/2010/wordprocessingShape">
                          <wps:wsp>
                            <wps:cNvCnPr/>
                            <wps:spPr>
                              <a:xfrm flipH="1">
                                <a:off x="5243130" y="3546320"/>
                                <a:ext cx="205740" cy="46736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310D4717" id="Straight Arrow Connector 2138368114" o:spid="_x0000_s1026" type="#_x0000_t32" style="position:absolute;margin-left:77.65pt;margin-top:51.4pt;width:17.2pt;height:37.8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88960" behindDoc="0" locked="0" layoutInCell="1" hidden="0" allowOverlap="1" wp14:anchorId="5598890E" wp14:editId="57CED48C">
                      <wp:simplePos x="0" y="0"/>
                      <wp:positionH relativeFrom="column">
                        <wp:posOffset>548958</wp:posOffset>
                      </wp:positionH>
                      <wp:positionV relativeFrom="paragraph">
                        <wp:posOffset>392748</wp:posOffset>
                      </wp:positionV>
                      <wp:extent cx="1431925" cy="1414145"/>
                      <wp:effectExtent l="0" t="0" r="0" b="0"/>
                      <wp:wrapNone/>
                      <wp:docPr id="2138368099" name="Rectangle 2138368099"/>
                      <wp:cNvGraphicFramePr/>
                      <a:graphic xmlns:a="http://schemas.openxmlformats.org/drawingml/2006/main">
                        <a:graphicData uri="http://schemas.microsoft.com/office/word/2010/wordprocessingShape">
                          <wps:wsp>
                            <wps:cNvSpPr/>
                            <wps:spPr>
                              <a:xfrm>
                                <a:off x="4634800" y="3077690"/>
                                <a:ext cx="1422400" cy="1404620"/>
                              </a:xfrm>
                              <a:prstGeom prst="rect">
                                <a:avLst/>
                              </a:prstGeom>
                              <a:noFill/>
                              <a:ln>
                                <a:noFill/>
                              </a:ln>
                            </wps:spPr>
                            <wps:txbx>
                              <w:txbxContent>
                                <w:p w14:paraId="3F5EE1DD" w14:textId="77777777" w:rsidR="001D0AFA" w:rsidRDefault="001D0AFA" w:rsidP="001D0AFA">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5598890E" id="Rectangle 2138368099" o:spid="_x0000_s1044" style="position:absolute;left:0;text-align:left;margin-left:43.25pt;margin-top:30.95pt;width:112.75pt;height:111.3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" filled="f" stroked="f">
                      <v:textbox inset="2.53958mm,1.2694mm,2.53958mm,1.2694mm">
                        <w:txbxContent>
                          <w:p w14:paraId="3F5EE1DD" w14:textId="77777777" w:rsidR="001D0AFA" w:rsidRDefault="001D0AFA" w:rsidP="001D0AFA">
                            <w:pPr>
                              <w:jc w:val="center"/>
                              <w:textDirection w:val="btLr"/>
                            </w:pPr>
                            <w:r>
                              <w:rPr>
                                <w:color w:val="FFFF00"/>
                              </w:rPr>
                              <w:t>Geopolymer matrix</w:t>
                            </w:r>
                          </w:p>
                        </w:txbxContent>
                      </v:textbox>
                    </v:rect>
                  </w:pict>
                </mc:Fallback>
              </mc:AlternateContent>
            </w:r>
          </w:p>
        </w:tc>
      </w:tr>
    </w:tbl>
    <w:p w14:paraId="7E8E561B" w14:textId="77777777" w:rsidR="001D0AFA" w:rsidRPr="00966FED" w:rsidRDefault="001D0AFA" w:rsidP="001D0AFA">
      <w:pPr>
        <w:ind w:firstLine="284"/>
        <w:rPr>
          <w:rFonts w:ascii="Times New Roman" w:eastAsia="Calibri" w:hAnsi="Times New Roman" w:cs="Times New Roman"/>
          <w:sz w:val="18"/>
          <w:szCs w:val="18"/>
        </w:rPr>
      </w:pPr>
    </w:p>
    <w:p w14:paraId="358A53D4" w14:textId="77777777" w:rsidR="001D0AFA" w:rsidRPr="00966FED" w:rsidRDefault="001D0AFA" w:rsidP="001D0AFA">
      <w:pPr>
        <w:spacing w:before="240" w:after="240" w:line="240" w:lineRule="auto"/>
        <w:jc w:val="both"/>
        <w:rPr>
          <w:rFonts w:ascii="Times New Roman" w:hAnsi="Times New Roman" w:cs="Times New Roman"/>
        </w:rPr>
      </w:pPr>
    </w:p>
    <w:p w14:paraId="760A4F99" w14:textId="77777777" w:rsidR="00ED20C7" w:rsidRPr="00966FED" w:rsidRDefault="00ED20C7" w:rsidP="001D0AFA">
      <w:pPr>
        <w:spacing w:before="240" w:after="240" w:line="240" w:lineRule="auto"/>
        <w:jc w:val="both"/>
        <w:rPr>
          <w:rFonts w:ascii="Times New Roman" w:hAnsi="Times New Roman" w:cs="Times New Roman"/>
        </w:rPr>
      </w:pPr>
    </w:p>
    <w:p w14:paraId="07DF700C" w14:textId="77777777" w:rsidR="00ED20C7" w:rsidRPr="00966FED" w:rsidRDefault="00ED20C7" w:rsidP="001D0AFA">
      <w:pPr>
        <w:spacing w:before="240" w:after="240" w:line="240" w:lineRule="auto"/>
        <w:jc w:val="both"/>
        <w:rPr>
          <w:rFonts w:ascii="Times New Roman" w:hAnsi="Times New Roman" w:cs="Times New Roman"/>
        </w:rPr>
      </w:pPr>
    </w:p>
    <w:p w14:paraId="4D01F88A" w14:textId="77777777" w:rsidR="00ED20C7" w:rsidRPr="00966FED" w:rsidRDefault="00ED20C7" w:rsidP="001D0AFA">
      <w:pPr>
        <w:spacing w:before="240" w:after="240" w:line="240" w:lineRule="auto"/>
        <w:jc w:val="both"/>
        <w:rPr>
          <w:rFonts w:ascii="Times New Roman" w:hAnsi="Times New Roman" w:cs="Times New Roman"/>
        </w:rPr>
      </w:pPr>
    </w:p>
    <w:p w14:paraId="51511CB2" w14:textId="77777777" w:rsidR="00ED20C7" w:rsidRPr="00966FED" w:rsidRDefault="00ED20C7" w:rsidP="00ED20C7">
      <w:pPr>
        <w:rPr>
          <w:rFonts w:ascii="Times New Roman" w:eastAsia="Calibri" w:hAnsi="Times New Roman" w:cs="Times New Roman"/>
          <w:sz w:val="18"/>
          <w:szCs w:val="18"/>
        </w:rPr>
      </w:pPr>
    </w:p>
    <w:p w14:paraId="568F05C7" w14:textId="77777777" w:rsidR="00966FED" w:rsidRDefault="00966FED" w:rsidP="00ED20C7">
      <w:pPr>
        <w:rPr>
          <w:rFonts w:ascii="Times New Roman" w:eastAsia="Calibri" w:hAnsi="Times New Roman" w:cs="Times New Roman"/>
          <w:b/>
          <w:bCs/>
        </w:rPr>
      </w:pPr>
    </w:p>
    <w:p w14:paraId="186F4382" w14:textId="77777777" w:rsidR="00966FED" w:rsidRDefault="00966FED" w:rsidP="00ED20C7">
      <w:pPr>
        <w:rPr>
          <w:rFonts w:ascii="Times New Roman" w:eastAsia="Calibri" w:hAnsi="Times New Roman" w:cs="Times New Roman"/>
          <w:b/>
          <w:bCs/>
        </w:rPr>
      </w:pPr>
    </w:p>
    <w:p w14:paraId="6AD3903B" w14:textId="47DD8620" w:rsidR="00ED20C7" w:rsidRPr="00966FED" w:rsidRDefault="00ED20C7" w:rsidP="00ED20C7">
      <w:pPr>
        <w:rPr>
          <w:rFonts w:ascii="Times New Roman" w:eastAsia="Calibri" w:hAnsi="Times New Roman" w:cs="Times New Roman"/>
        </w:rPr>
      </w:pPr>
      <w:r w:rsidRPr="00966FED">
        <w:rPr>
          <w:rFonts w:ascii="Times New Roman" w:eastAsia="Calibri" w:hAnsi="Times New Roman" w:cs="Times New Roman"/>
          <w:b/>
          <w:bCs/>
        </w:rPr>
        <w:lastRenderedPageBreak/>
        <w:t xml:space="preserve">Figure 12. </w:t>
      </w:r>
      <w:r w:rsidRPr="00966FED">
        <w:rPr>
          <w:rFonts w:ascii="Times New Roman" w:eastAsia="Calibri" w:hAnsi="Times New Roman" w:cs="Times New Roman"/>
        </w:rPr>
        <w:t xml:space="preserve">SEM micrographs of the residue of the </w:t>
      </w:r>
      <w:r w:rsidRPr="00966FED">
        <w:rPr>
          <w:rFonts w:ascii="Times New Roman" w:eastAsia="Calibri" w:hAnsi="Times New Roman" w:cs="Times New Roman"/>
          <w:b/>
          <w:bCs/>
        </w:rPr>
        <w:t xml:space="preserve">(a,b) </w:t>
      </w:r>
      <w:r w:rsidRPr="00966FED">
        <w:rPr>
          <w:rFonts w:ascii="Times New Roman" w:eastAsia="Calibri" w:hAnsi="Times New Roman" w:cs="Times New Roman"/>
        </w:rPr>
        <w:t xml:space="preserve">poorest (Sample 1), </w:t>
      </w:r>
      <w:r w:rsidRPr="00966FED">
        <w:rPr>
          <w:rFonts w:ascii="Times New Roman" w:eastAsia="Calibri" w:hAnsi="Times New Roman" w:cs="Times New Roman"/>
          <w:b/>
          <w:bCs/>
        </w:rPr>
        <w:t>(c,d)</w:t>
      </w:r>
      <w:r w:rsidRPr="00966FED">
        <w:rPr>
          <w:rFonts w:ascii="Times New Roman" w:eastAsia="Calibri" w:hAnsi="Times New Roman" w:cs="Times New Roman"/>
        </w:rPr>
        <w:t xml:space="preserve"> best (Sample 9), and </w:t>
      </w:r>
      <w:r w:rsidRPr="00966FED">
        <w:rPr>
          <w:rFonts w:ascii="Times New Roman" w:eastAsia="Calibri" w:hAnsi="Times New Roman" w:cs="Times New Roman"/>
          <w:b/>
          <w:bCs/>
        </w:rPr>
        <w:t>(e,f)</w:t>
      </w:r>
      <w:r w:rsidRPr="00966FED">
        <w:rPr>
          <w:rFonts w:ascii="Times New Roman" w:eastAsia="Calibri" w:hAnsi="Times New Roman" w:cs="Times New Roman"/>
        </w:rPr>
        <w:t xml:space="preserve"> optimized GFC samples after fire resistance test at 1000x (left, 10 µm) and 8000x (right, 2 µm) magnifications.</w:t>
      </w:r>
    </w:p>
    <w:tbl>
      <w:tblPr>
        <w:tblW w:w="9179" w:type="dxa"/>
        <w:jc w:val="center"/>
        <w:tblLayout w:type="fixed"/>
        <w:tblLook w:val="0000" w:firstRow="0" w:lastRow="0" w:firstColumn="0" w:lastColumn="0" w:noHBand="0" w:noVBand="0"/>
      </w:tblPr>
      <w:tblGrid>
        <w:gridCol w:w="4481"/>
        <w:gridCol w:w="4698"/>
      </w:tblGrid>
      <w:tr w:rsidR="00ED20C7" w:rsidRPr="00966FED" w14:paraId="038AE8CF" w14:textId="77777777" w:rsidTr="00AC0ED3">
        <w:trPr>
          <w:jc w:val="center"/>
        </w:trPr>
        <w:tc>
          <w:tcPr>
            <w:tcW w:w="4481" w:type="dxa"/>
            <w:vAlign w:val="center"/>
          </w:tcPr>
          <w:p w14:paraId="1C8E8A46" w14:textId="77777777" w:rsidR="00ED20C7" w:rsidRPr="00966FED" w:rsidRDefault="00ED20C7"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5A13FC5E" wp14:editId="4BC59217">
                  <wp:extent cx="2624022" cy="2099217"/>
                  <wp:effectExtent l="0" t="0" r="0" b="0"/>
                  <wp:docPr id="21383681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2624022" cy="2099217"/>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91008" behindDoc="0" locked="0" layoutInCell="1" hidden="0" allowOverlap="1" wp14:anchorId="7582646E" wp14:editId="2653B544">
                      <wp:simplePos x="0" y="0"/>
                      <wp:positionH relativeFrom="column">
                        <wp:posOffset>523875</wp:posOffset>
                      </wp:positionH>
                      <wp:positionV relativeFrom="paragraph">
                        <wp:posOffset>623570</wp:posOffset>
                      </wp:positionV>
                      <wp:extent cx="1006475" cy="526415"/>
                      <wp:effectExtent l="0" t="0" r="0" b="0"/>
                      <wp:wrapNone/>
                      <wp:docPr id="2138368085" name="Straight Arrow Connector 2138368085"/>
                      <wp:cNvGraphicFramePr/>
                      <a:graphic xmlns:a="http://schemas.openxmlformats.org/drawingml/2006/main">
                        <a:graphicData uri="http://schemas.microsoft.com/office/word/2010/wordprocessingShape">
                          <wps:wsp>
                            <wps:cNvCnPr/>
                            <wps:spPr>
                              <a:xfrm flipH="1">
                                <a:off x="4849113" y="3523143"/>
                                <a:ext cx="993775" cy="51371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61407200" id="Straight Arrow Connector 2138368085" o:spid="_x0000_s1026" type="#_x0000_t32" style="position:absolute;margin-left:41.25pt;margin-top:49.1pt;width:79.25pt;height:41.4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92032" behindDoc="0" locked="0" layoutInCell="1" hidden="0" allowOverlap="1" wp14:anchorId="745DBB5B" wp14:editId="4AE9811A">
                      <wp:simplePos x="0" y="0"/>
                      <wp:positionH relativeFrom="column">
                        <wp:posOffset>1252538</wp:posOffset>
                      </wp:positionH>
                      <wp:positionV relativeFrom="paragraph">
                        <wp:posOffset>336233</wp:posOffset>
                      </wp:positionV>
                      <wp:extent cx="669925" cy="1414145"/>
                      <wp:effectExtent l="0" t="0" r="0" b="0"/>
                      <wp:wrapNone/>
                      <wp:docPr id="2138368082" name="Rectangle 2138368082"/>
                      <wp:cNvGraphicFramePr/>
                      <a:graphic xmlns:a="http://schemas.openxmlformats.org/drawingml/2006/main">
                        <a:graphicData uri="http://schemas.microsoft.com/office/word/2010/wordprocessingShape">
                          <wps:wsp>
                            <wps:cNvSpPr/>
                            <wps:spPr>
                              <a:xfrm>
                                <a:off x="5015800" y="3077690"/>
                                <a:ext cx="660400" cy="1404620"/>
                              </a:xfrm>
                              <a:prstGeom prst="rect">
                                <a:avLst/>
                              </a:prstGeom>
                              <a:noFill/>
                              <a:ln>
                                <a:noFill/>
                              </a:ln>
                            </wps:spPr>
                            <wps:txbx>
                              <w:txbxContent>
                                <w:p w14:paraId="7D96CCA5" w14:textId="77777777" w:rsidR="00ED20C7" w:rsidRDefault="00ED20C7" w:rsidP="00ED20C7">
                                  <w:pPr>
                                    <w:jc w:val="center"/>
                                    <w:textDirection w:val="btLr"/>
                                  </w:pPr>
                                  <w:r>
                                    <w:rPr>
                                      <w:color w:val="FFFF00"/>
                                    </w:rPr>
                                    <w:t>cracks</w:t>
                                  </w:r>
                                </w:p>
                              </w:txbxContent>
                            </wps:txbx>
                            <wps:bodyPr spcFirstLastPara="1" wrap="square" lIns="91425" tIns="45700" rIns="91425" bIns="45700" anchor="t" anchorCtr="0">
                              <a:noAutofit/>
                            </wps:bodyPr>
                          </wps:wsp>
                        </a:graphicData>
                      </a:graphic>
                    </wp:anchor>
                  </w:drawing>
                </mc:Choice>
                <mc:Fallback>
                  <w:pict>
                    <v:rect w14:anchorId="745DBB5B" id="Rectangle 2138368082" o:spid="_x0000_s1045" style="position:absolute;left:0;text-align:left;margin-left:98.65pt;margin-top:26.5pt;width:52.75pt;height:111.35pt;z-index:251692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" filled="f" stroked="f">
                      <v:textbox inset="2.53958mm,1.2694mm,2.53958mm,1.2694mm">
                        <w:txbxContent>
                          <w:p w14:paraId="7D96CCA5" w14:textId="77777777" w:rsidR="00ED20C7" w:rsidRDefault="00ED20C7" w:rsidP="00ED20C7">
                            <w:pPr>
                              <w:jc w:val="center"/>
                              <w:textDirection w:val="btLr"/>
                            </w:pPr>
                            <w:r>
                              <w:rPr>
                                <w:color w:val="FFFF00"/>
                              </w:rPr>
                              <w:t>cracks</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693056" behindDoc="0" locked="0" layoutInCell="1" hidden="0" allowOverlap="1" wp14:anchorId="7B0AA3C6" wp14:editId="6239E142">
                      <wp:simplePos x="0" y="0"/>
                      <wp:positionH relativeFrom="column">
                        <wp:posOffset>1656080</wp:posOffset>
                      </wp:positionH>
                      <wp:positionV relativeFrom="paragraph">
                        <wp:posOffset>637540</wp:posOffset>
                      </wp:positionV>
                      <wp:extent cx="763270" cy="109220"/>
                      <wp:effectExtent l="0" t="0" r="0" b="0"/>
                      <wp:wrapNone/>
                      <wp:docPr id="2138368119" name="Straight Arrow Connector 2138368119"/>
                      <wp:cNvGraphicFramePr/>
                      <a:graphic xmlns:a="http://schemas.openxmlformats.org/drawingml/2006/main">
                        <a:graphicData uri="http://schemas.microsoft.com/office/word/2010/wordprocessingShape">
                          <wps:wsp>
                            <wps:cNvCnPr/>
                            <wps:spPr>
                              <a:xfrm>
                                <a:off x="4970715" y="3731740"/>
                                <a:ext cx="750570" cy="9652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145EB611" id="Straight Arrow Connector 2138368119" o:spid="_x0000_s1026" type="#_x0000_t32" style="position:absolute;margin-left:130.4pt;margin-top:50.2pt;width:60.1pt;height:8.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" strokecolor="yellow" strokeweight="1pt">
                      <v:stroke dashstyle="dash" startarrowwidth="narrow" startarrowlength="short" endarrow="block" joinstyle="miter"/>
                    </v:shape>
                  </w:pict>
                </mc:Fallback>
              </mc:AlternateContent>
            </w:r>
          </w:p>
        </w:tc>
        <w:tc>
          <w:tcPr>
            <w:tcW w:w="4698" w:type="dxa"/>
            <w:vAlign w:val="center"/>
          </w:tcPr>
          <w:p w14:paraId="235B6052" w14:textId="77777777" w:rsidR="00ED20C7" w:rsidRPr="00966FED" w:rsidRDefault="00ED20C7"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61838468" wp14:editId="0D7B650C">
                  <wp:extent cx="2630306" cy="2104245"/>
                  <wp:effectExtent l="0" t="0" r="0" b="0"/>
                  <wp:docPr id="213836812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0"/>
                          <a:srcRect/>
                          <a:stretch>
                            <a:fillRect/>
                          </a:stretch>
                        </pic:blipFill>
                        <pic:spPr>
                          <a:xfrm>
                            <a:off x="0" y="0"/>
                            <a:ext cx="2630306" cy="2104245"/>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94080" behindDoc="0" locked="0" layoutInCell="1" hidden="0" allowOverlap="1" wp14:anchorId="51E039FA" wp14:editId="221D03A3">
                      <wp:simplePos x="0" y="0"/>
                      <wp:positionH relativeFrom="column">
                        <wp:posOffset>247333</wp:posOffset>
                      </wp:positionH>
                      <wp:positionV relativeFrom="paragraph">
                        <wp:posOffset>261302</wp:posOffset>
                      </wp:positionV>
                      <wp:extent cx="1391920" cy="1414145"/>
                      <wp:effectExtent l="0" t="0" r="0" b="0"/>
                      <wp:wrapNone/>
                      <wp:docPr id="2138368092" name="Rectangle 2138368092"/>
                      <wp:cNvGraphicFramePr/>
                      <a:graphic xmlns:a="http://schemas.openxmlformats.org/drawingml/2006/main">
                        <a:graphicData uri="http://schemas.microsoft.com/office/word/2010/wordprocessingShape">
                          <wps:wsp>
                            <wps:cNvSpPr/>
                            <wps:spPr>
                              <a:xfrm>
                                <a:off x="4654803" y="3077690"/>
                                <a:ext cx="1382395" cy="1404620"/>
                              </a:xfrm>
                              <a:prstGeom prst="rect">
                                <a:avLst/>
                              </a:prstGeom>
                              <a:noFill/>
                              <a:ln>
                                <a:noFill/>
                              </a:ln>
                            </wps:spPr>
                            <wps:txbx>
                              <w:txbxContent>
                                <w:p w14:paraId="32E6F7E6" w14:textId="77777777" w:rsidR="00ED20C7" w:rsidRDefault="00ED20C7" w:rsidP="00ED20C7">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51E039FA" id="Rectangle 2138368092" o:spid="_x0000_s1046" style="position:absolute;left:0;text-align:left;margin-left:19.5pt;margin-top:20.55pt;width:109.6pt;height:111.35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" filled="f" stroked="f">
                      <v:textbox inset="2.53958mm,1.2694mm,2.53958mm,1.2694mm">
                        <w:txbxContent>
                          <w:p w14:paraId="32E6F7E6" w14:textId="77777777" w:rsidR="00ED20C7" w:rsidRDefault="00ED20C7" w:rsidP="00ED20C7">
                            <w:pPr>
                              <w:jc w:val="center"/>
                              <w:textDirection w:val="btLr"/>
                            </w:pPr>
                            <w:r>
                              <w:rPr>
                                <w:color w:val="FFFF00"/>
                              </w:rPr>
                              <w:t>Geopolymer matrix</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695104" behindDoc="0" locked="0" layoutInCell="1" hidden="0" allowOverlap="1" wp14:anchorId="4E21598F" wp14:editId="70759884">
                      <wp:simplePos x="0" y="0"/>
                      <wp:positionH relativeFrom="column">
                        <wp:posOffset>969010</wp:posOffset>
                      </wp:positionH>
                      <wp:positionV relativeFrom="paragraph">
                        <wp:posOffset>506095</wp:posOffset>
                      </wp:positionV>
                      <wp:extent cx="175260" cy="330835"/>
                      <wp:effectExtent l="0" t="0" r="0" b="0"/>
                      <wp:wrapNone/>
                      <wp:docPr id="2138368093" name="Straight Arrow Connector 2138368093"/>
                      <wp:cNvGraphicFramePr/>
                      <a:graphic xmlns:a="http://schemas.openxmlformats.org/drawingml/2006/main">
                        <a:graphicData uri="http://schemas.microsoft.com/office/word/2010/wordprocessingShape">
                          <wps:wsp>
                            <wps:cNvCnPr/>
                            <wps:spPr>
                              <a:xfrm>
                                <a:off x="5264720" y="3620933"/>
                                <a:ext cx="162560" cy="31813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4F453AAD" id="Straight Arrow Connector 2138368093" o:spid="_x0000_s1026" type="#_x0000_t32" style="position:absolute;margin-left:76.3pt;margin-top:39.85pt;width:13.8pt;height:26.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" strokecolor="yellow" strokeweight="1pt">
                      <v:stroke dashstyle="dash" startarrowwidth="narrow" startarrowlength="short" endarrow="block" joinstyle="miter"/>
                    </v:shape>
                  </w:pict>
                </mc:Fallback>
              </mc:AlternateContent>
            </w:r>
          </w:p>
        </w:tc>
      </w:tr>
      <w:tr w:rsidR="00ED20C7" w:rsidRPr="00966FED" w14:paraId="6FB4ED27" w14:textId="77777777" w:rsidTr="00AC0ED3">
        <w:trPr>
          <w:jc w:val="center"/>
        </w:trPr>
        <w:tc>
          <w:tcPr>
            <w:tcW w:w="4481" w:type="dxa"/>
            <w:vAlign w:val="center"/>
          </w:tcPr>
          <w:p w14:paraId="0311F776" w14:textId="77777777" w:rsidR="00ED20C7" w:rsidRPr="00966FED" w:rsidRDefault="00ED20C7" w:rsidP="00AC0ED3">
            <w:pPr>
              <w:pBdr>
                <w:top w:val="nil"/>
                <w:left w:val="nil"/>
                <w:bottom w:val="nil"/>
                <w:right w:val="nil"/>
                <w:between w:val="nil"/>
              </w:pBdr>
              <w:spacing w:line="259" w:lineRule="auto"/>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6A68EA6D" wp14:editId="55F635C8">
                  <wp:extent cx="2714176" cy="2171341"/>
                  <wp:effectExtent l="0" t="0" r="0" b="0"/>
                  <wp:docPr id="213836812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1"/>
                          <a:srcRect/>
                          <a:stretch>
                            <a:fillRect/>
                          </a:stretch>
                        </pic:blipFill>
                        <pic:spPr>
                          <a:xfrm>
                            <a:off x="0" y="0"/>
                            <a:ext cx="2714176" cy="2171341"/>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96128" behindDoc="0" locked="0" layoutInCell="1" hidden="0" allowOverlap="1" wp14:anchorId="617A1FDB" wp14:editId="25250B79">
                      <wp:simplePos x="0" y="0"/>
                      <wp:positionH relativeFrom="column">
                        <wp:posOffset>1529715</wp:posOffset>
                      </wp:positionH>
                      <wp:positionV relativeFrom="paragraph">
                        <wp:posOffset>267970</wp:posOffset>
                      </wp:positionV>
                      <wp:extent cx="63500" cy="264160"/>
                      <wp:effectExtent l="0" t="0" r="0" b="0"/>
                      <wp:wrapNone/>
                      <wp:docPr id="2138368103" name="Straight Arrow Connector 2138368103"/>
                      <wp:cNvGraphicFramePr/>
                      <a:graphic xmlns:a="http://schemas.openxmlformats.org/drawingml/2006/main">
                        <a:graphicData uri="http://schemas.microsoft.com/office/word/2010/wordprocessingShape">
                          <wps:wsp>
                            <wps:cNvCnPr/>
                            <wps:spPr>
                              <a:xfrm rot="10800000" flipH="1">
                                <a:off x="5320600" y="3654270"/>
                                <a:ext cx="50800" cy="25146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72580BB9" id="Straight Arrow Connector 2138368103" o:spid="_x0000_s1026" type="#_x0000_t32" style="position:absolute;margin-left:120.45pt;margin-top:21.1pt;width:5pt;height:20.8pt;rotation:18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97152" behindDoc="0" locked="0" layoutInCell="1" hidden="0" allowOverlap="1" wp14:anchorId="1935DE8D" wp14:editId="42A7868A">
                      <wp:simplePos x="0" y="0"/>
                      <wp:positionH relativeFrom="column">
                        <wp:posOffset>1160463</wp:posOffset>
                      </wp:positionH>
                      <wp:positionV relativeFrom="paragraph">
                        <wp:posOffset>528638</wp:posOffset>
                      </wp:positionV>
                      <wp:extent cx="669925" cy="1414145"/>
                      <wp:effectExtent l="0" t="0" r="0" b="0"/>
                      <wp:wrapNone/>
                      <wp:docPr id="2138368086" name="Rectangle 2138368086"/>
                      <wp:cNvGraphicFramePr/>
                      <a:graphic xmlns:a="http://schemas.openxmlformats.org/drawingml/2006/main">
                        <a:graphicData uri="http://schemas.microsoft.com/office/word/2010/wordprocessingShape">
                          <wps:wsp>
                            <wps:cNvSpPr/>
                            <wps:spPr>
                              <a:xfrm>
                                <a:off x="5015800" y="3077690"/>
                                <a:ext cx="660400" cy="1404620"/>
                              </a:xfrm>
                              <a:prstGeom prst="rect">
                                <a:avLst/>
                              </a:prstGeom>
                              <a:noFill/>
                              <a:ln>
                                <a:noFill/>
                              </a:ln>
                            </wps:spPr>
                            <wps:txbx>
                              <w:txbxContent>
                                <w:p w14:paraId="461F2F33" w14:textId="77777777" w:rsidR="00ED20C7" w:rsidRDefault="00ED20C7" w:rsidP="00ED20C7">
                                  <w:pPr>
                                    <w:jc w:val="center"/>
                                    <w:textDirection w:val="btLr"/>
                                  </w:pPr>
                                  <w:r>
                                    <w:rPr>
                                      <w:color w:val="FFFF00"/>
                                    </w:rPr>
                                    <w:t>crack</w:t>
                                  </w:r>
                                </w:p>
                              </w:txbxContent>
                            </wps:txbx>
                            <wps:bodyPr spcFirstLastPara="1" wrap="square" lIns="91425" tIns="45700" rIns="91425" bIns="45700" anchor="t" anchorCtr="0">
                              <a:noAutofit/>
                            </wps:bodyPr>
                          </wps:wsp>
                        </a:graphicData>
                      </a:graphic>
                    </wp:anchor>
                  </w:drawing>
                </mc:Choice>
                <mc:Fallback>
                  <w:pict>
                    <v:rect w14:anchorId="1935DE8D" id="Rectangle 2138368086" o:spid="_x0000_s1047" style="position:absolute;left:0;text-align:left;margin-left:91.4pt;margin-top:41.65pt;width:52.75pt;height:111.35pt;z-index:2516971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" filled="f" stroked="f">
                      <v:textbox inset="2.53958mm,1.2694mm,2.53958mm,1.2694mm">
                        <w:txbxContent>
                          <w:p w14:paraId="461F2F33" w14:textId="77777777" w:rsidR="00ED20C7" w:rsidRDefault="00ED20C7" w:rsidP="00ED20C7">
                            <w:pPr>
                              <w:jc w:val="center"/>
                              <w:textDirection w:val="btLr"/>
                            </w:pPr>
                            <w:r>
                              <w:rPr>
                                <w:color w:val="FFFF00"/>
                              </w:rPr>
                              <w:t>crack</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698176" behindDoc="0" locked="0" layoutInCell="1" hidden="0" allowOverlap="1" wp14:anchorId="2FE12244" wp14:editId="6AEC6524">
                      <wp:simplePos x="0" y="0"/>
                      <wp:positionH relativeFrom="column">
                        <wp:posOffset>1711960</wp:posOffset>
                      </wp:positionH>
                      <wp:positionV relativeFrom="paragraph">
                        <wp:posOffset>701675</wp:posOffset>
                      </wp:positionV>
                      <wp:extent cx="401320" cy="71120"/>
                      <wp:effectExtent l="0" t="0" r="0" b="0"/>
                      <wp:wrapNone/>
                      <wp:docPr id="2138368094" name="Straight Arrow Connector 2138368094"/>
                      <wp:cNvGraphicFramePr/>
                      <a:graphic xmlns:a="http://schemas.openxmlformats.org/drawingml/2006/main">
                        <a:graphicData uri="http://schemas.microsoft.com/office/word/2010/wordprocessingShape">
                          <wps:wsp>
                            <wps:cNvCnPr/>
                            <wps:spPr>
                              <a:xfrm>
                                <a:off x="5151690" y="3750790"/>
                                <a:ext cx="388620" cy="5842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29B4A6CB" id="Straight Arrow Connector 2138368094" o:spid="_x0000_s1026" type="#_x0000_t32" style="position:absolute;margin-left:134.8pt;margin-top:55.25pt;width:31.6pt;height:5.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99200" behindDoc="0" locked="0" layoutInCell="1" hidden="0" allowOverlap="1" wp14:anchorId="09F0F923" wp14:editId="7C926C48">
                      <wp:simplePos x="0" y="0"/>
                      <wp:positionH relativeFrom="column">
                        <wp:posOffset>526097</wp:posOffset>
                      </wp:positionH>
                      <wp:positionV relativeFrom="paragraph">
                        <wp:posOffset>1103313</wp:posOffset>
                      </wp:positionV>
                      <wp:extent cx="1470025" cy="1414145"/>
                      <wp:effectExtent l="0" t="0" r="0" b="0"/>
                      <wp:wrapNone/>
                      <wp:docPr id="2138368115" name="Rectangle 2138368115"/>
                      <wp:cNvGraphicFramePr/>
                      <a:graphic xmlns:a="http://schemas.openxmlformats.org/drawingml/2006/main">
                        <a:graphicData uri="http://schemas.microsoft.com/office/word/2010/wordprocessingShape">
                          <wps:wsp>
                            <wps:cNvSpPr/>
                            <wps:spPr>
                              <a:xfrm>
                                <a:off x="4615750" y="3077690"/>
                                <a:ext cx="1460500" cy="1404620"/>
                              </a:xfrm>
                              <a:prstGeom prst="rect">
                                <a:avLst/>
                              </a:prstGeom>
                              <a:noFill/>
                              <a:ln>
                                <a:noFill/>
                              </a:ln>
                            </wps:spPr>
                            <wps:txbx>
                              <w:txbxContent>
                                <w:p w14:paraId="218F3366" w14:textId="77777777" w:rsidR="00ED20C7" w:rsidRDefault="00ED20C7" w:rsidP="00ED20C7">
                                  <w:pPr>
                                    <w:jc w:val="center"/>
                                    <w:textDirection w:val="btLr"/>
                                  </w:pPr>
                                  <w:r>
                                    <w:rPr>
                                      <w:color w:val="FFFF00"/>
                                    </w:rPr>
                                    <w:t>Unreacted SCBA</w:t>
                                  </w:r>
                                </w:p>
                              </w:txbxContent>
                            </wps:txbx>
                            <wps:bodyPr spcFirstLastPara="1" wrap="square" lIns="91425" tIns="45700" rIns="91425" bIns="45700" anchor="t" anchorCtr="0">
                              <a:noAutofit/>
                            </wps:bodyPr>
                          </wps:wsp>
                        </a:graphicData>
                      </a:graphic>
                    </wp:anchor>
                  </w:drawing>
                </mc:Choice>
                <mc:Fallback>
                  <w:pict>
                    <v:rect w14:anchorId="09F0F923" id="Rectangle 2138368115" o:spid="_x0000_s1048" style="position:absolute;left:0;text-align:left;margin-left:41.4pt;margin-top:86.9pt;width:115.75pt;height:111.35pt;z-index:2516992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" filled="f" stroked="f">
                      <v:textbox inset="2.53958mm,1.2694mm,2.53958mm,1.2694mm">
                        <w:txbxContent>
                          <w:p w14:paraId="218F3366" w14:textId="77777777" w:rsidR="00ED20C7" w:rsidRDefault="00ED20C7" w:rsidP="00ED20C7">
                            <w:pPr>
                              <w:jc w:val="center"/>
                              <w:textDirection w:val="btLr"/>
                            </w:pPr>
                            <w:r>
                              <w:rPr>
                                <w:color w:val="FFFF00"/>
                              </w:rPr>
                              <w:t>Unreacted SCBA</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700224" behindDoc="0" locked="0" layoutInCell="1" hidden="0" allowOverlap="1" wp14:anchorId="18510BAE" wp14:editId="7839E00F">
                      <wp:simplePos x="0" y="0"/>
                      <wp:positionH relativeFrom="column">
                        <wp:posOffset>1471295</wp:posOffset>
                      </wp:positionH>
                      <wp:positionV relativeFrom="paragraph">
                        <wp:posOffset>1358900</wp:posOffset>
                      </wp:positionV>
                      <wp:extent cx="253365" cy="257810"/>
                      <wp:effectExtent l="0" t="0" r="0" b="0"/>
                      <wp:wrapNone/>
                      <wp:docPr id="2138368106" name="Straight Arrow Connector 2138368106"/>
                      <wp:cNvGraphicFramePr/>
                      <a:graphic xmlns:a="http://schemas.openxmlformats.org/drawingml/2006/main">
                        <a:graphicData uri="http://schemas.microsoft.com/office/word/2010/wordprocessingShape">
                          <wps:wsp>
                            <wps:cNvCnPr/>
                            <wps:spPr>
                              <a:xfrm>
                                <a:off x="5225668" y="3657445"/>
                                <a:ext cx="240665" cy="24511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2A006F9C" id="Straight Arrow Connector 2138368106" o:spid="_x0000_s1026" type="#_x0000_t32" style="position:absolute;margin-left:115.85pt;margin-top:107pt;width:19.95pt;height:20.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" strokecolor="yellow" strokeweight="1pt">
                      <v:stroke dashstyle="dash" startarrowwidth="narrow" startarrowlength="short" endarrow="block" joinstyle="miter"/>
                    </v:shape>
                  </w:pict>
                </mc:Fallback>
              </mc:AlternateContent>
            </w:r>
          </w:p>
        </w:tc>
        <w:tc>
          <w:tcPr>
            <w:tcW w:w="4698" w:type="dxa"/>
            <w:vAlign w:val="center"/>
          </w:tcPr>
          <w:p w14:paraId="634F2E6D" w14:textId="77777777" w:rsidR="00ED20C7" w:rsidRPr="00966FED" w:rsidRDefault="00ED20C7" w:rsidP="00AC0ED3">
            <w:pPr>
              <w:pBdr>
                <w:top w:val="nil"/>
                <w:left w:val="nil"/>
                <w:bottom w:val="nil"/>
                <w:right w:val="nil"/>
                <w:between w:val="nil"/>
              </w:pBdr>
              <w:spacing w:line="259" w:lineRule="auto"/>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5F559516" wp14:editId="71454DB9">
                  <wp:extent cx="2737301" cy="2189237"/>
                  <wp:effectExtent l="0" t="0" r="0" b="0"/>
                  <wp:docPr id="21383681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2"/>
                          <a:srcRect/>
                          <a:stretch>
                            <a:fillRect/>
                          </a:stretch>
                        </pic:blipFill>
                        <pic:spPr>
                          <a:xfrm>
                            <a:off x="0" y="0"/>
                            <a:ext cx="2737301" cy="2189237"/>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701248" behindDoc="0" locked="0" layoutInCell="1" hidden="0" allowOverlap="1" wp14:anchorId="0AC39F28" wp14:editId="0DBD7935">
                      <wp:simplePos x="0" y="0"/>
                      <wp:positionH relativeFrom="column">
                        <wp:posOffset>435928</wp:posOffset>
                      </wp:positionH>
                      <wp:positionV relativeFrom="paragraph">
                        <wp:posOffset>414972</wp:posOffset>
                      </wp:positionV>
                      <wp:extent cx="1402715" cy="1414145"/>
                      <wp:effectExtent l="0" t="0" r="0" b="0"/>
                      <wp:wrapNone/>
                      <wp:docPr id="2138368095" name="Rectangle 2138368095"/>
                      <wp:cNvGraphicFramePr/>
                      <a:graphic xmlns:a="http://schemas.openxmlformats.org/drawingml/2006/main">
                        <a:graphicData uri="http://schemas.microsoft.com/office/word/2010/wordprocessingShape">
                          <wps:wsp>
                            <wps:cNvSpPr/>
                            <wps:spPr>
                              <a:xfrm>
                                <a:off x="4649405" y="3077690"/>
                                <a:ext cx="1393190" cy="1404620"/>
                              </a:xfrm>
                              <a:prstGeom prst="rect">
                                <a:avLst/>
                              </a:prstGeom>
                              <a:noFill/>
                              <a:ln>
                                <a:noFill/>
                              </a:ln>
                            </wps:spPr>
                            <wps:txbx>
                              <w:txbxContent>
                                <w:p w14:paraId="3F6CF4AB" w14:textId="77777777" w:rsidR="00ED20C7" w:rsidRDefault="00ED20C7" w:rsidP="00ED20C7">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0AC39F28" id="Rectangle 2138368095" o:spid="_x0000_s1049" style="position:absolute;left:0;text-align:left;margin-left:34.35pt;margin-top:32.65pt;width:110.45pt;height:111.35pt;z-index:251701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" filled="f" stroked="f">
                      <v:textbox inset="2.53958mm,1.2694mm,2.53958mm,1.2694mm">
                        <w:txbxContent>
                          <w:p w14:paraId="3F6CF4AB" w14:textId="77777777" w:rsidR="00ED20C7" w:rsidRDefault="00ED20C7" w:rsidP="00ED20C7">
                            <w:pPr>
                              <w:jc w:val="center"/>
                              <w:textDirection w:val="btLr"/>
                            </w:pPr>
                            <w:r>
                              <w:rPr>
                                <w:color w:val="FFFF00"/>
                              </w:rPr>
                              <w:t>Geopolymer matrix</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702272" behindDoc="0" locked="0" layoutInCell="1" hidden="0" allowOverlap="1" wp14:anchorId="38DF9828" wp14:editId="74DD0F52">
                      <wp:simplePos x="0" y="0"/>
                      <wp:positionH relativeFrom="column">
                        <wp:posOffset>1753235</wp:posOffset>
                      </wp:positionH>
                      <wp:positionV relativeFrom="paragraph">
                        <wp:posOffset>481330</wp:posOffset>
                      </wp:positionV>
                      <wp:extent cx="376555" cy="99695"/>
                      <wp:effectExtent l="0" t="0" r="0" b="0"/>
                      <wp:wrapNone/>
                      <wp:docPr id="2138368083" name="Straight Arrow Connector 2138368083"/>
                      <wp:cNvGraphicFramePr/>
                      <a:graphic xmlns:a="http://schemas.openxmlformats.org/drawingml/2006/main">
                        <a:graphicData uri="http://schemas.microsoft.com/office/word/2010/wordprocessingShape">
                          <wps:wsp>
                            <wps:cNvCnPr/>
                            <wps:spPr>
                              <a:xfrm rot="10800000" flipH="1">
                                <a:off x="5164073" y="3736503"/>
                                <a:ext cx="363855" cy="8699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0F03CB79" id="Straight Arrow Connector 2138368083" o:spid="_x0000_s1026" type="#_x0000_t32" style="position:absolute;margin-left:138.05pt;margin-top:37.9pt;width:29.65pt;height:7.85pt;rotation:18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0" distB="0" distL="114300" distR="114300" simplePos="0" relativeHeight="251703296" behindDoc="0" locked="0" layoutInCell="1" hidden="0" allowOverlap="1" wp14:anchorId="5FA19FFE" wp14:editId="5683BFFE">
                      <wp:simplePos x="0" y="0"/>
                      <wp:positionH relativeFrom="column">
                        <wp:posOffset>1693545</wp:posOffset>
                      </wp:positionH>
                      <wp:positionV relativeFrom="paragraph">
                        <wp:posOffset>661035</wp:posOffset>
                      </wp:positionV>
                      <wp:extent cx="474345" cy="546100"/>
                      <wp:effectExtent l="0" t="0" r="0" b="0"/>
                      <wp:wrapNone/>
                      <wp:docPr id="2138368101" name="Straight Arrow Connector 2138368101"/>
                      <wp:cNvGraphicFramePr/>
                      <a:graphic xmlns:a="http://schemas.openxmlformats.org/drawingml/2006/main">
                        <a:graphicData uri="http://schemas.microsoft.com/office/word/2010/wordprocessingShape">
                          <wps:wsp>
                            <wps:cNvCnPr/>
                            <wps:spPr>
                              <a:xfrm>
                                <a:off x="5115178" y="3513300"/>
                                <a:ext cx="461645" cy="53340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581BBB4B" id="Straight Arrow Connector 2138368101" o:spid="_x0000_s1026" type="#_x0000_t32" style="position:absolute;margin-left:133.35pt;margin-top:52.05pt;width:37.35pt;height:4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" strokecolor="yellow" strokeweight="1pt">
                      <v:stroke dashstyle="dash" startarrowwidth="narrow" startarrowlength="short" endarrow="block" joinstyle="miter"/>
                    </v:shape>
                  </w:pict>
                </mc:Fallback>
              </mc:AlternateContent>
            </w:r>
          </w:p>
        </w:tc>
      </w:tr>
      <w:tr w:rsidR="00ED20C7" w:rsidRPr="00966FED" w14:paraId="456A781B" w14:textId="77777777" w:rsidTr="00AC0ED3">
        <w:trPr>
          <w:jc w:val="center"/>
        </w:trPr>
        <w:tc>
          <w:tcPr>
            <w:tcW w:w="4481" w:type="dxa"/>
            <w:vAlign w:val="center"/>
          </w:tcPr>
          <w:p w14:paraId="0AFAF50C" w14:textId="77777777" w:rsidR="00ED20C7" w:rsidRPr="00966FED" w:rsidRDefault="00ED20C7"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1769629F" wp14:editId="40F91E17">
                  <wp:extent cx="2652408" cy="2121926"/>
                  <wp:effectExtent l="0" t="0" r="0" b="0"/>
                  <wp:docPr id="213836813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3"/>
                          <a:srcRect/>
                          <a:stretch>
                            <a:fillRect/>
                          </a:stretch>
                        </pic:blipFill>
                        <pic:spPr>
                          <a:xfrm>
                            <a:off x="0" y="0"/>
                            <a:ext cx="2652408" cy="2121926"/>
                          </a:xfrm>
                          <a:prstGeom prst="rect">
                            <a:avLst/>
                          </a:prstGeom>
                          <a:ln/>
                        </pic:spPr>
                      </pic:pic>
                    </a:graphicData>
                  </a:graphic>
                </wp:inline>
              </w:drawing>
            </w:r>
          </w:p>
        </w:tc>
        <w:tc>
          <w:tcPr>
            <w:tcW w:w="4698" w:type="dxa"/>
            <w:vAlign w:val="center"/>
          </w:tcPr>
          <w:p w14:paraId="589774D8" w14:textId="77777777" w:rsidR="00ED20C7" w:rsidRPr="00966FED" w:rsidRDefault="00ED20C7"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30043844" wp14:editId="2CEF4F5D">
                  <wp:extent cx="2644965" cy="2115971"/>
                  <wp:effectExtent l="0" t="0" r="0" b="0"/>
                  <wp:docPr id="213836813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4"/>
                          <a:srcRect/>
                          <a:stretch>
                            <a:fillRect/>
                          </a:stretch>
                        </pic:blipFill>
                        <pic:spPr>
                          <a:xfrm>
                            <a:off x="0" y="0"/>
                            <a:ext cx="2644965" cy="2115971"/>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704320" behindDoc="0" locked="0" layoutInCell="1" hidden="0" allowOverlap="1" wp14:anchorId="73C46146" wp14:editId="4FD4A700">
                      <wp:simplePos x="0" y="0"/>
                      <wp:positionH relativeFrom="column">
                        <wp:posOffset>1403350</wp:posOffset>
                      </wp:positionH>
                      <wp:positionV relativeFrom="paragraph">
                        <wp:posOffset>215265</wp:posOffset>
                      </wp:positionV>
                      <wp:extent cx="93980" cy="548005"/>
                      <wp:effectExtent l="0" t="0" r="0" b="0"/>
                      <wp:wrapNone/>
                      <wp:docPr id="2138368108" name="Straight Arrow Connector 2138368108"/>
                      <wp:cNvGraphicFramePr/>
                      <a:graphic xmlns:a="http://schemas.openxmlformats.org/drawingml/2006/main">
                        <a:graphicData uri="http://schemas.microsoft.com/office/word/2010/wordprocessingShape">
                          <wps:wsp>
                            <wps:cNvCnPr/>
                            <wps:spPr>
                              <a:xfrm rot="10800000" flipH="1">
                                <a:off x="5305360" y="3512348"/>
                                <a:ext cx="81280" cy="53530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15248736" id="Straight Arrow Connector 2138368108" o:spid="_x0000_s1026" type="#_x0000_t32" style="position:absolute;margin-left:110.5pt;margin-top:16.95pt;width:7.4pt;height:43.15pt;rotation:18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0" distB="0" distL="114300" distR="114300" simplePos="0" relativeHeight="251705344" behindDoc="0" locked="0" layoutInCell="1" hidden="0" allowOverlap="1" wp14:anchorId="2C178C7C" wp14:editId="1E753097">
                      <wp:simplePos x="0" y="0"/>
                      <wp:positionH relativeFrom="column">
                        <wp:posOffset>795655</wp:posOffset>
                      </wp:positionH>
                      <wp:positionV relativeFrom="paragraph">
                        <wp:posOffset>979805</wp:posOffset>
                      </wp:positionV>
                      <wp:extent cx="516255" cy="401320"/>
                      <wp:effectExtent l="0" t="0" r="0" b="0"/>
                      <wp:wrapNone/>
                      <wp:docPr id="2138368100" name="Straight Arrow Connector 2138368100"/>
                      <wp:cNvGraphicFramePr/>
                      <a:graphic xmlns:a="http://schemas.openxmlformats.org/drawingml/2006/main">
                        <a:graphicData uri="http://schemas.microsoft.com/office/word/2010/wordprocessingShape">
                          <wps:wsp>
                            <wps:cNvCnPr/>
                            <wps:spPr>
                              <a:xfrm flipH="1">
                                <a:off x="5094223" y="3585690"/>
                                <a:ext cx="503555" cy="38862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68077F69" id="Straight Arrow Connector 2138368100" o:spid="_x0000_s1026" type="#_x0000_t32" style="position:absolute;margin-left:62.65pt;margin-top:77.15pt;width:40.65pt;height:31.6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706368" behindDoc="0" locked="0" layoutInCell="1" hidden="0" allowOverlap="1" wp14:anchorId="10D5C589" wp14:editId="7407C07B">
                      <wp:simplePos x="0" y="0"/>
                      <wp:positionH relativeFrom="column">
                        <wp:posOffset>661988</wp:posOffset>
                      </wp:positionH>
                      <wp:positionV relativeFrom="paragraph">
                        <wp:posOffset>674053</wp:posOffset>
                      </wp:positionV>
                      <wp:extent cx="1402715" cy="1414145"/>
                      <wp:effectExtent l="0" t="0" r="0" b="0"/>
                      <wp:wrapNone/>
                      <wp:docPr id="2138368081" name="Rectangle 2138368081"/>
                      <wp:cNvGraphicFramePr/>
                      <a:graphic xmlns:a="http://schemas.openxmlformats.org/drawingml/2006/main">
                        <a:graphicData uri="http://schemas.microsoft.com/office/word/2010/wordprocessingShape">
                          <wps:wsp>
                            <wps:cNvSpPr/>
                            <wps:spPr>
                              <a:xfrm>
                                <a:off x="4649405" y="3077690"/>
                                <a:ext cx="1393190" cy="1404620"/>
                              </a:xfrm>
                              <a:prstGeom prst="rect">
                                <a:avLst/>
                              </a:prstGeom>
                              <a:noFill/>
                              <a:ln>
                                <a:noFill/>
                              </a:ln>
                            </wps:spPr>
                            <wps:txbx>
                              <w:txbxContent>
                                <w:p w14:paraId="74A670FF" w14:textId="77777777" w:rsidR="00ED20C7" w:rsidRDefault="00ED20C7" w:rsidP="00ED20C7">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10D5C589" id="Rectangle 2138368081" o:spid="_x0000_s1050" style="position:absolute;left:0;text-align:left;margin-left:52.15pt;margin-top:53.1pt;width:110.45pt;height:111.35pt;z-index:2517063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" filled="f" stroked="f">
                      <v:textbox inset="2.53958mm,1.2694mm,2.53958mm,1.2694mm">
                        <w:txbxContent>
                          <w:p w14:paraId="74A670FF" w14:textId="77777777" w:rsidR="00ED20C7" w:rsidRDefault="00ED20C7" w:rsidP="00ED20C7">
                            <w:pPr>
                              <w:jc w:val="center"/>
                              <w:textDirection w:val="btLr"/>
                            </w:pPr>
                            <w:r>
                              <w:rPr>
                                <w:color w:val="FFFF00"/>
                              </w:rPr>
                              <w:t>Geopolymer matrix</w:t>
                            </w:r>
                          </w:p>
                        </w:txbxContent>
                      </v:textbox>
                    </v:rect>
                  </w:pict>
                </mc:Fallback>
              </mc:AlternateContent>
            </w:r>
          </w:p>
        </w:tc>
      </w:tr>
    </w:tbl>
    <w:p w14:paraId="2621FF80" w14:textId="77777777" w:rsidR="00552AA7" w:rsidRPr="00966FED" w:rsidRDefault="00552AA7" w:rsidP="00552AA7">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CONCLUSION</w:t>
      </w:r>
    </w:p>
    <w:p w14:paraId="2EB86BBC" w14:textId="77777777" w:rsidR="00BD57E9" w:rsidRPr="00966FED" w:rsidRDefault="00BD57E9" w:rsidP="00BD57E9">
      <w:pPr>
        <w:spacing w:before="240" w:after="240" w:line="240" w:lineRule="auto"/>
        <w:ind w:firstLine="720"/>
        <w:jc w:val="both"/>
        <w:rPr>
          <w:rFonts w:ascii="Times New Roman" w:hAnsi="Times New Roman" w:cs="Times New Roman"/>
        </w:rPr>
      </w:pPr>
      <w:r w:rsidRPr="00966FED">
        <w:rPr>
          <w:rFonts w:ascii="Times New Roman" w:hAnsi="Times New Roman" w:cs="Times New Roman"/>
        </w:rPr>
        <w:t xml:space="preserve">A nanosilica-enhanced geopolymer fire-retardant coating (GFC) derived from sugarcane bagasse ash (SCBA) and Kauswagan Red Clay (KRC) was successfully optimized using response surface methodology (RSM). The experimental results demonstrated that the Si/Al ratio, nanosilica wt%, and geopolymer-binder-coating-to-alkyd paint (GBC/AP) ratio all had a significant impact on the time taken to reach a backside temperature of 300 °C (TT300). Their effects can be summarized by the RSM model as in Equation 1. </w:t>
      </w:r>
    </w:p>
    <w:p w14:paraId="7409EA01" w14:textId="77777777" w:rsidR="00BD57E9" w:rsidRPr="00966FED" w:rsidRDefault="00BD57E9" w:rsidP="00BD57E9">
      <w:pPr>
        <w:spacing w:before="240" w:after="240" w:line="240" w:lineRule="auto"/>
        <w:ind w:firstLine="720"/>
        <w:jc w:val="both"/>
        <w:rPr>
          <w:rFonts w:ascii="Times New Roman" w:hAnsi="Times New Roman" w:cs="Times New Roman"/>
        </w:rPr>
      </w:pPr>
      <w:r w:rsidRPr="00966FED">
        <w:rPr>
          <w:rFonts w:ascii="Times New Roman" w:hAnsi="Times New Roman" w:cs="Times New Roman"/>
        </w:rPr>
        <w:t xml:space="preserve">Among the tested samples, Sample 1 exhibited the poorest fire resistance, reaching TT300 in 92 s, whereas Sample 9 demonstrated the best performance, achieving TT300 in 337 s. The improvement in fire resistance was attributed to the increased Si/Al ratio, nanosilica wt%, and GBC/AP ratio, which contributed to </w:t>
      </w:r>
      <w:r w:rsidRPr="00966FED">
        <w:rPr>
          <w:rFonts w:ascii="Times New Roman" w:hAnsi="Times New Roman" w:cs="Times New Roman"/>
        </w:rPr>
        <w:lastRenderedPageBreak/>
        <w:t>enhanced thermal stability and fire protection. Adhesion test results further showed that the incorporation of GBC into AP does not have a negative effect on the adhesion of the coating and showed the best rating (5B). Thermogravimetric analysis (TGA) supported these findings, with Sample 1 having a residual weight of 59.33% while Sample 9 had a residual weight of 65.53%. This shows that sample 9 has superior thermal stability after thermal degradation. Microstructural analysis via scanning electron microscopy (SEM) revealed that lower Si/Al ratios, nanosilica wt%, and GBC/AP ratios led to more severe cracking, which compromised the coating’s structural integrity and facilitated heat penetration, reducing fire resistance. However, an excessively high Si/Al ratio resulted in the presence of unreacted particles on the surface, creating a rougher and less homogeneous morphology. These findings suggest that an optimal balance among formulation parameters is crucial to achieving a dense, crack-free, and thermally stable coating.</w:t>
      </w:r>
    </w:p>
    <w:p w14:paraId="3B6318FB" w14:textId="77777777" w:rsidR="00BD57E9" w:rsidRPr="00966FED" w:rsidRDefault="00BD57E9" w:rsidP="00BD57E9">
      <w:pPr>
        <w:spacing w:before="240" w:after="240" w:line="240" w:lineRule="auto"/>
        <w:ind w:firstLine="720"/>
        <w:jc w:val="both"/>
        <w:rPr>
          <w:rFonts w:ascii="Times New Roman" w:hAnsi="Times New Roman" w:cs="Times New Roman"/>
        </w:rPr>
      </w:pPr>
      <w:r w:rsidRPr="00966FED">
        <w:rPr>
          <w:rFonts w:ascii="Times New Roman" w:hAnsi="Times New Roman" w:cs="Times New Roman"/>
        </w:rPr>
        <w:t xml:space="preserve">The optimal coating composition was determined to be a Si/Al ratio of 4.728 ±0.001, nanosilica wt% of 0.583 ±0.001, and a GBC/AP ratio of 0.497±0.001, with a predicted TT300 of 340 s. The experimental validation showed an error margin of 6.67% between the predicted and actual values, confirming the accuracy and reliability of the RSM model for optimization. Furthermore, the incorporation of GBC into AP significantly enhanced fire resistance. The control sample, AP without GBC, reached TT300 in 82 s, whereas the optimized GFC formulation achieved TT300 in 326 s, demonstrating a substantial improvement in fire protection. The enhanced performance was attributed to the formation of a stable and compact char layer brought by the incorporation of GBC into AP, which acted as an effective thermal barrier, reducing heat transfer to the underlying substrate. </w:t>
      </w:r>
    </w:p>
    <w:p w14:paraId="640DB99E" w14:textId="63C22F52" w:rsidR="00ED20C7" w:rsidRPr="00966FED" w:rsidRDefault="00BD57E9" w:rsidP="00BD57E9">
      <w:pPr>
        <w:spacing w:before="240" w:after="240" w:line="240" w:lineRule="auto"/>
        <w:ind w:firstLine="720"/>
        <w:jc w:val="both"/>
        <w:rPr>
          <w:rFonts w:ascii="Times New Roman" w:hAnsi="Times New Roman" w:cs="Times New Roman"/>
        </w:rPr>
      </w:pPr>
      <w:r w:rsidRPr="00966FED">
        <w:rPr>
          <w:rFonts w:ascii="Times New Roman" w:hAnsi="Times New Roman" w:cs="Times New Roman"/>
        </w:rPr>
        <w:t>Overall, these findings emphasize the potential of GFC as a sustainable and efficient fire-retardant material for protective applications, offering a practical alternative to conventional fireproofing solutions.</w:t>
      </w:r>
    </w:p>
    <w:p w14:paraId="6F337DF8" w14:textId="77777777" w:rsidR="009C6A44" w:rsidRPr="00966FED" w:rsidRDefault="00FF39E0" w:rsidP="009C6A44">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REFERENCE</w:t>
      </w:r>
      <w:r w:rsidR="009C6A44" w:rsidRPr="00966FED">
        <w:rPr>
          <w:rFonts w:ascii="Times New Roman" w:hAnsi="Times New Roman" w:cs="Times New Roman"/>
          <w:b/>
          <w:bCs/>
          <w:sz w:val="28"/>
          <w:szCs w:val="28"/>
        </w:rPr>
        <w:t>S</w:t>
      </w:r>
    </w:p>
    <w:p w14:paraId="4B0C7524" w14:textId="7777777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‘Spray Applied Fireproofing Contractors for Structural Steel’. Accessed: Jul. 28, 2024. [Online]. Available: https://clmfireproofing.com/structural-steel-fire-protection/</w:t>
      </w:r>
    </w:p>
    <w:p w14:paraId="37F6BA00" w14:textId="206674B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‘Fire Incidents and BFP Performance’, Accessed: Jul. 28, 2024. [Online]. Available: https://www.ctif.org/</w:t>
      </w:r>
    </w:p>
    <w:p w14:paraId="0F4A5643" w14:textId="6F2D81BF"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R. G. Puri and A. S. Khanna, ‘Effect of cenospheres on the char formation and fire protective performance of water-based intumescent coatings on structural steel’, </w:t>
      </w:r>
      <w:r w:rsidRPr="00966FED">
        <w:rPr>
          <w:rFonts w:ascii="Times New Roman" w:hAnsi="Times New Roman" w:cs="Times New Roman"/>
          <w:i/>
          <w:iCs/>
        </w:rPr>
        <w:t>Prog Org Coat</w:t>
      </w:r>
      <w:r w:rsidRPr="00966FED">
        <w:rPr>
          <w:rFonts w:ascii="Times New Roman" w:hAnsi="Times New Roman" w:cs="Times New Roman"/>
        </w:rPr>
        <w:t>, vol. 92, pp. 8–15, Mar. 2016, doi: 10.1016/J.PORGCOAT.2015.11.016.</w:t>
      </w:r>
    </w:p>
    <w:p w14:paraId="31DC0E06" w14:textId="63958928"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A. Andersson, S. Landmark, and F. H. J. Maurer, ‘Evaluation and characterization of ammoniumpolyphosphate-pentaerythritol-based systems for intumescent coatings’, </w:t>
      </w:r>
      <w:r w:rsidRPr="00966FED">
        <w:rPr>
          <w:rFonts w:ascii="Times New Roman" w:hAnsi="Times New Roman" w:cs="Times New Roman"/>
          <w:i/>
          <w:iCs/>
        </w:rPr>
        <w:t>J Appl Polym Sci</w:t>
      </w:r>
      <w:r w:rsidRPr="00966FED">
        <w:rPr>
          <w:rFonts w:ascii="Times New Roman" w:hAnsi="Times New Roman" w:cs="Times New Roman"/>
        </w:rPr>
        <w:t>, vol. 104, no. 2, pp. 748–753, Apr. 2007, doi: 10.1002/APP.25588.</w:t>
      </w:r>
    </w:p>
    <w:p w14:paraId="6212D32B" w14:textId="6F183F56"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L. Yan, Z. Xu, and X. Wang, ‘Influence of nano-silica on the flame retardancy and smoke suppression properties of transparent intumescent fire-retardant coatings’, </w:t>
      </w:r>
      <w:r w:rsidRPr="00966FED">
        <w:rPr>
          <w:rFonts w:ascii="Times New Roman" w:hAnsi="Times New Roman" w:cs="Times New Roman"/>
          <w:i/>
          <w:iCs/>
        </w:rPr>
        <w:t>Prog Org Coat</w:t>
      </w:r>
      <w:r w:rsidRPr="00966FED">
        <w:rPr>
          <w:rFonts w:ascii="Times New Roman" w:hAnsi="Times New Roman" w:cs="Times New Roman"/>
        </w:rPr>
        <w:t>, vol. 112, pp. 319–329, Nov. 2017, doi: 10.1016/J.PORGCOAT.2017.07.017.</w:t>
      </w:r>
    </w:p>
    <w:p w14:paraId="073C1468" w14:textId="2227F55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Y. Wang </w:t>
      </w:r>
      <w:r w:rsidRPr="00966FED">
        <w:rPr>
          <w:rFonts w:ascii="Times New Roman" w:hAnsi="Times New Roman" w:cs="Times New Roman"/>
          <w:i/>
          <w:iCs/>
        </w:rPr>
        <w:t>et al.</w:t>
      </w:r>
      <w:r w:rsidRPr="00966FED">
        <w:rPr>
          <w:rFonts w:ascii="Times New Roman" w:hAnsi="Times New Roman" w:cs="Times New Roman"/>
        </w:rPr>
        <w:t xml:space="preserve">, ‘Synergistic Effect of Nano-Silica and Intumescent Flame Retardant on the Fire Reaction Properties of Polypropylene Composites’, </w:t>
      </w:r>
      <w:r w:rsidRPr="00966FED">
        <w:rPr>
          <w:rFonts w:ascii="Times New Roman" w:hAnsi="Times New Roman" w:cs="Times New Roman"/>
          <w:i/>
          <w:iCs/>
        </w:rPr>
        <w:t>Materials 2023, Vol. 16, Page 4759</w:t>
      </w:r>
      <w:r w:rsidRPr="00966FED">
        <w:rPr>
          <w:rFonts w:ascii="Times New Roman" w:hAnsi="Times New Roman" w:cs="Times New Roman"/>
        </w:rPr>
        <w:t>, vol. 16, no. 13, p. 4759, Jun. 2023, doi: 10.3390/MA16134759.</w:t>
      </w:r>
    </w:p>
    <w:p w14:paraId="26E78FF5" w14:textId="2A9FE8F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L. H. Daus, B. Schartel, V. Wachtendorf, R. Mangelsdorf, and M. Korzen, ‘A chain is no stronger than its weakest link: Weathering resistance of water-based intumescent coatings for steel applications’, </w:t>
      </w:r>
      <w:r w:rsidRPr="00966FED">
        <w:rPr>
          <w:rFonts w:ascii="Times New Roman" w:hAnsi="Times New Roman" w:cs="Times New Roman"/>
          <w:i/>
          <w:iCs/>
        </w:rPr>
        <w:t>https://doi.org/10.1177/0734904120961064</w:t>
      </w:r>
      <w:r w:rsidRPr="00966FED">
        <w:rPr>
          <w:rFonts w:ascii="Times New Roman" w:hAnsi="Times New Roman" w:cs="Times New Roman"/>
        </w:rPr>
        <w:t>, vol. 39, no. 1, pp. 72–102, Nov. 2020, doi: 10.1177/0734904120961064.</w:t>
      </w:r>
    </w:p>
    <w:p w14:paraId="1C8A69FF" w14:textId="3E97511B"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C. de Sá </w:t>
      </w:r>
      <w:r w:rsidRPr="00966FED">
        <w:rPr>
          <w:rFonts w:ascii="Times New Roman" w:hAnsi="Times New Roman" w:cs="Times New Roman"/>
          <w:i/>
          <w:iCs/>
        </w:rPr>
        <w:t>et al.</w:t>
      </w:r>
      <w:r w:rsidRPr="00966FED">
        <w:rPr>
          <w:rFonts w:ascii="Times New Roman" w:hAnsi="Times New Roman" w:cs="Times New Roman"/>
        </w:rPr>
        <w:t xml:space="preserve">, ‘Environmentally friendly intumescent coatings formulated with vegetable compounds’, </w:t>
      </w:r>
      <w:r w:rsidRPr="00966FED">
        <w:rPr>
          <w:rFonts w:ascii="Times New Roman" w:hAnsi="Times New Roman" w:cs="Times New Roman"/>
          <w:i/>
          <w:iCs/>
        </w:rPr>
        <w:t>Prog Org Coat</w:t>
      </w:r>
      <w:r w:rsidRPr="00966FED">
        <w:rPr>
          <w:rFonts w:ascii="Times New Roman" w:hAnsi="Times New Roman" w:cs="Times New Roman"/>
        </w:rPr>
        <w:t>, vol. 113, pp. 47–59, Dec. 2017, doi: 10.1016/J.PORGCOAT.2017.08.007.</w:t>
      </w:r>
    </w:p>
    <w:p w14:paraId="051113C3" w14:textId="6CB603F9"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C. Jiang, A. Wang, X. Bao, T. Ni, and J. Ling, ‘A review on geopolymer in potential coating application: Materials, preparation and basic properties’, </w:t>
      </w:r>
      <w:r w:rsidRPr="00966FED">
        <w:rPr>
          <w:rFonts w:ascii="Times New Roman" w:hAnsi="Times New Roman" w:cs="Times New Roman"/>
          <w:i/>
          <w:iCs/>
        </w:rPr>
        <w:t>Journal of Building Engineering</w:t>
      </w:r>
      <w:r w:rsidRPr="00966FED">
        <w:rPr>
          <w:rFonts w:ascii="Times New Roman" w:hAnsi="Times New Roman" w:cs="Times New Roman"/>
        </w:rPr>
        <w:t>, vol. 32, p. 101734, Nov. 2020, doi: 10.1016/J.JOBE.2020.101734.</w:t>
      </w:r>
    </w:p>
    <w:p w14:paraId="7B2FD52F" w14:textId="7F9ED32D"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lastRenderedPageBreak/>
        <w:t xml:space="preserve">M. B. Watolla, G. J. G. Gluth, P. Sturm, W. D. A. Rickard, S. Krüger, and B. Schartel, ‘Intumescent Geopolymer-Bound Coatings for Fire Protection of Steel’, </w:t>
      </w:r>
      <w:r w:rsidRPr="00966FED">
        <w:rPr>
          <w:rFonts w:ascii="Times New Roman" w:hAnsi="Times New Roman" w:cs="Times New Roman"/>
          <w:i/>
          <w:iCs/>
        </w:rPr>
        <w:t>Journal of Ceramic Science and Technology</w:t>
      </w:r>
      <w:r w:rsidRPr="00966FED">
        <w:rPr>
          <w:rFonts w:ascii="Times New Roman" w:hAnsi="Times New Roman" w:cs="Times New Roman"/>
        </w:rPr>
        <w:t>, vol. 8, no. 3, pp. 351–364, 2017, doi: 10.4416/JCST2017-00035.</w:t>
      </w:r>
    </w:p>
    <w:p w14:paraId="751278DD" w14:textId="5B36383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S. Mohd Basri, F. Mustapha, N. Mazlan, and M. R. Ishak, ‘Fire Retardant Performance of Rice Husk Ash-Based Geopolymer Coated Mild Steel - A Factorial Design and Microstructure Analysis’, </w:t>
      </w:r>
      <w:r w:rsidRPr="00966FED">
        <w:rPr>
          <w:rFonts w:ascii="Times New Roman" w:hAnsi="Times New Roman" w:cs="Times New Roman"/>
          <w:i/>
          <w:iCs/>
        </w:rPr>
        <w:t>Materials Science Forum</w:t>
      </w:r>
      <w:r w:rsidRPr="00966FED">
        <w:rPr>
          <w:rFonts w:ascii="Times New Roman" w:hAnsi="Times New Roman" w:cs="Times New Roman"/>
        </w:rPr>
        <w:t>, vol. 841, pp. 48–54, 2016, doi: 10.4028/WWW.SCIENTIFIC.NET/MSF.841.48.</w:t>
      </w:r>
    </w:p>
    <w:p w14:paraId="60B39BD0" w14:textId="52EE6B48"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K. Srinivasan and A. Sivakumar, ‘Geopolymer Binders: A Need for Future Concrete Construction’, </w:t>
      </w:r>
      <w:r w:rsidRPr="00966FED">
        <w:rPr>
          <w:rFonts w:ascii="Times New Roman" w:hAnsi="Times New Roman" w:cs="Times New Roman"/>
          <w:i/>
          <w:iCs/>
        </w:rPr>
        <w:t>Int Sch Res Notices</w:t>
      </w:r>
      <w:r w:rsidRPr="00966FED">
        <w:rPr>
          <w:rFonts w:ascii="Times New Roman" w:hAnsi="Times New Roman" w:cs="Times New Roman"/>
        </w:rPr>
        <w:t>, vol. 2013, no. 1, p. 509185, Jan. 2013, doi: 10.1155/2013/509185.</w:t>
      </w:r>
    </w:p>
    <w:p w14:paraId="656D5932" w14:textId="0665752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K. Neupane, D. Chalmers, and P. Kidd, ‘High-Strength Geopolymer Concrete- Properties, Advantages and Challenges’, </w:t>
      </w:r>
      <w:r w:rsidRPr="00966FED">
        <w:rPr>
          <w:rFonts w:ascii="Times New Roman" w:hAnsi="Times New Roman" w:cs="Times New Roman"/>
          <w:i/>
          <w:iCs/>
        </w:rPr>
        <w:t>Advances in Materials 2018, Volume 7, Page 15</w:t>
      </w:r>
      <w:r w:rsidRPr="00966FED">
        <w:rPr>
          <w:rFonts w:ascii="Times New Roman" w:hAnsi="Times New Roman" w:cs="Times New Roman"/>
        </w:rPr>
        <w:t>, vol. 7, no. 2, pp. 15–25, Jun. 2018, doi: 10.11648/J.AM.20180702.11.</w:t>
      </w:r>
    </w:p>
    <w:p w14:paraId="2F03BCD0" w14:textId="5C0FD134"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Z. Zhou, C. Zeng, H. Wei, and Y. Ding, ‘Preparation and property study of geopolymer composite fireproof coating with PVA fiber and manganese slag’, </w:t>
      </w:r>
      <w:r w:rsidRPr="00966FED">
        <w:rPr>
          <w:rFonts w:ascii="Times New Roman" w:hAnsi="Times New Roman" w:cs="Times New Roman"/>
          <w:i/>
          <w:iCs/>
        </w:rPr>
        <w:t>Cleaner Materials</w:t>
      </w:r>
      <w:r w:rsidRPr="00966FED">
        <w:rPr>
          <w:rFonts w:ascii="Times New Roman" w:hAnsi="Times New Roman" w:cs="Times New Roman"/>
        </w:rPr>
        <w:t>, vol. 15, p. 100289, Mar. 2025, doi: 10.1016/J.CLEMA.2024.100289.</w:t>
      </w:r>
    </w:p>
    <w:p w14:paraId="3D6F55BF" w14:textId="4F306106"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H. Zain, M. M. A. B. Abdullah, K. Hussin, N. Ariffin, and R. Bayuaji, ‘Review on Various Types of Geopolymer Materials with the Environmental Impact Assessment’, </w:t>
      </w:r>
      <w:r w:rsidRPr="00966FED">
        <w:rPr>
          <w:rFonts w:ascii="Times New Roman" w:hAnsi="Times New Roman" w:cs="Times New Roman"/>
          <w:i/>
          <w:iCs/>
        </w:rPr>
        <w:t>MATEC Web of Conferences</w:t>
      </w:r>
      <w:r w:rsidRPr="00966FED">
        <w:rPr>
          <w:rFonts w:ascii="Times New Roman" w:hAnsi="Times New Roman" w:cs="Times New Roman"/>
        </w:rPr>
        <w:t>, vol. 97, p. 01021, Feb. 2017, doi: 10.1051/MATECCONF/20179701021.</w:t>
      </w:r>
    </w:p>
    <w:p w14:paraId="73396696" w14:textId="161D2863"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J. Temuujin, A. Minjigmaa, W. Rickard, M. Lee, I. Williams, and A. van Riessen, ‘Preparation of metakaolin based geopolymer coatings on metal substrates as thermal barriers’, </w:t>
      </w:r>
      <w:r w:rsidRPr="00966FED">
        <w:rPr>
          <w:rFonts w:ascii="Times New Roman" w:hAnsi="Times New Roman" w:cs="Times New Roman"/>
          <w:i/>
          <w:iCs/>
        </w:rPr>
        <w:t>Appl Clay Sci</w:t>
      </w:r>
      <w:r w:rsidRPr="00966FED">
        <w:rPr>
          <w:rFonts w:ascii="Times New Roman" w:hAnsi="Times New Roman" w:cs="Times New Roman"/>
        </w:rPr>
        <w:t>, vol. 46, no. 3, pp. 265–270, Nov. 2009, doi: 10.1016/J.CLAY.2009.08.015.</w:t>
      </w:r>
    </w:p>
    <w:p w14:paraId="7C217F66" w14:textId="4721820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A. M. Mustafa Al Bakri, H. Kamarudin, I. Khairul Nizar, M. Bnhussain, Y. Zarina, and A. R. Rafiza, ‘Correlation between Na2SiO3/NaOH Ratio and Fly Ash/Alkaline Activator Ratio to the Strength of Geopolymer’, </w:t>
      </w:r>
      <w:r w:rsidRPr="00966FED">
        <w:rPr>
          <w:rFonts w:ascii="Times New Roman" w:hAnsi="Times New Roman" w:cs="Times New Roman"/>
          <w:i/>
          <w:iCs/>
        </w:rPr>
        <w:t>Adv Mat Res</w:t>
      </w:r>
      <w:r w:rsidRPr="00966FED">
        <w:rPr>
          <w:rFonts w:ascii="Times New Roman" w:hAnsi="Times New Roman" w:cs="Times New Roman"/>
        </w:rPr>
        <w:t>, vol. 341–342, pp. 189–193, 2012, doi: 10.4028/WWW.SCIENTIFIC.NET/AMR.341-342.189.</w:t>
      </w:r>
    </w:p>
    <w:p w14:paraId="2C217673" w14:textId="640E744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N. Abdullah, M. Mustapha, N. Sallih, A. Ahmad, F. Mustapha, and A. Dahliyanti, ‘Study and Use of Rice Husk Ash as a Source of Aluminosilicate in Refractory Coating’, </w:t>
      </w:r>
      <w:r w:rsidRPr="00966FED">
        <w:rPr>
          <w:rFonts w:ascii="Times New Roman" w:hAnsi="Times New Roman" w:cs="Times New Roman"/>
          <w:i/>
          <w:iCs/>
        </w:rPr>
        <w:t>Materials 2021, Vol. 14, Page 3440</w:t>
      </w:r>
      <w:r w:rsidRPr="00966FED">
        <w:rPr>
          <w:rFonts w:ascii="Times New Roman" w:hAnsi="Times New Roman" w:cs="Times New Roman"/>
        </w:rPr>
        <w:t>, vol. 14, no. 13, p. 3440, Jun. 2021, doi: 10.3390/MA14133440.</w:t>
      </w:r>
    </w:p>
    <w:p w14:paraId="1AC9E023" w14:textId="77C3176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‘Initiatives and Implications of Philippine Sugar Liberalization | FFTC Agricultural Policy Platform (FFTC-AP)’. Accessed: Jul. 28, 2024. [Online]. Available: https://ap.fftc.org.tw/article/1841</w:t>
      </w:r>
    </w:p>
    <w:p w14:paraId="4DA867B2" w14:textId="0E90D642"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E. L. Gudia </w:t>
      </w:r>
      <w:r w:rsidRPr="00966FED">
        <w:rPr>
          <w:rFonts w:ascii="Times New Roman" w:hAnsi="Times New Roman" w:cs="Times New Roman"/>
          <w:i/>
          <w:iCs/>
        </w:rPr>
        <w:t>et al.</w:t>
      </w:r>
      <w:r w:rsidRPr="00966FED">
        <w:rPr>
          <w:rFonts w:ascii="Times New Roman" w:hAnsi="Times New Roman" w:cs="Times New Roman"/>
        </w:rPr>
        <w:t xml:space="preserve">, ‘Sugarcane bagasse ash as a partial replacement for cement in paste and mortar formulation – A case in the Philippines’, </w:t>
      </w:r>
      <w:r w:rsidRPr="00966FED">
        <w:rPr>
          <w:rFonts w:ascii="Times New Roman" w:hAnsi="Times New Roman" w:cs="Times New Roman"/>
          <w:i/>
          <w:iCs/>
        </w:rPr>
        <w:t>Journal of Building Engineering</w:t>
      </w:r>
      <w:r w:rsidRPr="00966FED">
        <w:rPr>
          <w:rFonts w:ascii="Times New Roman" w:hAnsi="Times New Roman" w:cs="Times New Roman"/>
        </w:rPr>
        <w:t>, vol. 76, p. 107221, Oct. 2023, doi: 10.1016/J.JOBE.2023.107221.</w:t>
      </w:r>
    </w:p>
    <w:p w14:paraId="509EEE5B" w14:textId="581C0033"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A. W. Go, A. T. Conag, R. M. B. Igdon, A. S. Toledo, and J. S. Malila, ‘Potentials of agricultural and agro-industrial crop residues for the displacement of fossil fuels: A Philippine context’, </w:t>
      </w:r>
      <w:r w:rsidRPr="00966FED">
        <w:rPr>
          <w:rFonts w:ascii="Times New Roman" w:hAnsi="Times New Roman" w:cs="Times New Roman"/>
          <w:i/>
          <w:iCs/>
        </w:rPr>
        <w:t>Energy Strategy Reviews</w:t>
      </w:r>
      <w:r w:rsidRPr="00966FED">
        <w:rPr>
          <w:rFonts w:ascii="Times New Roman" w:hAnsi="Times New Roman" w:cs="Times New Roman"/>
        </w:rPr>
        <w:t>, vol. 23, pp. 100–113, Jan. 2019, doi: 10.1016/J.ESR.2018.12.010.</w:t>
      </w:r>
    </w:p>
    <w:p w14:paraId="7C2AF8F7" w14:textId="4750AD66"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O. A. Caparino and N. Ambassador Hotel Busan, ‘2018 International Forum on Sustainable Application of Waste-to-Energy in Asia Region STATUS OF AGRICULTURAL WASTE AND UTILIZATION IN THE PHILIPPINES’, Accessed: Feb. 17, 2025. [Online]. Available: www.philmech.gov.ph</w:t>
      </w:r>
    </w:p>
    <w:p w14:paraId="179E08C1" w14:textId="787B815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‘IOP Conference Series: Earth and Environmental Science A review of sugarcane bagasse ash: Characteristics, properties and sustainable applications in concrete’, doi: 10.1088/1755-1315/1409/1/012002.</w:t>
      </w:r>
    </w:p>
    <w:p w14:paraId="24C292AE" w14:textId="2F0260B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C. Ferone </w:t>
      </w:r>
      <w:r w:rsidRPr="00966FED">
        <w:rPr>
          <w:rFonts w:ascii="Times New Roman" w:hAnsi="Times New Roman" w:cs="Times New Roman"/>
          <w:i/>
          <w:iCs/>
        </w:rPr>
        <w:t>et al.</w:t>
      </w:r>
      <w:r w:rsidRPr="00966FED">
        <w:rPr>
          <w:rFonts w:ascii="Times New Roman" w:hAnsi="Times New Roman" w:cs="Times New Roman"/>
        </w:rPr>
        <w:t xml:space="preserve">, ‘Thermally treated clay sediments as geopolymer source material’, </w:t>
      </w:r>
      <w:r w:rsidRPr="00966FED">
        <w:rPr>
          <w:rFonts w:ascii="Times New Roman" w:hAnsi="Times New Roman" w:cs="Times New Roman"/>
          <w:i/>
          <w:iCs/>
        </w:rPr>
        <w:t>Appl Clay Sci</w:t>
      </w:r>
      <w:r w:rsidRPr="00966FED">
        <w:rPr>
          <w:rFonts w:ascii="Times New Roman" w:hAnsi="Times New Roman" w:cs="Times New Roman"/>
        </w:rPr>
        <w:t>, vol. 107, pp. 195–204, Apr. 2015, doi: 10.1016/J.CLAY.2015.01.027.</w:t>
      </w:r>
    </w:p>
    <w:p w14:paraId="5781EA63" w14:textId="11017B1F"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Prasanphan, S. Onutai, and N. Nawaukkaratharnant, ‘Influence of partial replacement of calcined red clay by gypsum-bonded casting investment waste on geopolymerization reaction of red clay-based geopolymer’, </w:t>
      </w:r>
      <w:r w:rsidRPr="00966FED">
        <w:rPr>
          <w:rFonts w:ascii="Times New Roman" w:hAnsi="Times New Roman" w:cs="Times New Roman"/>
          <w:i/>
          <w:iCs/>
        </w:rPr>
        <w:t>Heliyon</w:t>
      </w:r>
      <w:r w:rsidRPr="00966FED">
        <w:rPr>
          <w:rFonts w:ascii="Times New Roman" w:hAnsi="Times New Roman" w:cs="Times New Roman"/>
        </w:rPr>
        <w:t>, vol. 10, no. 2, p. e24448, Jan. 2024, doi: 10.1016/J.HELIYON.2024.E24448.</w:t>
      </w:r>
    </w:p>
    <w:p w14:paraId="2E09B541" w14:textId="33A8465B"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lastRenderedPageBreak/>
        <w:t xml:space="preserve">M. A. Gómez-Casero, F. J. Moral-Moral, L. Pérez-Villarejo, P. J. Sánchez-Soto, and D. Eliche-Quesada, ‘Synthesis of clay geopolymers using olive pomace fly ash as an alternative activator. Influence of the additional commercial alkaline activator used’, </w:t>
      </w:r>
      <w:r w:rsidRPr="00966FED">
        <w:rPr>
          <w:rFonts w:ascii="Times New Roman" w:hAnsi="Times New Roman" w:cs="Times New Roman"/>
          <w:i/>
          <w:iCs/>
        </w:rPr>
        <w:t>Journal of Materials Research and Technology</w:t>
      </w:r>
      <w:r w:rsidRPr="00966FED">
        <w:rPr>
          <w:rFonts w:ascii="Times New Roman" w:hAnsi="Times New Roman" w:cs="Times New Roman"/>
        </w:rPr>
        <w:t>, vol. 12, pp. 1762–1776, May 2021, doi: 10.1016/J.JMRT.2021.03.102.</w:t>
      </w:r>
    </w:p>
    <w:p w14:paraId="457B378F" w14:textId="414E002F"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Z. Jwaida, A. Dulaimi, N. Mashaan, and M. A. Othuman Mydin, ‘Geopolymers: The Green Alternative to Traditional Materials for Engineering Applications’, </w:t>
      </w:r>
      <w:r w:rsidRPr="00966FED">
        <w:rPr>
          <w:rFonts w:ascii="Times New Roman" w:hAnsi="Times New Roman" w:cs="Times New Roman"/>
          <w:i/>
          <w:iCs/>
        </w:rPr>
        <w:t>Infrastructures 2023, Vol. 8, Page 98</w:t>
      </w:r>
      <w:r w:rsidRPr="00966FED">
        <w:rPr>
          <w:rFonts w:ascii="Times New Roman" w:hAnsi="Times New Roman" w:cs="Times New Roman"/>
        </w:rPr>
        <w:t>, vol. 8, no. 6, p. 98, May 2023, doi: 10.3390/INFRASTRUCTURES8060098.</w:t>
      </w:r>
    </w:p>
    <w:p w14:paraId="230F4497" w14:textId="1844EDC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J. M. Tiongson and M. A. Q. Adajar, ‘Compaction characteristics of a fine-grained soil potential for landfill liner application’, </w:t>
      </w:r>
      <w:r w:rsidRPr="00966FED">
        <w:rPr>
          <w:rFonts w:ascii="Times New Roman" w:hAnsi="Times New Roman" w:cs="Times New Roman"/>
          <w:i/>
          <w:iCs/>
        </w:rPr>
        <w:t>International Journal of GEOMATE</w:t>
      </w:r>
      <w:r w:rsidRPr="00966FED">
        <w:rPr>
          <w:rFonts w:ascii="Times New Roman" w:hAnsi="Times New Roman" w:cs="Times New Roman"/>
        </w:rPr>
        <w:t>, vol. 19, no. 71, pp. 211–218, Jul. 2020, doi: 10.21660/2020.71.37070.</w:t>
      </w:r>
    </w:p>
    <w:p w14:paraId="1BC70DF4" w14:textId="6F9EBC3A"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X. Peng, G. Yang, Y. Shi, Y. Zhou, M. Zhang, and S. Li, ‘Box–Behnken design based statistical modeling for the extraction and physicochemical properties of pectin from sunflower heads and the comparison with commercial low-methoxyl pectin’, </w:t>
      </w:r>
      <w:r w:rsidRPr="00966FED">
        <w:rPr>
          <w:rFonts w:ascii="Times New Roman" w:hAnsi="Times New Roman" w:cs="Times New Roman"/>
          <w:i/>
          <w:iCs/>
        </w:rPr>
        <w:t>Scientific Reports 2020 10:1</w:t>
      </w:r>
      <w:r w:rsidRPr="00966FED">
        <w:rPr>
          <w:rFonts w:ascii="Times New Roman" w:hAnsi="Times New Roman" w:cs="Times New Roman"/>
        </w:rPr>
        <w:t>, vol. 10, no. 1, pp. 1–10, Feb. 2020, doi: 10.1038/s41598-020-60339-1.</w:t>
      </w:r>
    </w:p>
    <w:p w14:paraId="3E6F0CDA" w14:textId="52F82DBB"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N. Ferreira </w:t>
      </w:r>
      <w:r w:rsidRPr="00966FED">
        <w:rPr>
          <w:rFonts w:ascii="Times New Roman" w:hAnsi="Times New Roman" w:cs="Times New Roman"/>
          <w:i/>
          <w:iCs/>
        </w:rPr>
        <w:t>et al.</w:t>
      </w:r>
      <w:r w:rsidRPr="00966FED">
        <w:rPr>
          <w:rFonts w:ascii="Times New Roman" w:hAnsi="Times New Roman" w:cs="Times New Roman"/>
        </w:rPr>
        <w:t xml:space="preserve">, ‘Application of response surface methodology and box–behnken design for the optimization of mercury removal by Ulva sp.’, </w:t>
      </w:r>
      <w:r w:rsidRPr="00966FED">
        <w:rPr>
          <w:rFonts w:ascii="Times New Roman" w:hAnsi="Times New Roman" w:cs="Times New Roman"/>
          <w:i/>
          <w:iCs/>
        </w:rPr>
        <w:t>J Hazard Mater</w:t>
      </w:r>
      <w:r w:rsidRPr="00966FED">
        <w:rPr>
          <w:rFonts w:ascii="Times New Roman" w:hAnsi="Times New Roman" w:cs="Times New Roman"/>
        </w:rPr>
        <w:t>, vol. 445, p. 130405, Mar. 2023, doi: 10.1016/J.JHAZMAT.2022.130405.</w:t>
      </w:r>
    </w:p>
    <w:p w14:paraId="454CDE69" w14:textId="5440ACE1"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Norsuraya, H. Fazlena, and R. Norhasyimi, ‘Sugarcane Bagasse as a Renewable Source of Silica to Synthesize Santa Barbara Amorphous-15 (SBA-15)’, </w:t>
      </w:r>
      <w:r w:rsidRPr="00966FED">
        <w:rPr>
          <w:rFonts w:ascii="Times New Roman" w:hAnsi="Times New Roman" w:cs="Times New Roman"/>
          <w:i/>
          <w:iCs/>
        </w:rPr>
        <w:t>Procedia Eng</w:t>
      </w:r>
      <w:r w:rsidRPr="00966FED">
        <w:rPr>
          <w:rFonts w:ascii="Times New Roman" w:hAnsi="Times New Roman" w:cs="Times New Roman"/>
        </w:rPr>
        <w:t>, vol. 148, pp. 839–846, Jan. 2016, doi: 10.1016/J.PROENG.2016.06.627.</w:t>
      </w:r>
    </w:p>
    <w:p w14:paraId="30FD4C78" w14:textId="2A284685"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R. Embong, N. Shafiq, A. Kusbiantoro, and M. F. Nuruddin, ‘Effectiveness of low-concentration acid and solar drying as pre-treatment features for producing pozzolanic sugarcane bagasse ash’, </w:t>
      </w:r>
      <w:r w:rsidRPr="00966FED">
        <w:rPr>
          <w:rFonts w:ascii="Times New Roman" w:hAnsi="Times New Roman" w:cs="Times New Roman"/>
          <w:i/>
          <w:iCs/>
        </w:rPr>
        <w:t>J Clean Prod</w:t>
      </w:r>
      <w:r w:rsidRPr="00966FED">
        <w:rPr>
          <w:rFonts w:ascii="Times New Roman" w:hAnsi="Times New Roman" w:cs="Times New Roman"/>
        </w:rPr>
        <w:t>, vol. 112, pp. 953–962, Jan. 2016, doi: 10.1016/J.JCLEPRO.2015.09.066.</w:t>
      </w:r>
    </w:p>
    <w:p w14:paraId="006B67C5" w14:textId="18B005D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I. Marzuki, E. Bachtiar, A. M. SETIAWAN, and SRIGUSTY, ‘Potency Of Sugarcane Bagasse Ash Partial Substitution Of Cement In Concrete’, Mar. 2019, doi: 10.31219/OSF.IO/FS9UM.</w:t>
      </w:r>
    </w:p>
    <w:p w14:paraId="3378B1AE" w14:textId="5FC7E935"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K. J. D. MacKenzie, D. R. M. Brew, R. A. Fletcher, and R. Vagana, ‘Formation of aluminosilicate geopolymers from 1:1 layer-lattice minerals pre-treated by various methods: A comparative study’, </w:t>
      </w:r>
      <w:r w:rsidRPr="00966FED">
        <w:rPr>
          <w:rFonts w:ascii="Times New Roman" w:hAnsi="Times New Roman" w:cs="Times New Roman"/>
          <w:i/>
          <w:iCs/>
        </w:rPr>
        <w:t>J Mater Sci</w:t>
      </w:r>
      <w:r w:rsidRPr="00966FED">
        <w:rPr>
          <w:rFonts w:ascii="Times New Roman" w:hAnsi="Times New Roman" w:cs="Times New Roman"/>
        </w:rPr>
        <w:t>, vol. 42, no. 12, pp. 4667–4674, Jun. 2007, doi: 10.1007/S10853-006-0173-X/METRICS.</w:t>
      </w:r>
    </w:p>
    <w:p w14:paraId="38453422" w14:textId="09C020CF"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N. Yaseen, ‘Exploring the potential of sugarcane bagasse ash as a sustainable supplementary cementitious material: Experimental investigation and statistical analysis’, </w:t>
      </w:r>
      <w:r w:rsidRPr="00966FED">
        <w:rPr>
          <w:rFonts w:ascii="Times New Roman" w:hAnsi="Times New Roman" w:cs="Times New Roman"/>
          <w:i/>
          <w:iCs/>
        </w:rPr>
        <w:t>Results Chem</w:t>
      </w:r>
      <w:r w:rsidRPr="00966FED">
        <w:rPr>
          <w:rFonts w:ascii="Times New Roman" w:hAnsi="Times New Roman" w:cs="Times New Roman"/>
        </w:rPr>
        <w:t>, vol. 10, p. 101723, Aug. 2024, doi: 10.1016/J.RECHEM.2024.101723.</w:t>
      </w:r>
    </w:p>
    <w:p w14:paraId="51EDCC1D" w14:textId="4E4DF176"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S. M. Basri </w:t>
      </w:r>
      <w:r w:rsidRPr="00966FED">
        <w:rPr>
          <w:rFonts w:ascii="Times New Roman" w:hAnsi="Times New Roman" w:cs="Times New Roman"/>
          <w:i/>
          <w:iCs/>
        </w:rPr>
        <w:t>et al.</w:t>
      </w:r>
      <w:r w:rsidRPr="00966FED">
        <w:rPr>
          <w:rFonts w:ascii="Times New Roman" w:hAnsi="Times New Roman" w:cs="Times New Roman"/>
        </w:rPr>
        <w:t xml:space="preserve">, ‘Rice husk ash/silicone rubber-based binary blended geopolymer coating composite: Fire retardant, moisture absorption, optimize composition, and microstructural analysis’, </w:t>
      </w:r>
      <w:r w:rsidRPr="00966FED">
        <w:rPr>
          <w:rFonts w:ascii="Times New Roman" w:hAnsi="Times New Roman" w:cs="Times New Roman"/>
          <w:i/>
          <w:iCs/>
        </w:rPr>
        <w:t>Polymers (Basel)</w:t>
      </w:r>
      <w:r w:rsidRPr="00966FED">
        <w:rPr>
          <w:rFonts w:ascii="Times New Roman" w:hAnsi="Times New Roman" w:cs="Times New Roman"/>
        </w:rPr>
        <w:t>, vol. 13, no. 6, Mar. 2021, doi: 10.3390/polym13060985.</w:t>
      </w:r>
    </w:p>
    <w:p w14:paraId="2ABC48E8" w14:textId="2D0B274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H. C. Yong, L. Y. Ming, M. M. Al Bakri Abdullah, and K. Hussin, ‘Fire Resistant Properties of Geopolymers: A Review’, </w:t>
      </w:r>
      <w:r w:rsidRPr="00966FED">
        <w:rPr>
          <w:rFonts w:ascii="Times New Roman" w:hAnsi="Times New Roman" w:cs="Times New Roman"/>
          <w:i/>
          <w:iCs/>
        </w:rPr>
        <w:t>Key Eng Mater</w:t>
      </w:r>
      <w:r w:rsidRPr="00966FED">
        <w:rPr>
          <w:rFonts w:ascii="Times New Roman" w:hAnsi="Times New Roman" w:cs="Times New Roman"/>
        </w:rPr>
        <w:t>, vol. 660, pp. 39–43, 2015, doi: 10.4028/WWW.SCIENTIFIC.NET/KEM.660.39.</w:t>
      </w:r>
    </w:p>
    <w:p w14:paraId="1445B3FE" w14:textId="2EE1361B"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M. A. B. Abdullah </w:t>
      </w:r>
      <w:r w:rsidRPr="00966FED">
        <w:rPr>
          <w:rFonts w:ascii="Times New Roman" w:hAnsi="Times New Roman" w:cs="Times New Roman"/>
          <w:i/>
          <w:iCs/>
        </w:rPr>
        <w:t>et al.</w:t>
      </w:r>
      <w:r w:rsidRPr="00966FED">
        <w:rPr>
          <w:rFonts w:ascii="Times New Roman" w:hAnsi="Times New Roman" w:cs="Times New Roman"/>
        </w:rPr>
        <w:t xml:space="preserve">, ‘Clay-Based Materials in Geopolymer Technology’, </w:t>
      </w:r>
      <w:r w:rsidRPr="00966FED">
        <w:rPr>
          <w:rFonts w:ascii="Times New Roman" w:hAnsi="Times New Roman" w:cs="Times New Roman"/>
          <w:i/>
          <w:iCs/>
        </w:rPr>
        <w:t>Cement Based Materials</w:t>
      </w:r>
      <w:r w:rsidRPr="00966FED">
        <w:rPr>
          <w:rFonts w:ascii="Times New Roman" w:hAnsi="Times New Roman" w:cs="Times New Roman"/>
        </w:rPr>
        <w:t>, Oct. 2018, doi: 10.5772/INTECHOPEN.74438.</w:t>
      </w:r>
    </w:p>
    <w:p w14:paraId="5116C43B" w14:textId="3A80C414"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J. K. H. Wong, S. T. Kok, and S. Y. Wong, ‘Fibers, Geopolymers, Nano and Alkali-Activated Materials for Deep Soil Mix Binders’, </w:t>
      </w:r>
      <w:r w:rsidRPr="00966FED">
        <w:rPr>
          <w:rFonts w:ascii="Times New Roman" w:hAnsi="Times New Roman" w:cs="Times New Roman"/>
          <w:i/>
          <w:iCs/>
        </w:rPr>
        <w:t>Civil Engineering Journal</w:t>
      </w:r>
      <w:r w:rsidRPr="00966FED">
        <w:rPr>
          <w:rFonts w:ascii="Times New Roman" w:hAnsi="Times New Roman" w:cs="Times New Roman"/>
        </w:rPr>
        <w:t>, vol. 6, no. 4, pp. 830–847, Apr. 2020, doi: 10.28991/CEJ-2020-03091511.</w:t>
      </w:r>
    </w:p>
    <w:p w14:paraId="7172E4AC" w14:textId="59DDC208"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P. He </w:t>
      </w:r>
      <w:r w:rsidRPr="00966FED">
        <w:rPr>
          <w:rFonts w:ascii="Times New Roman" w:hAnsi="Times New Roman" w:cs="Times New Roman"/>
          <w:i/>
          <w:iCs/>
        </w:rPr>
        <w:t>et al.</w:t>
      </w:r>
      <w:r w:rsidRPr="00966FED">
        <w:rPr>
          <w:rFonts w:ascii="Times New Roman" w:hAnsi="Times New Roman" w:cs="Times New Roman"/>
        </w:rPr>
        <w:t xml:space="preserve">, ‘Effects of Si/Al ratio on the structure and properties of metakaolin based geopolymer’, </w:t>
      </w:r>
      <w:r w:rsidRPr="00966FED">
        <w:rPr>
          <w:rFonts w:ascii="Times New Roman" w:hAnsi="Times New Roman" w:cs="Times New Roman"/>
          <w:i/>
          <w:iCs/>
        </w:rPr>
        <w:t>Ceram Int</w:t>
      </w:r>
      <w:r w:rsidRPr="00966FED">
        <w:rPr>
          <w:rFonts w:ascii="Times New Roman" w:hAnsi="Times New Roman" w:cs="Times New Roman"/>
        </w:rPr>
        <w:t>, vol. 42, no. 13, pp. 14416–14422, Oct. 2016, doi: 10.1016/J.CERAMINT.2016.06.033.</w:t>
      </w:r>
    </w:p>
    <w:p w14:paraId="5FBB8122" w14:textId="3E38ACBD"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H. Wang, H. Wu, Z. Xing, R. Wang, S. Dai, and A. Molar Ratios, ‘The Effect of Various Si/Al, Na/Al Molar Ratios and Free Water on Micromorphology and Macro-Strength of Metakaolin-Based Geopolymer’, </w:t>
      </w:r>
      <w:r w:rsidRPr="00966FED">
        <w:rPr>
          <w:rFonts w:ascii="Times New Roman" w:hAnsi="Times New Roman" w:cs="Times New Roman"/>
          <w:i/>
          <w:iCs/>
        </w:rPr>
        <w:t>Materials</w:t>
      </w:r>
      <w:r w:rsidRPr="00966FED">
        <w:rPr>
          <w:rFonts w:ascii="Times New Roman" w:hAnsi="Times New Roman" w:cs="Times New Roman"/>
        </w:rPr>
        <w:t>, vol. 14, no. 14, p. 3845, 2021, doi: 10.3390/MA14143845.</w:t>
      </w:r>
    </w:p>
    <w:p w14:paraId="3755EFDC" w14:textId="4A5C6233"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lastRenderedPageBreak/>
        <w:t xml:space="preserve">Q. Yang, C. A. Davy, J. Sarazin, S. Bourbigot, and G. Fontaine, ‘Effect of the Al/Si ratio on intumescent Na-based geopolymer’, </w:t>
      </w:r>
      <w:r w:rsidRPr="00966FED">
        <w:rPr>
          <w:rFonts w:ascii="Times New Roman" w:hAnsi="Times New Roman" w:cs="Times New Roman"/>
          <w:i/>
          <w:iCs/>
        </w:rPr>
        <w:t>Fire Saf J</w:t>
      </w:r>
      <w:r w:rsidRPr="00966FED">
        <w:rPr>
          <w:rFonts w:ascii="Times New Roman" w:hAnsi="Times New Roman" w:cs="Times New Roman"/>
        </w:rPr>
        <w:t>, vol. 148, p. 104220, Sep. 2024, doi: 10.1016/J.FIRESAF.2024.104220.</w:t>
      </w:r>
    </w:p>
    <w:p w14:paraId="76DFA415" w14:textId="27FA265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Lahoti, K. K. Wong, E. H. Yang, and K. H. Tan, ‘Effects of Si/Al molar ratio on strength endurance and volume stability of metakaolin geopolymers subject to elevated temperature’, </w:t>
      </w:r>
      <w:r w:rsidRPr="00966FED">
        <w:rPr>
          <w:rFonts w:ascii="Times New Roman" w:hAnsi="Times New Roman" w:cs="Times New Roman"/>
          <w:i/>
          <w:iCs/>
        </w:rPr>
        <w:t>Ceram Int</w:t>
      </w:r>
      <w:r w:rsidRPr="00966FED">
        <w:rPr>
          <w:rFonts w:ascii="Times New Roman" w:hAnsi="Times New Roman" w:cs="Times New Roman"/>
        </w:rPr>
        <w:t>, vol. 44, no. 5, pp. 5726–5734, Apr. 2018, doi: 10.1016/J.CERAMINT.2017.12.226.</w:t>
      </w:r>
    </w:p>
    <w:p w14:paraId="7CA6BFAC" w14:textId="1777EA1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Xiang, M. Guo, Y. Zhou, and Z. Huang, ‘Tailoring thermal performance of geopolymer via metakaolin/fly ash ratio and activator variation’, </w:t>
      </w:r>
      <w:r w:rsidRPr="00966FED">
        <w:rPr>
          <w:rFonts w:ascii="Times New Roman" w:hAnsi="Times New Roman" w:cs="Times New Roman"/>
          <w:i/>
          <w:iCs/>
        </w:rPr>
        <w:t>Journal of Building Engineering</w:t>
      </w:r>
      <w:r w:rsidRPr="00966FED">
        <w:rPr>
          <w:rFonts w:ascii="Times New Roman" w:hAnsi="Times New Roman" w:cs="Times New Roman"/>
        </w:rPr>
        <w:t>, p. 111856, Jan. 2025, doi: 10.1016/J.JOBE.2025.111856.</w:t>
      </w:r>
    </w:p>
    <w:p w14:paraId="2414280A" w14:textId="28E99E6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R. He, N. Dai, and Z. Wang, ‘Thermal and Mechanical Properties of Geopolymers Exposed to High Temperature: A Literature Review’, </w:t>
      </w:r>
      <w:r w:rsidRPr="00966FED">
        <w:rPr>
          <w:rFonts w:ascii="Times New Roman" w:hAnsi="Times New Roman" w:cs="Times New Roman"/>
          <w:i/>
          <w:iCs/>
        </w:rPr>
        <w:t>Advances in Civil Engineering</w:t>
      </w:r>
      <w:r w:rsidRPr="00966FED">
        <w:rPr>
          <w:rFonts w:ascii="Times New Roman" w:hAnsi="Times New Roman" w:cs="Times New Roman"/>
        </w:rPr>
        <w:t>, vol. 2020, no. 1, p. 7532703, Jan. 2020, doi: 10.1155/2020/7532703.</w:t>
      </w:r>
    </w:p>
    <w:p w14:paraId="3450D988" w14:textId="7270A4B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Guzii, I. Bazhelka, N. Svitlychna, and V. Lashchivskiy, ‘Protection of Wood from Burning with Paints on Alkaline Aluminosilicates-Based’, </w:t>
      </w:r>
      <w:r w:rsidRPr="00966FED">
        <w:rPr>
          <w:rFonts w:ascii="Times New Roman" w:hAnsi="Times New Roman" w:cs="Times New Roman"/>
          <w:i/>
          <w:iCs/>
        </w:rPr>
        <w:t>Materials Science Forum</w:t>
      </w:r>
      <w:r w:rsidRPr="00966FED">
        <w:rPr>
          <w:rFonts w:ascii="Times New Roman" w:hAnsi="Times New Roman" w:cs="Times New Roman"/>
        </w:rPr>
        <w:t>, vol. 1006, pp. 19–24, 2020, doi: 10.4028/WWW.SCIENTIFIC.NET/MSF.1006.19.</w:t>
      </w:r>
    </w:p>
    <w:p w14:paraId="1CB5FE57" w14:textId="633DBF2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D. Adak, M. Sarkar, and S. Mandal, ‘Effect of nano-silica on strength and durability of fly ash based geopolymer mortar’, </w:t>
      </w:r>
      <w:r w:rsidRPr="00966FED">
        <w:rPr>
          <w:rFonts w:ascii="Times New Roman" w:hAnsi="Times New Roman" w:cs="Times New Roman"/>
          <w:i/>
          <w:iCs/>
        </w:rPr>
        <w:t>Constr Build Mater</w:t>
      </w:r>
      <w:r w:rsidRPr="00966FED">
        <w:rPr>
          <w:rFonts w:ascii="Times New Roman" w:hAnsi="Times New Roman" w:cs="Times New Roman"/>
        </w:rPr>
        <w:t>, vol. 70, pp. 453–459, Nov. 2014, doi: 10.1016/J.CONBUILDMAT.2014.07.093.</w:t>
      </w:r>
    </w:p>
    <w:p w14:paraId="0CEB1179" w14:textId="7471597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P. S. Deb, P. K. Sarker, and S. Barbhuiya, ‘Effects of nano-silica on the strength development of geopolymer cured at room temperature’, </w:t>
      </w:r>
      <w:r w:rsidRPr="00966FED">
        <w:rPr>
          <w:rFonts w:ascii="Times New Roman" w:hAnsi="Times New Roman" w:cs="Times New Roman"/>
          <w:i/>
          <w:iCs/>
        </w:rPr>
        <w:t>Constr Build Mater</w:t>
      </w:r>
      <w:r w:rsidRPr="00966FED">
        <w:rPr>
          <w:rFonts w:ascii="Times New Roman" w:hAnsi="Times New Roman" w:cs="Times New Roman"/>
        </w:rPr>
        <w:t>, vol. 101, pp. 675–683, Dec. 2015, doi: 10.1016/J.CONBUILDMAT.2015.10.044.</w:t>
      </w:r>
    </w:p>
    <w:p w14:paraId="3109F579" w14:textId="76006786"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Sivaraosa, K. R. Milkeya, A. R. Samsudina, A. Dubeyb, and P. Kiddc, ‘Comparison between Taguchi Method and Response Surface Methodology ( RSM ) in Modelling CO 2 Laser Machining’, 2014.</w:t>
      </w:r>
    </w:p>
    <w:p w14:paraId="661AE45E" w14:textId="3449FD33"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D. L. Y. Kong, J. G. Sanjayan, and K. Sagoe-Crentsil, ‘Comparative performance of geopolymers made with metakaolin and fly ash after exposure to elevated temperatures’, </w:t>
      </w:r>
      <w:r w:rsidRPr="00966FED">
        <w:rPr>
          <w:rFonts w:ascii="Times New Roman" w:hAnsi="Times New Roman" w:cs="Times New Roman"/>
          <w:i/>
          <w:iCs/>
        </w:rPr>
        <w:t>Cem Concr Res</w:t>
      </w:r>
      <w:r w:rsidRPr="00966FED">
        <w:rPr>
          <w:rFonts w:ascii="Times New Roman" w:hAnsi="Times New Roman" w:cs="Times New Roman"/>
        </w:rPr>
        <w:t>, vol. 37, no. 12, pp. 1583–1589, Dec. 2007, doi: 10.1016/J.CEMCONRES.2007.08.021.</w:t>
      </w:r>
    </w:p>
    <w:p w14:paraId="30B7D9F1" w14:textId="756490E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W. C. Puspitasari, F. Ahmad, S. Ullah, P. Hussain, P. S. M. Megat-Yusoff, and P. J. Masset, ‘The study of adhesion between steel substrate, primer, and char of intumescent fire retardant coating’, </w:t>
      </w:r>
      <w:r w:rsidRPr="00966FED">
        <w:rPr>
          <w:rFonts w:ascii="Times New Roman" w:hAnsi="Times New Roman" w:cs="Times New Roman"/>
          <w:i/>
          <w:iCs/>
        </w:rPr>
        <w:t>Prog Org Coat</w:t>
      </w:r>
      <w:r w:rsidRPr="00966FED">
        <w:rPr>
          <w:rFonts w:ascii="Times New Roman" w:hAnsi="Times New Roman" w:cs="Times New Roman"/>
        </w:rPr>
        <w:t>, vol. 127, pp. 181–193, Feb. 2019, doi: 10.1016/J.PORGCOAT.2018.11.015.</w:t>
      </w:r>
    </w:p>
    <w:p w14:paraId="1830CCB1" w14:textId="4B66B46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R. Ploeger, D. Scalarone, and O. Chiantore, ‘Thermal analytical study of the oxidative stability of artists’ alkyd paints’, </w:t>
      </w:r>
      <w:r w:rsidRPr="00966FED">
        <w:rPr>
          <w:rFonts w:ascii="Times New Roman" w:hAnsi="Times New Roman" w:cs="Times New Roman"/>
          <w:i/>
          <w:iCs/>
        </w:rPr>
        <w:t>Polym Degrad Stab</w:t>
      </w:r>
      <w:r w:rsidRPr="00966FED">
        <w:rPr>
          <w:rFonts w:ascii="Times New Roman" w:hAnsi="Times New Roman" w:cs="Times New Roman"/>
        </w:rPr>
        <w:t>, vol. 94, no. 11, pp. 2036–2041, Nov. 2009, doi: 10.1016/J.POLYMDEGRADSTAB.2009.07.018.</w:t>
      </w:r>
    </w:p>
    <w:p w14:paraId="2329697C" w14:textId="20EB6EA2"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D. D. Burduhos Nergis, M. M. A. B. Abdullah, P. Vizureanu, and M. F. Mohd Tahir, ‘Geopolymers and Their Uses: Review’, </w:t>
      </w:r>
      <w:r w:rsidRPr="00966FED">
        <w:rPr>
          <w:rFonts w:ascii="Times New Roman" w:hAnsi="Times New Roman" w:cs="Times New Roman"/>
          <w:i/>
          <w:iCs/>
        </w:rPr>
        <w:t>IOP Conf Ser Mater Sci Eng</w:t>
      </w:r>
      <w:r w:rsidRPr="00966FED">
        <w:rPr>
          <w:rFonts w:ascii="Times New Roman" w:hAnsi="Times New Roman" w:cs="Times New Roman"/>
        </w:rPr>
        <w:t>, vol. 374, no. 1, p. 012019, Jun. 2018, doi: 10.1088/1757-899X/374/1/012019.</w:t>
      </w:r>
    </w:p>
    <w:p w14:paraId="06C082F5" w14:textId="19BA1CD4"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H. Wang, H. Wu, Z. Xing, R. Wang, and S. Dai, ‘The Effect of Various Si/Al, Na/Al Molar Ratios and Free Water on Micromorphology and Macro-Strength of Metakaolin-Based Geopolymer’, </w:t>
      </w:r>
      <w:r w:rsidRPr="00966FED">
        <w:rPr>
          <w:rFonts w:ascii="Times New Roman" w:hAnsi="Times New Roman" w:cs="Times New Roman"/>
          <w:i/>
          <w:iCs/>
        </w:rPr>
        <w:t>Materials 2021, Vol. 14, Page 3845</w:t>
      </w:r>
      <w:r w:rsidRPr="00966FED">
        <w:rPr>
          <w:rFonts w:ascii="Times New Roman" w:hAnsi="Times New Roman" w:cs="Times New Roman"/>
        </w:rPr>
        <w:t>, vol. 14, no. 14, p. 3845, Jul. 2021, doi: 10.3390/MA14143845.</w:t>
      </w:r>
    </w:p>
    <w:p w14:paraId="226C9A5E" w14:textId="0B3F3734"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Y. Luna-Galiano, A. Cornejo, C. Leiva, L. F. Vilches, and C. Fernández-Pereira, ‘Properties of fly ash and metakaolín based geopolymer panels under fire resistance tests’, </w:t>
      </w:r>
      <w:r w:rsidRPr="00966FED">
        <w:rPr>
          <w:rFonts w:ascii="Times New Roman" w:hAnsi="Times New Roman" w:cs="Times New Roman"/>
          <w:i/>
          <w:iCs/>
        </w:rPr>
        <w:t>Materiales de Construcción</w:t>
      </w:r>
      <w:r w:rsidRPr="00966FED">
        <w:rPr>
          <w:rFonts w:ascii="Times New Roman" w:hAnsi="Times New Roman" w:cs="Times New Roman"/>
        </w:rPr>
        <w:t>, vol. 65, no. 319, pp. e059–e059, Sep. 2015, doi: 10.3989/MC.2015.06114.</w:t>
      </w:r>
    </w:p>
    <w:p w14:paraId="3B6AC5D1" w14:textId="3AFBF65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M. Al Bakri Abdullah, L. Jamaludin, H. Kamarudin, M. Binhussain, C. M. Ruzaidi Ghazali, and M. I. Ahmad, ‘Study on Fly Ash Based Geopolymer for Coating Applications’, </w:t>
      </w:r>
      <w:r w:rsidRPr="00966FED">
        <w:rPr>
          <w:rFonts w:ascii="Times New Roman" w:hAnsi="Times New Roman" w:cs="Times New Roman"/>
          <w:i/>
          <w:iCs/>
        </w:rPr>
        <w:t>Adv Mat Res</w:t>
      </w:r>
      <w:r w:rsidRPr="00966FED">
        <w:rPr>
          <w:rFonts w:ascii="Times New Roman" w:hAnsi="Times New Roman" w:cs="Times New Roman"/>
        </w:rPr>
        <w:t>, vol. 686, pp. 227–233, 2013, doi: 10.4028/WWW.SCIENTIFIC.NET/AMR.686.227.</w:t>
      </w:r>
    </w:p>
    <w:p w14:paraId="0527FE5D" w14:textId="1AA8333B" w:rsidR="00B34198" w:rsidRPr="00966FED" w:rsidRDefault="009C6A44" w:rsidP="00A2283E">
      <w:pPr>
        <w:pStyle w:val="ListParagraph"/>
        <w:numPr>
          <w:ilvl w:val="0"/>
          <w:numId w:val="5"/>
        </w:numPr>
        <w:spacing w:before="240" w:after="240" w:line="240" w:lineRule="auto"/>
        <w:jc w:val="both"/>
        <w:rPr>
          <w:rFonts w:ascii="Times New Roman" w:hAnsi="Times New Roman" w:cs="Times New Roman"/>
        </w:rPr>
      </w:pPr>
      <w:r w:rsidRPr="00966FED">
        <w:rPr>
          <w:rFonts w:ascii="Times New Roman" w:hAnsi="Times New Roman" w:cs="Times New Roman"/>
        </w:rPr>
        <w:t xml:space="preserve">S. Luhar, D. Nicolaides, and I. Luhar, ‘Fire Resistance Behaviour of Geopolymer Concrete: An Overview’, </w:t>
      </w:r>
      <w:r w:rsidRPr="00966FED">
        <w:rPr>
          <w:rFonts w:ascii="Times New Roman" w:hAnsi="Times New Roman" w:cs="Times New Roman"/>
          <w:i/>
          <w:iCs/>
        </w:rPr>
        <w:t>Buildings 2021, Vol. 11, Page 82</w:t>
      </w:r>
      <w:r w:rsidRPr="00966FED">
        <w:rPr>
          <w:rFonts w:ascii="Times New Roman" w:hAnsi="Times New Roman" w:cs="Times New Roman"/>
        </w:rPr>
        <w:t>, vol. 11, no. 3, p. 82, Feb. 2021, doi: 10.3390/BUILDINGS110300</w:t>
      </w:r>
    </w:p>
    <w:sectPr w:rsidR="00B34198" w:rsidRPr="00966FED" w:rsidSect="009C6A44">
      <w:type w:val="continuous"/>
      <w:pgSz w:w="11907" w:h="16840"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E6447" w14:textId="77777777" w:rsidR="00A67117" w:rsidRDefault="00A67117" w:rsidP="00037161">
      <w:pPr>
        <w:spacing w:after="0" w:line="240" w:lineRule="auto"/>
      </w:pPr>
      <w:r>
        <w:separator/>
      </w:r>
    </w:p>
  </w:endnote>
  <w:endnote w:type="continuationSeparator" w:id="0">
    <w:p w14:paraId="10C87DD8" w14:textId="77777777" w:rsidR="00A67117" w:rsidRDefault="00A67117" w:rsidP="0003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A0BAE" w14:textId="77777777" w:rsidR="00A67117" w:rsidRDefault="00A67117" w:rsidP="00037161">
      <w:pPr>
        <w:spacing w:after="0" w:line="240" w:lineRule="auto"/>
      </w:pPr>
      <w:r>
        <w:separator/>
      </w:r>
    </w:p>
  </w:footnote>
  <w:footnote w:type="continuationSeparator" w:id="0">
    <w:p w14:paraId="22BB91FC" w14:textId="77777777" w:rsidR="00A67117" w:rsidRDefault="00A67117" w:rsidP="00037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82788"/>
    <w:multiLevelType w:val="hybridMultilevel"/>
    <w:tmpl w:val="714605F8"/>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41B7882"/>
    <w:multiLevelType w:val="hybridMultilevel"/>
    <w:tmpl w:val="E0082B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3507158A"/>
    <w:multiLevelType w:val="hybridMultilevel"/>
    <w:tmpl w:val="1E0C07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3F14158A"/>
    <w:multiLevelType w:val="hybridMultilevel"/>
    <w:tmpl w:val="CA34EB4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3FB83B1D"/>
    <w:multiLevelType w:val="hybridMultilevel"/>
    <w:tmpl w:val="113C7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2681524">
    <w:abstractNumId w:val="0"/>
  </w:num>
  <w:num w:numId="2" w16cid:durableId="630476479">
    <w:abstractNumId w:val="3"/>
  </w:num>
  <w:num w:numId="3" w16cid:durableId="134956140">
    <w:abstractNumId w:val="1"/>
  </w:num>
  <w:num w:numId="4" w16cid:durableId="410542547">
    <w:abstractNumId w:val="2"/>
  </w:num>
  <w:num w:numId="5" w16cid:durableId="98184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161"/>
    <w:rsid w:val="00006869"/>
    <w:rsid w:val="00037161"/>
    <w:rsid w:val="00041570"/>
    <w:rsid w:val="00064269"/>
    <w:rsid w:val="00083F4D"/>
    <w:rsid w:val="000C11D6"/>
    <w:rsid w:val="000E4A76"/>
    <w:rsid w:val="00107AD8"/>
    <w:rsid w:val="0013238B"/>
    <w:rsid w:val="001570C0"/>
    <w:rsid w:val="00160312"/>
    <w:rsid w:val="00173F38"/>
    <w:rsid w:val="00176D4A"/>
    <w:rsid w:val="001774EF"/>
    <w:rsid w:val="001A6CEB"/>
    <w:rsid w:val="001B08A5"/>
    <w:rsid w:val="001C490E"/>
    <w:rsid w:val="001D0AFA"/>
    <w:rsid w:val="001D16BD"/>
    <w:rsid w:val="001D60D6"/>
    <w:rsid w:val="002303A8"/>
    <w:rsid w:val="00284348"/>
    <w:rsid w:val="00285676"/>
    <w:rsid w:val="00286616"/>
    <w:rsid w:val="002C5656"/>
    <w:rsid w:val="003147C7"/>
    <w:rsid w:val="00315A5D"/>
    <w:rsid w:val="0032420F"/>
    <w:rsid w:val="0033430A"/>
    <w:rsid w:val="00376F60"/>
    <w:rsid w:val="00377B2A"/>
    <w:rsid w:val="003E1A58"/>
    <w:rsid w:val="003F253B"/>
    <w:rsid w:val="00402DB1"/>
    <w:rsid w:val="00412DF6"/>
    <w:rsid w:val="004343C1"/>
    <w:rsid w:val="00443393"/>
    <w:rsid w:val="004A7D5E"/>
    <w:rsid w:val="004E07D1"/>
    <w:rsid w:val="004E2626"/>
    <w:rsid w:val="00513D67"/>
    <w:rsid w:val="00533486"/>
    <w:rsid w:val="00537DBD"/>
    <w:rsid w:val="00552AA7"/>
    <w:rsid w:val="00554B63"/>
    <w:rsid w:val="00560CD4"/>
    <w:rsid w:val="005905E5"/>
    <w:rsid w:val="005F584E"/>
    <w:rsid w:val="00612F54"/>
    <w:rsid w:val="00614C6C"/>
    <w:rsid w:val="00617305"/>
    <w:rsid w:val="00640E7C"/>
    <w:rsid w:val="0065596E"/>
    <w:rsid w:val="00656B6F"/>
    <w:rsid w:val="006616F7"/>
    <w:rsid w:val="00670346"/>
    <w:rsid w:val="00672E2A"/>
    <w:rsid w:val="00694BC7"/>
    <w:rsid w:val="006951BB"/>
    <w:rsid w:val="006A5106"/>
    <w:rsid w:val="006C3AC2"/>
    <w:rsid w:val="006D4104"/>
    <w:rsid w:val="006E5575"/>
    <w:rsid w:val="0075363F"/>
    <w:rsid w:val="007856FF"/>
    <w:rsid w:val="00796733"/>
    <w:rsid w:val="007E1BC5"/>
    <w:rsid w:val="007E5E3A"/>
    <w:rsid w:val="0087149B"/>
    <w:rsid w:val="00883D8B"/>
    <w:rsid w:val="008F3CE6"/>
    <w:rsid w:val="00925511"/>
    <w:rsid w:val="009532D7"/>
    <w:rsid w:val="00956F42"/>
    <w:rsid w:val="00957F29"/>
    <w:rsid w:val="00966FED"/>
    <w:rsid w:val="009838D7"/>
    <w:rsid w:val="009C6A44"/>
    <w:rsid w:val="009D6209"/>
    <w:rsid w:val="00A07859"/>
    <w:rsid w:val="00A2283E"/>
    <w:rsid w:val="00A23FE7"/>
    <w:rsid w:val="00A4338A"/>
    <w:rsid w:val="00A50454"/>
    <w:rsid w:val="00A52F09"/>
    <w:rsid w:val="00A67117"/>
    <w:rsid w:val="00A6727F"/>
    <w:rsid w:val="00A84A9D"/>
    <w:rsid w:val="00A97136"/>
    <w:rsid w:val="00AD189C"/>
    <w:rsid w:val="00AD56EC"/>
    <w:rsid w:val="00AE7385"/>
    <w:rsid w:val="00B27C08"/>
    <w:rsid w:val="00B34198"/>
    <w:rsid w:val="00B355B2"/>
    <w:rsid w:val="00B43D39"/>
    <w:rsid w:val="00B44C8E"/>
    <w:rsid w:val="00B55FFA"/>
    <w:rsid w:val="00B821E3"/>
    <w:rsid w:val="00BB4703"/>
    <w:rsid w:val="00BB7B75"/>
    <w:rsid w:val="00BD57E9"/>
    <w:rsid w:val="00BF01D1"/>
    <w:rsid w:val="00C24AE6"/>
    <w:rsid w:val="00C72689"/>
    <w:rsid w:val="00C94CF2"/>
    <w:rsid w:val="00CB5FF0"/>
    <w:rsid w:val="00CC4A25"/>
    <w:rsid w:val="00CD6DD5"/>
    <w:rsid w:val="00D12A2F"/>
    <w:rsid w:val="00D73E3A"/>
    <w:rsid w:val="00D81256"/>
    <w:rsid w:val="00D9341C"/>
    <w:rsid w:val="00DB2C69"/>
    <w:rsid w:val="00DE3122"/>
    <w:rsid w:val="00E21E96"/>
    <w:rsid w:val="00E30057"/>
    <w:rsid w:val="00E47DEF"/>
    <w:rsid w:val="00E63F40"/>
    <w:rsid w:val="00E67EEA"/>
    <w:rsid w:val="00E93491"/>
    <w:rsid w:val="00EA1026"/>
    <w:rsid w:val="00ED20C7"/>
    <w:rsid w:val="00F063DA"/>
    <w:rsid w:val="00F273A3"/>
    <w:rsid w:val="00F27A76"/>
    <w:rsid w:val="00F43735"/>
    <w:rsid w:val="00F74FC6"/>
    <w:rsid w:val="00F76A31"/>
    <w:rsid w:val="00F84AA5"/>
    <w:rsid w:val="00FA0F37"/>
    <w:rsid w:val="00FB3950"/>
    <w:rsid w:val="00FB71A6"/>
    <w:rsid w:val="00FE0BB8"/>
    <w:rsid w:val="00FE2437"/>
    <w:rsid w:val="00FF0B73"/>
    <w:rsid w:val="00FF39E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5EF4B"/>
  <w15:chartTrackingRefBased/>
  <w15:docId w15:val="{DAF69F02-4BA4-498B-9868-CA57EA685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1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371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371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371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71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371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71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71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71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1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371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371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371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71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371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71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71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7161"/>
    <w:rPr>
      <w:rFonts w:eastAsiaTheme="majorEastAsia" w:cstheme="majorBidi"/>
      <w:color w:val="272727" w:themeColor="text1" w:themeTint="D8"/>
    </w:rPr>
  </w:style>
  <w:style w:type="paragraph" w:styleId="Title">
    <w:name w:val="Title"/>
    <w:basedOn w:val="Normal"/>
    <w:next w:val="Normal"/>
    <w:link w:val="TitleChar"/>
    <w:uiPriority w:val="10"/>
    <w:qFormat/>
    <w:rsid w:val="000371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1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1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71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7161"/>
    <w:pPr>
      <w:spacing w:before="160"/>
      <w:jc w:val="center"/>
    </w:pPr>
    <w:rPr>
      <w:i/>
      <w:iCs/>
      <w:color w:val="404040" w:themeColor="text1" w:themeTint="BF"/>
    </w:rPr>
  </w:style>
  <w:style w:type="character" w:customStyle="1" w:styleId="QuoteChar">
    <w:name w:val="Quote Char"/>
    <w:basedOn w:val="DefaultParagraphFont"/>
    <w:link w:val="Quote"/>
    <w:uiPriority w:val="29"/>
    <w:rsid w:val="00037161"/>
    <w:rPr>
      <w:i/>
      <w:iCs/>
      <w:color w:val="404040" w:themeColor="text1" w:themeTint="BF"/>
    </w:rPr>
  </w:style>
  <w:style w:type="paragraph" w:styleId="ListParagraph">
    <w:name w:val="List Paragraph"/>
    <w:basedOn w:val="Normal"/>
    <w:uiPriority w:val="34"/>
    <w:qFormat/>
    <w:rsid w:val="00037161"/>
    <w:pPr>
      <w:ind w:left="720"/>
      <w:contextualSpacing/>
    </w:pPr>
  </w:style>
  <w:style w:type="character" w:styleId="IntenseEmphasis">
    <w:name w:val="Intense Emphasis"/>
    <w:basedOn w:val="DefaultParagraphFont"/>
    <w:uiPriority w:val="21"/>
    <w:qFormat/>
    <w:rsid w:val="00037161"/>
    <w:rPr>
      <w:i/>
      <w:iCs/>
      <w:color w:val="2F5496" w:themeColor="accent1" w:themeShade="BF"/>
    </w:rPr>
  </w:style>
  <w:style w:type="paragraph" w:styleId="IntenseQuote">
    <w:name w:val="Intense Quote"/>
    <w:basedOn w:val="Normal"/>
    <w:next w:val="Normal"/>
    <w:link w:val="IntenseQuoteChar"/>
    <w:uiPriority w:val="30"/>
    <w:qFormat/>
    <w:rsid w:val="000371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7161"/>
    <w:rPr>
      <w:i/>
      <w:iCs/>
      <w:color w:val="2F5496" w:themeColor="accent1" w:themeShade="BF"/>
    </w:rPr>
  </w:style>
  <w:style w:type="character" w:styleId="IntenseReference">
    <w:name w:val="Intense Reference"/>
    <w:basedOn w:val="DefaultParagraphFont"/>
    <w:uiPriority w:val="32"/>
    <w:qFormat/>
    <w:rsid w:val="00037161"/>
    <w:rPr>
      <w:b/>
      <w:bCs/>
      <w:smallCaps/>
      <w:color w:val="2F5496" w:themeColor="accent1" w:themeShade="BF"/>
      <w:spacing w:val="5"/>
    </w:rPr>
  </w:style>
  <w:style w:type="paragraph" w:styleId="Header">
    <w:name w:val="header"/>
    <w:basedOn w:val="Normal"/>
    <w:link w:val="HeaderChar"/>
    <w:uiPriority w:val="99"/>
    <w:unhideWhenUsed/>
    <w:rsid w:val="0003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161"/>
  </w:style>
  <w:style w:type="paragraph" w:styleId="Footer">
    <w:name w:val="footer"/>
    <w:basedOn w:val="Normal"/>
    <w:link w:val="FooterChar"/>
    <w:uiPriority w:val="99"/>
    <w:unhideWhenUsed/>
    <w:rsid w:val="0003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161"/>
  </w:style>
  <w:style w:type="character" w:styleId="PlaceholderText">
    <w:name w:val="Placeholder Text"/>
    <w:basedOn w:val="DefaultParagraphFont"/>
    <w:uiPriority w:val="99"/>
    <w:semiHidden/>
    <w:rsid w:val="00D9341C"/>
    <w:rPr>
      <w:color w:val="666666"/>
    </w:rPr>
  </w:style>
  <w:style w:type="table" w:styleId="TableGrid">
    <w:name w:val="Table Grid"/>
    <w:basedOn w:val="TableNormal"/>
    <w:uiPriority w:val="39"/>
    <w:rsid w:val="00AE7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031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784494">
      <w:marLeft w:val="640"/>
      <w:marRight w:val="0"/>
      <w:marTop w:val="0"/>
      <w:marBottom w:val="0"/>
      <w:divBdr>
        <w:top w:val="none" w:sz="0" w:space="0" w:color="auto"/>
        <w:left w:val="none" w:sz="0" w:space="0" w:color="auto"/>
        <w:bottom w:val="none" w:sz="0" w:space="0" w:color="auto"/>
        <w:right w:val="none" w:sz="0" w:space="0" w:color="auto"/>
      </w:divBdr>
    </w:div>
    <w:div w:id="393698084">
      <w:marLeft w:val="640"/>
      <w:marRight w:val="0"/>
      <w:marTop w:val="0"/>
      <w:marBottom w:val="0"/>
      <w:divBdr>
        <w:top w:val="none" w:sz="0" w:space="0" w:color="auto"/>
        <w:left w:val="none" w:sz="0" w:space="0" w:color="auto"/>
        <w:bottom w:val="none" w:sz="0" w:space="0" w:color="auto"/>
        <w:right w:val="none" w:sz="0" w:space="0" w:color="auto"/>
      </w:divBdr>
    </w:div>
    <w:div w:id="511072631">
      <w:marLeft w:val="640"/>
      <w:marRight w:val="0"/>
      <w:marTop w:val="0"/>
      <w:marBottom w:val="0"/>
      <w:divBdr>
        <w:top w:val="none" w:sz="0" w:space="0" w:color="auto"/>
        <w:left w:val="none" w:sz="0" w:space="0" w:color="auto"/>
        <w:bottom w:val="none" w:sz="0" w:space="0" w:color="auto"/>
        <w:right w:val="none" w:sz="0" w:space="0" w:color="auto"/>
      </w:divBdr>
    </w:div>
    <w:div w:id="676811221">
      <w:marLeft w:val="640"/>
      <w:marRight w:val="0"/>
      <w:marTop w:val="0"/>
      <w:marBottom w:val="0"/>
      <w:divBdr>
        <w:top w:val="none" w:sz="0" w:space="0" w:color="auto"/>
        <w:left w:val="none" w:sz="0" w:space="0" w:color="auto"/>
        <w:bottom w:val="none" w:sz="0" w:space="0" w:color="auto"/>
        <w:right w:val="none" w:sz="0" w:space="0" w:color="auto"/>
      </w:divBdr>
    </w:div>
    <w:div w:id="772482598">
      <w:marLeft w:val="640"/>
      <w:marRight w:val="0"/>
      <w:marTop w:val="0"/>
      <w:marBottom w:val="0"/>
      <w:divBdr>
        <w:top w:val="none" w:sz="0" w:space="0" w:color="auto"/>
        <w:left w:val="none" w:sz="0" w:space="0" w:color="auto"/>
        <w:bottom w:val="none" w:sz="0" w:space="0" w:color="auto"/>
        <w:right w:val="none" w:sz="0" w:space="0" w:color="auto"/>
      </w:divBdr>
    </w:div>
    <w:div w:id="870727341">
      <w:marLeft w:val="640"/>
      <w:marRight w:val="0"/>
      <w:marTop w:val="0"/>
      <w:marBottom w:val="0"/>
      <w:divBdr>
        <w:top w:val="none" w:sz="0" w:space="0" w:color="auto"/>
        <w:left w:val="none" w:sz="0" w:space="0" w:color="auto"/>
        <w:bottom w:val="none" w:sz="0" w:space="0" w:color="auto"/>
        <w:right w:val="none" w:sz="0" w:space="0" w:color="auto"/>
      </w:divBdr>
    </w:div>
    <w:div w:id="900139256">
      <w:marLeft w:val="640"/>
      <w:marRight w:val="0"/>
      <w:marTop w:val="0"/>
      <w:marBottom w:val="0"/>
      <w:divBdr>
        <w:top w:val="none" w:sz="0" w:space="0" w:color="auto"/>
        <w:left w:val="none" w:sz="0" w:space="0" w:color="auto"/>
        <w:bottom w:val="none" w:sz="0" w:space="0" w:color="auto"/>
        <w:right w:val="none" w:sz="0" w:space="0" w:color="auto"/>
      </w:divBdr>
    </w:div>
    <w:div w:id="1012754824">
      <w:marLeft w:val="640"/>
      <w:marRight w:val="0"/>
      <w:marTop w:val="0"/>
      <w:marBottom w:val="0"/>
      <w:divBdr>
        <w:top w:val="none" w:sz="0" w:space="0" w:color="auto"/>
        <w:left w:val="none" w:sz="0" w:space="0" w:color="auto"/>
        <w:bottom w:val="none" w:sz="0" w:space="0" w:color="auto"/>
        <w:right w:val="none" w:sz="0" w:space="0" w:color="auto"/>
      </w:divBdr>
    </w:div>
    <w:div w:id="1179346119">
      <w:marLeft w:val="640"/>
      <w:marRight w:val="0"/>
      <w:marTop w:val="0"/>
      <w:marBottom w:val="0"/>
      <w:divBdr>
        <w:top w:val="none" w:sz="0" w:space="0" w:color="auto"/>
        <w:left w:val="none" w:sz="0" w:space="0" w:color="auto"/>
        <w:bottom w:val="none" w:sz="0" w:space="0" w:color="auto"/>
        <w:right w:val="none" w:sz="0" w:space="0" w:color="auto"/>
      </w:divBdr>
    </w:div>
    <w:div w:id="1226913550">
      <w:marLeft w:val="640"/>
      <w:marRight w:val="0"/>
      <w:marTop w:val="0"/>
      <w:marBottom w:val="0"/>
      <w:divBdr>
        <w:top w:val="none" w:sz="0" w:space="0" w:color="auto"/>
        <w:left w:val="none" w:sz="0" w:space="0" w:color="auto"/>
        <w:bottom w:val="none" w:sz="0" w:space="0" w:color="auto"/>
        <w:right w:val="none" w:sz="0" w:space="0" w:color="auto"/>
      </w:divBdr>
    </w:div>
    <w:div w:id="1433210773">
      <w:marLeft w:val="640"/>
      <w:marRight w:val="0"/>
      <w:marTop w:val="0"/>
      <w:marBottom w:val="0"/>
      <w:divBdr>
        <w:top w:val="none" w:sz="0" w:space="0" w:color="auto"/>
        <w:left w:val="none" w:sz="0" w:space="0" w:color="auto"/>
        <w:bottom w:val="none" w:sz="0" w:space="0" w:color="auto"/>
        <w:right w:val="none" w:sz="0" w:space="0" w:color="auto"/>
      </w:divBdr>
    </w:div>
    <w:div w:id="1510487070">
      <w:marLeft w:val="640"/>
      <w:marRight w:val="0"/>
      <w:marTop w:val="0"/>
      <w:marBottom w:val="0"/>
      <w:divBdr>
        <w:top w:val="none" w:sz="0" w:space="0" w:color="auto"/>
        <w:left w:val="none" w:sz="0" w:space="0" w:color="auto"/>
        <w:bottom w:val="none" w:sz="0" w:space="0" w:color="auto"/>
        <w:right w:val="none" w:sz="0" w:space="0" w:color="auto"/>
      </w:divBdr>
    </w:div>
    <w:div w:id="1539389625">
      <w:marLeft w:val="640"/>
      <w:marRight w:val="0"/>
      <w:marTop w:val="0"/>
      <w:marBottom w:val="0"/>
      <w:divBdr>
        <w:top w:val="none" w:sz="0" w:space="0" w:color="auto"/>
        <w:left w:val="none" w:sz="0" w:space="0" w:color="auto"/>
        <w:bottom w:val="none" w:sz="0" w:space="0" w:color="auto"/>
        <w:right w:val="none" w:sz="0" w:space="0" w:color="auto"/>
      </w:divBdr>
    </w:div>
    <w:div w:id="1568107451">
      <w:marLeft w:val="640"/>
      <w:marRight w:val="0"/>
      <w:marTop w:val="0"/>
      <w:marBottom w:val="0"/>
      <w:divBdr>
        <w:top w:val="none" w:sz="0" w:space="0" w:color="auto"/>
        <w:left w:val="none" w:sz="0" w:space="0" w:color="auto"/>
        <w:bottom w:val="none" w:sz="0" w:space="0" w:color="auto"/>
        <w:right w:val="none" w:sz="0" w:space="0" w:color="auto"/>
      </w:divBdr>
    </w:div>
    <w:div w:id="1712457863">
      <w:marLeft w:val="640"/>
      <w:marRight w:val="0"/>
      <w:marTop w:val="0"/>
      <w:marBottom w:val="0"/>
      <w:divBdr>
        <w:top w:val="none" w:sz="0" w:space="0" w:color="auto"/>
        <w:left w:val="none" w:sz="0" w:space="0" w:color="auto"/>
        <w:bottom w:val="none" w:sz="0" w:space="0" w:color="auto"/>
        <w:right w:val="none" w:sz="0" w:space="0" w:color="auto"/>
      </w:divBdr>
    </w:div>
    <w:div w:id="1783380353">
      <w:marLeft w:val="640"/>
      <w:marRight w:val="0"/>
      <w:marTop w:val="0"/>
      <w:marBottom w:val="0"/>
      <w:divBdr>
        <w:top w:val="none" w:sz="0" w:space="0" w:color="auto"/>
        <w:left w:val="none" w:sz="0" w:space="0" w:color="auto"/>
        <w:bottom w:val="none" w:sz="0" w:space="0" w:color="auto"/>
        <w:right w:val="none" w:sz="0" w:space="0" w:color="auto"/>
      </w:divBdr>
    </w:div>
    <w:div w:id="1814717939">
      <w:marLeft w:val="640"/>
      <w:marRight w:val="0"/>
      <w:marTop w:val="0"/>
      <w:marBottom w:val="0"/>
      <w:divBdr>
        <w:top w:val="none" w:sz="0" w:space="0" w:color="auto"/>
        <w:left w:val="none" w:sz="0" w:space="0" w:color="auto"/>
        <w:bottom w:val="none" w:sz="0" w:space="0" w:color="auto"/>
        <w:right w:val="none" w:sz="0" w:space="0" w:color="auto"/>
      </w:divBdr>
    </w:div>
    <w:div w:id="1899825659">
      <w:marLeft w:val="640"/>
      <w:marRight w:val="0"/>
      <w:marTop w:val="0"/>
      <w:marBottom w:val="0"/>
      <w:divBdr>
        <w:top w:val="none" w:sz="0" w:space="0" w:color="auto"/>
        <w:left w:val="none" w:sz="0" w:space="0" w:color="auto"/>
        <w:bottom w:val="none" w:sz="0" w:space="0" w:color="auto"/>
        <w:right w:val="none" w:sz="0" w:space="0" w:color="auto"/>
      </w:divBdr>
    </w:div>
    <w:div w:id="1945654168">
      <w:marLeft w:val="640"/>
      <w:marRight w:val="0"/>
      <w:marTop w:val="0"/>
      <w:marBottom w:val="0"/>
      <w:divBdr>
        <w:top w:val="none" w:sz="0" w:space="0" w:color="auto"/>
        <w:left w:val="none" w:sz="0" w:space="0" w:color="auto"/>
        <w:bottom w:val="none" w:sz="0" w:space="0" w:color="auto"/>
        <w:right w:val="none" w:sz="0" w:space="0" w:color="auto"/>
      </w:divBdr>
    </w:div>
    <w:div w:id="2127045193">
      <w:marLeft w:val="640"/>
      <w:marRight w:val="0"/>
      <w:marTop w:val="0"/>
      <w:marBottom w:val="0"/>
      <w:divBdr>
        <w:top w:val="none" w:sz="0" w:space="0" w:color="auto"/>
        <w:left w:val="none" w:sz="0" w:space="0" w:color="auto"/>
        <w:bottom w:val="none" w:sz="0" w:space="0" w:color="auto"/>
        <w:right w:val="none" w:sz="0" w:space="0" w:color="auto"/>
      </w:divBdr>
    </w:div>
    <w:div w:id="2140688566">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E36767-DA70-4290-AADD-F6624DEEAFE8}">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3146046568"/>
    <we:property name="MENDELEY_CITATIONS" value="[{&quot;citationID&quot;:&quot;MENDELEY_CITATION_de25de9f-add1-4e0b-919a-09c421cec8cd&quot;,&quot;properties&quot;:{&quot;noteIndex&quot;:0},&quot;isEdited&quot;:false,&quot;manualOverride&quot;:{&quot;isManuallyOverridden&quot;:false,&quot;citeprocText&quot;:&quot;(Amran et al., 2015)&quot;,&quot;manualOverrideText&quot;:&quot;&quot;},&quot;citationTag&quot;:&quot;MENDELEY_CITATION_v3_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&quot;,&quot;citationItems&quot;:[{&quot;id&quot;:&quot;6358759e-503c-3838-baaf-61b34dd4f45f&quot;,&quot;itemData&quot;:{&quot;type&quot;:&quot;article&quot;,&quot;id&quot;:&quot;6358759e-503c-3838-baaf-61b34dd4f45f&quot;,&quot;title&quot;:&quot;Properties and applications of foamed concrete; A review&quot;,&quot;author&quot;:[{&quot;family&quot;:&quot;Amran&quot;,&quot;given&quot;:&quot;Y. H.Mugahed&quot;,&quot;parse-names&quot;:false,&quot;dropping-particle&quot;:&quot;&quot;,&quot;non-dropping-particle&quot;:&quot;&quot;},{&quot;family&quot;:&quot;Farzadnia&quot;,&quot;given&quot;:&quot;Nima&quot;,&quot;parse-names&quot;:false,&quot;dropping-particle&quot;:&quot;&quot;,&quot;non-dropping-particle&quot;:&quot;&quot;},{&quot;family&quot;:&quot;Ali&quot;,&quot;given&quot;:&quot;A. A.Abang&quot;,&quot;parse-names&quot;:false,&quot;dropping-particle&quot;:&quot;&quot;,&quot;non-dropping-particle&quot;:&quot;&quot;}],&quot;container-title&quot;:&quot;Construction and Building Materials&quot;,&quot;container-title-short&quot;:&quot;Constr. Build. Mater.&quot;,&quot;DOI&quot;:&quot;10.1016/j.conbuildmat.2015.10.112&quot;,&quot;ISSN&quot;:&quot;09500618&quot;,&quot;issued&quot;:{&quot;date-parts&quot;:[[2015,12,30]]},&quot;page&quot;:&quot;990-1005&quot;,&quot;abstract&quot;:&quot;Foamed concrete possesses characteristics such as high strength-to-weight ratio and low density. Using foamed concrete reduces dead loads on the structure and foundation, contributes to energy conservation, and lowers the labor cost during construction. It also reduces the cost of production and transportation of building components compared to normal concrete and has the potential of being used as a structural material. This paper provides a review of foamed concrete constituents, fabrication techniques, and properties of foamed concrete. This literature review also aims to provide a comprehensive insight into possible applications of foamed concrete in the construction industry today.&quot;,&quot;publisher&quot;:&quot;Elsevier Ltd&quot;,&quot;volume&quot;:&quot;101&quot;},&quot;isTemporary&quot;:false,&quot;suppress-author&quot;:false,&quot;composite&quot;:false,&quot;author-only&quot;:false}]},{&quot;citationID&quot;:&quot;MENDELEY_CITATION_2a3fdfe8-1b28-4333-8e6a-5b553c23aecf&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MmEzZmRmZTgtMWIyOC00MzMzLThlNmEtNWI1NTNjMjNhZWNm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quot;citationID&quot;:&quot;MENDELEY_CITATION_1dc8f484-d4b8-483c-9244-c425a72f16b0&quot;,&quot;properties&quot;:{&quot;noteIndex&quot;:0},&quot;isEdited&quot;:false,&quot;manualOverride&quot;:{&quot;isManuallyOverridden&quot;:false,&quot;citeprocText&quot;:&quot;(Hashim &amp;#38; Tantray, 2021)&quot;,&quot;manualOverrideText&quot;:&quot;&quot;},&quot;citationTag&quot;:&quot;MENDELEY_CITATION_v3_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&quot;,&quot;citationItems&quot;:[{&quot;id&quot;:&quot;abc61909-c6f0-35e0-b91e-bd79759bd26c&quot;,&quot;itemData&quot;:{&quot;type&quot;:&quot;article-journal&quot;,&quot;id&quot;:&quot;abc61909-c6f0-35e0-b91e-bd79759bd26c&quot;,&quot;title&quot;:&quot;Comparative study on the performance of protein and synthetic-based foaming agents used in foamed concrete&quot;,&quot;author&quot;:[{&quot;family&quot;:&quot;Hashim&quot;,&quot;given&quot;:&quot;Manan&quot;,&quot;parse-names&quot;:false,&quot;dropping-particle&quot;:&quot;&quot;,&quot;non-dropping-particle&quot;:&quot;&quot;},{&quot;family&quot;:&quot;Tantray&quot;,&quot;given&quot;:&quot;Manzoor&quot;,&quot;parse-names&quot;:false,&quot;dropping-particle&quot;:&quot;&quot;,&quot;non-dropping-particle&quot;:&quot;&quot;}],&quot;container-title&quot;:&quot;Case Studies in Construction Materials&quot;,&quot;accessed&quot;:{&quot;date-parts&quot;:[[2025,1,14]]},&quot;DOI&quot;:&quot;10.1016/J.CSCM.2021.E00524&quot;,&quot;ISSN&quot;:&quot;2214-5095&quot;,&quot;issued&quot;:{&quot;date-parts&quot;:[[2021,6,1]]},&quot;page&quot;:&quot;e00524&quot;,&quot;abstract&quot;:&quot;Foamed concrete is a composite material with a density that is significantly lower than standard concrete. The property of being lightweight is due to tiny air voids produced by the addition of foaming agents in cement paste. The purpose of this research is to experimentally investigate the influence of various types of foaming agents i.e., protein versus synthetic-based foaming agents on the properties of foamed concrete. Foam stability, compressive strength, drying shrinkage of the foamed concrete specimen were experimentally studied and analyzed. Also, the characterization of the microstructure i.e. pores size and their distribution has been investigated in this study to gain insight into the impact of foaming agent on the properties of foam concrete. The study comprises 60 foamed concrete specimens cast using protein and synthetic-based foaming agents. The constituents of the concrete mix were kept uniform for both the cases and the quantity of foaming agents was increased from 30 to 112 kg/m3, this was done to produce foamed concrete of density varying from 600 kg/m3 to 1200 kg/m3. The foam stability and strength test depicted better results for protein-based foam rather than the synthetic-based foaming agent. The experimental results of the SEM analysis showed protein-based foamed concrete has unconnected isolated pores of smaller size, circular with a well-defined boundary as compared to synthetic-based. The compressive strength of both the foamed concrete had an increasing trend with a rise in density however the protein-based foamed concrete showed better results i.e., 13 % higher strength than synthetic-based foamed concrete at 1200 kg/m3 density, but an inverse trend in drying shrinkage with dry density was recorded. At low densities the shrinkage observed was less. The drying shrinkage of protein-based concrete was observed to be 29 % lower than the synthetic-based foamed concrete at the density of 1200 kg/m3. Hence this study reveals that the use of protein-based foaming agents would result in improved characteristics of foamed concrete.&quot;,&quot;publisher&quot;:&quot;Elsevier&quot;,&quot;volume&quot;:&quot;14&quot;,&quot;container-title-short&quot;:&quot;&quot;},&quot;isTemporary&quot;:false,&quot;suppress-author&quot;:false,&quot;composite&quot;:false,&quot;author-only&quot;:false}]},{&quot;citationID&quot;:&quot;MENDELEY_CITATION_816e070b-45e5-415f-98e0-1acdbd22d1c4&quot;,&quot;properties&quot;:{&quot;noteIndex&quot;:0},&quot;isEdited&quot;:false,&quot;manualOverride&quot;:{&quot;isManuallyOverridden&quot;:false,&quot;citeprocText&quot;:&quot;(Alexandra H. &amp;#38; Istvan K., 2020; Indu et al., 2010; Liu et al., 2019; Munachiso &amp;#38; Nimisoere, n.d.; Siva et al., 2015)&quot;,&quot;manualOverrideText&quot;:&quot;&quot;},&quot;citationTag&quot;:&quot;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&quot;,&quot;citationItems&quot;:[{&quot;id&quot;:&quot;3b69f9de-caa8-3182-a5fb-a625c8ac69a6&quot;,&quot;itemData&quot;:{&quot;type&quot;:&quot;webpage&quot;,&quot;id&quot;:&quot;3b69f9de-caa8-3182-a5fb-a625c8ac69a6&quot;,&quot;title&quot;:&quot;The investigation of sodium lauryl sulphate as foam stabilizer in cement foams&quot;,&quot;author&quot;:[{&quot;family&quot;:&quot;Alexandra H.&quot;,&quot;given&quot;:&quot;&quot;,&quot;parse-names&quot;:false,&quot;dropping-particle&quot;:&quot;&quot;,&quot;non-dropping-particle&quot;:&quot;&quot;},{&quot;family&quot;:&quot;Istvan K.&quot;,&quot;given&quot;:&quot;&quot;,&quot;parse-names&quot;:false,&quot;dropping-particle&quot;:&quot;&quot;,&quot;non-dropping-particle&quot;:&quot;&quot;}],&quot;container-title&quot;:&quot;Materials Science and Engineering&quot;,&quot;accessed&quot;:{&quot;date-parts&quot;:[[2025,1,14]]},&quot;URL&quot;:&quot;10.32974.mse.2020.011&quot;,&quot;issued&quot;:{&quot;date-parts&quot;:[[2020]]},&quot;container-title-short&quot;:&quot;&quot;},&quot;isTemporary&quot;:false},{&quot;id&quot;:&quot;1b616919-97cd-3967-a92f-0cba3dc8ed39&quot;,&quot;itemData&quot;:{&quot;type&quot;:&quot;article-journal&quot;,&quot;id&quot;:&quot;1b616919-97cd-3967-a92f-0cba3dc8ed39&quot;,&quot;title&quot;:&quot;Analysis of the Foam Generated Using Surfactant Sodium Lauryl Sulfate&quot;,&quot;author&quot;:[{&quot;family&quot;:&quot;Indu&quot;,&quot;given&quot;:&quot;G&quot;,&quot;parse-names&quot;:false,&quot;dropping-particle&quot;:&quot;&quot;,&quot;non-dropping-particle&quot;:&quot;&quot;},{&quot;family&quot;:&quot;Ranjani&quot;,&quot;given&quot;:&quot;Siva&quot;,&quot;parse-names&quot;:false,&quot;dropping-particle&quot;:&quot;&quot;,&quot;non-dropping-particle&quot;:&quot;&quot;},{&quot;family&quot;:&quot;Ramamurthy&quot;,&quot;given&quot;:&quot;K&quot;,&quot;parse-names&quot;:false,&quot;dropping-particle&quot;:&quot;&quot;,&quot;non-dropping-particle&quot;:&quot;&quot;}],&quot;container-title&quot;:&quot;International Journal of Concrete Structures and Materials&quot;,&quot;container-title-short&quot;:&quot;Int. J. Concr. Struct. Mater.&quot;,&quot;accessed&quot;:{&quot;date-parts&quot;:[[2024,6,23]]},&quot;DOI&quot;:&quot;10.4334/IJCSM.2010.4.1.055&quot;,&quot;ISBN&quot;:&quot;3.0041470.06465&quot;,&quot;ISSN&quot;:&quot;1976-0485&quot;,&quot;issued&quot;:{&quot;date-parts&quot;:[[2010,6,30]]},&quot;page&quot;:&quot;55-62&quot;,&quot;abstract&quot;:&quot;The performance evaluation of a sodium lauryl sulfate to qualify as a foaming agent is presented in this paper. When new surfactants are used a systematic study of production parameters on the foam characteristics needs to be undertaken unlike proprietary foaming agents and foam generator for which manufacturer has predefined the parameters. The relative influence of the foam parameters and optimization of factors were carried out through a systematic experiment design. The foam production parameters namely foam generation pressure and dilution ratio of foaming agents are observed to have significant effect on all foam characteristics with the exception of foam output rate on which only foam generation pressure has influence. The foam with good initial foam density need not necessarily be stable foam. The optimum levels of foam production parameters are determined for the surfactant Sodium lauryl sulfate which can be used to produce stable foam for foam concrete production.&quot;,&quot;publisher&quot;:&quot;Korea Concrete Institute&quot;,&quot;issue&quot;:&quot;1&quot;,&quot;volume&quot;:&quot;4&quot;},&quot;isTemporary&quot;:false},{&quot;id&quot;:&quot;8a5e2e84-b907-3f0c-9528-3934fbc9587e&quot;,&quot;itemData&quot;:{&quot;type&quot;:&quot;paper-conference&quot;,&quot;id&quot;:&quot;8a5e2e84-b907-3f0c-9528-3934fbc9587e&quot;,&quot;title&quot;:&quot;Lightweight foamed concrete with foam agent addition&quot;,&quot;author&quot;:[{&quot;family&quot;:&quot;Liu&quot;,&quot;given&quot;:&quot;Tongwei&quot;,&quot;parse-names&quot;:false,&quot;dropping-particle&quot;:&quot;&quot;,&quot;non-dropping-particle&quot;:&quot;&quot;},{&quot;family&quot;:&quot;Shi&quot;,&quot;given&quot;:&quot;Guopu&quot;,&quot;parse-names&quot;:false,&quot;dropping-particle&quot;:&quot;&quot;,&quot;non-dropping-particle&quot;:&quot;&quot;},{&quot;family&quot;:&quot;Li&quot;,&quot;given&quot;:&quot;Guozhong&quot;,&quot;parse-names&quot;:false,&quot;dropping-particle&quot;:&quot;&quot;,&quot;non-dropping-particle&quot;:&quot;&quot;},{&quot;family&quot;:&quot;Wang&quot;,&quot;given&quot;:&quot;Zhi&quot;,&quot;parse-names&quot;:false,&quot;dropping-particle&quot;:&quot;&quot;,&quot;non-dropping-particle&quot;:&quot;&quot;}],&quot;container-title&quot;:&quot;IOP Conference Series: Materials Science and Engineering&quot;,&quot;container-title-short&quot;:&quot;IOP Conf. Ser. Mater. Sci. Eng.&quot;,&quot;DOI&quot;:&quot;10.1088/1757-899X/490/3/032033&quot;,&quot;ISSN&quot;:&quot;1757899X&quot;,&quot;issued&quot;:{&quot;date-parts&quot;:[[2019,4,15]]},&quot;abstract&quot;:&quot;Lightweight foamed concrete with foam agent addition varied from 0 to 7wt% was fabricated and the influence of foam stabilizer and polypropylene fiber (PPF) addition on mechanical performance of lightweight foamed concrete was researched. The experimental data revealed that the density, thermal conductivity, flexural and compressive strength exhibited a rapidly downward trend with the increase of foam agent content due to generation of a large number of pores by decomposition of foam agent. The samples with foam stabilizer addition possessed better mechanical properties and lower thermal conductivity compared to the samples without foam stabilizer addition due to the improvement of pore structure. Besides, an appropriate amount of PPF could enhance flexural and compressive strength of specimens, while excess PPF was proven to be counterproductive.&quot;,&quot;publisher&quot;:&quot;Institute of Physics Publishing&quot;,&quot;issue&quot;:&quot;3&quot;,&quot;volume&quot;:&quot;490&quot;},&quot;isTemporary&quot;:false},{&quot;id&quot;:&quot;cb844a3a-ea0d-3a78-8a2d-b120e9683af1&quot;,&quot;itemData&quot;:{&quot;type&quot;:&quot;article-journal&quot;,&quot;id&quot;:&quot;cb844a3a-ea0d-3a78-8a2d-b120e9683af1&quot;,&quot;title&quot;:&quot;Sodium salt admixtures for enhancing the foaming characteristics of sodium lauryl sulphate&quot;,&quot;author&quot;:[{&quot;family&quot;:&quot;Siva&quot;,&quot;given&quot;:&quot;M.&quot;,&quot;parse-names&quot;:false,&quot;dropping-particle&quot;:&quot;&quot;,&quot;non-dropping-particle&quot;:&quot;&quot;},{&quot;family&quot;:&quot;Ramamurthy&quot;,&quot;given&quot;:&quot;K.&quot;,&quot;parse-names&quot;:false,&quot;dropping-particle&quot;:&quot;&quot;,&quot;non-dropping-particle&quot;:&quot;&quot;},{&quot;family&quot;:&quot;Dhamodharan&quot;,&quot;given&quot;:&quot;R.&quot;,&quot;parse-names&quot;:false,&quot;dropping-particle&quot;:&quot;&quot;,&quot;non-dropping-particle&quot;:&quot;&quot;}],&quot;container-title&quot;:&quot;Cement and Concrete Composites&quot;,&quot;container-title-short&quot;:&quot;Cem. Concr. Compos.&quot;,&quot;accessed&quot;:{&quot;date-parts&quot;:[[2024,6,2]]},&quot;DOI&quot;:&quot;10.1016/J.CEMCONCOMP.2014.12.011&quot;,&quot;ISSN&quot;:&quot;0958-9465&quot;,&quot;issued&quot;:{&quot;date-parts&quot;:[[2015,3,1]]},&quot;page&quot;:&quot;133-141&quot;,&quot;abstract&quot;:&quot;This study identifies admixtures to enhance the effectiveness of Sodium Lauryl Sulphate (SLS) as a foaming agent by increasing the foam density and stability. Sodium hydroxide, sodium carbonate and sodium chloride were chosen based on common ion effect to increase the viscosity of the foaming solution in order to achieve ASTM recommended range of foam density. Response surface methodology is used to study the responses like viscosity, foam density and foam stability of all the admixtures. Viscosity is observed to have a linear relationship with foam density, bubble size distribution and stability. Foam density increases with the dosage of admixture, irrespective of foam generation pressure (FGP). Use of appropriate dosage of these admixtures with SLS provides the foam density specified by ASTM. Relatively lesser dosage of NaOH is sufficient to achieve ASTM recommended foam density, which is attributed to the fact that mole percent of sodium in NaOH is higher than NaCl and Na2CO3. The stability of the foam has also been demonstrated through a typical mix of foam concrete.&quot;,&quot;publisher&quot;:&quot;Elsevier&quot;,&quot;volume&quot;:&quot;57&quot;},&quot;isTemporary&quot;:false},{&quot;id&quot;:&quot;04e59cdc-e61e-3bc4-abc0-4b80a8903ce6&quot;,&quot;itemData&quot;:{&quot;type&quot;:&quot;article-journal&quot;,&quot;id&quot;:&quot;04e59cdc-e61e-3bc4-abc0-4b80a8903ce6&quot;,&quot;title&quot;:&quot;International Journal of Advanced Research and Publications Comparative Study On The Strength Of Lightweight Foamed Concrete Prepared Using Different Reagents&quot;,&quot;author&quot;:[{&quot;family&quot;:&quot;Munachiso&quot;,&quot;given&quot;:&quot;Ogbodo&quot;,&quot;parse-names&quot;:false,&quot;dropping-particle&quot;:&quot;&quot;,&quot;non-dropping-particle&quot;:&quot;&quot;},{&quot;family&quot;:&quot;Nimisoere&quot;,&quot;given&quot;:&quot;Bobmanuel Oprite&quot;,&quot;parse-names&quot;:false,&quot;dropping-particle&quot;:&quot;&quot;,&quot;non-dropping-particle&quot;:&quot;&quot;}],&quot;ISSN&quot;:&quot;2456-9992&quot;,&quot;URL&quot;:&quot;www.ijarp.org&quot;,&quot;abstract&quot;:&quot;This project presents the results of the investigation conducted on a lightweight foamed concrete using different reagents; Sodium Lauryl Sulphate (SLS) and Lithofoam, with a view to determining its potential as a construction material in Nigeria. The properties investigated on the foamed concrete having target density of 1800kg/m 3 were: workability, bulk density and compressive strength. The foamed concrete was developed using a w/c ratio of 0.5 and a mix ratio of 1:3:0.0025. Concrete specimens were produced using two different fine aggregate grades. Specimens were cured in water for 7, 21 and 28 days. The results revealed that the curing ages significantly affected the strength and that suitable strengths can be achieved using SLS as a foaming agent. The 28 th day strengths for the concrete specimens were 11.27N/mm 2 and 11.04N/mm 2 respectively. These strengths were about 23.2% and 25.8% less than that achieved using the Lithofoam as the reagent.&quot;,&quot;container-title-short&quot;:&quot;&quot;},&quot;isTemporary&quot;:false}]},{&quot;citationID&quot;:&quot;MENDELEY_CITATION_177971e9-b1c8-4373-a09b-7a6586201af1&quot;,&quot;properties&quot;:{&quot;noteIndex&quot;:0},&quot;isEdited&quot;:false,&quot;manualOverride&quot;:{&quot;isManuallyOverridden&quot;:false,&quot;citeprocText&quot;:&quot;(Falliano et al., 2020; Kirubajiny Pasupathy, 2022)&quot;,&quot;manualOverrideText&quot;:&quot;&quot;},&quot;citationTag&quot;:&quot;MENDELEY_CITATION_v3_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&quot;,&quot;citationItems&quot;:[{&quot;id&quot;:&quot;1ce2a4e1-500d-39c4-80a7-7b8d8bcc2207&quot;,&quot;itemData&quot;:{&quot;type&quot;:&quot;article-journal&quot;,&quot;id&quot;:&quot;1ce2a4e1-500d-39c4-80a7-7b8d8bcc2207&quot;,&quot;title&quot;:&quot;3D-printable lightweight foamed concrete and comparison with classical foamed concrete in terms of fresh state properties and mechanical strength&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20.119271&quot;,&quot;ISSN&quot;:&quot;09500618&quot;,&quot;issued&quot;:{&quot;date-parts&quot;:[[2020,9,10]]},&quot;abstract&quot;:&quot;This paper presents a novel type of foamed concrete that is termed “3D-printable lightweight foamed concrete” (3DP-LWFC). Unlike classical lightweight foamed concrete (C-LWFC), this novel material is able to keep its shape at the fresh state due to enhanced consistency and viscosity. This peculiarity lends itself to being implemented in automated extrusion production process and 3D printing applications without the use of formwork, which is particularly convenient in the building industry. These unique fresh state properties of 3DP-LWFC are demonstrated through a specific extrusion test conceived and used in this experimental campaign, and highlighted by comparison with results related to C-LWFC. Despite the remarkably different behavior of the novel material at the fresh state, the mechanical strength of 3DP-LWFC is even slightly higher than C-LWFC. This is demonstrated through a wide experimental campaign focused on the compressive and flexural strength of 3DP-LWFC, which includes different dry densities, curing conditions, cement types, water/cement ratios. Additionally, the effect of the mixing conditions on the mechanical strength of 3DP-LWFC, in particular the rotational speed of the mixer during the preparation of the paste, is also analyzed and discussed. It is found that the increase of mixing intensity from 1200 rpm to 3000 rpm resulted in a considerable increase of mechanical strength values of 3DP-LWFC, up to more than 70% for the compressive strength and up to around 100% for the flexural strength.&quot;,&quot;publisher&quot;:&quot;Elsevier Ltd&quot;,&quot;volume&quot;:&quot;254&quot;},&quot;isTemporary&quot;:false},{&quot;id&quot;:&quot;aa3e2036-66e9-3f76-a6bb-08c7d9c28d5b&quot;,&quot;itemData&quot;:{&quot;type&quot;:&quot;article-journal&quot;,&quot;id&quot;:&quot;aa3e2036-66e9-3f76-a6bb-08c7d9c28d5b&quot;,&quot;title&quot;:&quot;Enhancing the properties of foam concrete 3D printing using porous aggregates&quot;,&quot;author&quot;:[{&quot;family&quot;:&quot;Kirubajiny Pasupathy&quot;,&quot;given&quot;:&quot;Sayanthan Ramakrishnan, Jay Sanjayan&quot;,&quot;parse-names&quot;:false,&quot;dropping-particle&quot;:&quot;&quot;,&quot;non-dropping-particle&quot;:&quot;&quot;}],&quot;container-title&quot;:&quot;Cement and Concrete Composites&quot;,&quot;container-title-short&quot;:&quot;Cem. Concr. Compos.&quot;,&quot;issued&quot;:{&quot;date-parts&quot;:[[2022,7,12]]},&quot;abstract&quot;:&quot;The lightweight concrete (density &lt;1000 kg/m3) is generally attained by introducing a large amount of air voids into fresh concrete for making so-called foam concrete. Such foam concrete is quite challenging in 3D concrete printing due to the high flowability of fresh mixes affecting the printability and foam stability during extrusion process. To overcome these limitations, this study investigates a combination of lightweight aggregates and premade foam in foam concrete to attain a density below 1000 kg/m3 for 3D printing applications. The expanded perlite (EP) aggregate was used as a replacement for fine sand that substantially reduced the foam content in the mix. The effect of EP on the fresh state properties such as rheology and printability as well as hardened properties including, mechanical properties, porosity and pore size distribution were investigated. It was demonstrated that the introduction of combined lightweight aggregate and foam has significantly improved the fresh and hardened properties of produced lightweight concrete. For instance, fresh foam concrete containing EP aggregate displayed high yield strength and apparent viscosity compared to the foam concrete without EP at similar densities. The compressive strength of 3D printed specimens containing EP was determined as 12.95 MPa, 15.5 MPa and 10.6 MPa in the perpendicular, longitudinal, and lateral directions respectively, compared to 5.5 MPa, 8.4 MPa and 4.2 MPa for the sand group at the similar density. Moreover, fine and regular pore size distribution was observed for 3D printed foam concrete with EP aggregate.&quot;,&quot;volume&quot;:&quot;133&quot;},&quot;isTemporary&quot;:false}]},{&quot;citationID&quot;:&quot;MENDELEY_CITATION_d0c1c5d4-4965-4a6b-8081-aa4ce61aad36&quot;,&quot;properties&quot;:{&quot;noteIndex&quot;:0},&quot;isEdited&quot;:false,&quot;manualOverride&quot;:{&quot;isManuallyOverridden&quot;:false,&quot;citeprocText&quot;:&quot;(Falliano et al., 2019; Markin et al., 2019)&quot;,&quot;manualOverrideText&quot;:&quot;&quot;},&quot;citationTag&quot;:&quot;MENDELEY_CITATION_v3_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&quot;,&quot;citationItems&quot;:[{&quot;id&quot;:&quot;baf27711-247a-3bc5-af38-bc3ede116712&quot;,&quot;itemData&quot;:{&quot;type&quot;:&quot;chapter&quot;,&quot;id&quot;:&quot;baf27711-247a-3bc5-af38-bc3ede116712&quot;,&quot;title&quot;:&quot;Experimental investigation on the mechanical strength and thermal conductivity of extrudable foamed concrete and preliminary views on its potential application in 3D printed multilayer insulating panels&quot;,&quot;author&quot;:[{&quot;family&quot;:&quot;Falliano&quot;,&quot;given&quot;:&quot;Devid&quot;,&quot;parse-names&quot;:false,&quot;dropping-particle&quot;:&quot;&quot;,&quot;non-dropping-particle&quot;:&quot;&quot;},{&quot;family&quot;:&quot;Gugliandolo&quot;,&quot;given&quot;:&quot;Ernesto&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container-title&quot;:&quot;RILEM Bookseries&quot;,&quot;DOI&quot;:&quot;10.1007/978-3-319-99519-9_26&quot;,&quot;ISSN&quot;:&quot;22110852&quot;,&quot;issued&quot;:{&quot;date-parts&quot;:[[2019]]},&quot;page&quot;:&quot;277-286&quot;,&quot;abstract&quot;:&quot;This contribution is focused on the properties of a particular type of foamed concrete, the extrudable foamed concrete, which is characterized by the dimensional stability in the green state, that is the ability to maintain its shape in the fresh state (green strength). In particular, after an overview of both the compressive and the indirect tensile strength, the effect of density on thermal conductivity values is presented. Interestingly, the thermal conductivity of this particular kind of lightweight cementitious material is lower compared to both classical foamed concrete and aerated autoclaved concrete (AAC) at comparable density. Moreover, the remarkable inherent green strength makes this material potentially suitable for in situ 3D printing applications in co-extruded elements with both thermal insulation and structural purposes.&quot;,&quot;publisher&quot;:&quot;Springer Netherlands&quot;,&quot;volume&quot;:&quot;19&quot;,&quot;container-title-short&quot;:&quot;&quot;},&quot;isTemporary&quot;:false},{&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citationID&quot;:&quot;MENDELEY_CITATION_a9612097-21b7-43f4-82d8-61ce49972ed4&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YTk2MTIwOTctMjFiNy00M2Y0LTgyZDgtNjFjZTQ5OTcyZWQ0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V19&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citationID&quot;:&quot;MENDELEY_CITATION_fcf6dd8f-85c0-46c8-aa51-e1b515f0f447&quot;,&quot;properties&quot;:{&quot;noteIndex&quot;:0},&quot;isEdited&quot;:false,&quot;manualOverride&quot;:{&quot;isManuallyOverridden&quot;:false,&quot;citeprocText&quot;:&quot;(Markin et al., 2021)&quot;,&quot;manualOverrideText&quot;:&quot;&quot;},&quot;citationTag&quot;:&quot;MENDELEY_CITATION_v3_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&quot;,&quot;citationItems&quot;:[{&quot;id&quot;:&quot;286c158e-bfdc-34f8-b529-f3843d2148a9&quot;,&quot;itemData&quot;:{&quot;type&quot;:&quot;article-journal&quot;,&quot;id&quot;:&quot;286c158e-bfdc-34f8-b529-f3843d2148a9&quot;,&quot;title&quot;:&quot;3D-printing with foam concrete: From material design and testing to application and sustainability&quot;,&quot;author&quot;:[{&quot;family&quot;:&quot;Markin&quot;,&quot;given&quot;:&quot;Viacheslav&quot;,&quot;parse-names&quot;:false,&quot;dropping-particle&quot;:&quot;&quot;,&quot;non-dropping-particle&quot;:&quot;&quot;},{&quot;family&quot;:&quot;Krause&quot;,&quot;given&quot;:&quot;Martin&quot;,&quot;parse-names&quot;:false,&quot;dropping-particle&quot;:&quot;&quot;,&quot;non-dropping-particle&quot;:&quot;&quot;},{&quot;family&quot;:&quot;Otto&quot;,&quot;given&quot;:&quot;Jens&quot;,&quot;parse-names&quot;:false,&quot;dropping-particle&quot;:&quot;&quot;,&quot;non-dropping-particle&quot;:&quot;&quot;},{&quot;family&quot;:&quot;Schröfl&quot;,&quot;given&quot;:&quot;Christof&quot;,&quot;parse-names&quot;:false,&quot;dropping-particle&quot;:&quot;&quot;,&quot;non-dropping-particle&quot;:&quot;&quot;},{&quot;family&quot;:&quot;Mechtcherine&quot;,&quot;given&quot;:&quot;Viktor&quot;,&quot;parse-names&quot;:false,&quot;dropping-particle&quot;:&quot;&quot;,&quot;non-dropping-particle&quot;:&quot;&quot;}],&quot;container-title&quot;:&quot;Journal of Building Engineering&quot;,&quot;DOI&quot;:&quot;10.1016/j.jobe.2021.102870&quot;,&quot;ISSN&quot;:&quot;23527102&quot;,&quot;issued&quot;:{&quot;date-parts&quot;:[[2021,11,1]]},&quot;abstract&quot;:&quot;Foam concrete (FC) is known to be a versatile material with distinct material properties which make it useful in applications for structural as well as insulating purposes. Application of FC in large-scale additive manufacturing, also described as 3D-printing with foam concrete, is still uncommon and the research on printable FC is still in its initial phase. This article discusses experimentally determined material properties of four different printable FCs with densities ranging from 800 kg/m³ to 1200 kg/m³. The fresh-state properties of the FC developed were determined to be specifically relevant to the 3D-printing process time interval, i.e., an age span of 30 to 150 min after water addition. The reported material properties in the hardened state include porosity, compressive strength, and thermal conductivity. Finally, possible application of the FC in 3D-printing was assessed with respect to its economical, sociological, and ecological impacts.&quot;,&quot;publisher&quot;:&quot;Elsevier Ltd&quot;,&quot;volume&quot;:&quot;43&quot;,&quot;container-title-short&quot;:&quot;&quot;},&quot;isTemporary&quot;:false,&quot;suppress-author&quot;:false,&quot;composite&quot;:false,&quot;author-only&quot;:false}]},{&quot;citationID&quot;:&quot;MENDELEY_CITATION_f4969399-9aaa-437d-b685-171ada4b54e4&quot;,&quot;properties&quot;:{&quot;noteIndex&quot;:0},&quot;isEdited&quot;:false,&quot;manualOverride&quot;:{&quot;isManuallyOverridden&quot;:false,&quot;citeprocText&quot;:&quot;(Falliano et al., 2019; Markin et al., 2019; Ospanova et al., 2014; Ou et al., 2022)&quot;,&quot;manualOverrideText&quot;:&quot;&quot;},&quot;citationTag&quot;:&quot;MENDELEY_CITATION_v3_eyJjaXRhdGlvbklEIjoiTUVOREVMRVlfQ0lUQVRJT05fZjQ5NjkzOTktOWFhYS00MzdkLWI2ODUtMTcxYWRhNGI1NGU0IiwicHJvcGVydGllcyI6eyJub3RlSW5kZXgiOjB9LCJpc0VkaXRlZCI6ZmFsc2UsIm1hbnVhbE92ZXJyaWRlIjp7ImlzTWFudWFsbHlPdmVycmlkZGVuIjpmYWxzZSwiY2l0ZXByb2NUZXh0IjoiKEZhbGxpYW5vIGV0IGFsLiwgMjAxOTsgTWFya2luIGV0IGFsLiwgMjAxOTsgT3NwYW5vdmEgZXQgYWwuLCAyMDE0OyBPdSBldCBhbC4sIDIwMjI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id&quot;:&quot;baf27711-247a-3bc5-af38-bc3ede116712&quot;,&quot;itemData&quot;:{&quot;type&quot;:&quot;chapter&quot;,&quot;id&quot;:&quot;baf27711-247a-3bc5-af38-bc3ede116712&quot;,&quot;title&quot;:&quot;Experimental investigation on the mechanical strength and thermal conductivity of extrudable foamed concrete and preliminary views on its potential application in 3D printed multilayer insulating panels&quot;,&quot;author&quot;:[{&quot;family&quot;:&quot;Falliano&quot;,&quot;given&quot;:&quot;Devid&quot;,&quot;parse-names&quot;:false,&quot;dropping-particle&quot;:&quot;&quot;,&quot;non-dropping-particle&quot;:&quot;&quot;},{&quot;family&quot;:&quot;Gugliandolo&quot;,&quot;given&quot;:&quot;Ernesto&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container-title&quot;:&quot;RILEM Bookseries&quot;,&quot;DOI&quot;:&quot;10.1007/978-3-319-99519-9_26&quot;,&quot;ISSN&quot;:&quot;22110852&quot;,&quot;issued&quot;:{&quot;date-parts&quot;:[[2019]]},&quot;page&quot;:&quot;277-286&quot;,&quot;abstract&quot;:&quot;This contribution is focused on the properties of a particular type of foamed concrete, the extrudable foamed concrete, which is characterized by the dimensional stability in the green state, that is the ability to maintain its shape in the fresh state (green strength). In particular, after an overview of both the compressive and the indirect tensile strength, the effect of density on thermal conductivity values is presented. Interestingly, the thermal conductivity of this particular kind of lightweight cementitious material is lower compared to both classical foamed concrete and aerated autoclaved concrete (AAC) at comparable density. Moreover, the remarkable inherent green strength makes this material potentially suitable for in situ 3D printing applications in co-extruded elements with both thermal insulation and structural purposes.&quot;,&quot;publisher&quot;:&quot;Springer Netherlands&quot;,&quot;volume&quot;:&quot;19&quot;,&quot;container-title-short&quot;:&quot;&quot;},&quot;isTemporary&quot;:false},{&quot;id&quot;:&quot;a1e7ad95-c575-37a2-8504-a229b0bc28e8&quot;,&quot;itemData&quot;:{&quot;type&quot;:&quot;article-journal&quot;,&quot;id&quot;:&quot;a1e7ad95-c575-37a2-8504-a229b0bc28e8&quot;,&quot;title&quot;:&quot;Animal-Protein-Based and Synthetic-Based Foamed Mixture Lightweight Soil Doped with Bauxite Tailings: Macro and Microscopic Properties&quot;,&quot;author&quot;:[{&quot;family&quot;:&quot;Ou&quot;,&quot;given&quot;:&quot;Xiaoduo&quot;,&quot;parse-names&quot;:false,&quot;dropping-particle&quot;:&quot;&quot;,&quot;non-dropping-particle&quot;:&quot;&quot;},{&quot;family&quot;:&quot;Mo&quot;,&quot;given&quot;:&quot;Peng&quot;,&quot;parse-names&quot;:false,&quot;dropping-particle&quot;:&quot;&quot;,&quot;non-dropping-particle&quot;:&quot;&quot;},{&quot;family&quot;:&quot;Lyu&quot;,&quot;given&quot;:&quot;Zhengfan&quot;,&quot;parse-names&quot;:false,&quot;dropping-particle&quot;:&quot;&quot;,&quot;non-dropping-particle&quot;:&quot;&quot;},{&quot;family&quot;:&quot;Luo&quot;,&quot;given&quot;:&quot;Junhui&quot;,&quot;parse-names&quot;:false,&quot;dropping-particle&quot;:&quot;&quot;,&quot;non-dropping-particle&quot;:&quot;&quot;},{&quot;family&quot;:&quot;Jiang&quot;,&quot;given&quot;:&quot;Jie&quot;,&quot;parse-names&quot;:false,&quot;dropping-particle&quot;:&quot;&quot;,&quot;non-dropping-particle&quot;:&quot;&quot;},{&quot;family&quot;:&quot;Bai&quot;,&quot;given&quot;:&quot;Lu&quot;,&quot;parse-names&quot;:false,&quot;dropping-particle&quot;:&quot;&quot;,&quot;non-dropping-particle&quot;:&quot;&quot;},{&quot;family&quot;:&quot;Huang&quot;,&quot;given&quot;:&quot;Zhongzheng&quot;,&quot;parse-names&quot;:false,&quot;dropping-particle&quot;:&quot;&quot;,&quot;non-dropping-particle&quot;:&quot;&quot;}],&quot;container-title&quot;:&quot;Materials&quot;,&quot;DOI&quot;:&quot;10.3390/ma15186377&quot;,&quot;ISSN&quot;:&quot;19961944&quot;,&quot;issued&quot;:{&quot;date-parts&quot;:[[2022,9,1]]},&quot;abstract&quot;:&quot;In order to explore the effect of the foaming agent type on the properties of foamed mixture lightweight soil mixed with bauxite tailings (FMLSB), low-density (437.5 kg/m3 and 670 kg/m3) and high-density (902.5 kg/m3 and 1170 kg/m3) FMLSB were prepared using protein-based and synthetic-based foaming agents (AF and SF, respectively). The foam stability, micro characteristics, compressive strength, fluidity, and volume of water absorption of the FMLSB were investigated. The results showed that the foam made from AF had better strength and stability compared to SF. The internal pore sizes of both AF- and SF-FMLSB at low density were large, but at high density the internal pore sizes and area porosity of AF-FMLSB were smaller than those of SF-FMLSB. In terms of compressive strength, the compressive strength of AF-FMLSB was improved by 17.5% to 43.2% compared to SF-FMLSB. At low density, the fluidity of AF- and SF-FMLSB is similar, while at high density the fluidity of AF-FMLSB is much higher than that of SF-FMLSB. In addition, the stable volume of water absorption of SF-FMLSB is smaller than that of AF-FMLSB at low density, and the corresponding water resistance is better, but the situation is reversed at high density.&quot;,&quot;publisher&quot;:&quot;MDPI&quot;,&quot;issue&quot;:&quot;18&quot;,&quot;volume&quot;:&quot;15&quot;,&quot;container-title-short&quot;:&quot;&quot;},&quot;isTemporary&quot;:false},{&quot;id&quot;:&quot;2a98a8e9-6e77-39c6-82af-e42b134b8949&quot;,&quot;itemData&quot;:{&quot;type&quot;:&quot;article-journal&quot;,&quot;id&quot;:&quot;2a98a8e9-6e77-39c6-82af-e42b134b8949&quot;,&quot;title&quot;:&quot;An effect of surfactants of different nature on stabilization of foaming systems containing polyvinyl alcohol&quot;,&quot;author&quot;:[{&quot;family&quot;:&quot;Ospanova&quot;,&quot;given&quot;:&quot;Zh B.&quot;,&quot;parse-names&quot;:false,&quot;dropping-particle&quot;:&quot;&quot;,&quot;non-dropping-particle&quot;:&quot;&quot;},{&quot;family&quot;:&quot;Musabekov&quot;,&quot;given&quot;:&quot;K. B.&quot;,&quot;parse-names&quot;:false,&quot;dropping-particle&quot;:&quot;&quot;,&quot;non-dropping-particle&quot;:&quot;&quot;},{&quot;family&quot;:&quot;Asadov&quot;,&quot;given&quot;:&quot;M. M.&quot;,&quot;parse-names&quot;:false,&quot;dropping-particle&quot;:&quot;&quot;,&quot;non-dropping-particle&quot;:&quot;&quot;}],&quot;container-title&quot;:&quot;Russian Journal of Applied Chemistry&quot;,&quot;DOI&quot;:&quot;10.1134/S1070427214030185&quot;,&quot;ISSN&quot;:&quot;10704272&quot;,&quot;issued&quot;:{&quot;date-parts&quot;:[[2014]]},&quot;page&quot;:&quot;355-359&quot;,&quot;abstract&quot;:&quot;The laws of the foam stabilization by mixtures of surfactant of different nature: sodium dodecyl sulfate C12H25OSO3Na and cetyltrimethylammonium bromide C16H33N(CH 3)3Br with a nonionic polymer, polyvinyl alcohol were established. High stability of foams from mixtures of surfactant-polyvinyl alcohol compared with the individual components can be related to the formation of mixed structured layers of surface active associates of polyvinyl alcohol with surfactant contributing to thickening of foam films. © Zh.B. Ospanova, K.B. Musabekov, M.M. Asadov, 2014.&quot;,&quot;publisher&quot;:&quot;Maik Nauka-Interperiodica Publishing&quot;,&quot;issue&quot;:&quot;3&quot;,&quot;volume&quot;:&quot;87&quot;,&quot;container-title-short&quot;:&quot;&quot;},&quot;isTemporary&quot;:false}]},{&quot;citationID&quot;:&quot;MENDELEY_CITATION_df50b4f8-ea6a-4cf4-8c90-cce092cf2406&quot;,&quot;properties&quot;:{&quot;noteIndex&quot;:0},&quot;isEdited&quot;:false,&quot;manualOverride&quot;:{&quot;isManuallyOverridden&quot;:false,&quot;citeprocText&quot;:&quot;(Kauffer &amp;#38; May, 2010)&quot;,&quot;manualOverrideText&quot;:&quot;&quot;},&quot;citationTag&quot;:&quot;MENDELEY_CITATION_v3_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&quot;,&quot;citationItems&quot;:[{&quot;id&quot;:&quot;60448436-8cf2-3bb0-b2a4-c38a9aebafe9&quot;,&quot;itemData&quot;:{&quot;type&quot;:&quot;article-journal&quot;,&quot;id&quot;:&quot;60448436-8cf2-3bb0-b2a4-c38a9aebafe9&quot;,&quot;title&quot;:&quot;Sodium lauryl sulfate The main cleaning agent in soap and detergent&quot;,&quot;author&quot;:[{&quot;family&quot;:&quot;Kauffer&quot;,&quot;given&quot;:&quot;Zara&quot;,&quot;parse-names&quot;:false,&quot;dropping-particle&quot;:&quot;&quot;,&quot;non-dropping-particle&quot;:&quot;&quot;},{&quot;family&quot;:&quot;May&quot;,&quot;given&quot;:&quot;Paul&quot;,&quot;parse-names&quot;:false,&quot;dropping-particle&quot;:&quot;&quot;,&quot;non-dropping-particle&quot;:&quot;&quot;}],&quot;DOI&quot;:&quot;10.6084/m9.figshare.5255146&quot;,&quot;URL&quot;:&quot;http://en.epochtimes.com/news/7-10-12/60555.html&quot;,&quot;issued&quot;:{&quot;date-parts&quot;:[[2010]]},&quot;container-title-short&quot;:&quot;&quot;},&quot;isTemporary&quot;:false,&quot;suppress-author&quot;:false,&quot;composite&quot;:false,&quot;author-only&quot;:false}]},{&quot;citationID&quot;:&quot;MENDELEY_CITATION_f8cc93a7-9a80-4dff-9d55-2090985161fc&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ZjhjYzkzYTctOWE4MC00ZGZmLTlkNTUtMjA5MDk4NTE2MWZj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quot;citationID&quot;:&quot;MENDELEY_CITATION_40137ccc-51ab-4315-8d0c-558c518366c2&quot;,&quot;properties&quot;:{&quot;noteIndex&quot;:0},&quot;isEdited&quot;:false,&quot;manualOverride&quot;:{&quot;isManuallyOverridden&quot;:false,&quot;citeprocText&quot;:&quot;(Fan et al., 2023; Hou et al., 2021; Kunther et al., 2017)&quot;,&quot;manualOverrideText&quot;:&quot;&quot;},&quot;citationTag&quot;:&quot;MENDELEY_CITATION_v3_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&quot;,&quot;citationItems&quot;:[{&quot;id&quot;:&quot;1de06025-84ca-3ffc-b792-2c4d5b53808f&quot;,&quot;itemData&quot;:{&quot;type&quot;:&quot;article-journal&quot;,&quot;id&quot;:&quot;1de06025-84ca-3ffc-b792-2c4d5b53808f&quot;,&quot;title&quot;:&quot;Influence of foaming agent on cement and foam concrete&quot;,&quot;author&quot;:[{&quot;family&quot;:&quot;Hou&quot;,&quot;given&quot;:&quot;Li&quot;,&quot;parse-names&quot;:false,&quot;dropping-particle&quot;:&quot;&quot;,&quot;non-dropping-particle&quot;:&quot;&quot;},{&quot;family&quot;:&quot;Li&quot;,&quot;given&quot;:&quot;Jun&quot;,&quot;parse-names&quot;:false,&quot;dropping-particle&quot;:&quot;&quot;,&quot;non-dropping-particle&quot;:&quot;&quot;},{&quot;family&quot;:&quot;Lu&quot;,&quot;given&quot;:&quot;Zhongyuan&quot;,&quot;parse-names&quot;:false,&quot;dropping-particle&quot;:&quot;&quot;,&quot;non-dropping-particle&quot;:&quot;&quot;},{&quot;family&quot;:&quot;Niu&quot;,&quot;given&quot;:&quot;Yunhui&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1.122399&quot;,&quot;ISSN&quot;:&quot;0950-0618&quot;,&quot;issued&quot;:{&quot;date-parts&quot;:[[2021,4,19]]},&quot;page&quot;:&quot;122399&quot;,&quot;abstract&quot;:&quot;Foaming agent is an indispensable component in preparation of foam concrete by using prefabricated foams. In this study, four types of foaming agents were used to prepare foam concrete. Effect of foaming agent on properties of fresh and hardened foam concrete, interaction between foaming agent and cement, and the gas–liquid interface in foam concrete were studied. It is observed that the interaction between foaming agent and cement played a greater role in the formation process of foam concrete. The property of gas–liquid interface of foam concrete was the most important factor for the performance of in foam concrete, which determined the stability of fresh foam concrete, the pore structure and the products on the pore wall of hardened foam concrete. Finally, the evolution mechanism of foams in new foam concrete w discussed.&quot;,&quot;publisher&quot;:&quot;Elsevier&quot;,&quot;volume&quot;:&quot;280&quot;},&quot;isTemporary&quot;:false},{&quot;id&quot;:&quot;92ec3085-03e1-3c99-af28-02d06ab3bd47&quot;,&quot;itemData&quot;:{&quot;type&quot;:&quot;article-journal&quot;,&quot;id&quot;:&quot;92ec3085-03e1-3c99-af28-02d06ab3bd47&quot;,&quot;title&quot;:&quot;Influence of the Ca/Si ratio on the compressive strength of cementitious calcium–silicate–hydrate binders&quot;,&quot;author&quot;:[{&quot;family&quot;:&quot;Kunther&quot;,&quot;given&quot;:&quot;Wolfgang&quot;,&quot;parse-names&quot;:false,&quot;dropping-particle&quot;:&quot;&quot;,&quot;non-dropping-particle&quot;:&quot;&quot;},{&quot;family&quot;:&quot;Ferreiro&quot;,&quot;given&quot;:&quot;Sergio&quot;,&quot;parse-names&quot;:false,&quot;dropping-particle&quot;:&quot;&quot;,&quot;non-dropping-particle&quot;:&quot;&quot;},{&quot;family&quot;:&quot;Skibsted&quot;,&quot;given&quot;:&quot;Jørgen&quot;,&quot;parse-names&quot;:false,&quot;dropping-particle&quot;:&quot;&quot;,&quot;non-dropping-particle&quot;:&quot;&quot;}],&quot;container-title&quot;:&quot;Journal of Materials Chemistry A&quot;,&quot;container-title-short&quot;:&quot;J. Mater. Chem. A Mater.&quot;,&quot;accessed&quot;:{&quot;date-parts&quot;:[[2024,6,1]]},&quot;DOI&quot;:&quot;10.1039/C7TA06104H&quot;,&quot;ISSN&quot;:&quot;2050-7496&quot;,&quot;URL&quot;:&quot;https://pubs.rsc.org/en/content/articlehtml/2017/ta/c7ta06104h&quot;,&quot;issued&quot;:{&quot;date-parts&quot;:[[2017,8,22]]},&quot;page&quot;:&quot;17401-17412&quot;,&quot;abstract&quot;:&quot;The relation between the chemical composition of calcium–silicate–hydrate (C–S–H) phases and its influence on the compressive strength of cementitious materials is investigated by a new approach where prisms of C–S–H phases have been synthesized directly by the reaction of calcium hydroxide, amorphous SiO2 and water. The synthesized samples employ molar Ca/Si ratios of 0.83, 1.0, 1.25 and 1.50, and the compressive strengths and age-depending changes of the pastes have been followed for up to three months of hydration, after which the microstructures were characterized. The model pastes feature most characteristics of hydrated cements, including zones of different density but similar chemical composition. The experimental data demonstrates that the compressive strengths of the C–S–H pastes increase for decreasing Ca/Si ratio for all synthesized samples and testing ages. The molar volumes of the C–S–H phases decrease with decreasing Ca/Si ratio, which along with the related higher surface areas may partly explain the differences in strength development.&quot;,&quot;publisher&quot;:&quot;The Royal Society of Chemistry&quot;,&quot;issue&quot;:&quot;33&quot;,&quot;volume&quot;:&quot;5&quot;},&quot;isTemporary&quot;:false},{&quot;id&quot;:&quot;7fc8f3b2-56f2-3e2e-8e16-dc0cc5ce24e7&quot;,&quot;itemData&quot;:{&quot;type&quot;:&quot;article-journal&quot;,&quot;id&quot;:&quot;7fc8f3b2-56f2-3e2e-8e16-dc0cc5ce24e7&quot;,&quot;title&quot;:&quot;Effect of Ca/Si ratio on the characteristics of alkali-activated ultra-high performance concrete (A-UHPC): From hydration kinetics to microscopic structure development&quot;,&quot;author&quot;:[{&quot;family&quot;:&quot;Fan&quot;,&quot;given&quot;:&quot;M. X.&quot;,&quot;parse-names&quot;:false,&quot;dropping-particle&quot;:&quot;&quot;,&quot;non-dropping-particle&quot;:&quot;&quot;},{&quot;family&quot;:&quot;Chen&quot;,&quot;given&quot;:&quot;F. X.&quot;,&quot;parse-names&quot;:false,&quot;dropping-particle&quot;:&quot;&quot;,&quot;non-dropping-particle&quot;:&quot;&quot;},{&quot;family&quot;:&quot;Zhang&quot;,&quot;given&quot;:&quot;X. Y.&quot;,&quot;parse-names&quot;:false,&quot;dropping-particle&quot;:&quot;&quot;,&quot;non-dropping-particle&quot;:&quot;&quot;},{&quot;family&quot;:&quot;Wang&quot;,&quot;given&quot;:&quot;R. K.&quot;,&quot;parse-names&quot;:false,&quot;dropping-particle&quot;:&quot;&quot;,&quot;non-dropping-particle&quot;:&quot;&quot;},{&quot;family&quot;:&quot;Yu&quot;,&quot;given&quot;:&quot;R.&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3.132158&quot;,&quot;ISSN&quot;:&quot;0950-0618&quot;,&quot;issued&quot;:{&quot;date-parts&quot;:[[2023,8,29]]},&quot;page&quot;:&quot;132158&quot;,&quot;abstract&quot;:&quot;Ultra-high performance concrete (UHPC) produces higher carbon emissions than ordinary concrete. To achieve sustainable development of UHPC, this article explores the use of alkali-activated technology to create a low-carbon UHPC, in which the effect of different Ca/Si ratios (from 0.7 to 1.5) on the performance of alkali-activated UHPC (A-UHPC) is detailed analyzed. The obtained results show that with an increase of Ca/Si ratio, the properties of A-UHPC firstly increases and then gradually decreases. When the Ca/Si ratio is 1.2, the performance of the developed A-UHPC can be optimized, such as the 28-day compressive strength is 121.3 MPa, the relative content of C-(A)-S-H gel is 99.38%, the main chain length is 14.27, and the porosity is 4.28%. In general, this study can provide guidance for the formulation design and production of a new low carbon construction material in the future.&quot;,&quot;publisher&quot;:&quot;Elsevier&quot;,&quot;volume&quot;:&quot;394&quot;},&quot;isTemporary&quot;:false}]},{&quot;citationID&quot;:&quot;MENDELEY_CITATION_0fa9d546-4e22-4363-a1d2-f4ea65a56516&quot;,&quot;properties&quot;:{&quot;noteIndex&quot;:0},&quot;isEdited&quot;:false,&quot;manualOverride&quot;:{&quot;isManuallyOverridden&quot;:false,&quot;citeprocText&quot;:&quot;(Liu et al., 2019; Markin et al., 2019, 2021; Ospanova et al., 2014; Siva et al., 2015)&quot;,&quot;manualOverrideText&quot;:&quot;&quot;},&quot;citationTag&quot;:&quot;MENDELEY_CITATION_v3_eyJjaXRhdGlvbklEIjoiTUVOREVMRVlfQ0lUQVRJT05fMGZhOWQ1NDYtNGUyMi00MzYzLWExZDItZjRlYTY1YTU2NTE2IiwicHJvcGVydGllcyI6eyJub3RlSW5kZXgiOjB9LCJpc0VkaXRlZCI6ZmFsc2UsIm1hbnVhbE92ZXJyaWRlIjp7ImlzTWFudWFsbHlPdmVycmlkZGVuIjpmYWxzZSwiY2l0ZXByb2NUZXh0IjoiKExpdSBldCBhbC4sIDIwMTk7IE1hcmtpbiBldCBhbC4sIDIwMTksIDIwMjE7IE9zcGFub3ZhIGV0IGFsLiwgMjAxNDsgU2l2YSBldCBhbC4sIDIwMTU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&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id&quot;:&quot;286c158e-bfdc-34f8-b529-f3843d2148a9&quot;,&quot;itemData&quot;:{&quot;type&quot;:&quot;article-journal&quot;,&quot;id&quot;:&quot;286c158e-bfdc-34f8-b529-f3843d2148a9&quot;,&quot;title&quot;:&quot;3D-printing with foam concrete: From material design and testing to application and sustainability&quot;,&quot;author&quot;:[{&quot;family&quot;:&quot;Markin&quot;,&quot;given&quot;:&quot;Viacheslav&quot;,&quot;parse-names&quot;:false,&quot;dropping-particle&quot;:&quot;&quot;,&quot;non-dropping-particle&quot;:&quot;&quot;},{&quot;family&quot;:&quot;Krause&quot;,&quot;given&quot;:&quot;Martin&quot;,&quot;parse-names&quot;:false,&quot;dropping-particle&quot;:&quot;&quot;,&quot;non-dropping-particle&quot;:&quot;&quot;},{&quot;family&quot;:&quot;Otto&quot;,&quot;given&quot;:&quot;Jens&quot;,&quot;parse-names&quot;:false,&quot;dropping-particle&quot;:&quot;&quot;,&quot;non-dropping-particle&quot;:&quot;&quot;},{&quot;family&quot;:&quot;Schröfl&quot;,&quot;given&quot;:&quot;Christof&quot;,&quot;parse-names&quot;:false,&quot;dropping-particle&quot;:&quot;&quot;,&quot;non-dropping-particle&quot;:&quot;&quot;},{&quot;family&quot;:&quot;Mechtcherine&quot;,&quot;given&quot;:&quot;Viktor&quot;,&quot;parse-names&quot;:false,&quot;dropping-particle&quot;:&quot;&quot;,&quot;non-dropping-particle&quot;:&quot;&quot;}],&quot;container-title&quot;:&quot;Journal of Building Engineering&quot;,&quot;DOI&quot;:&quot;10.1016/j.jobe.2021.102870&quot;,&quot;ISSN&quot;:&quot;23527102&quot;,&quot;issued&quot;:{&quot;date-parts&quot;:[[2021,11,1]]},&quot;abstract&quot;:&quot;Foam concrete (FC) is known to be a versatile material with distinct material properties which make it useful in applications for structural as well as insulating purposes. Application of FC in large-scale additive manufacturing, also described as 3D-printing with foam concrete, is still uncommon and the research on printable FC is still in its initial phase. This article discusses experimentally determined material properties of four different printable FCs with densities ranging from 800 kg/m³ to 1200 kg/m³. The fresh-state properties of the FC developed were determined to be specifically relevant to the 3D-printing process time interval, i.e., an age span of 30 to 150 min after water addition. The reported material properties in the hardened state include porosity, compressive strength, and thermal conductivity. Finally, possible application of the FC in 3D-printing was assessed with respect to its economical, sociological, and ecological impacts.&quot;,&quot;publisher&quot;:&quot;Elsevier Ltd&quot;,&quot;volume&quot;:&quot;43&quot;,&quot;container-title-short&quot;:&quot;&quot;},&quot;isTemporary&quot;:false},{&quot;id&quot;:&quot;8a5e2e84-b907-3f0c-9528-3934fbc9587e&quot;,&quot;itemData&quot;:{&quot;type&quot;:&quot;paper-conference&quot;,&quot;id&quot;:&quot;8a5e2e84-b907-3f0c-9528-3934fbc9587e&quot;,&quot;title&quot;:&quot;Lightweight foamed concrete with foam agent addition&quot;,&quot;author&quot;:[{&quot;family&quot;:&quot;Liu&quot;,&quot;given&quot;:&quot;Tongwei&quot;,&quot;parse-names&quot;:false,&quot;dropping-particle&quot;:&quot;&quot;,&quot;non-dropping-particle&quot;:&quot;&quot;},{&quot;family&quot;:&quot;Shi&quot;,&quot;given&quot;:&quot;Guopu&quot;,&quot;parse-names&quot;:false,&quot;dropping-particle&quot;:&quot;&quot;,&quot;non-dropping-particle&quot;:&quot;&quot;},{&quot;family&quot;:&quot;Li&quot;,&quot;given&quot;:&quot;Guozhong&quot;,&quot;parse-names&quot;:false,&quot;dropping-particle&quot;:&quot;&quot;,&quot;non-dropping-particle&quot;:&quot;&quot;},{&quot;family&quot;:&quot;Wang&quot;,&quot;given&quot;:&quot;Zhi&quot;,&quot;parse-names&quot;:false,&quot;dropping-particle&quot;:&quot;&quot;,&quot;non-dropping-particle&quot;:&quot;&quot;}],&quot;container-title&quot;:&quot;IOP Conference Series: Materials Science and Engineering&quot;,&quot;container-title-short&quot;:&quot;IOP Conf. Ser. Mater. Sci. Eng.&quot;,&quot;DOI&quot;:&quot;10.1088/1757-899X/490/3/032033&quot;,&quot;ISSN&quot;:&quot;1757899X&quot;,&quot;issued&quot;:{&quot;date-parts&quot;:[[2019,4,15]]},&quot;abstract&quot;:&quot;Lightweight foamed concrete with foam agent addition varied from 0 to 7wt% was fabricated and the influence of foam stabilizer and polypropylene fiber (PPF) addition on mechanical performance of lightweight foamed concrete was researched. The experimental data revealed that the density, thermal conductivity, flexural and compressive strength exhibited a rapidly downward trend with the increase of foam agent content due to generation of a large number of pores by decomposition of foam agent. The samples with foam stabilizer addition possessed better mechanical properties and lower thermal conductivity compared to the samples without foam stabilizer addition due to the improvement of pore structure. Besides, an appropriate amount of PPF could enhance flexural and compressive strength of specimens, while excess PPF was proven to be counterproductive.&quot;,&quot;publisher&quot;:&quot;Institute of Physics Publishing&quot;,&quot;issue&quot;:&quot;3&quot;,&quot;volume&quot;:&quot;490&quot;},&quot;isTemporary&quot;:false},{&quot;id&quot;:&quot;2a98a8e9-6e77-39c6-82af-e42b134b8949&quot;,&quot;itemData&quot;:{&quot;type&quot;:&quot;article-journal&quot;,&quot;id&quot;:&quot;2a98a8e9-6e77-39c6-82af-e42b134b8949&quot;,&quot;title&quot;:&quot;An effect of surfactants of different nature on stabilization of foaming systems containing polyvinyl alcohol&quot;,&quot;author&quot;:[{&quot;family&quot;:&quot;Ospanova&quot;,&quot;given&quot;:&quot;Zh B.&quot;,&quot;parse-names&quot;:false,&quot;dropping-particle&quot;:&quot;&quot;,&quot;non-dropping-particle&quot;:&quot;&quot;},{&quot;family&quot;:&quot;Musabekov&quot;,&quot;given&quot;:&quot;K. B.&quot;,&quot;parse-names&quot;:false,&quot;dropping-particle&quot;:&quot;&quot;,&quot;non-dropping-particle&quot;:&quot;&quot;},{&quot;family&quot;:&quot;Asadov&quot;,&quot;given&quot;:&quot;M. M.&quot;,&quot;parse-names&quot;:false,&quot;dropping-particle&quot;:&quot;&quot;,&quot;non-dropping-particle&quot;:&quot;&quot;}],&quot;container-title&quot;:&quot;Russian Journal of Applied Chemistry&quot;,&quot;DOI&quot;:&quot;10.1134/S1070427214030185&quot;,&quot;ISSN&quot;:&quot;10704272&quot;,&quot;issued&quot;:{&quot;date-parts&quot;:[[2014]]},&quot;page&quot;:&quot;355-359&quot;,&quot;abstract&quot;:&quot;The laws of the foam stabilization by mixtures of surfactant of different nature: sodium dodecyl sulfate C12H25OSO3Na and cetyltrimethylammonium bromide C16H33N(CH 3)3Br with a nonionic polymer, polyvinyl alcohol were established. High stability of foams from mixtures of surfactant-polyvinyl alcohol compared with the individual components can be related to the formation of mixed structured layers of surface active associates of polyvinyl alcohol with surfactant contributing to thickening of foam films. © Zh.B. Ospanova, K.B. Musabekov, M.M. Asadov, 2014.&quot;,&quot;publisher&quot;:&quot;Maik Nauka-Interperiodica Publishing&quot;,&quot;issue&quot;:&quot;3&quot;,&quot;volume&quot;:&quot;87&quot;,&quot;container-title-short&quot;:&quot;&quot;},&quot;isTemporary&quot;:false},{&quot;id&quot;:&quot;cb844a3a-ea0d-3a78-8a2d-b120e9683af1&quot;,&quot;itemData&quot;:{&quot;type&quot;:&quot;article-journal&quot;,&quot;id&quot;:&quot;cb844a3a-ea0d-3a78-8a2d-b120e9683af1&quot;,&quot;title&quot;:&quot;Sodium salt admixtures for enhancing the foaming characteristics of sodium lauryl sulphate&quot;,&quot;author&quot;:[{&quot;family&quot;:&quot;Siva&quot;,&quot;given&quot;:&quot;M.&quot;,&quot;parse-names&quot;:false,&quot;dropping-particle&quot;:&quot;&quot;,&quot;non-dropping-particle&quot;:&quot;&quot;},{&quot;family&quot;:&quot;Ramamurthy&quot;,&quot;given&quot;:&quot;K.&quot;,&quot;parse-names&quot;:false,&quot;dropping-particle&quot;:&quot;&quot;,&quot;non-dropping-particle&quot;:&quot;&quot;},{&quot;family&quot;:&quot;Dhamodharan&quot;,&quot;given&quot;:&quot;R.&quot;,&quot;parse-names&quot;:false,&quot;dropping-particle&quot;:&quot;&quot;,&quot;non-dropping-particle&quot;:&quot;&quot;}],&quot;container-title&quot;:&quot;Cement and Concrete Composites&quot;,&quot;container-title-short&quot;:&quot;Cem. Concr. Compos.&quot;,&quot;accessed&quot;:{&quot;date-parts&quot;:[[2024,6,2]]},&quot;DOI&quot;:&quot;10.1016/J.CEMCONCOMP.2014.12.011&quot;,&quot;ISSN&quot;:&quot;0958-9465&quot;,&quot;issued&quot;:{&quot;date-parts&quot;:[[2015,3,1]]},&quot;page&quot;:&quot;133-141&quot;,&quot;abstract&quot;:&quot;This study identifies admixtures to enhance the effectiveness of Sodium Lauryl Sulphate (SLS) as a foaming agent by increasing the foam density and stability. Sodium hydroxide, sodium carbonate and sodium chloride were chosen based on common ion effect to increase the viscosity of the foaming solution in order to achieve ASTM recommended range of foam density. Response surface methodology is used to study the responses like viscosity, foam density and foam stability of all the admixtures. Viscosity is observed to have a linear relationship with foam density, bubble size distribution and stability. Foam density increases with the dosage of admixture, irrespective of foam generation pressure (FGP). Use of appropriate dosage of these admixtures with SLS provides the foam density specified by ASTM. Relatively lesser dosage of NaOH is sufficient to achieve ASTM recommended foam density, which is attributed to the fact that mole percent of sodium in NaOH is higher than NaCl and Na2CO3. The stability of the foam has also been demonstrated through a typical mix of foam concrete.&quot;,&quot;publisher&quot;:&quot;Elsevier&quot;,&quot;volume&quot;:&quot;57&quot;},&quot;isTemporary&quot;:false}]},{&quot;citationID&quot;:&quot;MENDELEY_CITATION_5fdd0ba4-5862-4c6f-a4db-b76be2f81f3f&quot;,&quot;properties&quot;:{&quot;noteIndex&quot;:0},&quot;isEdited&quot;:false,&quot;manualOverride&quot;:{&quot;isManuallyOverridden&quot;:false,&quot;citeprocText&quot;:&quot;(Falliano et al., 2019, 2020; Markin et al., 2019, 2021)&quot;,&quot;manualOverrideText&quot;:&quot;&quot;},&quot;citationTag&quot;:&quot;MENDELEY_CITATION_v3_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id&quot;:&quot;1ce2a4e1-500d-39c4-80a7-7b8d8bcc2207&quot;,&quot;itemData&quot;:{&quot;type&quot;:&quot;article-journal&quot;,&quot;id&quot;:&quot;1ce2a4e1-500d-39c4-80a7-7b8d8bcc2207&quot;,&quot;title&quot;:&quot;3D-printable lightweight foamed concrete and comparison with classical foamed concrete in terms of fresh state properties and mechanical strength&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20.119271&quot;,&quot;ISSN&quot;:&quot;09500618&quot;,&quot;issued&quot;:{&quot;date-parts&quot;:[[2020,9,10]]},&quot;abstract&quot;:&quot;This paper presents a novel type of foamed concrete that is termed “3D-printable lightweight foamed concrete” (3DP-LWFC). Unlike classical lightweight foamed concrete (C-LWFC), this novel material is able to keep its shape at the fresh state due to enhanced consistency and viscosity. This peculiarity lends itself to being implemented in automated extrusion production process and 3D printing applications without the use of formwork, which is particularly convenient in the building industry. These unique fresh state properties of 3DP-LWFC are demonstrated through a specific extrusion test conceived and used in this experimental campaign, and highlighted by comparison with results related to C-LWFC. Despite the remarkably different behavior of the novel material at the fresh state, the mechanical strength of 3DP-LWFC is even slightly higher than C-LWFC. This is demonstrated through a wide experimental campaign focused on the compressive and flexural strength of 3DP-LWFC, which includes different dry densities, curing conditions, cement types, water/cement ratios. Additionally, the effect of the mixing conditions on the mechanical strength of 3DP-LWFC, in particular the rotational speed of the mixer during the preparation of the paste, is also analyzed and discussed. It is found that the increase of mixing intensity from 1200 rpm to 3000 rpm resulted in a considerable increase of mechanical strength values of 3DP-LWFC, up to more than 70% for the compressive strength and up to around 100% for the flexural strength.&quot;,&quot;publisher&quot;:&quot;Elsevier Ltd&quot;,&quot;volume&quot;:&quot;254&quot;},&quot;isTemporary&quot;:false},{&quot;id&quot;:&quot;286c158e-bfdc-34f8-b529-f3843d2148a9&quot;,&quot;itemData&quot;:{&quot;type&quot;:&quot;article-journal&quot;,&quot;id&quot;:&quot;286c158e-bfdc-34f8-b529-f3843d2148a9&quot;,&quot;title&quot;:&quot;3D-printing with foam concrete: From material design and testing to application and sustainability&quot;,&quot;author&quot;:[{&quot;family&quot;:&quot;Markin&quot;,&quot;given&quot;:&quot;Viacheslav&quot;,&quot;parse-names&quot;:false,&quot;dropping-particle&quot;:&quot;&quot;,&quot;non-dropping-particle&quot;:&quot;&quot;},{&quot;family&quot;:&quot;Krause&quot;,&quot;given&quot;:&quot;Martin&quot;,&quot;parse-names&quot;:false,&quot;dropping-particle&quot;:&quot;&quot;,&quot;non-dropping-particle&quot;:&quot;&quot;},{&quot;family&quot;:&quot;Otto&quot;,&quot;given&quot;:&quot;Jens&quot;,&quot;parse-names&quot;:false,&quot;dropping-particle&quot;:&quot;&quot;,&quot;non-dropping-particle&quot;:&quot;&quot;},{&quot;family&quot;:&quot;Schröfl&quot;,&quot;given&quot;:&quot;Christof&quot;,&quot;parse-names&quot;:false,&quot;dropping-particle&quot;:&quot;&quot;,&quot;non-dropping-particle&quot;:&quot;&quot;},{&quot;family&quot;:&quot;Mechtcherine&quot;,&quot;given&quot;:&quot;Viktor&quot;,&quot;parse-names&quot;:false,&quot;dropping-particle&quot;:&quot;&quot;,&quot;non-dropping-particle&quot;:&quot;&quot;}],&quot;container-title&quot;:&quot;Journal of Building Engineering&quot;,&quot;DOI&quot;:&quot;10.1016/j.jobe.2021.102870&quot;,&quot;ISSN&quot;:&quot;23527102&quot;,&quot;issued&quot;:{&quot;date-parts&quot;:[[2021,11,1]]},&quot;abstract&quot;:&quot;Foam concrete (FC) is known to be a versatile material with distinct material properties which make it useful in applications for structural as well as insulating purposes. Application of FC in large-scale additive manufacturing, also described as 3D-printing with foam concrete, is still uncommon and the research on printable FC is still in its initial phase. This article discusses experimentally determined material properties of four different printable FCs with densities ranging from 800 kg/m³ to 1200 kg/m³. The fresh-state properties of the FC developed were determined to be specifically relevant to the 3D-printing process time interval, i.e., an age span of 30 to 150 min after water addition. The reported material properties in the hardened state include porosity, compressive strength, and thermal conductivity. Finally, possible application of the FC in 3D-printing was assessed with respect to its economical, sociological, and ecological impacts.&quot;,&quot;publisher&quot;:&quot;Elsevier Ltd&quot;,&quot;volume&quot;:&quot;43&quot;,&quot;container-title-short&quot;:&quot;&quot;},&quot;isTemporary&quot;:false},{&quot;id&quot;:&quot;baf27711-247a-3bc5-af38-bc3ede116712&quot;,&quot;itemData&quot;:{&quot;type&quot;:&quot;chapter&quot;,&quot;id&quot;:&quot;baf27711-247a-3bc5-af38-bc3ede116712&quot;,&quot;title&quot;:&quot;Experimental investigation on the mechanical strength and thermal conductivity of extrudable foamed concrete and preliminary views on its potential application in 3D printed multilayer insulating panels&quot;,&quot;author&quot;:[{&quot;family&quot;:&quot;Falliano&quot;,&quot;given&quot;:&quot;Devid&quot;,&quot;parse-names&quot;:false,&quot;dropping-particle&quot;:&quot;&quot;,&quot;non-dropping-particle&quot;:&quot;&quot;},{&quot;family&quot;:&quot;Gugliandolo&quot;,&quot;given&quot;:&quot;Ernesto&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container-title&quot;:&quot;RILEM Bookseries&quot;,&quot;DOI&quot;:&quot;10.1007/978-3-319-99519-9_26&quot;,&quot;ISSN&quot;:&quot;22110852&quot;,&quot;issued&quot;:{&quot;date-parts&quot;:[[2019]]},&quot;page&quot;:&quot;277-286&quot;,&quot;abstract&quot;:&quot;This contribution is focused on the properties of a particular type of foamed concrete, the extrudable foamed concrete, which is characterized by the dimensional stability in the green state, that is the ability to maintain its shape in the fresh state (green strength). In particular, after an overview of both the compressive and the indirect tensile strength, the effect of density on thermal conductivity values is presented. Interestingly, the thermal conductivity of this particular kind of lightweight cementitious material is lower compared to both classical foamed concrete and aerated autoclaved concrete (AAC) at comparable density. Moreover, the remarkable inherent green strength makes this material potentially suitable for in situ 3D printing applications in co-extruded elements with both thermal insulation and structural purposes.&quot;,&quot;publisher&quot;:&quot;Springer Netherlands&quot;,&quot;volume&quot;:&quot;19&quot;,&quot;container-title-short&quot;:&quot;&quot;},&quot;isTemporary&quot;:false}]},{&quot;citationID&quot;:&quot;MENDELEY_CITATION_003fa4b8-530b-43de-ab08-c6058f543e41&quot;,&quot;properties&quot;:{&quot;noteIndex&quot;:0},&quot;isEdited&quot;:false,&quot;manualOverride&quot;:{&quot;isManuallyOverridden&quot;:false,&quot;citeprocText&quot;:&quot;(Fan et al., 2023; Hou et al., 2021; Kunther et al., 2017)&quot;,&quot;manualOverrideText&quot;:&quot;&quot;},&quot;citationItems&quot;:[{&quot;id&quot;:&quot;1de06025-84ca-3ffc-b792-2c4d5b53808f&quot;,&quot;itemData&quot;:{&quot;type&quot;:&quot;article-journal&quot;,&quot;id&quot;:&quot;1de06025-84ca-3ffc-b792-2c4d5b53808f&quot;,&quot;title&quot;:&quot;Influence of foaming agent on cement and foam concrete&quot;,&quot;author&quot;:[{&quot;family&quot;:&quot;Hou&quot;,&quot;given&quot;:&quot;Li&quot;,&quot;parse-names&quot;:false,&quot;dropping-particle&quot;:&quot;&quot;,&quot;non-dropping-particle&quot;:&quot;&quot;},{&quot;family&quot;:&quot;Li&quot;,&quot;given&quot;:&quot;Jun&quot;,&quot;parse-names&quot;:false,&quot;dropping-particle&quot;:&quot;&quot;,&quot;non-dropping-particle&quot;:&quot;&quot;},{&quot;family&quot;:&quot;Lu&quot;,&quot;given&quot;:&quot;Zhongyuan&quot;,&quot;parse-names&quot;:false,&quot;dropping-particle&quot;:&quot;&quot;,&quot;non-dropping-particle&quot;:&quot;&quot;},{&quot;family&quot;:&quot;Niu&quot;,&quot;given&quot;:&quot;Yunhui&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1.122399&quot;,&quot;ISSN&quot;:&quot;0950-0618&quot;,&quot;issued&quot;:{&quot;date-parts&quot;:[[2021,4,19]]},&quot;page&quot;:&quot;122399&quot;,&quot;abstract&quot;:&quot;Foaming agent is an indispensable component in preparation of foam concrete by using prefabricated foams. In this study, four types of foaming agents were used to prepare foam concrete. Effect of foaming agent on properties of fresh and hardened foam concrete, interaction between foaming agent and cement, and the gas–liquid interface in foam concrete were studied. It is observed that the interaction between foaming agent and cement played a greater role in the formation process of foam concrete. The property of gas–liquid interface of foam concrete was the most important factor for the performance of in foam concrete, which determined the stability of fresh foam concrete, the pore structure and the products on the pore wall of hardened foam concrete. Finally, the evolution mechanism of foams in new foam concrete w discussed.&quot;,&quot;publisher&quot;:&quot;Elsevier&quot;,&quot;volume&quot;:&quot;280&quot;},&quot;isTemporary&quot;:false},{&quot;id&quot;:&quot;92ec3085-03e1-3c99-af28-02d06ab3bd47&quot;,&quot;itemData&quot;:{&quot;type&quot;:&quot;article-journal&quot;,&quot;id&quot;:&quot;92ec3085-03e1-3c99-af28-02d06ab3bd47&quot;,&quot;title&quot;:&quot;Influence of the Ca/Si ratio on the compressive strength of cementitious calcium–silicate–hydrate binders&quot;,&quot;author&quot;:[{&quot;family&quot;:&quot;Kunther&quot;,&quot;given&quot;:&quot;Wolfgang&quot;,&quot;parse-names&quot;:false,&quot;dropping-particle&quot;:&quot;&quot;,&quot;non-dropping-particle&quot;:&quot;&quot;},{&quot;family&quot;:&quot;Ferreiro&quot;,&quot;given&quot;:&quot;Sergio&quot;,&quot;parse-names&quot;:false,&quot;dropping-particle&quot;:&quot;&quot;,&quot;non-dropping-particle&quot;:&quot;&quot;},{&quot;family&quot;:&quot;Skibsted&quot;,&quot;given&quot;:&quot;Jørgen&quot;,&quot;parse-names&quot;:false,&quot;dropping-particle&quot;:&quot;&quot;,&quot;non-dropping-particle&quot;:&quot;&quot;}],&quot;container-title&quot;:&quot;Journal of Materials Chemistry A&quot;,&quot;container-title-short&quot;:&quot;J. Mater. Chem. A Mater.&quot;,&quot;accessed&quot;:{&quot;date-parts&quot;:[[2024,6,1]]},&quot;DOI&quot;:&quot;10.1039/C7TA06104H&quot;,&quot;ISSN&quot;:&quot;2050-7496&quot;,&quot;URL&quot;:&quot;https://pubs.rsc.org/en/content/articlehtml/2017/ta/c7ta06104h&quot;,&quot;issued&quot;:{&quot;date-parts&quot;:[[2017,8,22]]},&quot;page&quot;:&quot;17401-17412&quot;,&quot;abstract&quot;:&quot;The relation between the chemical composition of calcium–silicate–hydrate (C–S–H) phases and its influence on the compressive strength of cementitious materials is investigated by a new approach where prisms of C–S–H phases have been synthesized directly by the reaction of calcium hydroxide, amorphous SiO2 and water. The synthesized samples employ molar Ca/Si ratios of 0.83, 1.0, 1.25 and 1.50, and the compressive strengths and age-depending changes of the pastes have been followed for up to three months of hydration, after which the microstructures were characterized. The model pastes feature most characteristics of hydrated cements, including zones of different density but similar chemical composition. The experimental data demonstrates that the compressive strengths of the C–S–H pastes increase for decreasing Ca/Si ratio for all synthesized samples and testing ages. The molar volumes of the C–S–H phases decrease with decreasing Ca/Si ratio, which along with the related higher surface areas may partly explain the differences in strength development.&quot;,&quot;publisher&quot;:&quot;The Royal Society of Chemistry&quot;,&quot;issue&quot;:&quot;33&quot;,&quot;volume&quot;:&quot;5&quot;},&quot;isTemporary&quot;:false},{&quot;id&quot;:&quot;7fc8f3b2-56f2-3e2e-8e16-dc0cc5ce24e7&quot;,&quot;itemData&quot;:{&quot;type&quot;:&quot;article-journal&quot;,&quot;id&quot;:&quot;7fc8f3b2-56f2-3e2e-8e16-dc0cc5ce24e7&quot;,&quot;title&quot;:&quot;Effect of Ca/Si ratio on the characteristics of alkali-activated ultra-high performance concrete (A-UHPC): From hydration kinetics to microscopic structure development&quot;,&quot;author&quot;:[{&quot;family&quot;:&quot;Fan&quot;,&quot;given&quot;:&quot;M. X.&quot;,&quot;parse-names&quot;:false,&quot;dropping-particle&quot;:&quot;&quot;,&quot;non-dropping-particle&quot;:&quot;&quot;},{&quot;family&quot;:&quot;Chen&quot;,&quot;given&quot;:&quot;F. X.&quot;,&quot;parse-names&quot;:false,&quot;dropping-particle&quot;:&quot;&quot;,&quot;non-dropping-particle&quot;:&quot;&quot;},{&quot;family&quot;:&quot;Zhang&quot;,&quot;given&quot;:&quot;X. Y.&quot;,&quot;parse-names&quot;:false,&quot;dropping-particle&quot;:&quot;&quot;,&quot;non-dropping-particle&quot;:&quot;&quot;},{&quot;family&quot;:&quot;Wang&quot;,&quot;given&quot;:&quot;R. K.&quot;,&quot;parse-names&quot;:false,&quot;dropping-particle&quot;:&quot;&quot;,&quot;non-dropping-particle&quot;:&quot;&quot;},{&quot;family&quot;:&quot;Yu&quot;,&quot;given&quot;:&quot;R.&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3.132158&quot;,&quot;ISSN&quot;:&quot;0950-0618&quot;,&quot;issued&quot;:{&quot;date-parts&quot;:[[2023,8,29]]},&quot;page&quot;:&quot;132158&quot;,&quot;abstract&quot;:&quot;Ultra-high performance concrete (UHPC) produces higher carbon emissions than ordinary concrete. To achieve sustainable development of UHPC, this article explores the use of alkali-activated technology to create a low-carbon UHPC, in which the effect of different Ca/Si ratios (from 0.7 to 1.5) on the performance of alkali-activated UHPC (A-UHPC) is detailed analyzed. The obtained results show that with an increase of Ca/Si ratio, the properties of A-UHPC firstly increases and then gradually decreases. When the Ca/Si ratio is 1.2, the performance of the developed A-UHPC can be optimized, such as the 28-day compressive strength is 121.3 MPa, the relative content of C-(A)-S-H gel is 99.38%, the main chain length is 14.27, and the porosity is 4.28%. In general, this study can provide guidance for the formulation design and production of a new low carbon construction material in the future.&quot;,&quot;publisher&quot;:&quot;Elsevier&quot;,&quot;volume&quot;:&quot;394&quot;},&quot;isTemporary&quot;:false}],&quot;citationTag&quot;:&quot;MENDELEY_CITATION_v3_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&quot;},{&quot;citationID&quot;:&quot;MENDELEY_CITATION_365e549a-6b7e-43a9-a2f4-97773df5b7a4&quot;,&quot;properties&quot;:{&quot;noteIndex&quot;:0},&quot;isEdited&quot;:false,&quot;manualOverride&quot;:{&quot;isManuallyOverridden&quot;:true,&quot;citeprocText&quot;:&quot;(Real et al., 2016; Yun et al., 2013)&quot;,&quot;manualOverrideText&quot;:&quot;(𝑅𝑒𝑎𝑙 𝑒𝑡 𝑎𝑙., 2016; 𝑌𝑢𝑛 𝑒𝑡 𝑎𝑙., 2013)&quot;},&quot;citationTag&quot;:&quot;MENDELEY_CITATION_v3_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&quot;,&quot;citationItems&quot;:[{&quot;id&quot;:&quot;1e554301-3107-38d3-bb0d-a1b8e2bf57e7&quot;,&quot;itemData&quot;:{&quot;type&quot;:&quot;article-journal&quot;,&quot;id&quot;:&quot;1e554301-3107-38d3-bb0d-a1b8e2bf57e7&quot;,&quot;title&quot;:&quot;Contribution of structural lightweight aggregate concrete to the reduction of thermal bridging effect in buildings&quot;,&quot;author&quot;:[{&quot;family&quot;:&quot;Real&quot;,&quot;given&quot;:&quot;Sofia&quot;,&quot;parse-names&quot;:false,&quot;dropping-particle&quot;:&quot;&quot;,&quot;non-dropping-particle&quot;:&quot;&quot;},{&quot;family&quot;:&quot;Gomes&quot;,&quot;given&quot;:&quot;M. Glória&quot;,&quot;parse-names&quot;:false,&quot;dropping-particle&quot;:&quot;&quot;,&quot;non-dropping-particle&quot;:&quot;&quot;},{&quot;family&quot;:&quot;Moret Rodrigues&quot;,&quot;given&quot;:&quot;A.&quot;,&quot;parse-names&quot;:false,&quot;dropping-particle&quot;:&quot;&quot;,&quot;non-dropping-particle&quot;:&quot;&quot;},{&quot;family&quot;:&quot;Bogas&quot;,&quot;given&quot;:&quot;J. Alexandre&quot;,&quot;parse-names&quot;:false,&quot;dropping-particle&quot;:&quot;&quot;,&quot;non-dropping-particle&quot;:&quot;&quot;}],&quot;container-title&quot;:&quot;Construction and Building Materials&quot;,&quot;container-title-short&quot;:&quot;Constr. Build. Mater.&quot;,&quot;accessed&quot;:{&quot;date-parts&quot;:[[2024,6,23]]},&quot;DOI&quot;:&quot;10.1016/J.CONBUILDMAT.2016.06.018&quot;,&quot;ISSN&quot;:&quot;0950-0618&quot;,&quot;issued&quot;:{&quot;date-parts&quot;:[[2016,9,15]]},&quot;page&quot;:&quot;460-470&quot;,&quot;abstract&quot;:&quot;In recent years, Energy Performance Building Directives have been published and adopted by all EU member states in order to promote the improvement of the energy performance of buildings within the EU, and thus coping with the growing comfort needs and consequent increase in energy consumption for space heating and cooling. Structural lightweight aggregate concrete (SLWAC), due to its thermal properties, presents itself as an alternative to normal weight concrete (NWC) to reduce the thermal bridging effects as well as the building energy needs to maintain thermal comfort levels in buildings. In this paper, the potential of SLWAC to improve the energy performance of buildings was assessed. An experimental study was carried out in order to determine the thermal properties of five different concrete mixtures, four SLWAC and a reference NWC for comparison purposes. These thermal properties were then used in the two-dimensional heat transfer program Therm and in the whole-building energy simulation program EnergyPlus to assess the impact of SLWAC on the thermal bridge heat losses and building energy needs of a case study. Results showed that SLWAC can improve the energy efficiency of buildings and thus be an attractive alternative to the use of the traditional NWC.&quot;,&quot;publisher&quot;:&quot;Elsevier&quot;,&quot;volume&quot;:&quot;121&quot;},&quot;isTemporary&quot;:false},{&quot;id&quot;:&quot;530efd97-df85-3fcc-835d-eac83ed688e4&quot;,&quot;itemData&quot;:{&quot;type&quot;:&quot;article-journal&quot;,&quot;id&quot;:&quot;530efd97-df85-3fcc-835d-eac83ed688e4&quot;,&quot;title&quot;:&quot;Evaluation of thermal conductivity for thermally insulated concretes&quot;,&quot;author&quot;:[{&quot;family&quot;:&quot;Yun&quot;,&quot;given&quot;:&quot;Tae Sup&quot;,&quot;parse-names&quot;:false,&quot;dropping-particle&quot;:&quot;&quot;,&quot;non-dropping-particle&quot;:&quot;&quot;},{&quot;family&quot;:&quot;Jeong&quot;,&quot;given&quot;:&quot;Yeon Jong&quot;,&quot;parse-names&quot;:false,&quot;dropping-particle&quot;:&quot;&quot;,&quot;non-dropping-particle&quot;:&quot;&quot;},{&quot;family&quot;:&quot;Han&quot;,&quot;given&quot;:&quot;Tong Seok&quot;,&quot;parse-names&quot;:false,&quot;dropping-particle&quot;:&quot;&quot;,&quot;non-dropping-particle&quot;:&quot;&quot;},{&quot;family&quot;:&quot;Youm&quot;,&quot;given&quot;:&quot;Kwang Soo&quot;,&quot;parse-names&quot;:false,&quot;dropping-particle&quot;:&quot;&quot;,&quot;non-dropping-particle&quot;:&quot;&quot;}],&quot;container-title&quot;:&quot;Energy and Buildings&quot;,&quot;container-title-short&quot;:&quot;Energy Build.&quot;,&quot;accessed&quot;:{&quot;date-parts&quot;:[[2024,6,23]]},&quot;DOI&quot;:&quot;10.1016/J.ENBUILD.2013.01.043&quot;,&quot;ISSN&quot;:&quot;0378-7788&quot;,&quot;issued&quot;:{&quot;date-parts&quot;:[[2013,6,1]]},&quot;page&quot;:&quot;125-132&quot;,&quot;abstract&quot;:&quot;Passive energy-saving houses and buildings made of thermally insulated materials become popular in recent construction practices to address the demanding energy needs and to reduce the consumption of hydrocarbon energy resources. Thermally insulated concretes represent alternative construction materials to improve the thermal efficiency in a wide range of residential and commercial buildings. This study presents the experimental results of thermal conductivity values of lightweight concrete materials at ambient temperature conditions. Various lightweight aggregates and glass bubbles are selected as surrogates and replacement materials for coarse aggregates in order to reduce the thermal conduction in concretes. The linear and plane heat source methods are implemented to quantitatively obtain conductivity values for tested specimens. Results highlight that the thermal conductivity of concretes can be effectively reduced with increasing fraction of lightweight aggregates critically depending on the type of lightweight aggregates, thereby playing an important role in the thermal insulation. The addition of micro-meter sized hollow glass bubbles further decreases the thermal conductivity of specimens while its impact is less pronounced than the lightweight aggregates. The measurement of strength corroborates the soundness of mechanical applicability of tested concretes specimens as well. © 2013 Elsevier B.V.&quot;,&quot;publisher&quot;:&quot;Elsevier&quot;,&quot;volume&quot;:&quot;61&quot;},&quot;isTemporary&quot;:false}]},{&quot;citationID&quot;:&quot;MENDELEY_CITATION_e3425d33-a4c3-4579-926b-36351368ea30&quot;,&quot;properties&quot;:{&quot;noteIndex&quot;:0},&quot;isEdited&quot;:false,&quot;manualOverride&quot;:{&quot;isManuallyOverridden&quot;:false,&quot;citeprocText&quot;:&quot;(Chen et al., 2021; Yun et al., 2013)&quot;,&quot;manualOverrideText&quot;:&quot;&quot;},&quot;citationTag&quot;:&quot;MENDELEY_CITATION_v3_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&quot;,&quot;citationItems&quot;:[{&quot;id&quot;:&quot;bb10fb5f-9114-3298-948e-0b58c1b92adf&quot;,&quot;itemData&quot;:{&quot;type&quot;:&quot;article-journal&quot;,&quot;id&quot;:&quot;bb10fb5f-9114-3298-948e-0b58c1b92adf&quot;,&quot;title&quot;:&quot;Effect of Pore Structure on Thermal Conductivity and Mechanical Properties of Autoclaved Aerated Concrete&quot;,&quot;author&quot;:[{&quot;family&quot;:&quot;Chen&quot;,&quot;given&quot;:&quot;Gonglian&quot;,&quot;parse-names&quot;:false,&quot;dropping-particle&quot;:&quot;&quot;,&quot;non-dropping-particle&quot;:&quot;&quot;},{&quot;family&quot;:&quot;Li&quot;,&quot;given&quot;:&quot;Fenglan&quot;,&quot;parse-names&quot;:false,&quot;dropping-particle&quot;:&quot;&quot;,&quot;non-dropping-particle&quot;:&quot;&quot;},{&quot;family&quot;:&quot;Jing&quot;,&quot;given&quot;:&quot;Pengfei&quot;,&quot;parse-names&quot;:false,&quot;dropping-particle&quot;:&quot;&quot;,&quot;non-dropping-particle&quot;:&quot;&quot;},{&quot;family&quot;:&quot;Geng&quot;,&quot;given&quot;:&quot;Jingya&quot;,&quot;parse-names&quot;:false,&quot;dropping-particle&quot;:&quot;&quot;,&quot;non-dropping-particle&quot;:&quot;&quot;},{&quot;family&quot;:&quot;Si&quot;,&quot;given&quot;:&quot;Zhengkai&quot;,&quot;parse-names&quot;:false,&quot;dropping-particle&quot;:&quot;&quot;,&quot;non-dropping-particle&quot;:&quot;&quot;}],&quot;container-title&quot;:&quot;Materials 2021, Vol. 14, Page 339&quot;,&quot;accessed&quot;:{&quot;date-parts&quot;:[[2024,6,23]]},&quot;DOI&quot;:&quot;10.3390/MA14020339&quot;,&quot;ISSN&quot;:&quot;1996-1944&quot;,&quot;URL&quot;:&quot;https://www.mdpi.com/1996-1944/14/2/339/htm&quot;,&quot;issued&quot;:{&quot;date-parts&quot;:[[2021,1,11]]},&quot;page&quot;:&quot;339&quot;,&quot;abstract&quot;:&quot;With the premise of investigating mechanical properties, the thermal conductivity of autoclaved aerated concrete (AAC) is a key index of self-insulation block walls for building energy conservation. This study focused on the effect of pore structures on the mechanical performance and thermal conductivity of AAC with the comparison of AAC base materials. Different kinds of AAC and their base materials were prepared and experimentally investigated. While maintaining a consistent mix proportion of the AAC base material, the pore structure of AAC was changed by the dosage of aluminum power/paste, foam stabilizer, and varying the stirring time of aluminum paste. The steam curing systems of AAC and the base material were determined based on SEM (Scanning Electronic Microscopy) and XRD (X-ray Diffraction) tests. With almost the same apparent density, the pore size decreased with the increasing content of foam stabilizer, and the mixing time of aluminum paste and foam stabilizer has a great influence on pore size. The thermal conductivity test and compressive test results indicated that that pore size had an effect on the thermal conductivity, but it had little effect on the compressive strength, and the thermal conductivity of sand aeration AAC was 8.3% higher than that of fly ash aeration AAC; the compressive strength was 10.4% higher, too. With almost the same apparent density, the regression mathematical model indicates that the thermal conductivity of AAC increased gradually with the increase of pore size, but it had little effect on the compressive strength. From the test results of basic mechanical properties, the mechanical model of cubic compressive strength, elastic modulus, axial compressive strength, and splitting tensile strength was obtained. The proposed stress–strain relationship model could well describe the relationship of AAC and the base material at the rising section of the curve.&quot;,&quot;publisher&quot;:&quot;Multidisciplinary Digital Publishing Institute&quot;,&quot;issue&quot;:&quot;2&quot;,&quot;volume&quot;:&quot;14&quot;,&quot;container-title-short&quot;:&quot;&quot;},&quot;isTemporary&quot;:false},{&quot;id&quot;:&quot;530efd97-df85-3fcc-835d-eac83ed688e4&quot;,&quot;itemData&quot;:{&quot;type&quot;:&quot;article-journal&quot;,&quot;id&quot;:&quot;530efd97-df85-3fcc-835d-eac83ed688e4&quot;,&quot;title&quot;:&quot;Evaluation of thermal conductivity for thermally insulated concretes&quot;,&quot;author&quot;:[{&quot;family&quot;:&quot;Yun&quot;,&quot;given&quot;:&quot;Tae Sup&quot;,&quot;parse-names&quot;:false,&quot;dropping-particle&quot;:&quot;&quot;,&quot;non-dropping-particle&quot;:&quot;&quot;},{&quot;family&quot;:&quot;Jeong&quot;,&quot;given&quot;:&quot;Yeon Jong&quot;,&quot;parse-names&quot;:false,&quot;dropping-particle&quot;:&quot;&quot;,&quot;non-dropping-particle&quot;:&quot;&quot;},{&quot;family&quot;:&quot;Han&quot;,&quot;given&quot;:&quot;Tong Seok&quot;,&quot;parse-names&quot;:false,&quot;dropping-particle&quot;:&quot;&quot;,&quot;non-dropping-particle&quot;:&quot;&quot;},{&quot;family&quot;:&quot;Youm&quot;,&quot;given&quot;:&quot;Kwang Soo&quot;,&quot;parse-names&quot;:false,&quot;dropping-particle&quot;:&quot;&quot;,&quot;non-dropping-particle&quot;:&quot;&quot;}],&quot;container-title&quot;:&quot;Energy and Buildings&quot;,&quot;container-title-short&quot;:&quot;Energy Build.&quot;,&quot;accessed&quot;:{&quot;date-parts&quot;:[[2024,6,23]]},&quot;DOI&quot;:&quot;10.1016/J.ENBUILD.2013.01.043&quot;,&quot;ISSN&quot;:&quot;0378-7788&quot;,&quot;issued&quot;:{&quot;date-parts&quot;:[[2013,6,1]]},&quot;page&quot;:&quot;125-132&quot;,&quot;abstract&quot;:&quot;Passive energy-saving houses and buildings made of thermally insulated materials become popular in recent construction practices to address the demanding energy needs and to reduce the consumption of hydrocarbon energy resources. Thermally insulated concretes represent alternative construction materials to improve the thermal efficiency in a wide range of residential and commercial buildings. This study presents the experimental results of thermal conductivity values of lightweight concrete materials at ambient temperature conditions. Various lightweight aggregates and glass bubbles are selected as surrogates and replacement materials for coarse aggregates in order to reduce the thermal conduction in concretes. The linear and plane heat source methods are implemented to quantitatively obtain conductivity values for tested specimens. Results highlight that the thermal conductivity of concretes can be effectively reduced with increasing fraction of lightweight aggregates critically depending on the type of lightweight aggregates, thereby playing an important role in the thermal insulation. The addition of micro-meter sized hollow glass bubbles further decreases the thermal conductivity of specimens while its impact is less pronounced than the lightweight aggregates. The measurement of strength corroborates the soundness of mechanical applicability of tested concretes specimens as well. © 2013 Elsevier B.V.&quot;,&quot;publisher&quot;:&quot;Elsevier&quot;,&quot;volume&quot;:&quot;61&quot;},&quot;isTemporary&quot;:false}]},{&quot;citationID&quot;:&quot;MENDELEY_CITATION_240b5425-881f-4232-914e-a1332c7864cd&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MjQwYjU0MjUtODgxZi00MjMyLTkxNGUtYTEzMzJjNzg2NGNk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quot;citationID&quot;:&quot;MENDELEY_CITATION_99c66a90-d484-4edb-8588-b9d51db98fb9&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OTljNjZhOTAtZDQ4NC00ZWRiLTg1ODgtYjlkNTFkYjk4ZmI5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99BF6-2BFC-40C6-B6B2-79CD059AA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20</Pages>
  <Words>9607</Words>
  <Characters>54763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Niño Bura-ay</dc:creator>
  <cp:keywords/>
  <dc:description/>
  <cp:lastModifiedBy>theaisha1707@gmail.com</cp:lastModifiedBy>
  <cp:revision>78</cp:revision>
  <dcterms:created xsi:type="dcterms:W3CDTF">2026-03-17T12:18:00Z</dcterms:created>
  <dcterms:modified xsi:type="dcterms:W3CDTF">2026-03-18T05:56:00Z</dcterms:modified>
</cp:coreProperties>
</file>