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4CDEB" w14:textId="77777777" w:rsidR="00301080" w:rsidRPr="002B4D35" w:rsidRDefault="002B4D35" w:rsidP="002B4D35">
      <w:pPr>
        <w:jc w:val="center"/>
        <w:rPr>
          <w:rFonts w:ascii="Times New Roman" w:hAnsi="Times New Roman" w:cs="Times New Roman"/>
          <w:b/>
          <w:sz w:val="36"/>
          <w:szCs w:val="36"/>
        </w:rPr>
      </w:pPr>
      <w:r w:rsidRPr="002B4D35">
        <w:rPr>
          <w:rFonts w:ascii="Times New Roman" w:hAnsi="Times New Roman" w:cs="Times New Roman"/>
          <w:b/>
          <w:sz w:val="36"/>
          <w:szCs w:val="36"/>
        </w:rPr>
        <w:t xml:space="preserve">Investigating Nigerian Product Distribution Model: </w:t>
      </w:r>
      <w:r>
        <w:rPr>
          <w:rFonts w:ascii="Times New Roman" w:hAnsi="Times New Roman" w:cs="Times New Roman"/>
          <w:b/>
          <w:sz w:val="36"/>
          <w:szCs w:val="36"/>
        </w:rPr>
        <w:t>A</w:t>
      </w:r>
      <w:r w:rsidRPr="002B4D35">
        <w:rPr>
          <w:rFonts w:ascii="Times New Roman" w:hAnsi="Times New Roman" w:cs="Times New Roman"/>
          <w:b/>
          <w:sz w:val="36"/>
          <w:szCs w:val="36"/>
        </w:rPr>
        <w:t>dvanced Mathematical Optimization and Multi-Objective Mesh Routing for Food Distribution Logistics in Post-Subsidy Nigeria</w:t>
      </w:r>
    </w:p>
    <w:p w14:paraId="51633C9E" w14:textId="77777777" w:rsidR="00971BFF" w:rsidRPr="003815EB" w:rsidRDefault="00971BFF" w:rsidP="00301080">
      <w:pPr>
        <w:rPr>
          <w:rFonts w:ascii="Times New Roman" w:hAnsi="Times New Roman" w:cs="Times New Roman"/>
        </w:rPr>
      </w:pPr>
    </w:p>
    <w:p w14:paraId="671952F0" w14:textId="77777777" w:rsidR="00301080" w:rsidRPr="002B4D35" w:rsidRDefault="002B4D35" w:rsidP="00072EF6">
      <w:pPr>
        <w:jc w:val="center"/>
        <w:rPr>
          <w:rFonts w:ascii="Times New Roman" w:hAnsi="Times New Roman" w:cs="Times New Roman"/>
          <w:b/>
          <w:sz w:val="28"/>
          <w:szCs w:val="28"/>
        </w:rPr>
      </w:pPr>
      <w:r w:rsidRPr="002B4D35">
        <w:rPr>
          <w:rFonts w:ascii="Times New Roman" w:hAnsi="Times New Roman" w:cs="Times New Roman"/>
          <w:b/>
          <w:sz w:val="28"/>
          <w:szCs w:val="28"/>
        </w:rPr>
        <w:t>ABSTRACT</w:t>
      </w:r>
    </w:p>
    <w:p w14:paraId="518F9D59" w14:textId="77777777" w:rsidR="00301080" w:rsidRPr="003815EB" w:rsidRDefault="00301080" w:rsidP="003815EB">
      <w:pPr>
        <w:jc w:val="both"/>
        <w:rPr>
          <w:rFonts w:ascii="Times New Roman" w:hAnsi="Times New Roman" w:cs="Times New Roman"/>
        </w:rPr>
      </w:pPr>
      <w:r w:rsidRPr="003815EB">
        <w:rPr>
          <w:rFonts w:ascii="Times New Roman" w:hAnsi="Times New Roman" w:cs="Times New Roman"/>
        </w:rPr>
        <w:t>The removal of fuel subsidies in Nigeria in 2023 resulted in a 150–200% increase in transportation costs, severely disrupting food distribution systems in a country where logistics costs account for approximately 22% of GDP. This study develops and evaluates a dual-optimization framework for minimizing food distribution costs under volatile economic conditions. First, classical transportation methods—Northwest Corner Method (NWCM), Least Cost Method (LCM), Vogel’s Approximation Method (VAM), and Modified Distribution (MODI)—are evaluated using a 4×5 supply-demand case study (50,000 metric tons). Second, a novel Gokir-Nannim (GN) Model incorporating adaptive penalty functions is developed and integrated with Multi-Objective Mesh Routing (MOMR). Results indicate that VAM achieves a 37.4% cost reduction compared to NWCM, while the GN Model achieves 39.6%. Integration with MOMR produces a 41% reduction in Total Transportation Overhead (TTO), while simultaneously reducing delivery time by 28% and increasing reliability by 17%. Sensitivity analysis under ±30% fuel volatility confirms superior resilience of GN+MOMR compared to classical methods. The findings demonstrate that adaptive, multi-objective optimization can substantially mitigate the inflationary effects of subsidy removal and reduce national logistics costs from 22% to approximately 13% of GDP.</w:t>
      </w:r>
    </w:p>
    <w:p w14:paraId="0D944936" w14:textId="77777777" w:rsidR="0055444E" w:rsidRPr="003815EB" w:rsidRDefault="0055444E" w:rsidP="0055444E">
      <w:pPr>
        <w:rPr>
          <w:rFonts w:ascii="Times New Roman" w:hAnsi="Times New Roman" w:cs="Times New Roman"/>
        </w:rPr>
      </w:pPr>
      <w:r>
        <w:rPr>
          <w:rFonts w:ascii="Times New Roman" w:hAnsi="Times New Roman" w:cs="Times New Roman"/>
        </w:rPr>
        <w:t xml:space="preserve">Keywords: </w:t>
      </w:r>
      <w:r w:rsidRPr="00811AE3">
        <w:rPr>
          <w:rFonts w:ascii="Times New Roman" w:hAnsi="Times New Roman" w:cs="Times New Roman"/>
          <w:sz w:val="28"/>
          <w:szCs w:val="28"/>
        </w:rPr>
        <w:t>Distribution</w:t>
      </w:r>
      <w:r>
        <w:rPr>
          <w:rFonts w:ascii="Times New Roman" w:hAnsi="Times New Roman" w:cs="Times New Roman"/>
          <w:sz w:val="28"/>
          <w:szCs w:val="28"/>
        </w:rPr>
        <w:t xml:space="preserve"> Model, </w:t>
      </w:r>
      <w:r w:rsidRPr="003815EB">
        <w:rPr>
          <w:rFonts w:ascii="Times New Roman" w:hAnsi="Times New Roman" w:cs="Times New Roman"/>
        </w:rPr>
        <w:t>Advanced Mathematical Optimization</w:t>
      </w:r>
      <w:r>
        <w:rPr>
          <w:rFonts w:ascii="Times New Roman" w:hAnsi="Times New Roman" w:cs="Times New Roman"/>
        </w:rPr>
        <w:t>,</w:t>
      </w:r>
      <w:r w:rsidRPr="003815EB">
        <w:rPr>
          <w:rFonts w:ascii="Times New Roman" w:hAnsi="Times New Roman" w:cs="Times New Roman"/>
        </w:rPr>
        <w:t xml:space="preserve"> Multi-Objective Mesh</w:t>
      </w:r>
      <w:r>
        <w:rPr>
          <w:rFonts w:ascii="Times New Roman" w:hAnsi="Times New Roman" w:cs="Times New Roman"/>
        </w:rPr>
        <w:t xml:space="preserve">, </w:t>
      </w:r>
      <w:r w:rsidRPr="003815EB">
        <w:rPr>
          <w:rFonts w:ascii="Times New Roman" w:hAnsi="Times New Roman" w:cs="Times New Roman"/>
        </w:rPr>
        <w:t>Food Distribution Logistics</w:t>
      </w:r>
    </w:p>
    <w:p w14:paraId="0CC942FC" w14:textId="77777777" w:rsidR="00301080" w:rsidRPr="003815EB" w:rsidRDefault="00301080" w:rsidP="00301080">
      <w:pPr>
        <w:rPr>
          <w:rFonts w:ascii="Times New Roman" w:hAnsi="Times New Roman" w:cs="Times New Roman"/>
        </w:rPr>
      </w:pPr>
    </w:p>
    <w:p w14:paraId="201B7106" w14:textId="77777777" w:rsidR="00301080" w:rsidRPr="00286B41" w:rsidRDefault="00286B41" w:rsidP="00301080">
      <w:pPr>
        <w:rPr>
          <w:rFonts w:ascii="Times New Roman" w:hAnsi="Times New Roman" w:cs="Times New Roman"/>
          <w:b/>
          <w:bCs/>
          <w:sz w:val="28"/>
          <w:szCs w:val="28"/>
        </w:rPr>
      </w:pPr>
      <w:r w:rsidRPr="00286B41">
        <w:rPr>
          <w:rFonts w:ascii="Times New Roman" w:hAnsi="Times New Roman" w:cs="Times New Roman"/>
          <w:b/>
          <w:bCs/>
          <w:sz w:val="28"/>
          <w:szCs w:val="28"/>
        </w:rPr>
        <w:t>INTRODUCTION</w:t>
      </w:r>
    </w:p>
    <w:p w14:paraId="57CBC4DA" w14:textId="77777777" w:rsidR="004F380C" w:rsidRPr="003815EB" w:rsidRDefault="004F380C" w:rsidP="00503285">
      <w:pPr>
        <w:spacing w:line="240" w:lineRule="auto"/>
        <w:jc w:val="both"/>
        <w:rPr>
          <w:rFonts w:ascii="Times New Roman" w:hAnsi="Times New Roman" w:cs="Times New Roman"/>
        </w:rPr>
      </w:pPr>
      <w:r w:rsidRPr="003815EB">
        <w:rPr>
          <w:rFonts w:ascii="Times New Roman" w:hAnsi="Times New Roman" w:cs="Times New Roman"/>
        </w:rPr>
        <w:t>History of fuel price in Nigeria has it that successive administrators (presidents) have had course/reason to increase the fuel prices in the name of removing subsidy at some points.  Between 1973 and 2025, fuel prices have risen from 6k to N1,030 (</w:t>
      </w:r>
      <w:r w:rsidRPr="003815EB">
        <w:rPr>
          <w:rFonts w:ascii="Times New Roman" w:hAnsi="Times New Roman" w:cs="Times New Roman"/>
          <w:bCs/>
          <w:color w:val="000000" w:themeColor="text1"/>
        </w:rPr>
        <w:t xml:space="preserve">Yunusa  et al., 2023; </w:t>
      </w:r>
      <w:r w:rsidRPr="003815EB">
        <w:rPr>
          <w:rFonts w:ascii="Times New Roman" w:hAnsi="Times New Roman" w:cs="Times New Roman"/>
          <w:bCs/>
        </w:rPr>
        <w:t>Shimbura et al.,2025;</w:t>
      </w:r>
      <w:r w:rsidRPr="003815EB">
        <w:rPr>
          <w:rFonts w:ascii="Times New Roman" w:hAnsi="Times New Roman" w:cs="Times New Roman"/>
          <w:color w:val="000000"/>
        </w:rPr>
        <w:t xml:space="preserve"> </w:t>
      </w:r>
      <w:r w:rsidRPr="003815EB">
        <w:rPr>
          <w:rFonts w:ascii="Times New Roman" w:hAnsi="Times New Roman" w:cs="Times New Roman"/>
        </w:rPr>
        <w:t xml:space="preserve">Jolaiya and Akinmulegun, 2025 </w:t>
      </w:r>
      <w:r w:rsidRPr="003815EB">
        <w:rPr>
          <w:rFonts w:ascii="Times New Roman" w:hAnsi="Times New Roman" w:cs="Times New Roman"/>
          <w:bCs/>
          <w:color w:val="000000" w:themeColor="text1"/>
        </w:rPr>
        <w:t xml:space="preserve">and </w:t>
      </w:r>
      <w:r w:rsidRPr="003815EB">
        <w:rPr>
          <w:rFonts w:ascii="Times New Roman" w:hAnsi="Times New Roman" w:cs="Times New Roman"/>
        </w:rPr>
        <w:t>Orluchukwu and Thankgod, 2025).</w:t>
      </w:r>
      <w:r w:rsidR="00DC52FD">
        <w:rPr>
          <w:rFonts w:ascii="Times New Roman" w:hAnsi="Times New Roman" w:cs="Times New Roman"/>
        </w:rPr>
        <w:t xml:space="preserve"> This is evidently</w:t>
      </w:r>
      <w:r w:rsidRPr="003815EB">
        <w:rPr>
          <w:rFonts w:ascii="Times New Roman" w:hAnsi="Times New Roman" w:cs="Times New Roman"/>
        </w:rPr>
        <w:t xml:space="preserve"> displayed in the figure 1 </w:t>
      </w:r>
    </w:p>
    <w:p w14:paraId="3F4BB896" w14:textId="77777777" w:rsidR="004F380C" w:rsidRPr="003815EB" w:rsidRDefault="004F380C" w:rsidP="00503285">
      <w:pPr>
        <w:spacing w:line="240" w:lineRule="auto"/>
        <w:jc w:val="both"/>
        <w:rPr>
          <w:rFonts w:ascii="Times New Roman" w:hAnsi="Times New Roman" w:cs="Times New Roman"/>
        </w:rPr>
      </w:pPr>
    </w:p>
    <w:p w14:paraId="56F520B7" w14:textId="77777777" w:rsidR="004F380C" w:rsidRPr="003815EB" w:rsidRDefault="004F380C" w:rsidP="00503285">
      <w:pPr>
        <w:spacing w:line="240" w:lineRule="auto"/>
        <w:rPr>
          <w:rFonts w:ascii="Times New Roman" w:hAnsi="Times New Roman" w:cs="Times New Roman"/>
        </w:rPr>
      </w:pPr>
      <w:r w:rsidRPr="003815EB">
        <w:rPr>
          <w:rFonts w:ascii="Times New Roman" w:hAnsi="Times New Roman" w:cs="Times New Roman"/>
          <w:noProof/>
        </w:rPr>
        <w:lastRenderedPageBreak/>
        <w:drawing>
          <wp:inline distT="0" distB="0" distL="0" distR="0" wp14:anchorId="29FE7EA8" wp14:editId="234DC17C">
            <wp:extent cx="6496050" cy="2009775"/>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4F4FE99" w14:textId="77777777" w:rsidR="004F380C" w:rsidRPr="003815EB" w:rsidRDefault="004F380C" w:rsidP="00503285">
      <w:pPr>
        <w:spacing w:line="240" w:lineRule="auto"/>
        <w:rPr>
          <w:rFonts w:ascii="Times New Roman" w:hAnsi="Times New Roman" w:cs="Times New Roman"/>
        </w:rPr>
      </w:pPr>
      <w:r w:rsidRPr="003815EB">
        <w:rPr>
          <w:rFonts w:ascii="Times New Roman" w:hAnsi="Times New Roman" w:cs="Times New Roman"/>
        </w:rPr>
        <w:t>Figure 1: Fuel pr</w:t>
      </w:r>
      <w:r w:rsidR="00587E32">
        <w:rPr>
          <w:rFonts w:ascii="Times New Roman" w:hAnsi="Times New Roman" w:cs="Times New Roman"/>
        </w:rPr>
        <w:t xml:space="preserve">ices from 1973-2024 in Nigeria </w:t>
      </w:r>
      <w:r w:rsidRPr="003815EB">
        <w:rPr>
          <w:rFonts w:ascii="Times New Roman" w:hAnsi="Times New Roman" w:cs="Times New Roman"/>
        </w:rPr>
        <w:t>(Orluchukwu and Thankgod, 2024)</w:t>
      </w:r>
    </w:p>
    <w:p w14:paraId="15D7FF90" w14:textId="77777777" w:rsidR="00CA13D2" w:rsidRPr="00CA13D2" w:rsidRDefault="00CA13D2" w:rsidP="00503285">
      <w:pPr>
        <w:pStyle w:val="NormalWeb"/>
        <w:spacing w:before="0" w:beforeAutospacing="0" w:after="0" w:afterAutospacing="0"/>
        <w:jc w:val="both"/>
      </w:pPr>
      <w:r w:rsidRPr="00CA13D2">
        <w:t xml:space="preserve">Research consistently shows that increases in fuel prices directly raise transportation costs, which in turn drive up the prices of goods and services. </w:t>
      </w:r>
      <w:r w:rsidRPr="00CA13D2">
        <w:rPr>
          <w:rStyle w:val="Strong"/>
          <w:rFonts w:eastAsiaTheme="majorEastAsia"/>
          <w:b w:val="0"/>
        </w:rPr>
        <w:t>Alli et al. (2024)</w:t>
      </w:r>
      <w:r w:rsidRPr="00CA13D2">
        <w:t xml:space="preserve"> note that higher fuel prices escalate transportation expenses, a cost ultimately passed down to final consumers </w:t>
      </w:r>
      <w:r w:rsidRPr="00CA13D2">
        <w:rPr>
          <w:rStyle w:val="Strong"/>
          <w:rFonts w:eastAsiaTheme="majorEastAsia"/>
          <w:b w:val="0"/>
        </w:rPr>
        <w:t>(Stanfast and Marian, 2020; Nadoo, 2022)</w:t>
      </w:r>
      <w:r w:rsidRPr="00CA13D2">
        <w:t xml:space="preserve">. Similarly, </w:t>
      </w:r>
      <w:r w:rsidRPr="00CA13D2">
        <w:rPr>
          <w:rStyle w:val="Strong"/>
          <w:rFonts w:eastAsiaTheme="majorEastAsia"/>
          <w:b w:val="0"/>
        </w:rPr>
        <w:t>Samson et al. (2024)</w:t>
      </w:r>
      <w:r w:rsidRPr="00CA13D2">
        <w:t xml:space="preserve"> and </w:t>
      </w:r>
      <w:r w:rsidRPr="00CA13D2">
        <w:rPr>
          <w:rStyle w:val="Strong"/>
          <w:rFonts w:eastAsiaTheme="majorEastAsia"/>
          <w:b w:val="0"/>
        </w:rPr>
        <w:t>Ikechukwu et al. (2025)</w:t>
      </w:r>
      <w:r w:rsidRPr="00CA13D2">
        <w:t xml:space="preserve"> report that any rise in fuel costs increases operational expenses, transportation fares, and the prices of goods and services.</w:t>
      </w:r>
    </w:p>
    <w:p w14:paraId="1A73F1D6" w14:textId="77777777" w:rsidR="00CA13D2" w:rsidRPr="00CA13D2" w:rsidRDefault="00CA13D2" w:rsidP="00FA4662">
      <w:pPr>
        <w:pStyle w:val="NormalWeb"/>
        <w:spacing w:before="240" w:beforeAutospacing="0"/>
        <w:jc w:val="both"/>
      </w:pPr>
      <w:r w:rsidRPr="00CA13D2">
        <w:rPr>
          <w:rStyle w:val="Strong"/>
          <w:rFonts w:eastAsiaTheme="majorEastAsia"/>
          <w:b w:val="0"/>
        </w:rPr>
        <w:t>Oghenenyerhovwo and Bright (2025)</w:t>
      </w:r>
      <w:r w:rsidRPr="00CA13D2">
        <w:t xml:space="preserve"> and </w:t>
      </w:r>
      <w:r w:rsidRPr="009532D8">
        <w:rPr>
          <w:rStyle w:val="Strong"/>
          <w:rFonts w:eastAsiaTheme="majorEastAsia"/>
          <w:b w:val="0"/>
        </w:rPr>
        <w:t>Luyi et al. (2025)</w:t>
      </w:r>
      <w:r w:rsidRPr="00CA13D2">
        <w:t xml:space="preserve"> further highlight significant increases in education, housing rent, and essential commodities following fuel subsidy removal. </w:t>
      </w:r>
      <w:r w:rsidRPr="00CA13D2">
        <w:rPr>
          <w:rStyle w:val="Strong"/>
          <w:rFonts w:eastAsiaTheme="majorEastAsia"/>
          <w:b w:val="0"/>
        </w:rPr>
        <w:t>Samaila et al. (2024)</w:t>
      </w:r>
      <w:r w:rsidRPr="00CA13D2">
        <w:t xml:space="preserve"> emphasize that subsidy removal has broadly raised the cost of critical commodities due to higher energy and transport expenses, while </w:t>
      </w:r>
      <w:r w:rsidRPr="00CA13D2">
        <w:rPr>
          <w:rStyle w:val="Strong"/>
          <w:rFonts w:eastAsiaTheme="majorEastAsia"/>
          <w:b w:val="0"/>
        </w:rPr>
        <w:t>Hussaini et al. (2025)</w:t>
      </w:r>
      <w:r w:rsidRPr="00CA13D2">
        <w:t xml:space="preserve"> link</w:t>
      </w:r>
      <w:r w:rsidR="00587E32">
        <w:t>ed</w:t>
      </w:r>
      <w:r w:rsidRPr="00CA13D2">
        <w:t xml:space="preserve"> the 2022–2023 commodity price gaps directly to fuel subsidy elimination. Supporting this view, </w:t>
      </w:r>
      <w:r w:rsidRPr="009532D8">
        <w:rPr>
          <w:rStyle w:val="Strong"/>
          <w:rFonts w:eastAsiaTheme="majorEastAsia"/>
          <w:b w:val="0"/>
        </w:rPr>
        <w:t>Justinah and Oseyemi (2024)</w:t>
      </w:r>
      <w:r w:rsidRPr="00CA13D2">
        <w:t xml:space="preserve"> note</w:t>
      </w:r>
      <w:r w:rsidR="00587E32">
        <w:t>d</w:t>
      </w:r>
      <w:r w:rsidRPr="00CA13D2">
        <w:t xml:space="preserve"> that the policy has exacerbated household poverty, making the cost of living increasingly unsustainable. </w:t>
      </w:r>
      <w:r w:rsidRPr="00CA13D2">
        <w:rPr>
          <w:rStyle w:val="Strong"/>
          <w:rFonts w:eastAsiaTheme="majorEastAsia"/>
          <w:b w:val="0"/>
        </w:rPr>
        <w:t>Figure 2</w:t>
      </w:r>
      <w:r w:rsidRPr="00CA13D2">
        <w:t xml:space="preserve"> illustrates the relationship between fuel price per liter, food prices, and transport fares.</w:t>
      </w:r>
    </w:p>
    <w:p w14:paraId="6D114CE5" w14:textId="77777777" w:rsidR="004F380C" w:rsidRPr="003815EB" w:rsidRDefault="004F380C" w:rsidP="00503285">
      <w:pPr>
        <w:spacing w:line="240" w:lineRule="auto"/>
        <w:rPr>
          <w:rFonts w:ascii="Times New Roman" w:hAnsi="Times New Roman" w:cs="Times New Roman"/>
        </w:rPr>
      </w:pPr>
      <w:r w:rsidRPr="003815EB">
        <w:rPr>
          <w:rFonts w:ascii="Times New Roman" w:hAnsi="Times New Roman" w:cs="Times New Roman"/>
          <w:noProof/>
        </w:rPr>
        <w:drawing>
          <wp:inline distT="0" distB="0" distL="0" distR="0" wp14:anchorId="79046C57" wp14:editId="39BD2B95">
            <wp:extent cx="6315075" cy="2809875"/>
            <wp:effectExtent l="19050" t="0" r="9525"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BBFE933" w14:textId="77777777" w:rsidR="004F380C" w:rsidRPr="003815EB" w:rsidRDefault="00587E32" w:rsidP="00503285">
      <w:pPr>
        <w:spacing w:line="240" w:lineRule="auto"/>
        <w:jc w:val="both"/>
        <w:rPr>
          <w:rFonts w:ascii="Times New Roman" w:eastAsia="Calibri" w:hAnsi="Times New Roman" w:cs="Times New Roman"/>
        </w:rPr>
      </w:pPr>
      <w:r>
        <w:rPr>
          <w:rFonts w:ascii="Times New Roman" w:eastAsia="Calibri" w:hAnsi="Times New Roman" w:cs="Times New Roman"/>
        </w:rPr>
        <w:lastRenderedPageBreak/>
        <w:t>Figure 2: E</w:t>
      </w:r>
      <w:r w:rsidR="004F380C" w:rsidRPr="003815EB">
        <w:rPr>
          <w:rFonts w:ascii="Times New Roman" w:eastAsia="Calibri" w:hAnsi="Times New Roman" w:cs="Times New Roman"/>
        </w:rPr>
        <w:t xml:space="preserve">ffect of fuel price on transport fare and cost of food stuffs (source: </w:t>
      </w:r>
      <w:r w:rsidR="004F380C" w:rsidRPr="003815EB">
        <w:rPr>
          <w:rFonts w:ascii="Times New Roman" w:hAnsi="Times New Roman" w:cs="Times New Roman"/>
        </w:rPr>
        <w:t>Alli et al., 2024)</w:t>
      </w:r>
    </w:p>
    <w:p w14:paraId="1C6214AF" w14:textId="77777777" w:rsidR="004F380C" w:rsidRPr="003815EB" w:rsidRDefault="004F380C" w:rsidP="00503285">
      <w:pPr>
        <w:spacing w:line="240" w:lineRule="auto"/>
        <w:jc w:val="both"/>
        <w:rPr>
          <w:rFonts w:ascii="Times New Roman" w:eastAsia="Calibri" w:hAnsi="Times New Roman" w:cs="Times New Roman"/>
        </w:rPr>
      </w:pPr>
      <w:r w:rsidRPr="003815EB">
        <w:rPr>
          <w:rFonts w:ascii="Times New Roman" w:eastAsia="Calibri" w:hAnsi="Times New Roman" w:cs="Times New Roman"/>
        </w:rPr>
        <w:t>It can be observed from figure 2 that at the pronouncement of total fuel subsidy removal on the 29 may 2023, by June 2023everything went up.</w:t>
      </w:r>
    </w:p>
    <w:p w14:paraId="79C0382A" w14:textId="77777777" w:rsidR="00CA13D2" w:rsidRPr="00CA13D2" w:rsidRDefault="00CA13D2" w:rsidP="00503285">
      <w:pPr>
        <w:pStyle w:val="NormalWeb"/>
        <w:spacing w:before="0" w:beforeAutospacing="0" w:after="0" w:afterAutospacing="0"/>
        <w:jc w:val="both"/>
      </w:pPr>
      <w:r w:rsidRPr="00CA13D2">
        <w:t xml:space="preserve">The socio-economic consequences of fuel subsidy removal have been widely reported in recent studies. </w:t>
      </w:r>
      <w:r w:rsidRPr="00CA13D2">
        <w:rPr>
          <w:rStyle w:val="Strong"/>
          <w:rFonts w:eastAsiaTheme="majorEastAsia"/>
          <w:b w:val="0"/>
        </w:rPr>
        <w:t>Yunusa et al. (2023)</w:t>
      </w:r>
      <w:r w:rsidRPr="00CA13D2">
        <w:t xml:space="preserve"> note that the policy has increased transportation costs and the prices of basic commodities, thereby worsening economic hardship and raising operational costs for businesses. Similarly, </w:t>
      </w:r>
      <w:r w:rsidRPr="00CA13D2">
        <w:rPr>
          <w:rStyle w:val="Strong"/>
          <w:rFonts w:eastAsiaTheme="majorEastAsia"/>
          <w:b w:val="0"/>
        </w:rPr>
        <w:t>Ilodigwe (2023)</w:t>
      </w:r>
      <w:r w:rsidRPr="00CA13D2">
        <w:t xml:space="preserve"> report</w:t>
      </w:r>
      <w:r w:rsidR="00587E32">
        <w:t>ed</w:t>
      </w:r>
      <w:r w:rsidRPr="00CA13D2">
        <w:t xml:space="preserve"> that small and medium-sized enterprises (SMEs) face higher production and overhead costs, reduced sales, and declining profit margins.</w:t>
      </w:r>
    </w:p>
    <w:p w14:paraId="5E37A51B" w14:textId="77777777" w:rsidR="00CA13D2" w:rsidRPr="00CA13D2" w:rsidRDefault="00CA13D2" w:rsidP="00FA4662">
      <w:pPr>
        <w:pStyle w:val="NormalWeb"/>
        <w:spacing w:before="240" w:beforeAutospacing="0" w:after="0" w:afterAutospacing="0"/>
        <w:jc w:val="both"/>
      </w:pPr>
      <w:r w:rsidRPr="00CA13D2">
        <w:t xml:space="preserve">In the agricultural sector, </w:t>
      </w:r>
      <w:r w:rsidRPr="00CA13D2">
        <w:rPr>
          <w:rStyle w:val="Strong"/>
          <w:rFonts w:eastAsiaTheme="majorEastAsia"/>
          <w:b w:val="0"/>
        </w:rPr>
        <w:t>Samson et al. (2024)</w:t>
      </w:r>
      <w:r w:rsidRPr="00CA13D2">
        <w:t xml:space="preserve"> observe that rising fuel prices have increased transportation costs, limited the availability of vehicles for moving farm produce, and contributed to higher prices of agricultural commodities. Furthermore, </w:t>
      </w:r>
      <w:r w:rsidRPr="00CA13D2">
        <w:rPr>
          <w:rStyle w:val="Strong"/>
          <w:rFonts w:eastAsiaTheme="majorEastAsia"/>
          <w:b w:val="0"/>
        </w:rPr>
        <w:t>Ikechukwu et al. (2025)</w:t>
      </w:r>
      <w:r w:rsidRPr="00CA13D2">
        <w:t xml:space="preserve"> link</w:t>
      </w:r>
      <w:r w:rsidR="00587E32">
        <w:t>ed</w:t>
      </w:r>
      <w:r w:rsidRPr="00CA13D2">
        <w:t xml:space="preserve"> rising fuel prices to higher transportation fares and an overall increase in the cost of living, including housing, healthcare, and education expenses. Likewise, </w:t>
      </w:r>
      <w:r w:rsidRPr="00CA13D2">
        <w:rPr>
          <w:rStyle w:val="Strong"/>
          <w:rFonts w:eastAsiaTheme="majorEastAsia"/>
          <w:b w:val="0"/>
        </w:rPr>
        <w:t>Orluchukwu and Thankgod (2025)</w:t>
      </w:r>
      <w:r w:rsidRPr="00CA13D2">
        <w:t xml:space="preserve"> argue that escalating petrol prices have forced some small businesses to shut down due to rising operational costs and declining demand.</w:t>
      </w:r>
    </w:p>
    <w:p w14:paraId="17C5F4C6" w14:textId="77777777" w:rsidR="00CA13D2" w:rsidRPr="00CA13D2" w:rsidRDefault="00CA13D2" w:rsidP="002B4D35">
      <w:pPr>
        <w:pStyle w:val="NormalWeb"/>
        <w:spacing w:before="240" w:beforeAutospacing="0" w:after="0" w:afterAutospacing="0"/>
        <w:jc w:val="both"/>
      </w:pPr>
      <w:r w:rsidRPr="00CA13D2">
        <w:t>Overall, fuel subsidy removal in Nigeria has been associated with a higher cost of living, increased poverty, and widespread economic hardship across households and key sectors of the economy.</w:t>
      </w:r>
      <w:r w:rsidR="002B4D35">
        <w:t xml:space="preserve"> </w:t>
      </w:r>
      <w:r w:rsidRPr="00CA13D2">
        <w:t xml:space="preserve">Figure 3 shows the average marginal percentage changes following the total removal of the fuel subsidy, indicating notable increases in the prices of several commodities and services. Among the food items, </w:t>
      </w:r>
      <w:r w:rsidRPr="00CA13D2">
        <w:rPr>
          <w:rStyle w:val="Strong"/>
          <w:rFonts w:eastAsiaTheme="majorEastAsia"/>
          <w:b w:val="0"/>
        </w:rPr>
        <w:t>vegetable oil</w:t>
      </w:r>
      <w:r w:rsidRPr="00CA13D2">
        <w:t xml:space="preserve"> recorded the highest increase (5.33%), followed </w:t>
      </w:r>
      <w:r w:rsidRPr="002B4D35">
        <w:t>b</w:t>
      </w:r>
      <w:r w:rsidRPr="00CA13D2">
        <w:rPr>
          <w:b/>
        </w:rPr>
        <w:t xml:space="preserve">y </w:t>
      </w:r>
      <w:r w:rsidRPr="00CA13D2">
        <w:rPr>
          <w:rStyle w:val="Strong"/>
          <w:rFonts w:eastAsiaTheme="majorEastAsia"/>
          <w:b w:val="0"/>
        </w:rPr>
        <w:t>groundnut oil</w:t>
      </w:r>
      <w:r w:rsidRPr="00CA13D2">
        <w:t xml:space="preserve"> (4.97%) and </w:t>
      </w:r>
      <w:r w:rsidRPr="00CA13D2">
        <w:rPr>
          <w:rStyle w:val="Strong"/>
          <w:rFonts w:eastAsiaTheme="majorEastAsia"/>
          <w:b w:val="0"/>
        </w:rPr>
        <w:t>palm oil</w:t>
      </w:r>
      <w:r w:rsidRPr="00CA13D2">
        <w:t xml:space="preserve"> (4.61%).</w:t>
      </w:r>
    </w:p>
    <w:p w14:paraId="204BFBFD" w14:textId="77777777" w:rsidR="00CA13D2" w:rsidRPr="00CA13D2" w:rsidRDefault="00CA13D2" w:rsidP="002B4D35">
      <w:pPr>
        <w:pStyle w:val="NormalWeb"/>
        <w:spacing w:before="240" w:beforeAutospacing="0" w:after="0" w:afterAutospacing="0"/>
        <w:jc w:val="both"/>
      </w:pPr>
      <w:r w:rsidRPr="00CA13D2">
        <w:t xml:space="preserve"> </w:t>
      </w:r>
      <w:r w:rsidRPr="00CA13D2">
        <w:rPr>
          <w:rStyle w:val="Strong"/>
          <w:rFonts w:eastAsiaTheme="majorEastAsia"/>
          <w:b w:val="0"/>
        </w:rPr>
        <w:t>Hussaini et al. (2025)</w:t>
      </w:r>
      <w:r w:rsidRPr="00CA13D2">
        <w:rPr>
          <w:b/>
        </w:rPr>
        <w:t>,</w:t>
      </w:r>
      <w:r w:rsidRPr="00CA13D2">
        <w:t xml:space="preserve"> who noted that an increase in travel distance leads to higher transportation costs. Similarly, </w:t>
      </w:r>
      <w:r w:rsidRPr="00CA13D2">
        <w:rPr>
          <w:rStyle w:val="Strong"/>
          <w:rFonts w:eastAsiaTheme="majorEastAsia"/>
          <w:b w:val="0"/>
        </w:rPr>
        <w:t>Ezekiel (2024)</w:t>
      </w:r>
      <w:r w:rsidRPr="00CA13D2">
        <w:t xml:space="preserve"> linked rising petroleum product prices to increased inflation, largely driven by higher transportation and production costs. The detailed distribution is presented in </w:t>
      </w:r>
      <w:r w:rsidRPr="00CA13D2">
        <w:rPr>
          <w:rStyle w:val="Strong"/>
          <w:rFonts w:eastAsiaTheme="majorEastAsia"/>
          <w:b w:val="0"/>
        </w:rPr>
        <w:t>Figure 3</w:t>
      </w:r>
      <w:r w:rsidRPr="00CA13D2">
        <w:rPr>
          <w:b/>
        </w:rPr>
        <w:t>.</w:t>
      </w:r>
    </w:p>
    <w:p w14:paraId="1E0EEB42" w14:textId="77777777" w:rsidR="004C60AA" w:rsidRDefault="004C60AA" w:rsidP="00503285">
      <w:pPr>
        <w:spacing w:after="0" w:line="240" w:lineRule="auto"/>
        <w:jc w:val="both"/>
        <w:rPr>
          <w:rFonts w:ascii="Times New Roman" w:hAnsi="Times New Roman" w:cs="Times New Roman"/>
        </w:rPr>
        <w:sectPr w:rsidR="004C60AA" w:rsidSect="001314C3">
          <w:footerReference w:type="default" r:id="rId9"/>
          <w:pgSz w:w="12240" w:h="15840"/>
          <w:pgMar w:top="1440" w:right="1440" w:bottom="1440" w:left="1440" w:header="720" w:footer="720" w:gutter="0"/>
          <w:cols w:space="720"/>
          <w:docGrid w:linePitch="360"/>
        </w:sectPr>
      </w:pPr>
    </w:p>
    <w:p w14:paraId="3D640E5B" w14:textId="77777777" w:rsidR="004C60AA" w:rsidRDefault="004C60AA" w:rsidP="00503285">
      <w:pPr>
        <w:spacing w:after="0" w:line="240" w:lineRule="auto"/>
        <w:jc w:val="both"/>
        <w:rPr>
          <w:rFonts w:ascii="Times New Roman" w:hAnsi="Times New Roman" w:cs="Times New Roman"/>
        </w:rPr>
      </w:pPr>
      <w:r w:rsidRPr="004C60AA">
        <w:rPr>
          <w:rFonts w:ascii="Times New Roman" w:hAnsi="Times New Roman" w:cs="Times New Roman"/>
          <w:noProof/>
        </w:rPr>
        <w:lastRenderedPageBreak/>
        <w:drawing>
          <wp:inline distT="0" distB="0" distL="0" distR="0" wp14:anchorId="293DD536" wp14:editId="4429498A">
            <wp:extent cx="8229600" cy="3506209"/>
            <wp:effectExtent l="19050" t="0" r="19050" b="0"/>
            <wp:docPr id="1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287888F" w14:textId="77777777" w:rsidR="004C60AA" w:rsidRDefault="00453F7D" w:rsidP="00503285">
      <w:pPr>
        <w:spacing w:line="240" w:lineRule="auto"/>
        <w:rPr>
          <w:rFonts w:ascii="Times New Roman" w:hAnsi="Times New Roman" w:cs="Times New Roman"/>
        </w:rPr>
      </w:pPr>
      <w:r>
        <w:t>Figure 3</w:t>
      </w:r>
      <w:r w:rsidR="00587E32">
        <w:t>: Marginal Percentag</w:t>
      </w:r>
      <w:r w:rsidR="00E50167">
        <w:t>e Price Per Liter Change Trend o</w:t>
      </w:r>
      <w:r w:rsidR="00587E32">
        <w:t xml:space="preserve">f </w:t>
      </w:r>
      <w:r w:rsidR="004C60AA">
        <w:t>Oils</w:t>
      </w:r>
      <w:r w:rsidR="00587E32">
        <w:t>.</w:t>
      </w:r>
      <w:r w:rsidR="004C60AA">
        <w:t xml:space="preserve"> (Bureau of Statistic, 2024)</w:t>
      </w:r>
    </w:p>
    <w:p w14:paraId="648EA512" w14:textId="77777777" w:rsidR="004C60AA" w:rsidRDefault="004C60AA" w:rsidP="00503285">
      <w:pPr>
        <w:spacing w:line="240" w:lineRule="auto"/>
        <w:rPr>
          <w:rFonts w:ascii="Times New Roman" w:hAnsi="Times New Roman" w:cs="Times New Roman"/>
        </w:rPr>
      </w:pPr>
    </w:p>
    <w:p w14:paraId="4F5F9C8C" w14:textId="77777777" w:rsidR="004C60AA" w:rsidRPr="004C60AA" w:rsidRDefault="004C60AA" w:rsidP="00503285">
      <w:pPr>
        <w:spacing w:line="240" w:lineRule="auto"/>
        <w:rPr>
          <w:rFonts w:ascii="Times New Roman" w:hAnsi="Times New Roman" w:cs="Times New Roman"/>
        </w:rPr>
        <w:sectPr w:rsidR="004C60AA" w:rsidRPr="004C60AA" w:rsidSect="004C60AA">
          <w:pgSz w:w="15840" w:h="12240" w:orient="landscape"/>
          <w:pgMar w:top="1440" w:right="1440" w:bottom="1440" w:left="1440" w:header="720" w:footer="720" w:gutter="0"/>
          <w:cols w:space="720"/>
          <w:docGrid w:linePitch="360"/>
        </w:sectPr>
      </w:pPr>
    </w:p>
    <w:p w14:paraId="22058E1D" w14:textId="77777777" w:rsidR="004C60AA" w:rsidRPr="00286B41" w:rsidRDefault="00286B41" w:rsidP="00503285">
      <w:pPr>
        <w:spacing w:before="72" w:line="240" w:lineRule="auto"/>
        <w:ind w:right="141"/>
        <w:rPr>
          <w:b/>
          <w:sz w:val="28"/>
          <w:szCs w:val="28"/>
        </w:rPr>
      </w:pPr>
      <w:r w:rsidRPr="00286B41">
        <w:rPr>
          <w:b/>
          <w:sz w:val="28"/>
          <w:szCs w:val="28"/>
        </w:rPr>
        <w:lastRenderedPageBreak/>
        <w:t>FUEL CONSUMPTION</w:t>
      </w:r>
    </w:p>
    <w:p w14:paraId="4A29AD8D" w14:textId="77777777" w:rsidR="00CA13D2" w:rsidRDefault="00CA13D2" w:rsidP="00503285">
      <w:pPr>
        <w:pStyle w:val="NormalWeb"/>
        <w:spacing w:before="0" w:beforeAutospacing="0" w:after="0" w:afterAutospacing="0"/>
        <w:jc w:val="both"/>
      </w:pPr>
      <w:r>
        <w:t xml:space="preserve">Previous studies have identified several factors influencing fuel consumption and transportation costs. </w:t>
      </w:r>
      <w:r w:rsidRPr="005D0BE0">
        <w:rPr>
          <w:rStyle w:val="Strong"/>
          <w:rFonts w:eastAsiaTheme="majorEastAsia"/>
          <w:b w:val="0"/>
        </w:rPr>
        <w:t>Lorenc (2025)</w:t>
      </w:r>
      <w:r w:rsidR="00E50167">
        <w:t xml:space="preserve"> noted</w:t>
      </w:r>
      <w:r>
        <w:t xml:space="preserve"> that fuel usage is affected by route length, terrain, driving patterns, road conditions, and environmental factors such as wind, while idling and rolling resistance during cornering further increase fuel consumption. The study also emphasizes the importance of route information—such as the number of speed bumps, stops, traffic lights, and curves—in determining efficient travel.</w:t>
      </w:r>
    </w:p>
    <w:p w14:paraId="3BF3CAD9" w14:textId="77777777" w:rsidR="00CA13D2" w:rsidRDefault="00CA13D2" w:rsidP="002B4D35">
      <w:pPr>
        <w:pStyle w:val="NormalWeb"/>
        <w:spacing w:before="240" w:beforeAutospacing="0" w:after="0" w:afterAutospacing="0"/>
        <w:jc w:val="both"/>
      </w:pPr>
      <w:r>
        <w:t xml:space="preserve">Similarly, </w:t>
      </w:r>
      <w:r w:rsidRPr="00CA13D2">
        <w:rPr>
          <w:rStyle w:val="Strong"/>
          <w:rFonts w:eastAsiaTheme="majorEastAsia"/>
          <w:b w:val="0"/>
        </w:rPr>
        <w:t>Evans (1978)</w:t>
      </w:r>
      <w:r>
        <w:t xml:space="preserve"> reports that a 1% increase or decrease in trip time leads to a corresponding 1.1% change in fuel consumption. </w:t>
      </w:r>
      <w:r w:rsidRPr="00CA13D2">
        <w:rPr>
          <w:rStyle w:val="Strong"/>
          <w:rFonts w:eastAsiaTheme="majorEastAsia"/>
          <w:b w:val="0"/>
        </w:rPr>
        <w:t>Hussaini et al. (2025)</w:t>
      </w:r>
      <w:r>
        <w:t xml:space="preserve"> further observe that a unit increase in travel distance results in a ₦2.11 rise in transportation costs. Supporting this view, </w:t>
      </w:r>
      <w:r w:rsidRPr="005D0BE0">
        <w:rPr>
          <w:rStyle w:val="Strong"/>
          <w:rFonts w:eastAsiaTheme="majorEastAsia"/>
          <w:b w:val="0"/>
        </w:rPr>
        <w:t>Ziółkowski et al. (2025)</w:t>
      </w:r>
      <w:r>
        <w:t xml:space="preserve"> demonstrate that optimizing travel time is more efficient over </w:t>
      </w:r>
      <w:r w:rsidR="00E50167">
        <w:t>shorter distances, as shown in t</w:t>
      </w:r>
      <w:r>
        <w:t xml:space="preserve">able 6, where slight reductions in distance lead to differences in total cost and fuel consumption. </w:t>
      </w:r>
      <w:r w:rsidRPr="00CA13D2">
        <w:rPr>
          <w:rStyle w:val="Strong"/>
          <w:rFonts w:eastAsiaTheme="majorEastAsia"/>
          <w:b w:val="0"/>
        </w:rPr>
        <w:t>Figure 4</w:t>
      </w:r>
      <w:r>
        <w:t xml:space="preserve"> illustrates the relationship between fuel prices and intercity transport fares.</w:t>
      </w:r>
    </w:p>
    <w:p w14:paraId="12B9AB65" w14:textId="77777777" w:rsidR="009A1EB0" w:rsidRPr="003815EB" w:rsidRDefault="009A1EB0" w:rsidP="00503285">
      <w:pPr>
        <w:spacing w:line="240" w:lineRule="auto"/>
        <w:jc w:val="center"/>
        <w:rPr>
          <w:rFonts w:ascii="Times New Roman" w:hAnsi="Times New Roman" w:cs="Times New Roman"/>
        </w:rPr>
      </w:pPr>
      <w:r w:rsidRPr="003815EB">
        <w:rPr>
          <w:rFonts w:ascii="Times New Roman" w:hAnsi="Times New Roman" w:cs="Times New Roman"/>
          <w:noProof/>
        </w:rPr>
        <w:drawing>
          <wp:inline distT="0" distB="0" distL="0" distR="0" wp14:anchorId="7EF71390" wp14:editId="67B672BF">
            <wp:extent cx="4867275" cy="2364105"/>
            <wp:effectExtent l="19050" t="0" r="9525" b="0"/>
            <wp:docPr id="703213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571" t="37554" r="3685" b="5063"/>
                    <a:stretch>
                      <a:fillRect/>
                    </a:stretch>
                  </pic:blipFill>
                  <pic:spPr bwMode="auto">
                    <a:xfrm>
                      <a:off x="0" y="0"/>
                      <a:ext cx="4867275" cy="2364105"/>
                    </a:xfrm>
                    <a:prstGeom prst="rect">
                      <a:avLst/>
                    </a:prstGeom>
                    <a:noFill/>
                    <a:ln>
                      <a:noFill/>
                    </a:ln>
                    <a:extLst>
                      <a:ext uri="{53640926-AAD7-44D8-BBD7-CCE9431645EC}">
                        <a14:shadowObscured xmlns:a14="http://schemas.microsoft.com/office/drawing/2010/main"/>
                      </a:ext>
                    </a:extLst>
                  </pic:spPr>
                </pic:pic>
              </a:graphicData>
            </a:graphic>
          </wp:inline>
        </w:drawing>
      </w:r>
    </w:p>
    <w:p w14:paraId="77F0FCE2" w14:textId="77777777" w:rsidR="009A1EB0" w:rsidRPr="003815EB" w:rsidRDefault="00CA13D2" w:rsidP="00503285">
      <w:pPr>
        <w:spacing w:line="240" w:lineRule="auto"/>
        <w:rPr>
          <w:rFonts w:ascii="Times New Roman" w:hAnsi="Times New Roman" w:cs="Times New Roman"/>
        </w:rPr>
      </w:pPr>
      <w:r>
        <w:rPr>
          <w:rFonts w:ascii="Times New Roman" w:hAnsi="Times New Roman" w:cs="Times New Roman"/>
        </w:rPr>
        <w:t>Figure 4</w:t>
      </w:r>
      <w:r w:rsidR="009A1EB0" w:rsidRPr="003815EB">
        <w:rPr>
          <w:rFonts w:ascii="Times New Roman" w:hAnsi="Times New Roman" w:cs="Times New Roman"/>
        </w:rPr>
        <w:t>: Historical Volatility from 2022-2024 (Source: Nigerian Bureau of Statistics, 2026)</w:t>
      </w:r>
    </w:p>
    <w:p w14:paraId="732256F8" w14:textId="77777777" w:rsidR="00CA13D2" w:rsidRPr="00CA13D2" w:rsidRDefault="00CA13D2" w:rsidP="00503285">
      <w:pPr>
        <w:spacing w:before="72" w:line="240" w:lineRule="auto"/>
        <w:ind w:right="141"/>
        <w:jc w:val="both"/>
        <w:rPr>
          <w:rFonts w:ascii="Times New Roman" w:hAnsi="Times New Roman" w:cs="Times New Roman"/>
        </w:rPr>
      </w:pPr>
      <w:r w:rsidRPr="00CA13D2">
        <w:rPr>
          <w:rStyle w:val="Strong"/>
          <w:rFonts w:ascii="Times New Roman" w:hAnsi="Times New Roman" w:cs="Times New Roman"/>
          <w:b w:val="0"/>
        </w:rPr>
        <w:t>Zhang and Xie (2025)</w:t>
      </w:r>
      <w:r w:rsidRPr="00CA13D2">
        <w:rPr>
          <w:rFonts w:ascii="Times New Roman" w:hAnsi="Times New Roman" w:cs="Times New Roman"/>
        </w:rPr>
        <w:t xml:space="preserve"> emphasize that transportation systems are critical to the efficiency and sustainability of a nation’s economy. Empirical evidence from </w:t>
      </w:r>
      <w:r w:rsidRPr="00CA13D2">
        <w:rPr>
          <w:rStyle w:val="Strong"/>
          <w:rFonts w:ascii="Times New Roman" w:hAnsi="Times New Roman" w:cs="Times New Roman"/>
          <w:b w:val="0"/>
        </w:rPr>
        <w:t>Alli et al. (2024), Samaila et al. (2024), Justinah and Oseyemi (2024),</w:t>
      </w:r>
      <w:r w:rsidRPr="00CA13D2">
        <w:rPr>
          <w:rFonts w:ascii="Times New Roman" w:hAnsi="Times New Roman" w:cs="Times New Roman"/>
          <w:b/>
        </w:rPr>
        <w:t xml:space="preserve"> </w:t>
      </w:r>
      <w:r w:rsidRPr="00CA13D2">
        <w:rPr>
          <w:rFonts w:ascii="Times New Roman" w:hAnsi="Times New Roman" w:cs="Times New Roman"/>
        </w:rPr>
        <w:t xml:space="preserve">and </w:t>
      </w:r>
      <w:r w:rsidRPr="00CA13D2">
        <w:rPr>
          <w:rStyle w:val="Strong"/>
          <w:rFonts w:ascii="Times New Roman" w:hAnsi="Times New Roman" w:cs="Times New Roman"/>
          <w:b w:val="0"/>
        </w:rPr>
        <w:t>Hussaini et al. (2025)</w:t>
      </w:r>
      <w:r w:rsidRPr="00CA13D2">
        <w:rPr>
          <w:rFonts w:ascii="Times New Roman" w:hAnsi="Times New Roman" w:cs="Times New Roman"/>
        </w:rPr>
        <w:t xml:space="preserve"> shows that increases in fuel prices are directly proportional to transportation costs, with ripple effects across the economy that are ultimately borne by consumers. However, </w:t>
      </w:r>
      <w:r w:rsidRPr="00CA13D2">
        <w:rPr>
          <w:rStyle w:val="Strong"/>
          <w:rFonts w:ascii="Times New Roman" w:hAnsi="Times New Roman" w:cs="Times New Roman"/>
          <w:b w:val="0"/>
        </w:rPr>
        <w:t>Islam et al. (2024)</w:t>
      </w:r>
      <w:r w:rsidRPr="00CA13D2">
        <w:rPr>
          <w:rFonts w:ascii="Times New Roman" w:hAnsi="Times New Roman" w:cs="Times New Roman"/>
        </w:rPr>
        <w:t xml:space="preserve"> note that significant challenges remain in optimizing transportation logistics to reduce operational costs while improving system efficiency. In this context, </w:t>
      </w:r>
      <w:r w:rsidRPr="00CA13D2">
        <w:rPr>
          <w:rStyle w:val="Strong"/>
          <w:rFonts w:ascii="Times New Roman" w:hAnsi="Times New Roman" w:cs="Times New Roman"/>
          <w:b w:val="0"/>
        </w:rPr>
        <w:t>Prifti et al. (2020)</w:t>
      </w:r>
      <w:r w:rsidRPr="00CA13D2">
        <w:rPr>
          <w:rFonts w:ascii="Times New Roman" w:hAnsi="Times New Roman" w:cs="Times New Roman"/>
        </w:rPr>
        <w:t xml:space="preserve"> highlight the role of modern mathematical methods in addressing transportation planning problems through the optimization of processes and cost minimization. Consequently, the need to mitigate the adverse effects of rising fuel prices on transportation fares and the prices of goods and services motivates this study.</w:t>
      </w:r>
    </w:p>
    <w:p w14:paraId="076F6574" w14:textId="77777777" w:rsidR="00272859" w:rsidRPr="00286B41" w:rsidRDefault="00286B41" w:rsidP="00503285">
      <w:pPr>
        <w:spacing w:before="72" w:line="240" w:lineRule="auto"/>
        <w:ind w:right="141"/>
        <w:rPr>
          <w:rFonts w:ascii="Times New Roman" w:hAnsi="Times New Roman" w:cs="Times New Roman"/>
          <w:b/>
          <w:sz w:val="28"/>
          <w:szCs w:val="28"/>
        </w:rPr>
      </w:pPr>
      <w:r w:rsidRPr="00286B41">
        <w:rPr>
          <w:rFonts w:ascii="Times New Roman" w:hAnsi="Times New Roman" w:cs="Times New Roman"/>
          <w:b/>
          <w:sz w:val="28"/>
          <w:szCs w:val="28"/>
        </w:rPr>
        <w:t>TRANSPORTATION OPTIMIZATION MODELING</w:t>
      </w:r>
    </w:p>
    <w:p w14:paraId="5793C245" w14:textId="77777777" w:rsidR="00CA13D2" w:rsidRDefault="00CA13D2" w:rsidP="00503285">
      <w:pPr>
        <w:pStyle w:val="NormalWeb"/>
        <w:spacing w:before="0" w:beforeAutospacing="0" w:after="0" w:afterAutospacing="0"/>
        <w:jc w:val="both"/>
      </w:pPr>
      <w:r>
        <w:t xml:space="preserve">Transportation modeling has been recognized as a key strategy for reducing shipping costs, improving delivery reliability, and optimizing logistics operations (Stanfast and Marian, 2020). </w:t>
      </w:r>
      <w:r>
        <w:lastRenderedPageBreak/>
        <w:t>Linear programming techniques, including the North-West Corner Rule (NWCR), Least Cost Method (LCM), and Vogel’s Approximation Method (VAM), have been widely applied to minimize transportation costs, with VAM consistently demonstrating superior efficiency, followed by NWCR, while LCM is less optimal (Aliyu et al., 2019; Shammah and Atama, 2019; Prifti et al., 2020; Adeniyi et al., 2023; Adamu et al., 2020; Akpan et al., 2020; Daniel and Daniel et al., 2021; Manuela et al., 2025).</w:t>
      </w:r>
    </w:p>
    <w:p w14:paraId="5A90B492" w14:textId="77777777" w:rsidR="00CA13D2" w:rsidRDefault="00CA13D2" w:rsidP="002B4D35">
      <w:pPr>
        <w:pStyle w:val="NormalWeb"/>
        <w:spacing w:before="240" w:beforeAutospacing="0" w:after="0" w:afterAutospacing="0"/>
        <w:jc w:val="both"/>
      </w:pPr>
      <w:r>
        <w:t xml:space="preserve">Complementary distribution models, such as Direct Store Delivery (DSD) and Hub-and-Spoke or Multi-Depot systems, combined with optimization approaches like Vehicle Routing Problem (VRP), Inventory Routing Problem (IRP), and heuristic/metaheuristic algorithms, have further improved cost efficiency and mitigated the impact of rising fuel prices on end consumers (Adamu et al., 2020; </w:t>
      </w:r>
      <w:r w:rsidRPr="005D0BE0">
        <w:t>Agarwal and Shinde, 2022</w:t>
      </w:r>
      <w:r>
        <w:t xml:space="preserve">; Islam et al., 2024; </w:t>
      </w:r>
      <w:r w:rsidRPr="005D0BE0">
        <w:t>Prokudin et al., 2020</w:t>
      </w:r>
      <w:r>
        <w:t xml:space="preserve">; </w:t>
      </w:r>
      <w:r w:rsidRPr="005D0BE0">
        <w:t>Wu and Zhu, 2021; Papară, 2022; Tanash and As’ad, 2025; Avila-Torres et al., 2020</w:t>
      </w:r>
      <w:r>
        <w:t xml:space="preserve">; Prifti et al., </w:t>
      </w:r>
      <w:r w:rsidRPr="005D0BE0">
        <w:t>Ziółkowski et al., 2025; Liu et al., 2023; Jiang and Wang, 2025</w:t>
      </w:r>
      <w:r>
        <w:t>).</w:t>
      </w:r>
    </w:p>
    <w:p w14:paraId="7C6C2744" w14:textId="77777777" w:rsidR="00CA13D2" w:rsidRPr="005D0BE0" w:rsidRDefault="00CA13D2" w:rsidP="002B4D35">
      <w:pPr>
        <w:pStyle w:val="NormalWeb"/>
        <w:spacing w:before="240" w:beforeAutospacing="0" w:after="0" w:afterAutospacing="0"/>
        <w:jc w:val="both"/>
      </w:pPr>
      <w:r>
        <w:t>Despite these advances, there remains a need for more robust mathematical models capable of further reducing transportation costs, particularly as logistics expenses account for approximately 36% of total costs, posing a significant challenge for companies aiming to maintain profitability and customer satisfaction in today’s competitive environment (</w:t>
      </w:r>
      <w:r w:rsidRPr="005D0BE0">
        <w:t>Agarwal and Shinde, 2022).</w:t>
      </w:r>
    </w:p>
    <w:p w14:paraId="5C2B60ED" w14:textId="77777777" w:rsidR="00301080" w:rsidRPr="00286B41" w:rsidRDefault="00286B41" w:rsidP="00286B41">
      <w:pPr>
        <w:spacing w:before="240" w:line="240" w:lineRule="auto"/>
        <w:rPr>
          <w:rFonts w:ascii="Times New Roman" w:hAnsi="Times New Roman" w:cs="Times New Roman"/>
          <w:b/>
          <w:iCs/>
          <w:sz w:val="28"/>
          <w:szCs w:val="28"/>
        </w:rPr>
      </w:pPr>
      <w:r w:rsidRPr="00286B41">
        <w:rPr>
          <w:rFonts w:ascii="Times New Roman" w:hAnsi="Times New Roman" w:cs="Times New Roman"/>
          <w:b/>
          <w:iCs/>
          <w:sz w:val="28"/>
          <w:szCs w:val="28"/>
        </w:rPr>
        <w:t>RESEARCH OBJECTIVES</w:t>
      </w:r>
    </w:p>
    <w:p w14:paraId="07323C71" w14:textId="77777777" w:rsidR="00301080" w:rsidRPr="003815EB" w:rsidRDefault="00301080" w:rsidP="00286B41">
      <w:pPr>
        <w:spacing w:before="240" w:line="240" w:lineRule="auto"/>
        <w:rPr>
          <w:rFonts w:ascii="Times New Roman" w:hAnsi="Times New Roman" w:cs="Times New Roman"/>
        </w:rPr>
      </w:pPr>
      <w:r w:rsidRPr="003815EB">
        <w:rPr>
          <w:rFonts w:ascii="Times New Roman" w:hAnsi="Times New Roman" w:cs="Times New Roman"/>
        </w:rPr>
        <w:t>This study addresses:</w:t>
      </w:r>
    </w:p>
    <w:p w14:paraId="2D457473" w14:textId="77777777" w:rsidR="00301080" w:rsidRPr="003815EB" w:rsidRDefault="00301080" w:rsidP="002B4D35">
      <w:pPr>
        <w:numPr>
          <w:ilvl w:val="0"/>
          <w:numId w:val="4"/>
        </w:numPr>
        <w:spacing w:after="0" w:line="240" w:lineRule="auto"/>
        <w:jc w:val="both"/>
        <w:rPr>
          <w:rFonts w:ascii="Times New Roman" w:hAnsi="Times New Roman" w:cs="Times New Roman"/>
        </w:rPr>
      </w:pPr>
      <w:r w:rsidRPr="003815EB">
        <w:rPr>
          <w:rFonts w:ascii="Times New Roman" w:hAnsi="Times New Roman" w:cs="Times New Roman"/>
        </w:rPr>
        <w:t>Performance evaluation of classical transportation methods in the Nigerian context.</w:t>
      </w:r>
    </w:p>
    <w:p w14:paraId="5C91187F" w14:textId="77777777" w:rsidR="00301080" w:rsidRPr="003815EB" w:rsidRDefault="00301080" w:rsidP="002B4D35">
      <w:pPr>
        <w:numPr>
          <w:ilvl w:val="0"/>
          <w:numId w:val="4"/>
        </w:numPr>
        <w:spacing w:after="0" w:line="240" w:lineRule="auto"/>
        <w:jc w:val="both"/>
        <w:rPr>
          <w:rFonts w:ascii="Times New Roman" w:hAnsi="Times New Roman" w:cs="Times New Roman"/>
        </w:rPr>
      </w:pPr>
      <w:r w:rsidRPr="003815EB">
        <w:rPr>
          <w:rFonts w:ascii="Times New Roman" w:hAnsi="Times New Roman" w:cs="Times New Roman"/>
        </w:rPr>
        <w:t>Development of the Gokir-Nannim (GN) Model incorporating adaptive penalties.</w:t>
      </w:r>
    </w:p>
    <w:p w14:paraId="4565AD3B" w14:textId="77777777" w:rsidR="00301080" w:rsidRPr="003815EB" w:rsidRDefault="00301080" w:rsidP="002B4D35">
      <w:pPr>
        <w:numPr>
          <w:ilvl w:val="0"/>
          <w:numId w:val="4"/>
        </w:numPr>
        <w:spacing w:after="0" w:line="240" w:lineRule="auto"/>
        <w:jc w:val="both"/>
        <w:rPr>
          <w:rFonts w:ascii="Times New Roman" w:hAnsi="Times New Roman" w:cs="Times New Roman"/>
        </w:rPr>
      </w:pPr>
      <w:r w:rsidRPr="003815EB">
        <w:rPr>
          <w:rFonts w:ascii="Times New Roman" w:hAnsi="Times New Roman" w:cs="Times New Roman"/>
        </w:rPr>
        <w:t>Integration of Multi-Objective Mesh Routing (MOMR).</w:t>
      </w:r>
    </w:p>
    <w:p w14:paraId="68B39C41" w14:textId="77777777" w:rsidR="00301080" w:rsidRPr="003815EB" w:rsidRDefault="00301080" w:rsidP="002B4D35">
      <w:pPr>
        <w:numPr>
          <w:ilvl w:val="0"/>
          <w:numId w:val="4"/>
        </w:numPr>
        <w:spacing w:after="0" w:line="240" w:lineRule="auto"/>
        <w:jc w:val="both"/>
        <w:rPr>
          <w:rFonts w:ascii="Times New Roman" w:hAnsi="Times New Roman" w:cs="Times New Roman"/>
        </w:rPr>
      </w:pPr>
      <w:r w:rsidRPr="003815EB">
        <w:rPr>
          <w:rFonts w:ascii="Times New Roman" w:hAnsi="Times New Roman" w:cs="Times New Roman"/>
        </w:rPr>
        <w:t>Quantitative validation of cost reductions.</w:t>
      </w:r>
    </w:p>
    <w:p w14:paraId="4D7E5210" w14:textId="77777777" w:rsidR="00301080" w:rsidRDefault="00301080" w:rsidP="002B4D35">
      <w:pPr>
        <w:numPr>
          <w:ilvl w:val="0"/>
          <w:numId w:val="4"/>
        </w:numPr>
        <w:spacing w:after="0" w:line="240" w:lineRule="auto"/>
        <w:jc w:val="both"/>
        <w:rPr>
          <w:rFonts w:ascii="Times New Roman" w:hAnsi="Times New Roman" w:cs="Times New Roman"/>
        </w:rPr>
      </w:pPr>
      <w:r w:rsidRPr="003815EB">
        <w:rPr>
          <w:rFonts w:ascii="Times New Roman" w:hAnsi="Times New Roman" w:cs="Times New Roman"/>
        </w:rPr>
        <w:t>Policy-relevant implementation insights.</w:t>
      </w:r>
    </w:p>
    <w:p w14:paraId="021F1199" w14:textId="77777777" w:rsidR="00301080" w:rsidRPr="003815EB" w:rsidRDefault="00301080" w:rsidP="002B4D35">
      <w:pPr>
        <w:spacing w:before="240" w:line="240" w:lineRule="auto"/>
        <w:rPr>
          <w:rFonts w:ascii="Times New Roman" w:hAnsi="Times New Roman" w:cs="Times New Roman"/>
          <w:b/>
          <w:iCs/>
        </w:rPr>
      </w:pPr>
      <w:r w:rsidRPr="003815EB">
        <w:rPr>
          <w:rFonts w:ascii="Times New Roman" w:hAnsi="Times New Roman" w:cs="Times New Roman"/>
          <w:b/>
          <w:iCs/>
        </w:rPr>
        <w:t>Classical Transportation Optimization</w:t>
      </w:r>
      <w:r w:rsidR="00644838" w:rsidRPr="003815EB">
        <w:rPr>
          <w:rFonts w:ascii="Times New Roman" w:hAnsi="Times New Roman" w:cs="Times New Roman"/>
          <w:b/>
          <w:iCs/>
        </w:rPr>
        <w:t xml:space="preserve"> Problem</w:t>
      </w:r>
    </w:p>
    <w:p w14:paraId="7CF2CFA1" w14:textId="77777777" w:rsidR="00301080" w:rsidRPr="003815EB" w:rsidRDefault="00301080" w:rsidP="00503285">
      <w:pPr>
        <w:spacing w:line="240" w:lineRule="auto"/>
        <w:rPr>
          <w:rFonts w:ascii="Times New Roman" w:hAnsi="Times New Roman" w:cs="Times New Roman"/>
        </w:rPr>
      </w:pPr>
      <w:r w:rsidRPr="003815EB">
        <w:rPr>
          <w:rFonts w:ascii="Times New Roman" w:hAnsi="Times New Roman" w:cs="Times New Roman"/>
        </w:rPr>
        <w:t>The transportation problem minimizes total cost:</w:t>
      </w:r>
    </w:p>
    <w:p w14:paraId="0A144469" w14:textId="77777777" w:rsidR="0069487D" w:rsidRPr="00E50167" w:rsidRDefault="00000000" w:rsidP="00503285">
      <w:pPr>
        <w:spacing w:line="240" w:lineRule="auto"/>
        <w:rPr>
          <w:rFonts w:ascii="Times New Roman" w:eastAsiaTheme="minorEastAsia" w:hAnsi="Times New Roman" w:cs="Times New Roman"/>
        </w:rPr>
      </w:pPr>
      <m:oMath>
        <m:func>
          <m:funcPr>
            <m:ctrlPr>
              <w:rPr>
                <w:rFonts w:ascii="Cambria Math" w:hAnsi="Times New Roman" w:cs="Times New Roman"/>
              </w:rPr>
            </m:ctrlPr>
          </m:funcPr>
          <m:fName>
            <m:r>
              <m:rPr>
                <m:sty m:val="p"/>
              </m:rPr>
              <w:rPr>
                <w:rFonts w:ascii="Cambria Math" w:hAnsi="Times New Roman" w:cs="Times New Roman"/>
              </w:rPr>
              <m:t>min</m:t>
            </m:r>
          </m:fName>
          <m:e>
            <m:r>
              <m:rPr>
                <m:sty m:val="p"/>
              </m:rPr>
              <w:rPr>
                <w:rFonts w:ascii="Cambria Math" w:hAnsi="Times New Roman" w:cs="Times New Roman"/>
              </w:rPr>
              <m:t>Ζ</m:t>
            </m:r>
          </m:e>
        </m:func>
        <m:r>
          <w:rPr>
            <w:rFonts w:ascii="Cambria Math" w:eastAsia="Cambria Math" w:hAnsi="Times New Roman" w:cs="Times New Roman"/>
          </w:rPr>
          <m:t>=</m:t>
        </m:r>
        <m:nary>
          <m:naryPr>
            <m:chr m:val="∑"/>
            <m:grow m:val="1"/>
            <m:ctrlPr>
              <w:rPr>
                <w:rFonts w:ascii="Cambria Math" w:hAnsi="Times New Roman" w:cs="Times New Roman"/>
              </w:rPr>
            </m:ctrlPr>
          </m:naryPr>
          <m:sub>
            <m:r>
              <w:rPr>
                <w:rFonts w:ascii="Cambria Math" w:eastAsia="Cambria Math" w:hAnsi="Cambria Math" w:cs="Times New Roman"/>
              </w:rPr>
              <m:t>i</m:t>
            </m:r>
            <m:r>
              <w:rPr>
                <w:rFonts w:ascii="Cambria Math" w:eastAsia="Cambria Math" w:hAnsi="Times New Roman" w:cs="Times New Roman"/>
              </w:rPr>
              <m:t>=1</m:t>
            </m:r>
          </m:sub>
          <m:sup>
            <m:r>
              <w:rPr>
                <w:rFonts w:ascii="Cambria Math" w:eastAsia="Cambria Math" w:hAnsi="Cambria Math" w:cs="Times New Roman"/>
              </w:rPr>
              <m:t>m</m:t>
            </m:r>
          </m:sup>
          <m:e>
            <m:nary>
              <m:naryPr>
                <m:chr m:val="∑"/>
                <m:grow m:val="1"/>
                <m:ctrlPr>
                  <w:rPr>
                    <w:rFonts w:ascii="Cambria Math" w:hAnsi="Times New Roman" w:cs="Times New Roman"/>
                  </w:rPr>
                </m:ctrlPr>
              </m:naryPr>
              <m:sub>
                <m:r>
                  <w:rPr>
                    <w:rFonts w:ascii="Cambria Math" w:hAnsi="Cambria Math" w:cs="Times New Roman"/>
                  </w:rPr>
                  <m:t>j</m:t>
                </m:r>
                <m:r>
                  <w:rPr>
                    <w:rFonts w:ascii="Cambria Math" w:hAnsi="Times New Roman" w:cs="Times New Roman"/>
                  </w:rPr>
                  <m:t>=1</m:t>
                </m:r>
              </m:sub>
              <m:sup>
                <m:r>
                  <w:rPr>
                    <w:rFonts w:ascii="Cambria Math" w:eastAsia="Cambria Math" w:hAnsi="Cambria Math" w:cs="Times New Roman"/>
                  </w:rPr>
                  <m:t>n</m:t>
                </m:r>
              </m:sup>
              <m:e>
                <m:sSub>
                  <m:sSubPr>
                    <m:ctrlPr>
                      <w:rPr>
                        <w:rFonts w:ascii="Cambria Math" w:hAnsi="Times New Roman" w:cs="Times New Roman"/>
                        <w:i/>
                      </w:rPr>
                    </m:ctrlPr>
                  </m:sSubPr>
                  <m:e>
                    <m:r>
                      <w:rPr>
                        <w:rFonts w:ascii="Cambria Math" w:hAnsi="Cambria Math" w:cs="Times New Roman"/>
                      </w:rPr>
                      <m:t>c</m:t>
                    </m:r>
                  </m:e>
                  <m:sub>
                    <m:r>
                      <w:rPr>
                        <w:rFonts w:ascii="Cambria Math" w:hAnsi="Cambria Math" w:cs="Times New Roman"/>
                      </w:rPr>
                      <m:t>ij</m:t>
                    </m:r>
                  </m:sub>
                </m:sSub>
              </m:e>
            </m:nary>
            <m:sSub>
              <m:sSubPr>
                <m:ctrlPr>
                  <w:rPr>
                    <w:rFonts w:ascii="Cambria Math" w:hAnsi="Times New Roman" w:cs="Times New Roman"/>
                    <w:i/>
                  </w:rPr>
                </m:ctrlPr>
              </m:sSubPr>
              <m:e>
                <m:r>
                  <w:rPr>
                    <w:rFonts w:ascii="Cambria Math" w:hAnsi="Cambria Math" w:cs="Times New Roman"/>
                  </w:rPr>
                  <m:t>x</m:t>
                </m:r>
              </m:e>
              <m:sub>
                <m:r>
                  <w:rPr>
                    <w:rFonts w:ascii="Cambria Math" w:hAnsi="Cambria Math" w:cs="Times New Roman"/>
                  </w:rPr>
                  <m:t>ij</m:t>
                </m:r>
              </m:sub>
            </m:sSub>
          </m:e>
        </m:nary>
      </m:oMath>
      <w:r w:rsidR="001820AE" w:rsidRPr="00E50167">
        <w:rPr>
          <w:rFonts w:ascii="Times New Roman" w:eastAsiaTheme="minorEastAsia" w:hAnsi="Times New Roman" w:cs="Times New Roman"/>
        </w:rPr>
        <w:tab/>
        <w:t>-</w:t>
      </w:r>
      <w:r w:rsidR="001820AE" w:rsidRPr="00E50167">
        <w:rPr>
          <w:rFonts w:ascii="Times New Roman" w:eastAsiaTheme="minorEastAsia" w:hAnsi="Times New Roman" w:cs="Times New Roman"/>
        </w:rPr>
        <w:tab/>
        <w:t>-</w:t>
      </w:r>
      <w:r w:rsidR="001820AE" w:rsidRPr="00E50167">
        <w:rPr>
          <w:rFonts w:ascii="Times New Roman" w:eastAsiaTheme="minorEastAsia" w:hAnsi="Times New Roman" w:cs="Times New Roman"/>
        </w:rPr>
        <w:tab/>
        <w:t>-</w:t>
      </w:r>
      <w:r w:rsidR="001820AE" w:rsidRPr="00E50167">
        <w:rPr>
          <w:rFonts w:ascii="Times New Roman" w:eastAsiaTheme="minorEastAsia" w:hAnsi="Times New Roman" w:cs="Times New Roman"/>
        </w:rPr>
        <w:tab/>
        <w:t>i</w:t>
      </w:r>
    </w:p>
    <w:p w14:paraId="4691305C" w14:textId="77777777" w:rsidR="00301080" w:rsidRPr="00E50167" w:rsidRDefault="00301080" w:rsidP="00503285">
      <w:pPr>
        <w:spacing w:line="240" w:lineRule="auto"/>
        <w:ind w:firstLine="720"/>
        <w:rPr>
          <w:rFonts w:ascii="Times New Roman" w:hAnsi="Times New Roman" w:cs="Times New Roman"/>
        </w:rPr>
      </w:pPr>
      <w:r w:rsidRPr="00E50167">
        <w:rPr>
          <w:rFonts w:ascii="Times New Roman" w:hAnsi="Times New Roman" w:cs="Times New Roman"/>
        </w:rPr>
        <w:t>Subject to:</w:t>
      </w:r>
    </w:p>
    <w:p w14:paraId="4AF90673" w14:textId="77777777" w:rsidR="00EE666B" w:rsidRPr="00E50167" w:rsidRDefault="00000000" w:rsidP="00503285">
      <w:pPr>
        <w:spacing w:line="240" w:lineRule="auto"/>
        <w:rPr>
          <w:rFonts w:ascii="Times New Roman" w:hAnsi="Times New Roman" w:cs="Times New Roman"/>
        </w:rPr>
      </w:pPr>
      <m:oMath>
        <m:nary>
          <m:naryPr>
            <m:chr m:val="∑"/>
            <m:grow m:val="1"/>
            <m:supHide m:val="1"/>
            <m:ctrlPr>
              <w:rPr>
                <w:rFonts w:ascii="Cambria Math" w:hAnsi="Times New Roman" w:cs="Times New Roman"/>
              </w:rPr>
            </m:ctrlPr>
          </m:naryPr>
          <m:sub>
            <m:r>
              <w:rPr>
                <w:rFonts w:ascii="Cambria Math" w:eastAsia="Cambria Math" w:hAnsi="Cambria Math" w:cs="Times New Roman"/>
              </w:rPr>
              <m:t>j</m:t>
            </m:r>
          </m:sub>
          <m:sup/>
          <m:e>
            <m:sSub>
              <m:sSubPr>
                <m:ctrlPr>
                  <w:rPr>
                    <w:rFonts w:ascii="Cambria Math" w:hAnsi="Times New Roman" w:cs="Times New Roman"/>
                  </w:rPr>
                </m:ctrlPr>
              </m:sSubPr>
              <m:e>
                <m:r>
                  <w:rPr>
                    <w:rFonts w:ascii="Cambria Math" w:hAnsi="Cambria Math" w:cs="Times New Roman"/>
                  </w:rPr>
                  <m:t>x</m:t>
                </m:r>
              </m:e>
              <m:sub>
                <m:r>
                  <w:rPr>
                    <w:rFonts w:ascii="Cambria Math" w:hAnsi="Cambria Math" w:cs="Times New Roman"/>
                  </w:rPr>
                  <m:t>ij</m:t>
                </m:r>
              </m:sub>
            </m:sSub>
          </m:e>
        </m:nary>
        <m:r>
          <w:rPr>
            <w:rFonts w:ascii="Cambria Math" w:eastAsia="Cambria Math" w:hAnsi="Times New Roman" w:cs="Times New Roman"/>
          </w:rPr>
          <m:t xml:space="preserve">= </m:t>
        </m:r>
        <m:sSub>
          <m:sSubPr>
            <m:ctrlPr>
              <w:rPr>
                <w:rFonts w:ascii="Cambria Math" w:eastAsia="Cambria Math" w:hAnsi="Times New Roman" w:cs="Times New Roman"/>
                <w:i/>
              </w:rPr>
            </m:ctrlPr>
          </m:sSubPr>
          <m:e>
            <m:r>
              <w:rPr>
                <w:rFonts w:ascii="Cambria Math" w:eastAsia="Cambria Math" w:hAnsi="Cambria Math" w:cs="Times New Roman"/>
              </w:rPr>
              <m:t>s</m:t>
            </m:r>
          </m:e>
          <m:sub>
            <m:r>
              <w:rPr>
                <w:rFonts w:ascii="Cambria Math" w:eastAsia="Cambria Math" w:hAnsi="Cambria Math" w:cs="Times New Roman"/>
              </w:rPr>
              <m:t>i</m:t>
            </m:r>
          </m:sub>
        </m:sSub>
        <m:r>
          <w:rPr>
            <w:rFonts w:ascii="Cambria Math" w:eastAsia="Cambria Math" w:hAnsi="Times New Roman" w:cs="Times New Roman"/>
          </w:rPr>
          <m:t xml:space="preserve">,    </m:t>
        </m:r>
        <m:nary>
          <m:naryPr>
            <m:chr m:val="∑"/>
            <m:grow m:val="1"/>
            <m:supHide m:val="1"/>
            <m:ctrlPr>
              <w:rPr>
                <w:rFonts w:ascii="Cambria Math" w:hAnsi="Times New Roman" w:cs="Times New Roman"/>
              </w:rPr>
            </m:ctrlPr>
          </m:naryPr>
          <m:sub>
            <m:r>
              <w:rPr>
                <w:rFonts w:ascii="Cambria Math" w:eastAsia="Cambria Math" w:hAnsi="Cambria Math" w:cs="Times New Roman"/>
              </w:rPr>
              <m:t>i</m:t>
            </m:r>
          </m:sub>
          <m:sup/>
          <m:e>
            <m:sSub>
              <m:sSubPr>
                <m:ctrlPr>
                  <w:rPr>
                    <w:rFonts w:ascii="Cambria Math" w:hAnsi="Times New Roman" w:cs="Times New Roman"/>
                  </w:rPr>
                </m:ctrlPr>
              </m:sSubPr>
              <m:e>
                <m:r>
                  <w:rPr>
                    <w:rFonts w:ascii="Cambria Math" w:hAnsi="Cambria Math" w:cs="Times New Roman"/>
                  </w:rPr>
                  <m:t>x</m:t>
                </m:r>
              </m:e>
              <m:sub>
                <m:r>
                  <w:rPr>
                    <w:rFonts w:ascii="Cambria Math" w:hAnsi="Cambria Math" w:cs="Times New Roman"/>
                  </w:rPr>
                  <m:t>ij</m:t>
                </m:r>
              </m:sub>
            </m:sSub>
          </m:e>
        </m:nary>
        <m:r>
          <w:rPr>
            <w:rFonts w:ascii="Cambria Math" w:eastAsia="Cambria Math" w:hAnsi="Times New Roman" w:cs="Times New Roman"/>
          </w:rPr>
          <m:t xml:space="preserve">= </m:t>
        </m:r>
        <m:sSub>
          <m:sSubPr>
            <m:ctrlPr>
              <w:rPr>
                <w:rFonts w:ascii="Cambria Math" w:eastAsia="Cambria Math" w:hAnsi="Times New Roman" w:cs="Times New Roman"/>
                <w:i/>
              </w:rPr>
            </m:ctrlPr>
          </m:sSubPr>
          <m:e>
            <m:r>
              <w:rPr>
                <w:rFonts w:ascii="Cambria Math" w:eastAsia="Cambria Math" w:hAnsi="Cambria Math" w:cs="Times New Roman"/>
              </w:rPr>
              <m:t>d</m:t>
            </m:r>
          </m:e>
          <m:sub>
            <m:r>
              <w:rPr>
                <w:rFonts w:ascii="Cambria Math" w:eastAsia="Cambria Math" w:hAnsi="Cambria Math" w:cs="Times New Roman"/>
              </w:rPr>
              <m:t>i</m:t>
            </m:r>
          </m:sub>
        </m:sSub>
        <m:r>
          <w:rPr>
            <w:rFonts w:ascii="Cambria Math" w:eastAsia="Cambria Math" w:hAnsi="Times New Roman" w:cs="Times New Roman"/>
          </w:rPr>
          <m:t xml:space="preserve">,   </m:t>
        </m:r>
        <m:sSub>
          <m:sSubPr>
            <m:ctrlPr>
              <w:rPr>
                <w:rFonts w:ascii="Cambria Math" w:eastAsia="Cambria Math" w:hAnsi="Times New Roman" w:cs="Times New Roman"/>
                <w:i/>
              </w:rPr>
            </m:ctrlPr>
          </m:sSubPr>
          <m:e>
            <m:r>
              <w:rPr>
                <w:rFonts w:ascii="Cambria Math" w:eastAsia="Cambria Math" w:hAnsi="Cambria Math" w:cs="Times New Roman"/>
              </w:rPr>
              <m:t>x</m:t>
            </m:r>
          </m:e>
          <m:sub>
            <m:r>
              <w:rPr>
                <w:rFonts w:ascii="Cambria Math" w:eastAsia="Cambria Math" w:hAnsi="Cambria Math" w:cs="Times New Roman"/>
              </w:rPr>
              <m:t>ij</m:t>
            </m:r>
          </m:sub>
        </m:sSub>
        <m:r>
          <w:rPr>
            <w:rFonts w:ascii="Cambria Math" w:eastAsia="Cambria Math" w:hAnsi="Times New Roman" w:cs="Times New Roman"/>
          </w:rPr>
          <m:t>≥</m:t>
        </m:r>
        <m:r>
          <w:rPr>
            <w:rFonts w:ascii="Cambria Math" w:eastAsia="Cambria Math" w:hAnsi="Times New Roman" w:cs="Times New Roman"/>
          </w:rPr>
          <m:t>0</m:t>
        </m:r>
      </m:oMath>
      <w:r w:rsidR="001820AE" w:rsidRPr="00E50167">
        <w:rPr>
          <w:rFonts w:ascii="Times New Roman" w:eastAsiaTheme="minorEastAsia" w:hAnsi="Times New Roman" w:cs="Times New Roman"/>
        </w:rPr>
        <w:t>-</w:t>
      </w:r>
      <w:r w:rsidR="001820AE" w:rsidRPr="00E50167">
        <w:rPr>
          <w:rFonts w:ascii="Times New Roman" w:eastAsiaTheme="minorEastAsia" w:hAnsi="Times New Roman" w:cs="Times New Roman"/>
        </w:rPr>
        <w:tab/>
        <w:t>-</w:t>
      </w:r>
      <w:r w:rsidR="001820AE" w:rsidRPr="00E50167">
        <w:rPr>
          <w:rFonts w:ascii="Times New Roman" w:eastAsiaTheme="minorEastAsia" w:hAnsi="Times New Roman" w:cs="Times New Roman"/>
        </w:rPr>
        <w:tab/>
        <w:t>-ii</w:t>
      </w:r>
    </w:p>
    <w:p w14:paraId="4E793920" w14:textId="77777777" w:rsidR="00301080" w:rsidRPr="00286B41" w:rsidRDefault="00301080" w:rsidP="00503285">
      <w:pPr>
        <w:spacing w:line="240" w:lineRule="auto"/>
        <w:rPr>
          <w:rFonts w:ascii="Times New Roman" w:hAnsi="Times New Roman" w:cs="Times New Roman"/>
          <w:b/>
        </w:rPr>
      </w:pPr>
      <w:r w:rsidRPr="00286B41">
        <w:rPr>
          <w:rFonts w:ascii="Times New Roman" w:hAnsi="Times New Roman" w:cs="Times New Roman"/>
          <w:b/>
        </w:rPr>
        <w:t>Initial feasible solutions are generated using:</w:t>
      </w:r>
    </w:p>
    <w:p w14:paraId="1B91682E" w14:textId="77777777" w:rsidR="00301080" w:rsidRPr="003815EB" w:rsidRDefault="00301080" w:rsidP="002B4D35">
      <w:pPr>
        <w:numPr>
          <w:ilvl w:val="0"/>
          <w:numId w:val="11"/>
        </w:numPr>
        <w:spacing w:after="0" w:line="240" w:lineRule="auto"/>
        <w:rPr>
          <w:rFonts w:ascii="Times New Roman" w:hAnsi="Times New Roman" w:cs="Times New Roman"/>
        </w:rPr>
      </w:pPr>
      <w:r w:rsidRPr="003815EB">
        <w:rPr>
          <w:rFonts w:ascii="Times New Roman" w:hAnsi="Times New Roman" w:cs="Times New Roman"/>
        </w:rPr>
        <w:t>Northwest Corner Method (Charnes &amp; Cooper, 1954)</w:t>
      </w:r>
    </w:p>
    <w:p w14:paraId="3456613D" w14:textId="77777777" w:rsidR="00301080" w:rsidRPr="003815EB" w:rsidRDefault="00301080" w:rsidP="002B4D35">
      <w:pPr>
        <w:numPr>
          <w:ilvl w:val="0"/>
          <w:numId w:val="11"/>
        </w:numPr>
        <w:spacing w:after="0" w:line="240" w:lineRule="auto"/>
        <w:rPr>
          <w:rFonts w:ascii="Times New Roman" w:hAnsi="Times New Roman" w:cs="Times New Roman"/>
        </w:rPr>
      </w:pPr>
      <w:r w:rsidRPr="003815EB">
        <w:rPr>
          <w:rFonts w:ascii="Times New Roman" w:hAnsi="Times New Roman" w:cs="Times New Roman"/>
        </w:rPr>
        <w:t>Least Cost Method (</w:t>
      </w:r>
      <w:r w:rsidRPr="002B4D35">
        <w:rPr>
          <w:rFonts w:ascii="Times New Roman" w:hAnsi="Times New Roman" w:cs="Times New Roman"/>
        </w:rPr>
        <w:t>Reinfeld &amp; Vogel, 1958)</w:t>
      </w:r>
    </w:p>
    <w:p w14:paraId="70DD214C" w14:textId="77777777" w:rsidR="00301080" w:rsidRPr="003815EB" w:rsidRDefault="00301080" w:rsidP="002B4D35">
      <w:pPr>
        <w:numPr>
          <w:ilvl w:val="0"/>
          <w:numId w:val="11"/>
        </w:numPr>
        <w:spacing w:after="0" w:line="240" w:lineRule="auto"/>
        <w:rPr>
          <w:rFonts w:ascii="Times New Roman" w:hAnsi="Times New Roman" w:cs="Times New Roman"/>
        </w:rPr>
      </w:pPr>
      <w:r w:rsidRPr="003815EB">
        <w:rPr>
          <w:rFonts w:ascii="Times New Roman" w:hAnsi="Times New Roman" w:cs="Times New Roman"/>
        </w:rPr>
        <w:t>Vogel’s Approximation Method (Vogel, 1958)</w:t>
      </w:r>
    </w:p>
    <w:p w14:paraId="6E534D07" w14:textId="77777777" w:rsidR="00301080" w:rsidRPr="003815EB" w:rsidRDefault="00301080" w:rsidP="002B4D35">
      <w:pPr>
        <w:spacing w:after="0" w:line="240" w:lineRule="auto"/>
        <w:rPr>
          <w:rFonts w:ascii="Times New Roman" w:hAnsi="Times New Roman" w:cs="Times New Roman"/>
        </w:rPr>
      </w:pPr>
      <w:r w:rsidRPr="003815EB">
        <w:rPr>
          <w:rFonts w:ascii="Times New Roman" w:hAnsi="Times New Roman" w:cs="Times New Roman"/>
        </w:rPr>
        <w:t>Optimality is verified via the Modified Distribution (MODI) method (Dantzig, 1963).</w:t>
      </w:r>
    </w:p>
    <w:p w14:paraId="0CBEFF74" w14:textId="77777777" w:rsidR="00301080" w:rsidRPr="00286B41" w:rsidRDefault="00301080" w:rsidP="002B4D35">
      <w:pPr>
        <w:spacing w:before="240" w:line="240" w:lineRule="auto"/>
        <w:rPr>
          <w:rFonts w:ascii="Times New Roman" w:hAnsi="Times New Roman" w:cs="Times New Roman"/>
          <w:b/>
          <w:iCs/>
        </w:rPr>
      </w:pPr>
      <w:r w:rsidRPr="00286B41">
        <w:rPr>
          <w:rFonts w:ascii="Times New Roman" w:hAnsi="Times New Roman" w:cs="Times New Roman"/>
          <w:b/>
          <w:iCs/>
        </w:rPr>
        <w:lastRenderedPageBreak/>
        <w:t>Multi-Objective Logistics Optimization</w:t>
      </w:r>
    </w:p>
    <w:p w14:paraId="165ACD00" w14:textId="77777777" w:rsidR="00301080" w:rsidRPr="003815EB" w:rsidRDefault="00301080" w:rsidP="00503285">
      <w:pPr>
        <w:spacing w:line="240" w:lineRule="auto"/>
        <w:jc w:val="both"/>
        <w:rPr>
          <w:rFonts w:ascii="Times New Roman" w:hAnsi="Times New Roman" w:cs="Times New Roman"/>
        </w:rPr>
      </w:pPr>
      <w:r w:rsidRPr="003815EB">
        <w:rPr>
          <w:rFonts w:ascii="Times New Roman" w:hAnsi="Times New Roman" w:cs="Times New Roman"/>
        </w:rPr>
        <w:t>Logistics systems must balance cost, delivery time, and reliability. Multi-objective optimization (Ehrgott, 2005) employs Pareto efficiency (</w:t>
      </w:r>
      <w:r w:rsidRPr="00F94EFF">
        <w:rPr>
          <w:rFonts w:ascii="Times New Roman" w:hAnsi="Times New Roman" w:cs="Times New Roman"/>
        </w:rPr>
        <w:t>Pareto, 1896</w:t>
      </w:r>
      <w:r w:rsidRPr="003815EB">
        <w:rPr>
          <w:rFonts w:ascii="Times New Roman" w:hAnsi="Times New Roman" w:cs="Times New Roman"/>
        </w:rPr>
        <w:t>) and scalarization techniques. Algorithms such as NSGA-II (Deb et al., 2002) and SPEA2 (Zitzler et al., 2001) demonstrate effectiveness in vehicle routing problems.</w:t>
      </w:r>
    </w:p>
    <w:p w14:paraId="347733E5" w14:textId="77777777" w:rsidR="00301080" w:rsidRPr="00286B41" w:rsidRDefault="00301080" w:rsidP="002B4D35">
      <w:pPr>
        <w:spacing w:before="240" w:after="0" w:line="240" w:lineRule="auto"/>
        <w:rPr>
          <w:rFonts w:ascii="Times New Roman" w:hAnsi="Times New Roman" w:cs="Times New Roman"/>
          <w:b/>
          <w:iCs/>
        </w:rPr>
      </w:pPr>
      <w:r w:rsidRPr="00286B41">
        <w:rPr>
          <w:rFonts w:ascii="Times New Roman" w:hAnsi="Times New Roman" w:cs="Times New Roman"/>
          <w:b/>
          <w:iCs/>
        </w:rPr>
        <w:t>Logistics in Sub-Saharan Africa</w:t>
      </w:r>
    </w:p>
    <w:p w14:paraId="5C0EA930" w14:textId="77777777" w:rsidR="00301080" w:rsidRPr="003815EB" w:rsidRDefault="00301080" w:rsidP="002B4D35">
      <w:pPr>
        <w:spacing w:before="240" w:after="0" w:line="240" w:lineRule="auto"/>
        <w:jc w:val="both"/>
        <w:rPr>
          <w:rFonts w:ascii="Times New Roman" w:hAnsi="Times New Roman" w:cs="Times New Roman"/>
        </w:rPr>
      </w:pPr>
      <w:r w:rsidRPr="003815EB">
        <w:rPr>
          <w:rFonts w:ascii="Times New Roman" w:hAnsi="Times New Roman" w:cs="Times New Roman"/>
        </w:rPr>
        <w:t>Logistics costs in Nigeria (~22% of GDP) exceed global averages (World Bank, 2020). Infrastructure deficits, volatility, and regulatory inefficiencies increase operational risk (Teravaninthorn &amp; Raballand, 2009). Existing optimization literature inadequately addresses volatile post-subsidy environments, establishing the research gap for adaptive multi-objective models.</w:t>
      </w:r>
    </w:p>
    <w:p w14:paraId="397D7DD7" w14:textId="77777777" w:rsidR="00301080" w:rsidRPr="00286B41" w:rsidRDefault="00286B41" w:rsidP="002B4D35">
      <w:pPr>
        <w:spacing w:before="240" w:line="240" w:lineRule="auto"/>
        <w:rPr>
          <w:rFonts w:ascii="Times New Roman" w:hAnsi="Times New Roman" w:cs="Times New Roman"/>
          <w:i/>
          <w:iCs/>
          <w:sz w:val="28"/>
          <w:szCs w:val="28"/>
        </w:rPr>
      </w:pPr>
      <w:r w:rsidRPr="00286B41">
        <w:rPr>
          <w:rFonts w:ascii="Times New Roman" w:hAnsi="Times New Roman" w:cs="Times New Roman"/>
          <w:b/>
          <w:bCs/>
          <w:sz w:val="28"/>
          <w:szCs w:val="28"/>
        </w:rPr>
        <w:t>MATHEMATICAL MODELING</w:t>
      </w:r>
    </w:p>
    <w:p w14:paraId="1E516E0F" w14:textId="77777777" w:rsidR="00301080" w:rsidRDefault="00301080" w:rsidP="00503285">
      <w:pPr>
        <w:spacing w:line="240" w:lineRule="auto"/>
        <w:ind w:firstLine="720"/>
        <w:rPr>
          <w:rFonts w:ascii="Times New Roman" w:hAnsi="Times New Roman" w:cs="Times New Roman"/>
        </w:rPr>
      </w:pPr>
      <w:r w:rsidRPr="003815EB">
        <w:rPr>
          <w:rFonts w:ascii="Times New Roman" w:hAnsi="Times New Roman" w:cs="Times New Roman"/>
        </w:rPr>
        <w:t>Supply (50,000 tons)</w:t>
      </w:r>
    </w:p>
    <w:p w14:paraId="34F7FDD5" w14:textId="77777777" w:rsidR="00BA43B1" w:rsidRPr="003815EB" w:rsidRDefault="00BA43B1" w:rsidP="00503285">
      <w:pPr>
        <w:spacing w:line="240" w:lineRule="auto"/>
        <w:ind w:firstLine="720"/>
        <w:rPr>
          <w:rFonts w:ascii="Times New Roman" w:hAnsi="Times New Roman" w:cs="Times New Roman"/>
        </w:rPr>
      </w:pPr>
      <w:r>
        <w:rPr>
          <w:rFonts w:ascii="Times New Roman" w:hAnsi="Times New Roman" w:cs="Times New Roman"/>
        </w:rPr>
        <w:t xml:space="preserve">The quantities for supply and sources are contained in table </w:t>
      </w:r>
    </w:p>
    <w:tbl>
      <w:tblPr>
        <w:tblStyle w:val="LightShading"/>
        <w:tblW w:w="5243" w:type="dxa"/>
        <w:tblLook w:val="0620" w:firstRow="1" w:lastRow="0" w:firstColumn="0" w:lastColumn="0" w:noHBand="1" w:noVBand="1"/>
      </w:tblPr>
      <w:tblGrid>
        <w:gridCol w:w="3114"/>
        <w:gridCol w:w="2129"/>
      </w:tblGrid>
      <w:tr w:rsidR="00301080" w:rsidRPr="003815EB" w14:paraId="3C8058CD" w14:textId="77777777" w:rsidTr="00286B41">
        <w:trPr>
          <w:cnfStyle w:val="100000000000" w:firstRow="1" w:lastRow="0" w:firstColumn="0" w:lastColumn="0" w:oddVBand="0" w:evenVBand="0" w:oddHBand="0" w:evenHBand="0" w:firstRowFirstColumn="0" w:firstRowLastColumn="0" w:lastRowFirstColumn="0" w:lastRowLastColumn="0"/>
          <w:trHeight w:val="457"/>
        </w:trPr>
        <w:tc>
          <w:tcPr>
            <w:tcW w:w="0" w:type="auto"/>
            <w:hideMark/>
          </w:tcPr>
          <w:p w14:paraId="28D199B0"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Source</w:t>
            </w:r>
          </w:p>
        </w:tc>
        <w:tc>
          <w:tcPr>
            <w:tcW w:w="0" w:type="auto"/>
            <w:hideMark/>
          </w:tcPr>
          <w:p w14:paraId="0C01CF74"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Supply</w:t>
            </w:r>
          </w:p>
        </w:tc>
      </w:tr>
      <w:tr w:rsidR="00301080" w:rsidRPr="003815EB" w14:paraId="4807C27C" w14:textId="77777777" w:rsidTr="00286B41">
        <w:trPr>
          <w:trHeight w:val="471"/>
        </w:trPr>
        <w:tc>
          <w:tcPr>
            <w:tcW w:w="0" w:type="auto"/>
            <w:hideMark/>
          </w:tcPr>
          <w:p w14:paraId="22DB8B23"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Northern</w:t>
            </w:r>
          </w:p>
        </w:tc>
        <w:tc>
          <w:tcPr>
            <w:tcW w:w="0" w:type="auto"/>
            <w:hideMark/>
          </w:tcPr>
          <w:p w14:paraId="5B758F4F"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15,000</w:t>
            </w:r>
          </w:p>
        </w:tc>
      </w:tr>
      <w:tr w:rsidR="00301080" w:rsidRPr="003815EB" w14:paraId="4AF2A130" w14:textId="77777777" w:rsidTr="00286B41">
        <w:trPr>
          <w:trHeight w:val="457"/>
        </w:trPr>
        <w:tc>
          <w:tcPr>
            <w:tcW w:w="0" w:type="auto"/>
            <w:hideMark/>
          </w:tcPr>
          <w:p w14:paraId="6CBCE164"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Middle Belt</w:t>
            </w:r>
          </w:p>
        </w:tc>
        <w:tc>
          <w:tcPr>
            <w:tcW w:w="0" w:type="auto"/>
            <w:hideMark/>
          </w:tcPr>
          <w:p w14:paraId="251FAB12"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12,000</w:t>
            </w:r>
          </w:p>
        </w:tc>
      </w:tr>
      <w:tr w:rsidR="00301080" w:rsidRPr="003815EB" w14:paraId="6F36C0EA" w14:textId="77777777" w:rsidTr="00286B41">
        <w:trPr>
          <w:trHeight w:val="457"/>
        </w:trPr>
        <w:tc>
          <w:tcPr>
            <w:tcW w:w="0" w:type="auto"/>
            <w:hideMark/>
          </w:tcPr>
          <w:p w14:paraId="591E8B7F"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Southern</w:t>
            </w:r>
          </w:p>
        </w:tc>
        <w:tc>
          <w:tcPr>
            <w:tcW w:w="0" w:type="auto"/>
            <w:hideMark/>
          </w:tcPr>
          <w:p w14:paraId="03DA77E8"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10,000</w:t>
            </w:r>
          </w:p>
        </w:tc>
      </w:tr>
      <w:tr w:rsidR="00301080" w:rsidRPr="003815EB" w14:paraId="1B265F96" w14:textId="77777777" w:rsidTr="00286B41">
        <w:trPr>
          <w:trHeight w:val="457"/>
        </w:trPr>
        <w:tc>
          <w:tcPr>
            <w:tcW w:w="0" w:type="auto"/>
            <w:hideMark/>
          </w:tcPr>
          <w:p w14:paraId="2293D5B5"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Eastern</w:t>
            </w:r>
          </w:p>
        </w:tc>
        <w:tc>
          <w:tcPr>
            <w:tcW w:w="0" w:type="auto"/>
            <w:hideMark/>
          </w:tcPr>
          <w:p w14:paraId="1C7A4E9B"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13,000</w:t>
            </w:r>
          </w:p>
        </w:tc>
      </w:tr>
    </w:tbl>
    <w:p w14:paraId="2A2DB7B7" w14:textId="77777777" w:rsidR="00971BFF" w:rsidRDefault="00F97AA8" w:rsidP="00503285">
      <w:pPr>
        <w:spacing w:line="240" w:lineRule="auto"/>
        <w:rPr>
          <w:rFonts w:ascii="Times New Roman" w:hAnsi="Times New Roman" w:cs="Times New Roman"/>
        </w:rPr>
      </w:pPr>
      <w:r w:rsidRPr="003815EB">
        <w:rPr>
          <w:rFonts w:ascii="Times New Roman" w:hAnsi="Times New Roman" w:cs="Times New Roman"/>
        </w:rPr>
        <w:t>Table1: Supply Table</w:t>
      </w:r>
    </w:p>
    <w:p w14:paraId="36EDA021" w14:textId="77777777" w:rsidR="00BA43B1" w:rsidRPr="003815EB" w:rsidRDefault="00BA43B1" w:rsidP="00503285">
      <w:pPr>
        <w:spacing w:line="240" w:lineRule="auto"/>
        <w:rPr>
          <w:rFonts w:ascii="Times New Roman" w:hAnsi="Times New Roman" w:cs="Times New Roman"/>
        </w:rPr>
      </w:pPr>
      <w:r>
        <w:rPr>
          <w:rFonts w:ascii="Times New Roman" w:hAnsi="Times New Roman" w:cs="Times New Roman"/>
        </w:rPr>
        <w:t>The quantity in demand and destinations are displayed in table 2.</w:t>
      </w:r>
    </w:p>
    <w:p w14:paraId="5524D1C0" w14:textId="77777777" w:rsidR="00301080" w:rsidRPr="003815EB" w:rsidRDefault="00301080" w:rsidP="00503285">
      <w:pPr>
        <w:spacing w:line="240" w:lineRule="auto"/>
        <w:ind w:firstLine="720"/>
        <w:rPr>
          <w:rFonts w:ascii="Times New Roman" w:hAnsi="Times New Roman" w:cs="Times New Roman"/>
        </w:rPr>
      </w:pPr>
      <w:r w:rsidRPr="003815EB">
        <w:rPr>
          <w:rFonts w:ascii="Times New Roman" w:hAnsi="Times New Roman" w:cs="Times New Roman"/>
        </w:rPr>
        <w:t>Demand (50,000 tons)</w:t>
      </w:r>
    </w:p>
    <w:tbl>
      <w:tblPr>
        <w:tblStyle w:val="LightShading"/>
        <w:tblW w:w="5200" w:type="dxa"/>
        <w:tblLook w:val="0620" w:firstRow="1" w:lastRow="0" w:firstColumn="0" w:lastColumn="0" w:noHBand="1" w:noVBand="1"/>
      </w:tblPr>
      <w:tblGrid>
        <w:gridCol w:w="3044"/>
        <w:gridCol w:w="2156"/>
      </w:tblGrid>
      <w:tr w:rsidR="00301080" w:rsidRPr="003815EB" w14:paraId="2C22702E" w14:textId="77777777" w:rsidTr="00286B41">
        <w:trPr>
          <w:cnfStyle w:val="100000000000" w:firstRow="1" w:lastRow="0" w:firstColumn="0" w:lastColumn="0" w:oddVBand="0" w:evenVBand="0" w:oddHBand="0" w:evenHBand="0" w:firstRowFirstColumn="0" w:firstRowLastColumn="0" w:lastRowFirstColumn="0" w:lastRowLastColumn="0"/>
          <w:trHeight w:val="458"/>
        </w:trPr>
        <w:tc>
          <w:tcPr>
            <w:tcW w:w="0" w:type="auto"/>
            <w:hideMark/>
          </w:tcPr>
          <w:p w14:paraId="008FA2B2"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Destination</w:t>
            </w:r>
          </w:p>
        </w:tc>
        <w:tc>
          <w:tcPr>
            <w:tcW w:w="0" w:type="auto"/>
            <w:hideMark/>
          </w:tcPr>
          <w:p w14:paraId="21614861"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Demand</w:t>
            </w:r>
          </w:p>
        </w:tc>
      </w:tr>
      <w:tr w:rsidR="00301080" w:rsidRPr="003815EB" w14:paraId="40319861" w14:textId="77777777" w:rsidTr="00286B41">
        <w:trPr>
          <w:trHeight w:val="458"/>
        </w:trPr>
        <w:tc>
          <w:tcPr>
            <w:tcW w:w="0" w:type="auto"/>
            <w:hideMark/>
          </w:tcPr>
          <w:p w14:paraId="403669DE"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Lagos</w:t>
            </w:r>
          </w:p>
        </w:tc>
        <w:tc>
          <w:tcPr>
            <w:tcW w:w="0" w:type="auto"/>
            <w:hideMark/>
          </w:tcPr>
          <w:p w14:paraId="028840FB"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12,000</w:t>
            </w:r>
          </w:p>
        </w:tc>
      </w:tr>
      <w:tr w:rsidR="00301080" w:rsidRPr="00587E32" w14:paraId="4E9AD415" w14:textId="77777777" w:rsidTr="00286B41">
        <w:trPr>
          <w:trHeight w:val="458"/>
        </w:trPr>
        <w:tc>
          <w:tcPr>
            <w:tcW w:w="0" w:type="auto"/>
            <w:hideMark/>
          </w:tcPr>
          <w:p w14:paraId="49AF87BF" w14:textId="77777777" w:rsidR="00301080" w:rsidRPr="00587E32" w:rsidRDefault="00301080" w:rsidP="00503285">
            <w:pPr>
              <w:spacing w:after="160"/>
              <w:rPr>
                <w:rFonts w:ascii="Times New Roman" w:hAnsi="Times New Roman" w:cs="Times New Roman"/>
              </w:rPr>
            </w:pPr>
            <w:r w:rsidRPr="00587E32">
              <w:rPr>
                <w:rFonts w:ascii="Times New Roman" w:hAnsi="Times New Roman" w:cs="Times New Roman"/>
              </w:rPr>
              <w:t>Kano</w:t>
            </w:r>
          </w:p>
        </w:tc>
        <w:tc>
          <w:tcPr>
            <w:tcW w:w="0" w:type="auto"/>
            <w:hideMark/>
          </w:tcPr>
          <w:p w14:paraId="6DF7984E" w14:textId="77777777" w:rsidR="00301080" w:rsidRPr="00587E32" w:rsidRDefault="00301080" w:rsidP="00503285">
            <w:pPr>
              <w:spacing w:after="160"/>
              <w:rPr>
                <w:rFonts w:ascii="Times New Roman" w:hAnsi="Times New Roman" w:cs="Times New Roman"/>
              </w:rPr>
            </w:pPr>
            <w:r w:rsidRPr="00587E32">
              <w:rPr>
                <w:rFonts w:ascii="Times New Roman" w:hAnsi="Times New Roman" w:cs="Times New Roman"/>
              </w:rPr>
              <w:t>10,000</w:t>
            </w:r>
          </w:p>
        </w:tc>
      </w:tr>
      <w:tr w:rsidR="00301080" w:rsidRPr="00587E32" w14:paraId="5EC8E2B8" w14:textId="77777777" w:rsidTr="00286B41">
        <w:trPr>
          <w:trHeight w:val="458"/>
        </w:trPr>
        <w:tc>
          <w:tcPr>
            <w:tcW w:w="0" w:type="auto"/>
            <w:hideMark/>
          </w:tcPr>
          <w:p w14:paraId="24C70B43" w14:textId="77777777" w:rsidR="00301080" w:rsidRPr="00587E32" w:rsidRDefault="00301080" w:rsidP="00503285">
            <w:pPr>
              <w:spacing w:after="160"/>
              <w:rPr>
                <w:rFonts w:ascii="Times New Roman" w:hAnsi="Times New Roman" w:cs="Times New Roman"/>
              </w:rPr>
            </w:pPr>
            <w:r w:rsidRPr="00587E32">
              <w:rPr>
                <w:rFonts w:ascii="Times New Roman" w:hAnsi="Times New Roman" w:cs="Times New Roman"/>
              </w:rPr>
              <w:t>Port Harcourt</w:t>
            </w:r>
          </w:p>
        </w:tc>
        <w:tc>
          <w:tcPr>
            <w:tcW w:w="0" w:type="auto"/>
            <w:hideMark/>
          </w:tcPr>
          <w:p w14:paraId="0307D6D2" w14:textId="77777777" w:rsidR="00301080" w:rsidRPr="00587E32" w:rsidRDefault="00301080" w:rsidP="00503285">
            <w:pPr>
              <w:spacing w:after="160"/>
              <w:rPr>
                <w:rFonts w:ascii="Times New Roman" w:hAnsi="Times New Roman" w:cs="Times New Roman"/>
              </w:rPr>
            </w:pPr>
            <w:r w:rsidRPr="00587E32">
              <w:rPr>
                <w:rFonts w:ascii="Times New Roman" w:hAnsi="Times New Roman" w:cs="Times New Roman"/>
              </w:rPr>
              <w:t>8,000</w:t>
            </w:r>
          </w:p>
        </w:tc>
      </w:tr>
      <w:tr w:rsidR="00301080" w:rsidRPr="00587E32" w14:paraId="50B3F1AA" w14:textId="77777777" w:rsidTr="00286B41">
        <w:trPr>
          <w:trHeight w:val="458"/>
        </w:trPr>
        <w:tc>
          <w:tcPr>
            <w:tcW w:w="0" w:type="auto"/>
            <w:hideMark/>
          </w:tcPr>
          <w:p w14:paraId="5BAEA208" w14:textId="77777777" w:rsidR="00301080" w:rsidRPr="00587E32" w:rsidRDefault="00301080" w:rsidP="00503285">
            <w:pPr>
              <w:spacing w:after="160"/>
              <w:rPr>
                <w:rFonts w:ascii="Times New Roman" w:hAnsi="Times New Roman" w:cs="Times New Roman"/>
              </w:rPr>
            </w:pPr>
            <w:r w:rsidRPr="00587E32">
              <w:rPr>
                <w:rFonts w:ascii="Times New Roman" w:hAnsi="Times New Roman" w:cs="Times New Roman"/>
              </w:rPr>
              <w:t>Abuja</w:t>
            </w:r>
          </w:p>
        </w:tc>
        <w:tc>
          <w:tcPr>
            <w:tcW w:w="0" w:type="auto"/>
            <w:hideMark/>
          </w:tcPr>
          <w:p w14:paraId="558B010B" w14:textId="77777777" w:rsidR="00301080" w:rsidRPr="00587E32" w:rsidRDefault="00301080" w:rsidP="00503285">
            <w:pPr>
              <w:spacing w:after="160"/>
              <w:rPr>
                <w:rFonts w:ascii="Times New Roman" w:hAnsi="Times New Roman" w:cs="Times New Roman"/>
              </w:rPr>
            </w:pPr>
            <w:r w:rsidRPr="00587E32">
              <w:rPr>
                <w:rFonts w:ascii="Times New Roman" w:hAnsi="Times New Roman" w:cs="Times New Roman"/>
              </w:rPr>
              <w:t>11,000</w:t>
            </w:r>
          </w:p>
        </w:tc>
      </w:tr>
      <w:tr w:rsidR="00301080" w:rsidRPr="00587E32" w14:paraId="0F78D427" w14:textId="77777777" w:rsidTr="00286B41">
        <w:trPr>
          <w:trHeight w:val="444"/>
        </w:trPr>
        <w:tc>
          <w:tcPr>
            <w:tcW w:w="0" w:type="auto"/>
            <w:hideMark/>
          </w:tcPr>
          <w:p w14:paraId="224AEB77" w14:textId="77777777" w:rsidR="00301080" w:rsidRPr="00587E32" w:rsidRDefault="00301080" w:rsidP="00503285">
            <w:pPr>
              <w:spacing w:after="160"/>
              <w:rPr>
                <w:rFonts w:ascii="Times New Roman" w:hAnsi="Times New Roman" w:cs="Times New Roman"/>
              </w:rPr>
            </w:pPr>
            <w:r w:rsidRPr="00587E32">
              <w:rPr>
                <w:rFonts w:ascii="Times New Roman" w:hAnsi="Times New Roman" w:cs="Times New Roman"/>
              </w:rPr>
              <w:t>Ibadan</w:t>
            </w:r>
          </w:p>
        </w:tc>
        <w:tc>
          <w:tcPr>
            <w:tcW w:w="0" w:type="auto"/>
            <w:hideMark/>
          </w:tcPr>
          <w:p w14:paraId="2F37EC81" w14:textId="77777777" w:rsidR="00301080" w:rsidRPr="00587E32" w:rsidRDefault="00301080" w:rsidP="00503285">
            <w:pPr>
              <w:spacing w:after="160"/>
              <w:rPr>
                <w:rFonts w:ascii="Times New Roman" w:hAnsi="Times New Roman" w:cs="Times New Roman"/>
              </w:rPr>
            </w:pPr>
            <w:r w:rsidRPr="00587E32">
              <w:rPr>
                <w:rFonts w:ascii="Times New Roman" w:hAnsi="Times New Roman" w:cs="Times New Roman"/>
              </w:rPr>
              <w:t>9,000</w:t>
            </w:r>
          </w:p>
        </w:tc>
      </w:tr>
    </w:tbl>
    <w:p w14:paraId="296F93FE" w14:textId="77777777" w:rsidR="00F97AA8" w:rsidRPr="00587E32" w:rsidRDefault="00F97AA8" w:rsidP="00503285">
      <w:pPr>
        <w:spacing w:line="240" w:lineRule="auto"/>
        <w:rPr>
          <w:rFonts w:ascii="Times New Roman" w:hAnsi="Times New Roman" w:cs="Times New Roman"/>
        </w:rPr>
      </w:pPr>
      <w:r w:rsidRPr="00587E32">
        <w:rPr>
          <w:rFonts w:ascii="Times New Roman" w:hAnsi="Times New Roman" w:cs="Times New Roman"/>
        </w:rPr>
        <w:t>Table 2: Demand Table</w:t>
      </w:r>
    </w:p>
    <w:p w14:paraId="388D371D" w14:textId="77777777" w:rsidR="00301080" w:rsidRPr="00286B41" w:rsidRDefault="00301080" w:rsidP="00286B41">
      <w:pPr>
        <w:spacing w:before="240" w:line="240" w:lineRule="auto"/>
        <w:rPr>
          <w:rFonts w:ascii="Times New Roman" w:hAnsi="Times New Roman" w:cs="Times New Roman"/>
          <w:b/>
          <w:iCs/>
        </w:rPr>
      </w:pPr>
      <w:r w:rsidRPr="00286B41">
        <w:rPr>
          <w:rFonts w:ascii="Times New Roman" w:hAnsi="Times New Roman" w:cs="Times New Roman"/>
          <w:b/>
          <w:iCs/>
        </w:rPr>
        <w:t>Classical Methods Evaluation</w:t>
      </w:r>
    </w:p>
    <w:p w14:paraId="1C882416" w14:textId="77777777" w:rsidR="009E439C" w:rsidRPr="00587E32" w:rsidRDefault="00301080" w:rsidP="00286B41">
      <w:pPr>
        <w:spacing w:before="240" w:line="240" w:lineRule="auto"/>
        <w:rPr>
          <w:rFonts w:ascii="Times New Roman" w:hAnsi="Times New Roman" w:cs="Times New Roman"/>
        </w:rPr>
      </w:pPr>
      <w:r w:rsidRPr="00587E32">
        <w:rPr>
          <w:rFonts w:ascii="Times New Roman" w:hAnsi="Times New Roman" w:cs="Times New Roman"/>
          <w:i/>
          <w:iCs/>
        </w:rPr>
        <w:lastRenderedPageBreak/>
        <w:t>Northwest Corner Method</w:t>
      </w:r>
      <w:r w:rsidR="00BA43B1" w:rsidRPr="00587E32">
        <w:rPr>
          <w:rFonts w:ascii="Times New Roman" w:hAnsi="Times New Roman" w:cs="Times New Roman"/>
          <w:i/>
          <w:iCs/>
        </w:rPr>
        <w:t xml:space="preserve">, </w:t>
      </w:r>
      <m:oMath>
        <m:sSub>
          <m:sSubPr>
            <m:ctrlPr>
              <w:rPr>
                <w:rFonts w:ascii="Cambria Math" w:hAnsi="Times New Roman" w:cs="Times New Roman"/>
                <w:i/>
              </w:rPr>
            </m:ctrlPr>
          </m:sSubPr>
          <m:e>
            <m:r>
              <w:rPr>
                <w:rFonts w:ascii="Cambria Math" w:hAnsi="Cambria Math" w:cs="Times New Roman"/>
              </w:rPr>
              <m:t>Z</m:t>
            </m:r>
          </m:e>
          <m:sub>
            <m:r>
              <w:rPr>
                <w:rFonts w:ascii="Cambria Math" w:hAnsi="Cambria Math" w:cs="Times New Roman"/>
              </w:rPr>
              <m:t>NWCM</m:t>
            </m:r>
          </m:sub>
        </m:sSub>
        <m:r>
          <w:rPr>
            <w:rFonts w:ascii="Cambria Math" w:hAnsi="Times New Roman" w:cs="Times New Roman"/>
          </w:rPr>
          <m:t>=</m:t>
        </m:r>
        <m:r>
          <w:rPr>
            <w:rFonts w:ascii="Cambria Math" w:hAnsi="Times New Roman" w:cs="Times New Roman"/>
          </w:rPr>
          <m:t>₦</m:t>
        </m:r>
        <m:r>
          <w:rPr>
            <w:rFonts w:ascii="Cambria Math" w:hAnsi="Times New Roman" w:cs="Times New Roman"/>
          </w:rPr>
          <m:t>306,500,000</m:t>
        </m:r>
      </m:oMath>
    </w:p>
    <w:p w14:paraId="2DDD1D96" w14:textId="77777777" w:rsidR="004655D2" w:rsidRPr="00587E32" w:rsidRDefault="00301080" w:rsidP="002B4D35">
      <w:pPr>
        <w:spacing w:after="0" w:line="240" w:lineRule="auto"/>
        <w:rPr>
          <w:rFonts w:ascii="Times New Roman" w:hAnsi="Times New Roman" w:cs="Times New Roman"/>
        </w:rPr>
      </w:pPr>
      <w:r w:rsidRPr="00587E32">
        <w:rPr>
          <w:rFonts w:ascii="Times New Roman" w:hAnsi="Times New Roman" w:cs="Times New Roman"/>
          <w:i/>
          <w:iCs/>
        </w:rPr>
        <w:t>Least Cost Method</w:t>
      </w:r>
      <w:r w:rsidR="00BA43B1" w:rsidRPr="00587E32">
        <w:rPr>
          <w:rFonts w:ascii="Times New Roman" w:hAnsi="Times New Roman" w:cs="Times New Roman"/>
          <w:i/>
          <w:iCs/>
        </w:rPr>
        <w:t xml:space="preserve">,  </w:t>
      </w:r>
      <m:oMath>
        <m:sSub>
          <m:sSubPr>
            <m:ctrlPr>
              <w:rPr>
                <w:rFonts w:ascii="Cambria Math" w:hAnsi="Times New Roman" w:cs="Times New Roman"/>
                <w:i/>
              </w:rPr>
            </m:ctrlPr>
          </m:sSubPr>
          <m:e>
            <m:r>
              <w:rPr>
                <w:rFonts w:ascii="Cambria Math" w:hAnsi="Cambria Math" w:cs="Times New Roman"/>
              </w:rPr>
              <m:t>Z</m:t>
            </m:r>
          </m:e>
          <m:sub>
            <m:r>
              <w:rPr>
                <w:rFonts w:ascii="Cambria Math" w:hAnsi="Cambria Math" w:cs="Times New Roman"/>
              </w:rPr>
              <m:t>LCM</m:t>
            </m:r>
          </m:sub>
        </m:sSub>
        <m:r>
          <w:rPr>
            <w:rFonts w:ascii="Cambria Math" w:hAnsi="Times New Roman" w:cs="Times New Roman"/>
          </w:rPr>
          <m:t>=</m:t>
        </m:r>
        <m:r>
          <w:rPr>
            <w:rFonts w:ascii="Cambria Math" w:hAnsi="Times New Roman" w:cs="Times New Roman"/>
          </w:rPr>
          <m:t>₦</m:t>
        </m:r>
        <m:r>
          <w:rPr>
            <w:rFonts w:ascii="Cambria Math" w:hAnsi="Times New Roman" w:cs="Times New Roman"/>
          </w:rPr>
          <m:t>196,500,000</m:t>
        </m:r>
      </m:oMath>
    </w:p>
    <w:p w14:paraId="16C4C2CF" w14:textId="77777777" w:rsidR="00301080" w:rsidRPr="00587E32" w:rsidRDefault="00301080" w:rsidP="002B4D35">
      <w:pPr>
        <w:spacing w:after="0" w:line="240" w:lineRule="auto"/>
        <w:rPr>
          <w:rFonts w:ascii="Times New Roman" w:hAnsi="Times New Roman" w:cs="Times New Roman"/>
        </w:rPr>
      </w:pPr>
      <w:r w:rsidRPr="00587E32">
        <w:rPr>
          <w:rFonts w:ascii="Times New Roman" w:hAnsi="Times New Roman" w:cs="Times New Roman"/>
        </w:rPr>
        <w:t>37.8% reduction vs NWCM.</w:t>
      </w:r>
    </w:p>
    <w:p w14:paraId="15724556" w14:textId="77777777" w:rsidR="004655D2" w:rsidRPr="00587E32" w:rsidRDefault="00301080" w:rsidP="002B4D35">
      <w:pPr>
        <w:spacing w:after="0" w:line="240" w:lineRule="auto"/>
        <w:rPr>
          <w:rFonts w:ascii="Times New Roman" w:eastAsiaTheme="minorEastAsia" w:hAnsi="Times New Roman" w:cs="Times New Roman"/>
        </w:rPr>
      </w:pPr>
      <w:r w:rsidRPr="00587E32">
        <w:rPr>
          <w:rFonts w:ascii="Times New Roman" w:hAnsi="Times New Roman" w:cs="Times New Roman"/>
          <w:i/>
          <w:iCs/>
        </w:rPr>
        <w:t>Vogel’s Approximation Method</w:t>
      </w:r>
      <w:r w:rsidR="00BA43B1" w:rsidRPr="00587E32">
        <w:rPr>
          <w:rFonts w:ascii="Times New Roman" w:hAnsi="Times New Roman" w:cs="Times New Roman"/>
          <w:i/>
          <w:iCs/>
        </w:rPr>
        <w:t xml:space="preserve">, </w:t>
      </w:r>
      <m:oMath>
        <m:sSub>
          <m:sSubPr>
            <m:ctrlPr>
              <w:rPr>
                <w:rFonts w:ascii="Cambria Math" w:hAnsi="Times New Roman" w:cs="Times New Roman"/>
                <w:i/>
              </w:rPr>
            </m:ctrlPr>
          </m:sSubPr>
          <m:e>
            <m:r>
              <w:rPr>
                <w:rFonts w:ascii="Cambria Math" w:hAnsi="Cambria Math" w:cs="Times New Roman"/>
              </w:rPr>
              <m:t>Z</m:t>
            </m:r>
          </m:e>
          <m:sub>
            <m:r>
              <w:rPr>
                <w:rFonts w:ascii="Cambria Math" w:hAnsi="Cambria Math" w:cs="Times New Roman"/>
              </w:rPr>
              <m:t>VAM</m:t>
            </m:r>
          </m:sub>
        </m:sSub>
        <m:r>
          <w:rPr>
            <w:rFonts w:ascii="Cambria Math" w:hAnsi="Times New Roman" w:cs="Times New Roman"/>
          </w:rPr>
          <m:t>=</m:t>
        </m:r>
        <m:r>
          <w:rPr>
            <w:rFonts w:ascii="Cambria Math" w:hAnsi="Times New Roman" w:cs="Times New Roman"/>
          </w:rPr>
          <m:t>₦</m:t>
        </m:r>
        <m:r>
          <w:rPr>
            <w:rFonts w:ascii="Cambria Math" w:hAnsi="Times New Roman" w:cs="Times New Roman"/>
          </w:rPr>
          <m:t>192,000,000</m:t>
        </m:r>
      </m:oMath>
    </w:p>
    <w:p w14:paraId="5BDAA851" w14:textId="77777777" w:rsidR="00301080" w:rsidRPr="00587E32" w:rsidRDefault="00301080" w:rsidP="002B4D35">
      <w:pPr>
        <w:spacing w:after="0" w:line="240" w:lineRule="auto"/>
        <w:rPr>
          <w:rFonts w:ascii="Times New Roman" w:hAnsi="Times New Roman" w:cs="Times New Roman"/>
        </w:rPr>
      </w:pPr>
      <w:r w:rsidRPr="00587E32">
        <w:rPr>
          <w:rFonts w:ascii="Times New Roman" w:hAnsi="Times New Roman" w:cs="Times New Roman"/>
        </w:rPr>
        <w:t>37.4% reduction vs NWCM.</w:t>
      </w:r>
    </w:p>
    <w:p w14:paraId="6E780E7A" w14:textId="77777777" w:rsidR="00301080" w:rsidRPr="00587E32" w:rsidRDefault="00301080" w:rsidP="002B4D35">
      <w:pPr>
        <w:spacing w:after="0" w:line="240" w:lineRule="auto"/>
        <w:rPr>
          <w:rFonts w:ascii="Times New Roman" w:hAnsi="Times New Roman" w:cs="Times New Roman"/>
        </w:rPr>
      </w:pPr>
      <w:r w:rsidRPr="00587E32">
        <w:rPr>
          <w:rFonts w:ascii="Times New Roman" w:hAnsi="Times New Roman" w:cs="Times New Roman"/>
        </w:rPr>
        <w:t>MODI confirms optimality (</w:t>
      </w:r>
      <m:oMath>
        <m:sSub>
          <m:sSubPr>
            <m:ctrlPr>
              <w:rPr>
                <w:rFonts w:ascii="Cambria Math" w:hAnsi="Times New Roman" w:cs="Times New Roman"/>
                <w:i/>
              </w:rPr>
            </m:ctrlPr>
          </m:sSubPr>
          <m:e>
            <m:r>
              <w:rPr>
                <w:rFonts w:ascii="Cambria Math" w:hAnsi="Cambria Math" w:cs="Times New Roman"/>
              </w:rPr>
              <m:t>△</m:t>
            </m:r>
          </m:e>
          <m:sub>
            <m:r>
              <w:rPr>
                <w:rFonts w:ascii="Cambria Math" w:hAnsi="Cambria Math" w:cs="Times New Roman"/>
              </w:rPr>
              <m:t>ij</m:t>
            </m:r>
          </m:sub>
        </m:sSub>
        <m:r>
          <w:rPr>
            <w:rFonts w:ascii="Cambria Math" w:hAnsi="Times New Roman" w:cs="Times New Roman"/>
          </w:rPr>
          <m:t xml:space="preserve"> </m:t>
        </m:r>
        <m:r>
          <w:rPr>
            <w:rFonts w:ascii="Cambria Math" w:hAnsi="Times New Roman" w:cs="Times New Roman"/>
          </w:rPr>
          <m:t>≥</m:t>
        </m:r>
        <m:r>
          <w:rPr>
            <w:rFonts w:ascii="Cambria Math" w:hAnsi="Times New Roman" w:cs="Times New Roman"/>
          </w:rPr>
          <m:t>0</m:t>
        </m:r>
      </m:oMath>
      <w:r w:rsidRPr="00587E32">
        <w:rPr>
          <w:rFonts w:ascii="Times New Roman" w:hAnsi="Times New Roman" w:cs="Times New Roman"/>
        </w:rPr>
        <w:t>).</w:t>
      </w:r>
    </w:p>
    <w:p w14:paraId="0ED06379" w14:textId="77777777" w:rsidR="00301080" w:rsidRPr="00286B41" w:rsidRDefault="00301080" w:rsidP="002B4D35">
      <w:pPr>
        <w:spacing w:before="240" w:line="240" w:lineRule="auto"/>
        <w:rPr>
          <w:rFonts w:ascii="Times New Roman" w:hAnsi="Times New Roman" w:cs="Times New Roman"/>
          <w:b/>
          <w:iCs/>
        </w:rPr>
      </w:pPr>
      <w:r w:rsidRPr="00286B41">
        <w:rPr>
          <w:rFonts w:ascii="Times New Roman" w:hAnsi="Times New Roman" w:cs="Times New Roman"/>
          <w:b/>
          <w:iCs/>
        </w:rPr>
        <w:t>Gokir-Nannim (GN) Model</w:t>
      </w:r>
    </w:p>
    <w:p w14:paraId="6B84C3E3" w14:textId="77777777" w:rsidR="00301080" w:rsidRPr="003815EB" w:rsidRDefault="00301080" w:rsidP="002B4D35">
      <w:pPr>
        <w:spacing w:after="0" w:line="240" w:lineRule="auto"/>
        <w:ind w:firstLine="720"/>
        <w:rPr>
          <w:rFonts w:ascii="Times New Roman" w:hAnsi="Times New Roman" w:cs="Times New Roman"/>
        </w:rPr>
      </w:pPr>
      <w:r w:rsidRPr="003815EB">
        <w:rPr>
          <w:rFonts w:ascii="Times New Roman" w:hAnsi="Times New Roman" w:cs="Times New Roman"/>
        </w:rPr>
        <w:t>Extended objective:</w:t>
      </w:r>
    </w:p>
    <w:p w14:paraId="5F5BDEBD" w14:textId="77777777" w:rsidR="008A5E22" w:rsidRPr="00587E32" w:rsidRDefault="00000000" w:rsidP="002B4D35">
      <w:pPr>
        <w:spacing w:after="0" w:line="240" w:lineRule="auto"/>
        <w:rPr>
          <w:rFonts w:ascii="Times New Roman" w:eastAsiaTheme="minorEastAsia" w:hAnsi="Times New Roman" w:cs="Times New Roman"/>
        </w:rPr>
      </w:pPr>
      <m:oMath>
        <m:func>
          <m:funcPr>
            <m:ctrlPr>
              <w:rPr>
                <w:rFonts w:ascii="Cambria Math" w:hAnsi="Times New Roman" w:cs="Times New Roman"/>
                <w:i/>
              </w:rPr>
            </m:ctrlPr>
          </m:funcPr>
          <m:fName>
            <m:r>
              <m:rPr>
                <m:sty m:val="p"/>
              </m:rPr>
              <w:rPr>
                <w:rFonts w:ascii="Cambria Math" w:hAnsi="Times New Roman" w:cs="Times New Roman"/>
              </w:rPr>
              <m:t>min</m:t>
            </m:r>
          </m:fName>
          <m:e>
            <m:sSub>
              <m:sSubPr>
                <m:ctrlPr>
                  <w:rPr>
                    <w:rFonts w:ascii="Cambria Math" w:hAnsi="Times New Roman" w:cs="Times New Roman"/>
                    <w:i/>
                  </w:rPr>
                </m:ctrlPr>
              </m:sSubPr>
              <m:e>
                <m:r>
                  <m:rPr>
                    <m:sty m:val="p"/>
                  </m:rPr>
                  <w:rPr>
                    <w:rFonts w:ascii="Cambria Math" w:hAnsi="Times New Roman" w:cs="Times New Roman"/>
                  </w:rPr>
                  <m:t>Ζ</m:t>
                </m:r>
              </m:e>
              <m:sub>
                <m:r>
                  <w:rPr>
                    <w:rFonts w:ascii="Cambria Math" w:hAnsi="Cambria Math" w:cs="Times New Roman"/>
                  </w:rPr>
                  <m:t>GN</m:t>
                </m:r>
              </m:sub>
            </m:sSub>
          </m:e>
        </m:func>
        <m:r>
          <w:rPr>
            <w:rFonts w:ascii="Cambria Math" w:hAnsi="Times New Roman" w:cs="Times New Roman"/>
          </w:rPr>
          <m:t>=</m:t>
        </m:r>
        <m:nary>
          <m:naryPr>
            <m:chr m:val="∑"/>
            <m:grow m:val="1"/>
            <m:subHide m:val="1"/>
            <m:supHide m:val="1"/>
            <m:ctrlPr>
              <w:rPr>
                <w:rFonts w:ascii="Cambria Math" w:hAnsi="Times New Roman" w:cs="Times New Roman"/>
              </w:rPr>
            </m:ctrlPr>
          </m:naryPr>
          <m:sub/>
          <m:sup/>
          <m:e>
            <m:sSub>
              <m:sSubPr>
                <m:ctrlPr>
                  <w:rPr>
                    <w:rFonts w:ascii="Cambria Math" w:hAnsi="Times New Roman" w:cs="Times New Roman"/>
                    <w:i/>
                  </w:rPr>
                </m:ctrlPr>
              </m:sSubPr>
              <m:e>
                <m:r>
                  <w:rPr>
                    <w:rFonts w:ascii="Cambria Math" w:hAnsi="Cambria Math" w:cs="Times New Roman"/>
                  </w:rPr>
                  <m:t>c</m:t>
                </m:r>
              </m:e>
              <m:sub>
                <m:r>
                  <w:rPr>
                    <w:rFonts w:ascii="Cambria Math" w:hAnsi="Cambria Math" w:cs="Times New Roman"/>
                  </w:rPr>
                  <m:t>ij</m:t>
                </m:r>
              </m:sub>
            </m:sSub>
            <m:sSub>
              <m:sSubPr>
                <m:ctrlPr>
                  <w:rPr>
                    <w:rFonts w:ascii="Cambria Math" w:hAnsi="Times New Roman" w:cs="Times New Roman"/>
                    <w:i/>
                  </w:rPr>
                </m:ctrlPr>
              </m:sSubPr>
              <m:e>
                <m:r>
                  <w:rPr>
                    <w:rFonts w:ascii="Cambria Math" w:hAnsi="Cambria Math" w:cs="Times New Roman"/>
                  </w:rPr>
                  <m:t>x</m:t>
                </m:r>
              </m:e>
              <m:sub>
                <m:r>
                  <w:rPr>
                    <w:rFonts w:ascii="Cambria Math" w:hAnsi="Cambria Math" w:cs="Times New Roman"/>
                  </w:rPr>
                  <m:t>ij</m:t>
                </m:r>
              </m:sub>
            </m:sSub>
            <m:r>
              <w:rPr>
                <w:rFonts w:ascii="Cambria Math" w:hAnsi="Times New Roman" w:cs="Times New Roman"/>
              </w:rPr>
              <m:t xml:space="preserve">+ </m:t>
            </m:r>
            <m:r>
              <w:rPr>
                <w:rFonts w:ascii="Cambria Math" w:hAnsi="Cambria Math" w:cs="Times New Roman"/>
              </w:rPr>
              <m:t>α</m:t>
            </m:r>
            <m:sSub>
              <m:sSubPr>
                <m:ctrlPr>
                  <w:rPr>
                    <w:rFonts w:ascii="Cambria Math" w:hAnsi="Times New Roman" w:cs="Times New Roman"/>
                  </w:rPr>
                </m:ctrlPr>
              </m:sSubPr>
              <m:e>
                <m:r>
                  <m:rPr>
                    <m:sty m:val="p"/>
                  </m:rPr>
                  <w:rPr>
                    <w:rFonts w:ascii="Cambria Math" w:hAnsi="Times New Roman" w:cs="Times New Roman"/>
                  </w:rPr>
                  <m:t>Ρ</m:t>
                </m:r>
              </m:e>
              <m:sub>
                <m:r>
                  <w:rPr>
                    <w:rFonts w:ascii="Cambria Math" w:hAnsi="Cambria Math" w:cs="Times New Roman"/>
                  </w:rPr>
                  <m:t>ij</m:t>
                </m:r>
              </m:sub>
            </m:sSub>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x</m:t>
                </m:r>
              </m:e>
              <m:sub>
                <m:r>
                  <w:rPr>
                    <w:rFonts w:ascii="Cambria Math" w:hAnsi="Cambria Math" w:cs="Times New Roman"/>
                  </w:rPr>
                  <m:t>ij</m:t>
                </m:r>
              </m:sub>
            </m:sSub>
            <m:r>
              <w:rPr>
                <w:rFonts w:ascii="Cambria Math" w:hAnsi="Times New Roman" w:cs="Times New Roman"/>
              </w:rPr>
              <m:t xml:space="preserve">, </m:t>
            </m:r>
            <m:r>
              <w:rPr>
                <w:rFonts w:ascii="Cambria Math" w:hAnsi="Cambria Math" w:cs="Times New Roman"/>
              </w:rPr>
              <m:t>t</m:t>
            </m:r>
            <m:r>
              <w:rPr>
                <w:rFonts w:ascii="Cambria Math" w:hAnsi="Times New Roman" w:cs="Times New Roman"/>
              </w:rPr>
              <m:t>)</m:t>
            </m:r>
          </m:e>
        </m:nary>
      </m:oMath>
      <w:r w:rsidR="001820AE" w:rsidRPr="00587E32">
        <w:rPr>
          <w:rFonts w:ascii="Times New Roman" w:eastAsiaTheme="minorEastAsia" w:hAnsi="Times New Roman" w:cs="Times New Roman"/>
        </w:rPr>
        <w:t>-</w:t>
      </w:r>
      <w:r w:rsidR="001820AE" w:rsidRPr="00587E32">
        <w:rPr>
          <w:rFonts w:ascii="Times New Roman" w:eastAsiaTheme="minorEastAsia" w:hAnsi="Times New Roman" w:cs="Times New Roman"/>
        </w:rPr>
        <w:tab/>
        <w:t>-</w:t>
      </w:r>
      <w:r w:rsidR="001820AE" w:rsidRPr="00587E32">
        <w:rPr>
          <w:rFonts w:ascii="Times New Roman" w:eastAsiaTheme="minorEastAsia" w:hAnsi="Times New Roman" w:cs="Times New Roman"/>
        </w:rPr>
        <w:tab/>
        <w:t>-iii</w:t>
      </w:r>
    </w:p>
    <w:p w14:paraId="627CDB7D" w14:textId="77777777" w:rsidR="009E439C" w:rsidRPr="00587E32" w:rsidRDefault="00301080" w:rsidP="002B4D35">
      <w:pPr>
        <w:spacing w:after="0" w:line="240" w:lineRule="auto"/>
        <w:ind w:firstLine="720"/>
        <w:rPr>
          <w:rFonts w:ascii="Times New Roman" w:hAnsi="Times New Roman" w:cs="Times New Roman"/>
        </w:rPr>
      </w:pPr>
      <w:r w:rsidRPr="00587E32">
        <w:rPr>
          <w:rFonts w:ascii="Times New Roman" w:hAnsi="Times New Roman" w:cs="Times New Roman"/>
        </w:rPr>
        <w:t>Penalty:</w:t>
      </w:r>
      <w:r w:rsidR="001820AE" w:rsidRPr="00587E32">
        <w:rPr>
          <w:rFonts w:ascii="Times New Roman" w:hAnsi="Times New Roman" w:cs="Times New Roman"/>
        </w:rPr>
        <w:t xml:space="preserve"> </w:t>
      </w:r>
      <m:oMath>
        <m:sSub>
          <m:sSubPr>
            <m:ctrlPr>
              <w:rPr>
                <w:rFonts w:ascii="Cambria Math" w:hAnsi="Times New Roman" w:cs="Times New Roman"/>
                <w:i/>
              </w:rPr>
            </m:ctrlPr>
          </m:sSubPr>
          <m:e>
            <m:r>
              <w:rPr>
                <w:rFonts w:ascii="Cambria Math" w:hAnsi="Cambria Math" w:cs="Times New Roman"/>
              </w:rPr>
              <m:t>P</m:t>
            </m:r>
          </m:e>
          <m:sub>
            <m:r>
              <w:rPr>
                <w:rFonts w:ascii="Cambria Math" w:hAnsi="Cambria Math" w:cs="Times New Roman"/>
              </w:rPr>
              <m:t>ij</m:t>
            </m:r>
          </m:sub>
        </m:sSub>
        <m:r>
          <w:rPr>
            <w:rFonts w:ascii="Times New Roman" w:hAnsi="Times New Roman" w:cs="Times New Roman"/>
          </w:rPr>
          <m:t>​</m:t>
        </m:r>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1</m:t>
            </m:r>
          </m:sub>
        </m:sSub>
        <m:sSub>
          <m:sSubPr>
            <m:ctrlPr>
              <w:rPr>
                <w:rFonts w:ascii="Cambria Math" w:hAnsi="Times New Roman" w:cs="Times New Roman"/>
                <w:i/>
              </w:rPr>
            </m:ctrlPr>
          </m:sSubPr>
          <m:e>
            <m:r>
              <w:rPr>
                <w:rFonts w:ascii="Times New Roman" w:hAnsi="Times New Roman" w:cs="Times New Roman"/>
              </w:rPr>
              <m:t>​</m:t>
            </m:r>
            <m:r>
              <w:rPr>
                <w:rFonts w:ascii="Cambria Math" w:hAnsi="Cambria Math" w:cs="Times New Roman"/>
              </w:rPr>
              <m:t>D</m:t>
            </m:r>
          </m:e>
          <m:sub>
            <m:r>
              <w:rPr>
                <w:rFonts w:ascii="Cambria Math" w:hAnsi="Cambria Math" w:cs="Times New Roman"/>
              </w:rPr>
              <m:t>ij</m:t>
            </m:r>
          </m:sub>
        </m:sSub>
        <m:r>
          <w:rPr>
            <w:rFonts w:ascii="Times New Roman" w:hAnsi="Times New Roman" w:cs="Times New Roman"/>
          </w:rPr>
          <m:t>​</m:t>
        </m:r>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β</m:t>
            </m:r>
            <m:r>
              <w:rPr>
                <w:rFonts w:ascii="Times New Roman" w:hAnsi="Times New Roman" w:cs="Times New Roman"/>
              </w:rPr>
              <m:t>​</m:t>
            </m:r>
          </m:e>
          <m:sub>
            <m:r>
              <w:rPr>
                <w:rFonts w:ascii="Cambria Math" w:hAnsi="Times New Roman" w:cs="Times New Roman"/>
              </w:rPr>
              <m:t>2</m:t>
            </m:r>
          </m:sub>
        </m:sSub>
        <m:r>
          <w:rPr>
            <w:rFonts w:ascii="Times New Roman" w:hAnsi="Times New Roman" w:cs="Times New Roman"/>
          </w:rPr>
          <m:t>​</m:t>
        </m:r>
        <m:sSub>
          <m:sSubPr>
            <m:ctrlPr>
              <w:rPr>
                <w:rFonts w:ascii="Cambria Math" w:hAnsi="Times New Roman" w:cs="Times New Roman"/>
                <w:i/>
              </w:rPr>
            </m:ctrlPr>
          </m:sSubPr>
          <m:e>
            <m:r>
              <w:rPr>
                <w:rFonts w:ascii="Cambria Math" w:hAnsi="Cambria Math" w:cs="Times New Roman"/>
              </w:rPr>
              <m:t>V</m:t>
            </m:r>
          </m:e>
          <m:sub>
            <m:r>
              <w:rPr>
                <w:rFonts w:ascii="Cambria Math" w:hAnsi="Cambria Math" w:cs="Times New Roman"/>
              </w:rPr>
              <m:t>t</m:t>
            </m:r>
          </m:sub>
        </m:sSub>
        <m:r>
          <w:rPr>
            <w:rFonts w:ascii="Cambria Math" w:hAnsi="Times New Roman" w:cs="Times New Roman"/>
          </w:rPr>
          <m:t>(</m:t>
        </m:r>
        <m:sSub>
          <m:sSubPr>
            <m:ctrlPr>
              <w:rPr>
                <w:rFonts w:ascii="Cambria Math" w:hAnsi="Times New Roman" w:cs="Times New Roman"/>
                <w:i/>
                <w:iCs/>
              </w:rPr>
            </m:ctrlPr>
          </m:sSubPr>
          <m:e>
            <m:r>
              <w:rPr>
                <w:rFonts w:ascii="Cambria Math" w:hAnsi="Cambria Math" w:cs="Times New Roman"/>
              </w:rPr>
              <m:t>c</m:t>
            </m:r>
          </m:e>
          <m:sub>
            <m:r>
              <w:rPr>
                <w:rFonts w:ascii="Cambria Math" w:hAnsi="Cambria Math" w:cs="Times New Roman"/>
              </w:rPr>
              <m:t>ij</m:t>
            </m:r>
            <m:r>
              <w:rPr>
                <w:rFonts w:ascii="Times New Roman" w:hAnsi="Times New Roman" w:cs="Times New Roman"/>
              </w:rPr>
              <m:t>​</m:t>
            </m:r>
          </m:sub>
        </m:sSub>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β</m:t>
            </m:r>
            <m:r>
              <w:rPr>
                <w:rFonts w:ascii="Times New Roman" w:hAnsi="Times New Roman" w:cs="Times New Roman"/>
              </w:rPr>
              <m:t>​</m:t>
            </m:r>
          </m:e>
          <m:sub>
            <m:r>
              <w:rPr>
                <w:rFonts w:ascii="Cambria Math" w:hAnsi="Times New Roman" w:cs="Times New Roman"/>
              </w:rPr>
              <m:t>3</m:t>
            </m:r>
          </m:sub>
        </m:sSub>
        <m:sSub>
          <m:sSubPr>
            <m:ctrlPr>
              <w:rPr>
                <w:rFonts w:ascii="Cambria Math" w:hAnsi="Times New Roman" w:cs="Times New Roman"/>
                <w:i/>
              </w:rPr>
            </m:ctrlPr>
          </m:sSubPr>
          <m:e>
            <m:r>
              <w:rPr>
                <w:rFonts w:ascii="Cambria Math" w:hAnsi="Cambria Math" w:cs="Times New Roman"/>
              </w:rPr>
              <m:t>R</m:t>
            </m:r>
          </m:e>
          <m:sub>
            <m:r>
              <w:rPr>
                <w:rFonts w:ascii="Cambria Math" w:hAnsi="Cambria Math" w:cs="Times New Roman"/>
              </w:rPr>
              <m:t>ij</m:t>
            </m:r>
            <m:r>
              <w:rPr>
                <w:rFonts w:ascii="Times New Roman" w:hAnsi="Times New Roman" w:cs="Times New Roman"/>
              </w:rPr>
              <m:t>​</m:t>
            </m:r>
          </m:sub>
        </m:sSub>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4</m:t>
            </m:r>
            <m:r>
              <w:rPr>
                <w:rFonts w:ascii="Cambria Math" w:hAnsi="Times New Roman" w:cs="Times New Roman"/>
              </w:rPr>
              <m:t>​</m:t>
            </m:r>
          </m:sub>
        </m:sSub>
        <m:sSub>
          <m:sSubPr>
            <m:ctrlPr>
              <w:rPr>
                <w:rFonts w:ascii="Cambria Math" w:hAnsi="Times New Roman" w:cs="Times New Roman"/>
                <w:i/>
              </w:rPr>
            </m:ctrlPr>
          </m:sSubPr>
          <m:e>
            <m:r>
              <w:rPr>
                <w:rFonts w:ascii="Cambria Math" w:hAnsi="Cambria Math" w:cs="Times New Roman"/>
              </w:rPr>
              <m:t>C</m:t>
            </m:r>
          </m:e>
          <m:sub>
            <m:r>
              <w:rPr>
                <w:rFonts w:ascii="Cambria Math" w:hAnsi="Cambria Math" w:cs="Times New Roman"/>
              </w:rPr>
              <m:t>ij</m:t>
            </m:r>
          </m:sub>
        </m:sSub>
        <m:r>
          <w:rPr>
            <w:rFonts w:ascii="Times New Roman" w:hAnsi="Times New Roman" w:cs="Times New Roman"/>
          </w:rPr>
          <m:t>​</m:t>
        </m:r>
        <m:r>
          <w:rPr>
            <w:rFonts w:ascii="Cambria Math" w:hAnsi="Times New Roman" w:cs="Times New Roman"/>
          </w:rPr>
          <m:t>(</m:t>
        </m:r>
        <m:sSub>
          <m:sSubPr>
            <m:ctrlPr>
              <w:rPr>
                <w:rFonts w:ascii="Cambria Math" w:hAnsi="Times New Roman" w:cs="Times New Roman"/>
                <w:i/>
                <w:iCs/>
              </w:rPr>
            </m:ctrlPr>
          </m:sSubPr>
          <m:e>
            <m:r>
              <w:rPr>
                <w:rFonts w:ascii="Cambria Math" w:hAnsi="Cambria Math" w:cs="Times New Roman"/>
              </w:rPr>
              <m:t>x</m:t>
            </m:r>
          </m:e>
          <m:sub>
            <m:r>
              <w:rPr>
                <w:rFonts w:ascii="Cambria Math" w:hAnsi="Cambria Math" w:cs="Times New Roman"/>
              </w:rPr>
              <m:t>ij</m:t>
            </m:r>
          </m:sub>
        </m:sSub>
        <m:r>
          <w:rPr>
            <w:rFonts w:ascii="Times New Roman" w:hAnsi="Times New Roman" w:cs="Times New Roman"/>
          </w:rPr>
          <m:t>​</m:t>
        </m:r>
        <m:r>
          <w:rPr>
            <w:rFonts w:ascii="Cambria Math" w:hAnsi="Times New Roman" w:cs="Times New Roman"/>
          </w:rPr>
          <m:t>)</m:t>
        </m:r>
      </m:oMath>
      <w:r w:rsidR="001820AE" w:rsidRPr="00587E32">
        <w:rPr>
          <w:rFonts w:ascii="Times New Roman" w:eastAsiaTheme="minorEastAsia" w:hAnsi="Times New Roman" w:cs="Times New Roman"/>
        </w:rPr>
        <w:t>-</w:t>
      </w:r>
      <w:r w:rsidR="001820AE" w:rsidRPr="00587E32">
        <w:rPr>
          <w:rFonts w:ascii="Times New Roman" w:eastAsiaTheme="minorEastAsia" w:hAnsi="Times New Roman" w:cs="Times New Roman"/>
        </w:rPr>
        <w:tab/>
        <w:t>-</w:t>
      </w:r>
      <w:r w:rsidR="001820AE" w:rsidRPr="00587E32">
        <w:rPr>
          <w:rFonts w:ascii="Times New Roman" w:eastAsiaTheme="minorEastAsia" w:hAnsi="Times New Roman" w:cs="Times New Roman"/>
        </w:rPr>
        <w:tab/>
        <w:t>-iv</w:t>
      </w:r>
    </w:p>
    <w:p w14:paraId="6AFD3AA7" w14:textId="77777777" w:rsidR="00301080" w:rsidRPr="003815EB" w:rsidRDefault="00301080" w:rsidP="002B4D35">
      <w:pPr>
        <w:spacing w:after="0" w:line="240" w:lineRule="auto"/>
        <w:rPr>
          <w:rFonts w:ascii="Times New Roman" w:hAnsi="Times New Roman" w:cs="Times New Roman"/>
          <w:i/>
          <w:iCs/>
        </w:rPr>
      </w:pPr>
      <w:r w:rsidRPr="003815EB">
        <w:rPr>
          <w:rFonts w:ascii="Times New Roman" w:hAnsi="Times New Roman" w:cs="Times New Roman"/>
          <w:i/>
          <w:iCs/>
        </w:rPr>
        <w:t>Components</w:t>
      </w:r>
    </w:p>
    <w:p w14:paraId="0FBFF642" w14:textId="77777777" w:rsidR="00C1025F" w:rsidRPr="00587E32" w:rsidRDefault="00301080" w:rsidP="002B4D35">
      <w:pPr>
        <w:spacing w:after="0" w:line="240" w:lineRule="auto"/>
        <w:ind w:firstLine="720"/>
        <w:rPr>
          <w:rFonts w:ascii="Times New Roman" w:hAnsi="Times New Roman" w:cs="Times New Roman"/>
        </w:rPr>
      </w:pPr>
      <w:r w:rsidRPr="003815EB">
        <w:rPr>
          <w:rFonts w:ascii="Times New Roman" w:hAnsi="Times New Roman" w:cs="Times New Roman"/>
        </w:rPr>
        <w:t>Distance pena</w:t>
      </w:r>
      <w:r w:rsidRPr="00587E32">
        <w:rPr>
          <w:rFonts w:ascii="Times New Roman" w:hAnsi="Times New Roman" w:cs="Times New Roman"/>
        </w:rPr>
        <w:t>lty:</w:t>
      </w:r>
      <w:r w:rsidR="001820AE" w:rsidRPr="00587E32">
        <w:rPr>
          <w:rFonts w:ascii="Times New Roman" w:hAnsi="Times New Roman" w:cs="Times New Roman"/>
        </w:rPr>
        <w:t xml:space="preserve"> </w:t>
      </w:r>
      <m:oMath>
        <m:sSub>
          <m:sSubPr>
            <m:ctrlPr>
              <w:rPr>
                <w:rFonts w:ascii="Cambria Math" w:hAnsi="Times New Roman" w:cs="Times New Roman"/>
              </w:rPr>
            </m:ctrlPr>
          </m:sSubPr>
          <m:e>
            <m:r>
              <m:rPr>
                <m:sty m:val="p"/>
              </m:rPr>
              <w:rPr>
                <w:rFonts w:ascii="Cambria Math" w:hAnsi="Times New Roman" w:cs="Times New Roman"/>
              </w:rPr>
              <m:t>D</m:t>
            </m:r>
          </m:e>
          <m:sub>
            <m:r>
              <w:rPr>
                <w:rFonts w:ascii="Cambria Math" w:hAnsi="Cambria Math" w:cs="Times New Roman"/>
              </w:rPr>
              <m:t>ij</m:t>
            </m:r>
          </m:sub>
        </m:sSub>
        <m:r>
          <w:rPr>
            <w:rFonts w:ascii="Cambria Math" w:eastAsia="Cambria Math" w:hAnsi="Times New Roman" w:cs="Times New Roman"/>
          </w:rPr>
          <m:t>=</m:t>
        </m:r>
        <m:sSub>
          <m:sSubPr>
            <m:ctrlPr>
              <w:rPr>
                <w:rFonts w:ascii="Cambria Math" w:eastAsia="Cambria Math" w:hAnsi="Times New Roman" w:cs="Times New Roman"/>
                <w:i/>
              </w:rPr>
            </m:ctrlPr>
          </m:sSubPr>
          <m:e>
            <m:r>
              <w:rPr>
                <w:rFonts w:ascii="Cambria Math" w:eastAsia="Cambria Math" w:hAnsi="Cambria Math" w:cs="Times New Roman"/>
              </w:rPr>
              <m:t>d</m:t>
            </m:r>
          </m:e>
          <m:sub>
            <m:r>
              <w:rPr>
                <w:rFonts w:ascii="Cambria Math" w:eastAsia="Cambria Math" w:hAnsi="Cambria Math" w:cs="Times New Roman"/>
              </w:rPr>
              <m:t>ij</m:t>
            </m:r>
          </m:sub>
        </m:sSub>
        <m:d>
          <m:dPr>
            <m:ctrlPr>
              <w:rPr>
                <w:rFonts w:ascii="Cambria Math" w:hAnsi="Times New Roman" w:cs="Times New Roman"/>
              </w:rPr>
            </m:ctrlPr>
          </m:dPr>
          <m:e>
            <m:r>
              <w:rPr>
                <w:rFonts w:ascii="Cambria Math" w:hAnsi="Times New Roman" w:cs="Times New Roman"/>
              </w:rPr>
              <m:t xml:space="preserve">1+ </m:t>
            </m:r>
            <m:r>
              <w:rPr>
                <w:rFonts w:ascii="Cambria Math" w:hAnsi="Cambria Math" w:cs="Times New Roman"/>
              </w:rPr>
              <m:t>γ</m:t>
            </m:r>
            <m:r>
              <w:rPr>
                <w:rFonts w:ascii="Cambria Math" w:hAnsi="Times New Roman" w:cs="Times New Roman"/>
              </w:rPr>
              <m:t xml:space="preserve"> </m:t>
            </m:r>
            <m:f>
              <m:fPr>
                <m:ctrlPr>
                  <w:rPr>
                    <w:rFonts w:ascii="Cambria Math" w:hAnsi="Times New Roman" w:cs="Times New Roman"/>
                    <w:i/>
                  </w:rPr>
                </m:ctrlPr>
              </m:fPr>
              <m:num>
                <m:sSub>
                  <m:sSubPr>
                    <m:ctrlPr>
                      <w:rPr>
                        <w:rFonts w:ascii="Cambria Math" w:hAnsi="Times New Roman" w:cs="Times New Roman"/>
                        <w:i/>
                      </w:rPr>
                    </m:ctrlPr>
                  </m:sSubPr>
                  <m:e>
                    <m:r>
                      <w:rPr>
                        <w:rFonts w:ascii="Cambria Math" w:hAnsi="Cambria Math" w:cs="Times New Roman"/>
                      </w:rPr>
                      <m:t>d</m:t>
                    </m:r>
                  </m:e>
                  <m:sub>
                    <m:r>
                      <w:rPr>
                        <w:rFonts w:ascii="Cambria Math" w:hAnsi="Cambria Math" w:cs="Times New Roman"/>
                      </w:rPr>
                      <m:t>ij</m:t>
                    </m:r>
                  </m:sub>
                </m:sSub>
              </m:num>
              <m:den>
                <m:sSub>
                  <m:sSubPr>
                    <m:ctrlPr>
                      <w:rPr>
                        <w:rFonts w:ascii="Cambria Math" w:hAnsi="Times New Roman" w:cs="Times New Roman"/>
                        <w:i/>
                      </w:rPr>
                    </m:ctrlPr>
                  </m:sSubPr>
                  <m:e>
                    <m:r>
                      <w:rPr>
                        <w:rFonts w:ascii="Cambria Math" w:hAnsi="Cambria Math" w:cs="Times New Roman"/>
                      </w:rPr>
                      <m:t>d</m:t>
                    </m:r>
                  </m:e>
                  <m:sub>
                    <m:r>
                      <w:rPr>
                        <w:rFonts w:ascii="Cambria Math" w:hAnsi="Cambria Math" w:cs="Times New Roman"/>
                      </w:rPr>
                      <m:t>max</m:t>
                    </m:r>
                  </m:sub>
                </m:sSub>
              </m:den>
            </m:f>
          </m:e>
        </m:d>
      </m:oMath>
      <w:r w:rsidR="001820AE" w:rsidRPr="00587E32">
        <w:rPr>
          <w:rFonts w:ascii="Times New Roman" w:eastAsiaTheme="minorEastAsia" w:hAnsi="Times New Roman" w:cs="Times New Roman"/>
        </w:rPr>
        <w:t>-</w:t>
      </w:r>
      <w:r w:rsidR="001820AE" w:rsidRPr="00587E32">
        <w:rPr>
          <w:rFonts w:ascii="Times New Roman" w:eastAsiaTheme="minorEastAsia" w:hAnsi="Times New Roman" w:cs="Times New Roman"/>
        </w:rPr>
        <w:tab/>
        <w:t>-</w:t>
      </w:r>
      <w:r w:rsidR="001820AE" w:rsidRPr="00587E32">
        <w:rPr>
          <w:rFonts w:ascii="Times New Roman" w:eastAsiaTheme="minorEastAsia" w:hAnsi="Times New Roman" w:cs="Times New Roman"/>
        </w:rPr>
        <w:tab/>
        <w:t>-</w:t>
      </w:r>
      <w:r w:rsidR="001820AE" w:rsidRPr="00587E32">
        <w:rPr>
          <w:rFonts w:ascii="Times New Roman" w:eastAsiaTheme="minorEastAsia" w:hAnsi="Times New Roman" w:cs="Times New Roman"/>
        </w:rPr>
        <w:tab/>
        <w:t>v</w:t>
      </w:r>
    </w:p>
    <w:p w14:paraId="5256F082" w14:textId="77777777" w:rsidR="00301080" w:rsidRPr="00587E32" w:rsidRDefault="00301080" w:rsidP="002B4D35">
      <w:pPr>
        <w:spacing w:after="0" w:line="240" w:lineRule="auto"/>
        <w:ind w:firstLine="720"/>
        <w:rPr>
          <w:rFonts w:ascii="Times New Roman" w:hAnsi="Times New Roman" w:cs="Times New Roman"/>
        </w:rPr>
      </w:pPr>
      <w:r w:rsidRPr="00587E32">
        <w:rPr>
          <w:rFonts w:ascii="Times New Roman" w:hAnsi="Times New Roman" w:cs="Times New Roman"/>
        </w:rPr>
        <w:t>Volatility:</w:t>
      </w:r>
      <w:r w:rsidR="001820AE" w:rsidRPr="00587E32">
        <w:rPr>
          <w:rFonts w:ascii="Times New Roman" w:hAnsi="Times New Roman" w:cs="Times New Roman"/>
        </w:rPr>
        <w:t xml:space="preserve">  </w:t>
      </w:r>
      <m:oMath>
        <m:sSub>
          <m:sSubPr>
            <m:ctrlPr>
              <w:rPr>
                <w:rFonts w:ascii="Cambria Math" w:hAnsi="Times New Roman" w:cs="Times New Roman"/>
                <w:i/>
              </w:rPr>
            </m:ctrlPr>
          </m:sSubPr>
          <m:e>
            <m:r>
              <w:rPr>
                <w:rFonts w:ascii="Cambria Math" w:hAnsi="Cambria Math" w:cs="Times New Roman"/>
              </w:rPr>
              <m:t>V</m:t>
            </m:r>
          </m:e>
          <m:sub>
            <m:r>
              <w:rPr>
                <w:rFonts w:ascii="Cambria Math" w:hAnsi="Cambria Math" w:cs="Times New Roman"/>
              </w:rPr>
              <m:t>t</m:t>
            </m:r>
          </m:sub>
        </m:sSub>
        <m:d>
          <m:dPr>
            <m:ctrlPr>
              <w:rPr>
                <w:rFonts w:ascii="Cambria Math" w:hAnsi="Times New Roman" w:cs="Times New Roman"/>
                <w:i/>
              </w:rPr>
            </m:ctrlPr>
          </m:dPr>
          <m:e>
            <m:sSub>
              <m:sSubPr>
                <m:ctrlPr>
                  <w:rPr>
                    <w:rFonts w:ascii="Cambria Math" w:hAnsi="Times New Roman" w:cs="Times New Roman"/>
                    <w:i/>
                  </w:rPr>
                </m:ctrlPr>
              </m:sSubPr>
              <m:e>
                <m:r>
                  <w:rPr>
                    <w:rFonts w:ascii="Cambria Math" w:hAnsi="Cambria Math" w:cs="Times New Roman"/>
                  </w:rPr>
                  <m:t>c</m:t>
                </m:r>
              </m:e>
              <m:sub>
                <m:r>
                  <w:rPr>
                    <w:rFonts w:ascii="Cambria Math" w:hAnsi="Cambria Math" w:cs="Times New Roman"/>
                  </w:rPr>
                  <m:t>ij</m:t>
                </m:r>
              </m:sub>
            </m:sSub>
          </m:e>
        </m:d>
        <m:r>
          <w:rPr>
            <w:rFonts w:ascii="Cambria Math" w:hAnsi="Times New Roman" w:cs="Times New Roman"/>
          </w:rPr>
          <m:t xml:space="preserve">= </m:t>
        </m:r>
        <m:sSub>
          <m:sSubPr>
            <m:ctrlPr>
              <w:rPr>
                <w:rFonts w:ascii="Cambria Math" w:hAnsi="Times New Roman" w:cs="Times New Roman"/>
                <w:i/>
              </w:rPr>
            </m:ctrlPr>
          </m:sSubPr>
          <m:e>
            <m:r>
              <w:rPr>
                <w:rFonts w:ascii="Cambria Math" w:hAnsi="Cambria Math" w:cs="Times New Roman"/>
              </w:rPr>
              <m:t>σ</m:t>
            </m:r>
          </m:e>
          <m:sub>
            <m:r>
              <w:rPr>
                <w:rFonts w:ascii="Cambria Math" w:hAnsi="Cambria Math" w:cs="Times New Roman"/>
              </w:rPr>
              <m:t>t</m:t>
            </m:r>
          </m:sub>
        </m:sSub>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c</m:t>
            </m:r>
          </m:e>
          <m:sub>
            <m:r>
              <w:rPr>
                <w:rFonts w:ascii="Cambria Math" w:hAnsi="Cambria Math" w:cs="Times New Roman"/>
              </w:rPr>
              <m:t>ij</m:t>
            </m:r>
          </m:sub>
        </m:sSub>
        <m:r>
          <w:rPr>
            <w:rFonts w:ascii="Cambria Math" w:hAnsi="Times New Roman" w:cs="Times New Roman"/>
          </w:rPr>
          <m:t>)</m:t>
        </m:r>
        <m:f>
          <m:fPr>
            <m:ctrlPr>
              <w:rPr>
                <w:rFonts w:ascii="Cambria Math" w:hAnsi="Times New Roman" w:cs="Times New Roman"/>
                <w:i/>
              </w:rPr>
            </m:ctrlPr>
          </m:fPr>
          <m:num>
            <m:sSub>
              <m:sSubPr>
                <m:ctrlPr>
                  <w:rPr>
                    <w:rFonts w:ascii="Cambria Math" w:hAnsi="Times New Roman" w:cs="Times New Roman"/>
                    <w:i/>
                  </w:rPr>
                </m:ctrlPr>
              </m:sSubPr>
              <m:e>
                <m:r>
                  <w:rPr>
                    <w:rFonts w:ascii="Cambria Math" w:hAnsi="Cambria Math" w:cs="Times New Roman"/>
                  </w:rPr>
                  <m:t>c</m:t>
                </m:r>
              </m:e>
              <m:sub>
                <m:r>
                  <w:rPr>
                    <w:rFonts w:ascii="Cambria Math" w:hAnsi="Cambria Math" w:cs="Times New Roman"/>
                  </w:rPr>
                  <m:t>ij</m:t>
                </m:r>
              </m:sub>
            </m:sSub>
          </m:num>
          <m:den>
            <m:bar>
              <m:barPr>
                <m:pos m:val="top"/>
                <m:ctrlPr>
                  <w:rPr>
                    <w:rFonts w:ascii="Cambria Math" w:hAnsi="Times New Roman" w:cs="Times New Roman"/>
                    <w:i/>
                  </w:rPr>
                </m:ctrlPr>
              </m:barPr>
              <m:e>
                <m:r>
                  <w:rPr>
                    <w:rFonts w:ascii="Cambria Math" w:hAnsi="Cambria Math" w:cs="Times New Roman"/>
                  </w:rPr>
                  <m:t>c</m:t>
                </m:r>
              </m:e>
            </m:bar>
          </m:den>
        </m:f>
      </m:oMath>
      <w:r w:rsidR="001820AE" w:rsidRPr="00587E32">
        <w:rPr>
          <w:rFonts w:ascii="Times New Roman" w:eastAsiaTheme="minorEastAsia" w:hAnsi="Times New Roman" w:cs="Times New Roman"/>
        </w:rPr>
        <w:t>-</w:t>
      </w:r>
      <w:r w:rsidR="001820AE" w:rsidRPr="00587E32">
        <w:rPr>
          <w:rFonts w:ascii="Times New Roman" w:eastAsiaTheme="minorEastAsia" w:hAnsi="Times New Roman" w:cs="Times New Roman"/>
        </w:rPr>
        <w:tab/>
        <w:t>-</w:t>
      </w:r>
      <w:r w:rsidR="001820AE" w:rsidRPr="00587E32">
        <w:rPr>
          <w:rFonts w:ascii="Times New Roman" w:eastAsiaTheme="minorEastAsia" w:hAnsi="Times New Roman" w:cs="Times New Roman"/>
        </w:rPr>
        <w:tab/>
        <w:t>-</w:t>
      </w:r>
      <w:r w:rsidR="001820AE" w:rsidRPr="00587E32">
        <w:rPr>
          <w:rFonts w:ascii="Times New Roman" w:eastAsiaTheme="minorEastAsia" w:hAnsi="Times New Roman" w:cs="Times New Roman"/>
        </w:rPr>
        <w:tab/>
        <w:t>vi</w:t>
      </w:r>
    </w:p>
    <w:p w14:paraId="6C557D58" w14:textId="77777777" w:rsidR="00A11F63" w:rsidRPr="00587E32" w:rsidRDefault="00301080" w:rsidP="002B4D35">
      <w:pPr>
        <w:spacing w:after="0" w:line="240" w:lineRule="auto"/>
        <w:ind w:firstLine="720"/>
        <w:rPr>
          <w:rFonts w:ascii="Times New Roman" w:eastAsiaTheme="minorEastAsia" w:hAnsi="Times New Roman" w:cs="Times New Roman"/>
        </w:rPr>
      </w:pPr>
      <w:r w:rsidRPr="00587E32">
        <w:rPr>
          <w:rFonts w:ascii="Times New Roman" w:hAnsi="Times New Roman" w:cs="Times New Roman"/>
        </w:rPr>
        <w:t>Reliability:</w:t>
      </w:r>
      <w:r w:rsidR="001820AE" w:rsidRPr="00587E32">
        <w:rPr>
          <w:rFonts w:ascii="Times New Roman" w:hAnsi="Times New Roman" w:cs="Times New Roman"/>
        </w:rPr>
        <w:t xml:space="preserve"> </w:t>
      </w:r>
      <m:oMath>
        <m:sSub>
          <m:sSubPr>
            <m:ctrlPr>
              <w:rPr>
                <w:rFonts w:ascii="Cambria Math" w:hAnsi="Times New Roman" w:cs="Times New Roman"/>
                <w:i/>
              </w:rPr>
            </m:ctrlPr>
          </m:sSubPr>
          <m:e>
            <m:r>
              <w:rPr>
                <w:rFonts w:ascii="Cambria Math" w:hAnsi="Cambria Math" w:cs="Times New Roman"/>
              </w:rPr>
              <m:t>R</m:t>
            </m:r>
          </m:e>
          <m:sub>
            <m:r>
              <w:rPr>
                <w:rFonts w:ascii="Cambria Math" w:hAnsi="Cambria Math" w:cs="Times New Roman"/>
              </w:rPr>
              <m:t>ij</m:t>
            </m:r>
          </m:sub>
        </m:sSub>
        <m:r>
          <w:rPr>
            <w:rFonts w:ascii="Cambria Math" w:eastAsia="Cambria Math" w:hAnsi="Times New Roman" w:cs="Times New Roman"/>
          </w:rPr>
          <m:t>=</m:t>
        </m:r>
        <m:r>
          <m:rPr>
            <m:sty m:val="p"/>
          </m:rPr>
          <w:rPr>
            <w:rFonts w:ascii="Cambria Math" w:hAnsi="Times New Roman" w:cs="Times New Roman"/>
          </w:rPr>
          <m:t>λ</m:t>
        </m:r>
        <m:r>
          <m:rPr>
            <m:sty m:val="p"/>
          </m:rPr>
          <w:rPr>
            <w:rFonts w:ascii="Cambria Math" w:hAnsi="Times New Roman" w:cs="Times New Roman"/>
          </w:rPr>
          <m:t>(1</m:t>
        </m:r>
        <m:r>
          <m:rPr>
            <m:sty m:val="p"/>
          </m:rPr>
          <w:rPr>
            <w:rFonts w:ascii="Cambria Math" w:hAnsi="Times New Roman" w:cs="Times New Roman"/>
          </w:rPr>
          <m:t>-</m:t>
        </m:r>
        <m:r>
          <m:rPr>
            <m:sty m:val="p"/>
          </m:rPr>
          <w:rPr>
            <w:rFonts w:ascii="Cambria Math" w:hAnsi="Times New Roman" w:cs="Times New Roman"/>
          </w:rPr>
          <m:t xml:space="preserve"> </m:t>
        </m:r>
        <m:sSub>
          <m:sSubPr>
            <m:ctrlPr>
              <w:rPr>
                <w:rFonts w:ascii="Cambria Math" w:hAnsi="Times New Roman" w:cs="Times New Roman"/>
              </w:rPr>
            </m:ctrlPr>
          </m:sSubPr>
          <m:e>
            <m:r>
              <m:rPr>
                <m:sty m:val="p"/>
              </m:rPr>
              <w:rPr>
                <w:rFonts w:ascii="Cambria Math" w:hAnsi="Times New Roman" w:cs="Times New Roman"/>
              </w:rPr>
              <m:t>ρ</m:t>
            </m:r>
          </m:e>
          <m:sub>
            <m:r>
              <w:rPr>
                <w:rFonts w:ascii="Cambria Math" w:hAnsi="Cambria Math" w:cs="Times New Roman"/>
              </w:rPr>
              <m:t>ij</m:t>
            </m:r>
          </m:sub>
        </m:sSub>
        <m:r>
          <w:rPr>
            <w:rFonts w:ascii="Cambria Math" w:hAnsi="Times New Roman" w:cs="Times New Roman"/>
          </w:rPr>
          <m:t>)</m:t>
        </m:r>
      </m:oMath>
      <w:r w:rsidR="001820AE" w:rsidRPr="00587E32">
        <w:rPr>
          <w:rFonts w:ascii="Times New Roman" w:eastAsiaTheme="minorEastAsia" w:hAnsi="Times New Roman" w:cs="Times New Roman"/>
        </w:rPr>
        <w:t xml:space="preserve"> -</w:t>
      </w:r>
      <w:r w:rsidR="001820AE" w:rsidRPr="00587E32">
        <w:rPr>
          <w:rFonts w:ascii="Times New Roman" w:eastAsiaTheme="minorEastAsia" w:hAnsi="Times New Roman" w:cs="Times New Roman"/>
        </w:rPr>
        <w:tab/>
        <w:t>-</w:t>
      </w:r>
      <w:r w:rsidR="001820AE" w:rsidRPr="00587E32">
        <w:rPr>
          <w:rFonts w:ascii="Times New Roman" w:eastAsiaTheme="minorEastAsia" w:hAnsi="Times New Roman" w:cs="Times New Roman"/>
        </w:rPr>
        <w:tab/>
        <w:t>-</w:t>
      </w:r>
      <w:r w:rsidR="001820AE" w:rsidRPr="00587E32">
        <w:rPr>
          <w:rFonts w:ascii="Times New Roman" w:eastAsiaTheme="minorEastAsia" w:hAnsi="Times New Roman" w:cs="Times New Roman"/>
        </w:rPr>
        <w:tab/>
        <w:t>vii</w:t>
      </w:r>
    </w:p>
    <w:p w14:paraId="26B69C2C" w14:textId="77777777" w:rsidR="009E439C" w:rsidRPr="00587E32" w:rsidRDefault="00301080" w:rsidP="002B4D35">
      <w:pPr>
        <w:spacing w:after="0" w:line="240" w:lineRule="auto"/>
        <w:ind w:firstLine="720"/>
        <w:rPr>
          <w:rFonts w:ascii="Times New Roman" w:eastAsiaTheme="minorEastAsia" w:hAnsi="Times New Roman" w:cs="Times New Roman"/>
        </w:rPr>
      </w:pPr>
      <w:r w:rsidRPr="00587E32">
        <w:rPr>
          <w:rFonts w:ascii="Times New Roman" w:hAnsi="Times New Roman" w:cs="Times New Roman"/>
        </w:rPr>
        <w:t>Capacity:</w:t>
      </w:r>
      <w:r w:rsidR="001820AE" w:rsidRPr="00587E32">
        <w:rPr>
          <w:rFonts w:ascii="Times New Roman" w:hAnsi="Times New Roman" w:cs="Times New Roman"/>
        </w:rPr>
        <w:t xml:space="preserve"> </w:t>
      </w:r>
      <m:oMath>
        <m:sSub>
          <m:sSubPr>
            <m:ctrlPr>
              <w:rPr>
                <w:rFonts w:ascii="Cambria Math" w:hAnsi="Times New Roman" w:cs="Times New Roman"/>
                <w:i/>
              </w:rPr>
            </m:ctrlPr>
          </m:sSubPr>
          <m:e>
            <m:r>
              <w:rPr>
                <w:rFonts w:ascii="Cambria Math" w:hAnsi="Cambria Math" w:cs="Times New Roman"/>
              </w:rPr>
              <m:t>C</m:t>
            </m:r>
          </m:e>
          <m:sub>
            <m:r>
              <w:rPr>
                <w:rFonts w:ascii="Cambria Math" w:hAnsi="Cambria Math" w:cs="Times New Roman"/>
              </w:rPr>
              <m:t>ij</m:t>
            </m:r>
          </m:sub>
        </m:sSub>
        <m:r>
          <w:rPr>
            <w:rFonts w:ascii="Cambria Math" w:hAnsi="Times New Roman" w:cs="Times New Roman"/>
          </w:rPr>
          <m:t>=</m:t>
        </m:r>
        <m:sSup>
          <m:sSupPr>
            <m:ctrlPr>
              <w:rPr>
                <w:rFonts w:ascii="Cambria Math" w:hAnsi="Times New Roman" w:cs="Times New Roman"/>
              </w:rPr>
            </m:ctrlPr>
          </m:sSupPr>
          <m:e>
            <m:r>
              <w:rPr>
                <w:rFonts w:ascii="Cambria Math" w:hAnsi="Cambria Math" w:cs="Times New Roman"/>
              </w:rPr>
              <m:t>δ</m:t>
            </m:r>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x</m:t>
                </m:r>
              </m:e>
              <m:sub>
                <m:r>
                  <w:rPr>
                    <w:rFonts w:ascii="Cambria Math" w:hAnsi="Cambria Math" w:cs="Times New Roman"/>
                  </w:rPr>
                  <m:t>ij</m:t>
                </m:r>
              </m:sub>
            </m:sSub>
            <m:r>
              <w:rPr>
                <w:rFonts w:ascii="Times New Roman" w:hAnsi="Times New Roman" w:cs="Times New Roman"/>
              </w:rPr>
              <m:t>-</m:t>
            </m:r>
            <m:sSub>
              <m:sSubPr>
                <m:ctrlPr>
                  <w:rPr>
                    <w:rFonts w:ascii="Cambria Math" w:hAnsi="Times New Roman" w:cs="Times New Roman"/>
                    <w:i/>
                  </w:rPr>
                </m:ctrlPr>
              </m:sSubPr>
              <m:e>
                <m:r>
                  <w:rPr>
                    <w:rFonts w:ascii="Cambria Math" w:hAnsi="Cambria Math" w:cs="Times New Roman"/>
                  </w:rPr>
                  <m:t>Q</m:t>
                </m:r>
              </m:e>
              <m:sub>
                <m:r>
                  <w:rPr>
                    <w:rFonts w:ascii="Cambria Math" w:hAnsi="Cambria Math" w:cs="Times New Roman"/>
                  </w:rPr>
                  <m:t>opt</m:t>
                </m:r>
              </m:sub>
            </m:sSub>
            <m:r>
              <w:rPr>
                <w:rFonts w:ascii="Cambria Math" w:hAnsi="Times New Roman" w:cs="Times New Roman"/>
              </w:rPr>
              <m:t>)</m:t>
            </m:r>
          </m:e>
          <m:sup>
            <m:r>
              <w:rPr>
                <w:rFonts w:ascii="Cambria Math" w:hAnsi="Times New Roman" w:cs="Times New Roman"/>
              </w:rPr>
              <m:t>2</m:t>
            </m:r>
          </m:sup>
        </m:sSup>
      </m:oMath>
      <w:r w:rsidR="001820AE" w:rsidRPr="00587E32">
        <w:rPr>
          <w:rFonts w:ascii="Times New Roman" w:eastAsiaTheme="minorEastAsia" w:hAnsi="Times New Roman" w:cs="Times New Roman"/>
        </w:rPr>
        <w:t>-</w:t>
      </w:r>
      <w:r w:rsidR="001820AE" w:rsidRPr="00587E32">
        <w:rPr>
          <w:rFonts w:ascii="Times New Roman" w:eastAsiaTheme="minorEastAsia" w:hAnsi="Times New Roman" w:cs="Times New Roman"/>
        </w:rPr>
        <w:tab/>
        <w:t>-</w:t>
      </w:r>
      <w:r w:rsidR="001820AE" w:rsidRPr="00587E32">
        <w:rPr>
          <w:rFonts w:ascii="Times New Roman" w:eastAsiaTheme="minorEastAsia" w:hAnsi="Times New Roman" w:cs="Times New Roman"/>
        </w:rPr>
        <w:tab/>
        <w:t>-</w:t>
      </w:r>
      <w:r w:rsidR="001820AE" w:rsidRPr="00587E32">
        <w:rPr>
          <w:rFonts w:ascii="Times New Roman" w:eastAsiaTheme="minorEastAsia" w:hAnsi="Times New Roman" w:cs="Times New Roman"/>
        </w:rPr>
        <w:tab/>
        <w:t>viii</w:t>
      </w:r>
    </w:p>
    <w:p w14:paraId="4691F98F" w14:textId="77777777" w:rsidR="00BA43B1" w:rsidRPr="003815EB" w:rsidRDefault="00BA43B1" w:rsidP="002B4D35">
      <w:pPr>
        <w:spacing w:before="240" w:line="240" w:lineRule="auto"/>
        <w:ind w:firstLine="720"/>
        <w:rPr>
          <w:rFonts w:ascii="Times New Roman" w:eastAsiaTheme="minorEastAsia" w:hAnsi="Times New Roman" w:cs="Times New Roman"/>
          <w:sz w:val="28"/>
          <w:szCs w:val="28"/>
        </w:rPr>
      </w:pPr>
      <w:r>
        <w:rPr>
          <w:rFonts w:ascii="Times New Roman" w:eastAsiaTheme="minorEastAsia" w:hAnsi="Times New Roman" w:cs="Times New Roman"/>
          <w:sz w:val="28"/>
          <w:szCs w:val="28"/>
        </w:rPr>
        <w:t>Parameters used in this work are calibrated as shown in table 3</w:t>
      </w:r>
    </w:p>
    <w:tbl>
      <w:tblPr>
        <w:tblStyle w:val="LightShading"/>
        <w:tblW w:w="4022" w:type="dxa"/>
        <w:tblLook w:val="0620" w:firstRow="1" w:lastRow="0" w:firstColumn="0" w:lastColumn="0" w:noHBand="1" w:noVBand="1"/>
      </w:tblPr>
      <w:tblGrid>
        <w:gridCol w:w="2503"/>
        <w:gridCol w:w="1519"/>
      </w:tblGrid>
      <w:tr w:rsidR="00301080" w:rsidRPr="003815EB" w14:paraId="1AF60696" w14:textId="77777777" w:rsidTr="00286B41">
        <w:trPr>
          <w:cnfStyle w:val="100000000000" w:firstRow="1" w:lastRow="0" w:firstColumn="0" w:lastColumn="0" w:oddVBand="0" w:evenVBand="0" w:oddHBand="0" w:evenHBand="0" w:firstRowFirstColumn="0" w:firstRowLastColumn="0" w:lastRowFirstColumn="0" w:lastRowLastColumn="0"/>
          <w:trHeight w:val="539"/>
        </w:trPr>
        <w:tc>
          <w:tcPr>
            <w:tcW w:w="0" w:type="auto"/>
            <w:hideMark/>
          </w:tcPr>
          <w:p w14:paraId="691FB7EA"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Parameter</w:t>
            </w:r>
          </w:p>
        </w:tc>
        <w:tc>
          <w:tcPr>
            <w:tcW w:w="0" w:type="auto"/>
            <w:hideMark/>
          </w:tcPr>
          <w:p w14:paraId="00DF8B77"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Value</w:t>
            </w:r>
          </w:p>
        </w:tc>
      </w:tr>
      <w:tr w:rsidR="00301080" w:rsidRPr="003815EB" w14:paraId="39705348" w14:textId="77777777" w:rsidTr="00286B41">
        <w:trPr>
          <w:trHeight w:val="555"/>
        </w:trPr>
        <w:tc>
          <w:tcPr>
            <w:tcW w:w="0" w:type="auto"/>
            <w:hideMark/>
          </w:tcPr>
          <w:p w14:paraId="6B675E5D"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α</w:t>
            </w:r>
          </w:p>
        </w:tc>
        <w:tc>
          <w:tcPr>
            <w:tcW w:w="0" w:type="auto"/>
            <w:hideMark/>
          </w:tcPr>
          <w:p w14:paraId="779C1220"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0.15</w:t>
            </w:r>
          </w:p>
        </w:tc>
      </w:tr>
      <w:tr w:rsidR="00301080" w:rsidRPr="003815EB" w14:paraId="644C4BBC" w14:textId="77777777" w:rsidTr="00286B41">
        <w:trPr>
          <w:trHeight w:val="539"/>
        </w:trPr>
        <w:tc>
          <w:tcPr>
            <w:tcW w:w="0" w:type="auto"/>
            <w:hideMark/>
          </w:tcPr>
          <w:p w14:paraId="2537BC29"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β₁</w:t>
            </w:r>
          </w:p>
        </w:tc>
        <w:tc>
          <w:tcPr>
            <w:tcW w:w="0" w:type="auto"/>
            <w:hideMark/>
          </w:tcPr>
          <w:p w14:paraId="663A43EA"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0.25</w:t>
            </w:r>
          </w:p>
        </w:tc>
      </w:tr>
      <w:tr w:rsidR="00301080" w:rsidRPr="003815EB" w14:paraId="0450679C" w14:textId="77777777" w:rsidTr="00286B41">
        <w:trPr>
          <w:trHeight w:val="539"/>
        </w:trPr>
        <w:tc>
          <w:tcPr>
            <w:tcW w:w="0" w:type="auto"/>
            <w:hideMark/>
          </w:tcPr>
          <w:p w14:paraId="5E02626E"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β₂</w:t>
            </w:r>
          </w:p>
        </w:tc>
        <w:tc>
          <w:tcPr>
            <w:tcW w:w="0" w:type="auto"/>
            <w:hideMark/>
          </w:tcPr>
          <w:p w14:paraId="1C870ED3"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0.35</w:t>
            </w:r>
          </w:p>
        </w:tc>
      </w:tr>
      <w:tr w:rsidR="00301080" w:rsidRPr="003815EB" w14:paraId="0535DAD4" w14:textId="77777777" w:rsidTr="00286B41">
        <w:trPr>
          <w:trHeight w:val="539"/>
        </w:trPr>
        <w:tc>
          <w:tcPr>
            <w:tcW w:w="0" w:type="auto"/>
            <w:hideMark/>
          </w:tcPr>
          <w:p w14:paraId="1BA36C91"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β₃</w:t>
            </w:r>
          </w:p>
        </w:tc>
        <w:tc>
          <w:tcPr>
            <w:tcW w:w="0" w:type="auto"/>
            <w:hideMark/>
          </w:tcPr>
          <w:p w14:paraId="6788C68C"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0.20</w:t>
            </w:r>
          </w:p>
        </w:tc>
      </w:tr>
      <w:tr w:rsidR="00301080" w:rsidRPr="003815EB" w14:paraId="73DBC276" w14:textId="77777777" w:rsidTr="00286B41">
        <w:trPr>
          <w:trHeight w:val="555"/>
        </w:trPr>
        <w:tc>
          <w:tcPr>
            <w:tcW w:w="0" w:type="auto"/>
            <w:hideMark/>
          </w:tcPr>
          <w:p w14:paraId="7E18B50E"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β₄</w:t>
            </w:r>
          </w:p>
        </w:tc>
        <w:tc>
          <w:tcPr>
            <w:tcW w:w="0" w:type="auto"/>
            <w:hideMark/>
          </w:tcPr>
          <w:p w14:paraId="14E6C337"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0.20</w:t>
            </w:r>
          </w:p>
        </w:tc>
      </w:tr>
      <w:tr w:rsidR="00301080" w:rsidRPr="003815EB" w14:paraId="7AAF3D67" w14:textId="77777777" w:rsidTr="00286B41">
        <w:trPr>
          <w:trHeight w:val="539"/>
        </w:trPr>
        <w:tc>
          <w:tcPr>
            <w:tcW w:w="0" w:type="auto"/>
            <w:hideMark/>
          </w:tcPr>
          <w:p w14:paraId="50C00C85"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γ</w:t>
            </w:r>
          </w:p>
        </w:tc>
        <w:tc>
          <w:tcPr>
            <w:tcW w:w="0" w:type="auto"/>
            <w:hideMark/>
          </w:tcPr>
          <w:p w14:paraId="72AD3AA2"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0.30</w:t>
            </w:r>
          </w:p>
        </w:tc>
      </w:tr>
      <w:tr w:rsidR="00301080" w:rsidRPr="003815EB" w14:paraId="634701B4" w14:textId="77777777" w:rsidTr="00286B41">
        <w:trPr>
          <w:trHeight w:val="539"/>
        </w:trPr>
        <w:tc>
          <w:tcPr>
            <w:tcW w:w="0" w:type="auto"/>
            <w:hideMark/>
          </w:tcPr>
          <w:p w14:paraId="2FD38FA1"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λ</w:t>
            </w:r>
          </w:p>
        </w:tc>
        <w:tc>
          <w:tcPr>
            <w:tcW w:w="0" w:type="auto"/>
            <w:hideMark/>
          </w:tcPr>
          <w:p w14:paraId="6239ED07"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500</w:t>
            </w:r>
          </w:p>
        </w:tc>
      </w:tr>
      <w:tr w:rsidR="00301080" w:rsidRPr="003815EB" w14:paraId="3A187ECD" w14:textId="77777777" w:rsidTr="00286B41">
        <w:trPr>
          <w:trHeight w:val="555"/>
        </w:trPr>
        <w:tc>
          <w:tcPr>
            <w:tcW w:w="0" w:type="auto"/>
            <w:hideMark/>
          </w:tcPr>
          <w:p w14:paraId="36194044"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δ</w:t>
            </w:r>
          </w:p>
        </w:tc>
        <w:tc>
          <w:tcPr>
            <w:tcW w:w="0" w:type="auto"/>
            <w:hideMark/>
          </w:tcPr>
          <w:p w14:paraId="01C33D6F"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0.02</w:t>
            </w:r>
          </w:p>
        </w:tc>
      </w:tr>
    </w:tbl>
    <w:p w14:paraId="58C55025" w14:textId="77777777" w:rsidR="009E439C" w:rsidRPr="003815EB" w:rsidRDefault="00F97AA8" w:rsidP="00503285">
      <w:pPr>
        <w:spacing w:line="240" w:lineRule="auto"/>
        <w:rPr>
          <w:rFonts w:ascii="Times New Roman" w:hAnsi="Times New Roman" w:cs="Times New Roman"/>
        </w:rPr>
      </w:pPr>
      <w:r w:rsidRPr="003815EB">
        <w:rPr>
          <w:rFonts w:ascii="Times New Roman" w:hAnsi="Times New Roman" w:cs="Times New Roman"/>
        </w:rPr>
        <w:t>Table 3: Calibration</w:t>
      </w:r>
    </w:p>
    <w:p w14:paraId="24A08BD6" w14:textId="77777777" w:rsidR="00301080" w:rsidRPr="003815EB" w:rsidRDefault="00301080" w:rsidP="002B4D35">
      <w:pPr>
        <w:spacing w:after="0" w:line="240" w:lineRule="auto"/>
        <w:ind w:firstLine="360"/>
        <w:rPr>
          <w:rFonts w:ascii="Times New Roman" w:hAnsi="Times New Roman" w:cs="Times New Roman"/>
        </w:rPr>
      </w:pPr>
      <w:r w:rsidRPr="003815EB">
        <w:rPr>
          <w:rFonts w:ascii="Times New Roman" w:hAnsi="Times New Roman" w:cs="Times New Roman"/>
        </w:rPr>
        <w:t>Validation:</w:t>
      </w:r>
    </w:p>
    <w:p w14:paraId="3E2155E7" w14:textId="77777777" w:rsidR="00301080" w:rsidRPr="003815EB" w:rsidRDefault="00301080" w:rsidP="002B4D35">
      <w:pPr>
        <w:numPr>
          <w:ilvl w:val="0"/>
          <w:numId w:val="12"/>
        </w:numPr>
        <w:spacing w:after="0" w:line="240" w:lineRule="auto"/>
        <w:rPr>
          <w:rFonts w:ascii="Times New Roman" w:hAnsi="Times New Roman" w:cs="Times New Roman"/>
        </w:rPr>
      </w:pPr>
      <w:r w:rsidRPr="003815EB">
        <w:rPr>
          <w:rFonts w:ascii="Times New Roman" w:hAnsi="Times New Roman" w:cs="Times New Roman"/>
        </w:rPr>
        <w:t>MAPE: 8.3%</w:t>
      </w:r>
    </w:p>
    <w:p w14:paraId="1FE94B7F" w14:textId="77777777" w:rsidR="00301080" w:rsidRPr="003815EB" w:rsidRDefault="00301080" w:rsidP="002B4D35">
      <w:pPr>
        <w:numPr>
          <w:ilvl w:val="0"/>
          <w:numId w:val="12"/>
        </w:numPr>
        <w:spacing w:after="0" w:line="240" w:lineRule="auto"/>
        <w:rPr>
          <w:rFonts w:ascii="Times New Roman" w:hAnsi="Times New Roman" w:cs="Times New Roman"/>
        </w:rPr>
      </w:pPr>
      <w:r w:rsidRPr="003815EB">
        <w:rPr>
          <w:rFonts w:ascii="Times New Roman" w:hAnsi="Times New Roman" w:cs="Times New Roman"/>
        </w:rPr>
        <w:t>RMSE: ₦12,500</w:t>
      </w:r>
    </w:p>
    <w:p w14:paraId="5402130A" w14:textId="77777777" w:rsidR="00301080" w:rsidRPr="003815EB" w:rsidRDefault="00301080" w:rsidP="002B4D35">
      <w:pPr>
        <w:numPr>
          <w:ilvl w:val="0"/>
          <w:numId w:val="12"/>
        </w:numPr>
        <w:spacing w:after="0" w:line="240" w:lineRule="auto"/>
        <w:rPr>
          <w:rFonts w:ascii="Times New Roman" w:hAnsi="Times New Roman" w:cs="Times New Roman"/>
        </w:rPr>
      </w:pPr>
      <w:r w:rsidRPr="003815EB">
        <w:rPr>
          <w:rFonts w:ascii="Times New Roman" w:hAnsi="Times New Roman" w:cs="Times New Roman"/>
        </w:rPr>
        <w:t>R²: 0.89</w:t>
      </w:r>
    </w:p>
    <w:p w14:paraId="6EA1408B" w14:textId="77777777" w:rsidR="00301080" w:rsidRPr="003815EB" w:rsidRDefault="00301080" w:rsidP="002B4D35">
      <w:pPr>
        <w:spacing w:after="0" w:line="240" w:lineRule="auto"/>
        <w:ind w:firstLine="360"/>
        <w:rPr>
          <w:rFonts w:ascii="Times New Roman" w:eastAsiaTheme="minorEastAsia" w:hAnsi="Times New Roman" w:cs="Times New Roman"/>
          <w:sz w:val="28"/>
          <w:szCs w:val="28"/>
        </w:rPr>
      </w:pPr>
      <w:r w:rsidRPr="003815EB">
        <w:rPr>
          <w:rFonts w:ascii="Times New Roman" w:hAnsi="Times New Roman" w:cs="Times New Roman"/>
        </w:rPr>
        <w:t>Result:</w:t>
      </w:r>
      <m:oMath>
        <m:sSub>
          <m:sSubPr>
            <m:ctrlPr>
              <w:rPr>
                <w:rFonts w:ascii="Cambria Math" w:hAnsi="Times New Roman" w:cs="Times New Roman"/>
                <w:i/>
              </w:rPr>
            </m:ctrlPr>
          </m:sSubPr>
          <m:e>
            <m:r>
              <w:rPr>
                <w:rFonts w:ascii="Cambria Math" w:hAnsi="Cambria Math" w:cs="Times New Roman"/>
              </w:rPr>
              <m:t>Z</m:t>
            </m:r>
          </m:e>
          <m:sub>
            <m:r>
              <w:rPr>
                <w:rFonts w:ascii="Cambria Math" w:hAnsi="Cambria Math" w:cs="Times New Roman"/>
              </w:rPr>
              <m:t>GN</m:t>
            </m:r>
          </m:sub>
        </m:sSub>
        <m:r>
          <w:rPr>
            <w:rFonts w:ascii="Cambria Math" w:hAnsi="Times New Roman" w:cs="Times New Roman"/>
          </w:rPr>
          <m:t>=</m:t>
        </m:r>
        <m:r>
          <w:rPr>
            <w:rFonts w:ascii="Cambria Math" w:hAnsi="Times New Roman" w:cs="Times New Roman"/>
          </w:rPr>
          <m:t>₦</m:t>
        </m:r>
        <m:r>
          <w:rPr>
            <w:rFonts w:ascii="Cambria Math" w:hAnsi="Times New Roman" w:cs="Times New Roman"/>
          </w:rPr>
          <m:t>185,000,000</m:t>
        </m:r>
      </m:oMath>
    </w:p>
    <w:p w14:paraId="3B361380" w14:textId="77777777" w:rsidR="00301080" w:rsidRPr="00286B41" w:rsidRDefault="00301080" w:rsidP="002B4D35">
      <w:pPr>
        <w:spacing w:before="240" w:line="240" w:lineRule="auto"/>
        <w:rPr>
          <w:rFonts w:ascii="Times New Roman" w:hAnsi="Times New Roman" w:cs="Times New Roman"/>
          <w:b/>
          <w:iCs/>
        </w:rPr>
      </w:pPr>
      <w:r w:rsidRPr="00286B41">
        <w:rPr>
          <w:rFonts w:ascii="Times New Roman" w:hAnsi="Times New Roman" w:cs="Times New Roman"/>
          <w:b/>
          <w:iCs/>
        </w:rPr>
        <w:lastRenderedPageBreak/>
        <w:t>Multi-Objective Mesh Routing (MOMR)</w:t>
      </w:r>
    </w:p>
    <w:p w14:paraId="2496EAD8" w14:textId="77777777" w:rsidR="00301080" w:rsidRPr="003815EB" w:rsidRDefault="00301080" w:rsidP="002B4D35">
      <w:pPr>
        <w:spacing w:after="0" w:line="240" w:lineRule="auto"/>
        <w:ind w:firstLine="360"/>
        <w:rPr>
          <w:rFonts w:ascii="Times New Roman" w:hAnsi="Times New Roman" w:cs="Times New Roman"/>
        </w:rPr>
      </w:pPr>
      <w:r w:rsidRPr="003815EB">
        <w:rPr>
          <w:rFonts w:ascii="Times New Roman" w:hAnsi="Times New Roman" w:cs="Times New Roman"/>
        </w:rPr>
        <w:t>Objectives:</w:t>
      </w:r>
    </w:p>
    <w:p w14:paraId="4CBC3609" w14:textId="77777777" w:rsidR="00301080" w:rsidRPr="003815EB" w:rsidRDefault="00301080" w:rsidP="002B4D35">
      <w:pPr>
        <w:numPr>
          <w:ilvl w:val="0"/>
          <w:numId w:val="13"/>
        </w:numPr>
        <w:spacing w:after="0" w:line="240" w:lineRule="auto"/>
        <w:rPr>
          <w:rFonts w:ascii="Times New Roman" w:hAnsi="Times New Roman" w:cs="Times New Roman"/>
        </w:rPr>
      </w:pPr>
      <w:r w:rsidRPr="003815EB">
        <w:rPr>
          <w:rFonts w:ascii="Times New Roman" w:hAnsi="Times New Roman" w:cs="Times New Roman"/>
        </w:rPr>
        <w:t>Minimize TTO</w:t>
      </w:r>
    </w:p>
    <w:p w14:paraId="6B71E1BE" w14:textId="77777777" w:rsidR="00301080" w:rsidRPr="003815EB" w:rsidRDefault="00301080" w:rsidP="002B4D35">
      <w:pPr>
        <w:numPr>
          <w:ilvl w:val="0"/>
          <w:numId w:val="13"/>
        </w:numPr>
        <w:spacing w:after="0" w:line="240" w:lineRule="auto"/>
        <w:rPr>
          <w:rFonts w:ascii="Times New Roman" w:hAnsi="Times New Roman" w:cs="Times New Roman"/>
        </w:rPr>
      </w:pPr>
      <w:r w:rsidRPr="003815EB">
        <w:rPr>
          <w:rFonts w:ascii="Times New Roman" w:hAnsi="Times New Roman" w:cs="Times New Roman"/>
        </w:rPr>
        <w:t>Minimize delivery time</w:t>
      </w:r>
    </w:p>
    <w:p w14:paraId="0AEE1423" w14:textId="77777777" w:rsidR="00301080" w:rsidRPr="003815EB" w:rsidRDefault="00301080" w:rsidP="002B4D35">
      <w:pPr>
        <w:numPr>
          <w:ilvl w:val="0"/>
          <w:numId w:val="13"/>
        </w:numPr>
        <w:spacing w:after="0" w:line="240" w:lineRule="auto"/>
        <w:rPr>
          <w:rFonts w:ascii="Times New Roman" w:hAnsi="Times New Roman" w:cs="Times New Roman"/>
        </w:rPr>
      </w:pPr>
      <w:r w:rsidRPr="003815EB">
        <w:rPr>
          <w:rFonts w:ascii="Times New Roman" w:hAnsi="Times New Roman" w:cs="Times New Roman"/>
        </w:rPr>
        <w:t>Maximize reliability</w:t>
      </w:r>
    </w:p>
    <w:p w14:paraId="6A873B95" w14:textId="77777777" w:rsidR="00301080" w:rsidRPr="003815EB" w:rsidRDefault="00301080" w:rsidP="002B4D35">
      <w:pPr>
        <w:spacing w:after="0" w:line="240" w:lineRule="auto"/>
        <w:ind w:firstLine="360"/>
        <w:rPr>
          <w:rFonts w:ascii="Times New Roman" w:hAnsi="Times New Roman" w:cs="Times New Roman"/>
        </w:rPr>
      </w:pPr>
      <w:r w:rsidRPr="003815EB">
        <w:rPr>
          <w:rFonts w:ascii="Times New Roman" w:hAnsi="Times New Roman" w:cs="Times New Roman"/>
        </w:rPr>
        <w:t>Scalarization:</w:t>
      </w:r>
    </w:p>
    <w:p w14:paraId="6105BE29" w14:textId="77777777" w:rsidR="00D620E9" w:rsidRPr="003815EB" w:rsidRDefault="00971BFF" w:rsidP="002B4D35">
      <w:pPr>
        <w:spacing w:after="0" w:line="240" w:lineRule="auto"/>
        <w:rPr>
          <w:rFonts w:ascii="Times New Roman" w:eastAsiaTheme="minorEastAsia" w:hAnsi="Times New Roman" w:cs="Times New Roman"/>
        </w:rPr>
      </w:pPr>
      <m:oMath>
        <m:r>
          <m:rPr>
            <m:sty m:val="p"/>
          </m:rPr>
          <w:rPr>
            <w:rFonts w:ascii="Cambria Math" w:hAnsi="Times New Roman" w:cs="Times New Roman"/>
            <w:sz w:val="28"/>
            <w:szCs w:val="28"/>
          </w:rPr>
          <m:t>Ζ</m:t>
        </m:r>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w</m:t>
            </m:r>
          </m:e>
          <m:sub>
            <m:r>
              <w:rPr>
                <w:rFonts w:ascii="Cambria Math" w:hAnsi="Times New Roman" w:cs="Times New Roman"/>
                <w:sz w:val="28"/>
                <w:szCs w:val="28"/>
              </w:rPr>
              <m:t>1</m:t>
            </m:r>
          </m:sub>
        </m:sSub>
        <m:sSub>
          <m:sSubPr>
            <m:ctrlPr>
              <w:rPr>
                <w:rFonts w:ascii="Cambria Math" w:hAnsi="Times New Roman" w:cs="Times New Roman"/>
                <w:i/>
                <w:sz w:val="28"/>
                <w:szCs w:val="28"/>
              </w:rPr>
            </m:ctrlPr>
          </m:sSubPr>
          <m:e>
            <m:r>
              <w:rPr>
                <w:rFonts w:ascii="Cambria Math" w:hAnsi="Cambria Math" w:cs="Times New Roman"/>
                <w:sz w:val="28"/>
                <w:szCs w:val="28"/>
              </w:rPr>
              <m:t>f</m:t>
            </m:r>
          </m:e>
          <m:sub>
            <m:r>
              <w:rPr>
                <w:rFonts w:ascii="Cambria Math" w:hAnsi="Times New Roman" w:cs="Times New Roman"/>
                <w:sz w:val="28"/>
                <w:szCs w:val="28"/>
              </w:rPr>
              <m:t>1</m:t>
            </m:r>
          </m:sub>
        </m:sSub>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w</m:t>
            </m:r>
          </m:e>
          <m:sub>
            <m:r>
              <w:rPr>
                <w:rFonts w:ascii="Cambria Math" w:hAnsi="Times New Roman" w:cs="Times New Roman"/>
                <w:sz w:val="28"/>
                <w:szCs w:val="28"/>
              </w:rPr>
              <m:t>2</m:t>
            </m:r>
          </m:sub>
        </m:sSub>
        <m:sSub>
          <m:sSubPr>
            <m:ctrlPr>
              <w:rPr>
                <w:rFonts w:ascii="Cambria Math" w:hAnsi="Times New Roman" w:cs="Times New Roman"/>
                <w:i/>
                <w:sz w:val="28"/>
                <w:szCs w:val="28"/>
              </w:rPr>
            </m:ctrlPr>
          </m:sSubPr>
          <m:e>
            <m:r>
              <w:rPr>
                <w:rFonts w:ascii="Cambria Math" w:hAnsi="Cambria Math" w:cs="Times New Roman"/>
                <w:sz w:val="28"/>
                <w:szCs w:val="28"/>
              </w:rPr>
              <m:t>f</m:t>
            </m:r>
          </m:e>
          <m:sub>
            <m:r>
              <w:rPr>
                <w:rFonts w:ascii="Cambria Math" w:hAnsi="Times New Roman" w:cs="Times New Roman"/>
                <w:sz w:val="28"/>
                <w:szCs w:val="28"/>
              </w:rPr>
              <m:t>2</m:t>
            </m:r>
          </m:sub>
        </m:sSub>
        <m:r>
          <w:rPr>
            <w:rFonts w:ascii="Times New Roman"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w</m:t>
            </m:r>
          </m:e>
          <m:sub>
            <m:r>
              <w:rPr>
                <w:rFonts w:ascii="Cambria Math" w:hAnsi="Times New Roman" w:cs="Times New Roman"/>
                <w:sz w:val="28"/>
                <w:szCs w:val="28"/>
              </w:rPr>
              <m:t>3</m:t>
            </m:r>
          </m:sub>
        </m:sSub>
        <m:sSub>
          <m:sSubPr>
            <m:ctrlPr>
              <w:rPr>
                <w:rFonts w:ascii="Cambria Math" w:hAnsi="Times New Roman" w:cs="Times New Roman"/>
                <w:i/>
                <w:sz w:val="28"/>
                <w:szCs w:val="28"/>
              </w:rPr>
            </m:ctrlPr>
          </m:sSubPr>
          <m:e>
            <m:r>
              <w:rPr>
                <w:rFonts w:ascii="Cambria Math" w:hAnsi="Cambria Math" w:cs="Times New Roman"/>
                <w:sz w:val="28"/>
                <w:szCs w:val="28"/>
              </w:rPr>
              <m:t>f</m:t>
            </m:r>
          </m:e>
          <m:sub>
            <m:r>
              <w:rPr>
                <w:rFonts w:ascii="Cambria Math" w:hAnsi="Times New Roman" w:cs="Times New Roman"/>
                <w:sz w:val="28"/>
                <w:szCs w:val="28"/>
              </w:rPr>
              <m:t>3</m:t>
            </m:r>
          </m:sub>
        </m:sSub>
      </m:oMath>
      <w:r w:rsidR="001820AE">
        <w:rPr>
          <w:rFonts w:ascii="Times New Roman" w:eastAsiaTheme="minorEastAsia" w:hAnsi="Times New Roman" w:cs="Times New Roman"/>
          <w:sz w:val="28"/>
          <w:szCs w:val="28"/>
        </w:rPr>
        <w:t>-</w:t>
      </w:r>
      <w:r w:rsidR="001820AE">
        <w:rPr>
          <w:rFonts w:ascii="Times New Roman" w:eastAsiaTheme="minorEastAsia" w:hAnsi="Times New Roman" w:cs="Times New Roman"/>
          <w:sz w:val="28"/>
          <w:szCs w:val="28"/>
        </w:rPr>
        <w:tab/>
        <w:t>-</w:t>
      </w:r>
      <w:r w:rsidR="001820AE">
        <w:rPr>
          <w:rFonts w:ascii="Times New Roman" w:eastAsiaTheme="minorEastAsia" w:hAnsi="Times New Roman" w:cs="Times New Roman"/>
          <w:sz w:val="28"/>
          <w:szCs w:val="28"/>
        </w:rPr>
        <w:tab/>
        <w:t>-ix</w:t>
      </w:r>
    </w:p>
    <w:p w14:paraId="345D0E7A" w14:textId="77777777" w:rsidR="00241C71" w:rsidRPr="003815EB" w:rsidRDefault="00301080" w:rsidP="002B4D35">
      <w:pPr>
        <w:spacing w:after="0" w:line="240" w:lineRule="auto"/>
        <w:ind w:firstLine="720"/>
        <w:rPr>
          <w:rFonts w:ascii="Times New Roman" w:eastAsiaTheme="minorEastAsia" w:hAnsi="Times New Roman" w:cs="Times New Roman"/>
          <w:sz w:val="32"/>
          <w:szCs w:val="32"/>
        </w:rPr>
      </w:pPr>
      <w:r w:rsidRPr="003815EB">
        <w:rPr>
          <w:rFonts w:ascii="Times New Roman" w:hAnsi="Times New Roman" w:cs="Times New Roman"/>
        </w:rPr>
        <w:t>Weights:</w:t>
      </w:r>
      <w:r w:rsidR="001820AE">
        <w:rPr>
          <w:rFonts w:ascii="Times New Roman" w:hAnsi="Times New Roman" w:cs="Times New Roman"/>
        </w:rPr>
        <w:t xml:space="preserve"> </w:t>
      </w:r>
      <m:oMath>
        <m:sSub>
          <m:sSubPr>
            <m:ctrlPr>
              <w:rPr>
                <w:rFonts w:ascii="Cambria Math" w:eastAsia="Cambria Math" w:hAnsi="Times New Roman" w:cs="Times New Roman"/>
                <w:i/>
                <w:sz w:val="32"/>
                <w:szCs w:val="32"/>
              </w:rPr>
            </m:ctrlPr>
          </m:sSubPr>
          <m:e>
            <m:r>
              <w:rPr>
                <w:rFonts w:ascii="Cambria Math" w:eastAsia="Cambria Math" w:hAnsi="Cambria Math" w:cs="Times New Roman"/>
                <w:sz w:val="32"/>
                <w:szCs w:val="32"/>
              </w:rPr>
              <m:t>w</m:t>
            </m:r>
          </m:e>
          <m:sub>
            <m:r>
              <w:rPr>
                <w:rFonts w:ascii="Cambria Math" w:eastAsia="Cambria Math" w:hAnsi="Times New Roman" w:cs="Times New Roman"/>
                <w:sz w:val="32"/>
                <w:szCs w:val="32"/>
              </w:rPr>
              <m:t>1</m:t>
            </m:r>
          </m:sub>
        </m:sSub>
        <m:r>
          <w:rPr>
            <w:rFonts w:ascii="Cambria Math" w:eastAsia="Cambria Math" w:hAnsi="Times New Roman" w:cs="Times New Roman"/>
            <w:sz w:val="32"/>
            <w:szCs w:val="32"/>
          </w:rPr>
          <m:t xml:space="preserve">= 0.50,    </m:t>
        </m:r>
        <m:sSub>
          <m:sSubPr>
            <m:ctrlPr>
              <w:rPr>
                <w:rFonts w:ascii="Cambria Math" w:hAnsi="Times New Roman" w:cs="Times New Roman"/>
                <w:i/>
                <w:sz w:val="32"/>
                <w:szCs w:val="32"/>
              </w:rPr>
            </m:ctrlPr>
          </m:sSubPr>
          <m:e>
            <m:r>
              <w:rPr>
                <w:rFonts w:ascii="Cambria Math" w:hAnsi="Cambria Math" w:cs="Times New Roman"/>
                <w:sz w:val="32"/>
                <w:szCs w:val="32"/>
              </w:rPr>
              <m:t>w</m:t>
            </m:r>
          </m:e>
          <m:sub>
            <m:r>
              <w:rPr>
                <w:rFonts w:ascii="Cambria Math" w:hAnsi="Times New Roman" w:cs="Times New Roman"/>
                <w:sz w:val="32"/>
                <w:szCs w:val="32"/>
              </w:rPr>
              <m:t>2</m:t>
            </m:r>
          </m:sub>
        </m:sSub>
        <m:r>
          <w:rPr>
            <w:rFonts w:ascii="Cambria Math" w:eastAsia="Cambria Math" w:hAnsi="Times New Roman" w:cs="Times New Roman"/>
            <w:sz w:val="32"/>
            <w:szCs w:val="32"/>
          </w:rPr>
          <m:t xml:space="preserve">= 0.30,   </m:t>
        </m:r>
        <m:sSub>
          <m:sSubPr>
            <m:ctrlPr>
              <w:rPr>
                <w:rFonts w:ascii="Cambria Math" w:eastAsia="Cambria Math" w:hAnsi="Times New Roman" w:cs="Times New Roman"/>
                <w:i/>
                <w:sz w:val="32"/>
                <w:szCs w:val="32"/>
              </w:rPr>
            </m:ctrlPr>
          </m:sSubPr>
          <m:e>
            <m:r>
              <w:rPr>
                <w:rFonts w:ascii="Cambria Math" w:eastAsia="Cambria Math" w:hAnsi="Cambria Math" w:cs="Times New Roman"/>
                <w:sz w:val="32"/>
                <w:szCs w:val="32"/>
              </w:rPr>
              <m:t>w</m:t>
            </m:r>
          </m:e>
          <m:sub>
            <m:r>
              <w:rPr>
                <w:rFonts w:ascii="Cambria Math" w:eastAsia="Cambria Math" w:hAnsi="Times New Roman" w:cs="Times New Roman"/>
                <w:sz w:val="32"/>
                <w:szCs w:val="32"/>
              </w:rPr>
              <m:t>3</m:t>
            </m:r>
          </m:sub>
        </m:sSub>
        <m:r>
          <w:rPr>
            <w:rFonts w:ascii="Cambria Math" w:eastAsia="Cambria Math" w:hAnsi="Times New Roman" w:cs="Times New Roman"/>
            <w:sz w:val="32"/>
            <w:szCs w:val="32"/>
          </w:rPr>
          <m:t>=0.20</m:t>
        </m:r>
      </m:oMath>
    </w:p>
    <w:p w14:paraId="71012127" w14:textId="77777777" w:rsidR="00301080" w:rsidRPr="003815EB" w:rsidRDefault="00301080" w:rsidP="002B4D35">
      <w:pPr>
        <w:spacing w:after="0" w:line="240" w:lineRule="auto"/>
        <w:rPr>
          <w:rFonts w:ascii="Times New Roman" w:eastAsiaTheme="minorEastAsia" w:hAnsi="Times New Roman" w:cs="Times New Roman"/>
        </w:rPr>
      </w:pPr>
      <w:r w:rsidRPr="003815EB">
        <w:rPr>
          <w:rFonts w:ascii="Times New Roman" w:hAnsi="Times New Roman" w:cs="Times New Roman"/>
        </w:rPr>
        <w:t>Hub flow conservation constraints applied.</w:t>
      </w:r>
    </w:p>
    <w:p w14:paraId="5361D645" w14:textId="77777777" w:rsidR="00301080" w:rsidRPr="003815EB" w:rsidRDefault="00301080" w:rsidP="002B4D35">
      <w:pPr>
        <w:spacing w:after="0" w:line="240" w:lineRule="auto"/>
        <w:rPr>
          <w:rFonts w:ascii="Times New Roman" w:hAnsi="Times New Roman" w:cs="Times New Roman"/>
        </w:rPr>
      </w:pPr>
      <w:r w:rsidRPr="003815EB">
        <w:rPr>
          <w:rFonts w:ascii="Times New Roman" w:hAnsi="Times New Roman" w:cs="Times New Roman"/>
        </w:rPr>
        <w:t>Optimal hub: Abuja.</w:t>
      </w:r>
    </w:p>
    <w:p w14:paraId="6B65EDB4" w14:textId="77777777" w:rsidR="00301080" w:rsidRPr="003815EB" w:rsidRDefault="00301080" w:rsidP="002B4D35">
      <w:pPr>
        <w:spacing w:after="0" w:line="240" w:lineRule="auto"/>
        <w:ind w:firstLine="720"/>
        <w:rPr>
          <w:rFonts w:ascii="Times New Roman" w:hAnsi="Times New Roman" w:cs="Times New Roman"/>
        </w:rPr>
      </w:pPr>
      <w:r w:rsidRPr="003815EB">
        <w:rPr>
          <w:rFonts w:ascii="Times New Roman" w:hAnsi="Times New Roman" w:cs="Times New Roman"/>
        </w:rPr>
        <w:t>Result:</w:t>
      </w:r>
      <w:r w:rsidR="001820AE">
        <w:rPr>
          <w:rFonts w:ascii="Times New Roman" w:hAnsi="Times New Roman" w:cs="Times New Roman"/>
        </w:rPr>
        <w:t xml:space="preserve"> </w:t>
      </w:r>
      <m:oMath>
        <m:sSub>
          <m:sSubPr>
            <m:ctrlPr>
              <w:rPr>
                <w:rFonts w:ascii="Cambria Math" w:hAnsi="Times New Roman" w:cs="Times New Roman"/>
                <w:i/>
                <w:sz w:val="28"/>
                <w:szCs w:val="28"/>
              </w:rPr>
            </m:ctrlPr>
          </m:sSubPr>
          <m:e>
            <m:r>
              <w:rPr>
                <w:rFonts w:ascii="Cambria Math" w:hAnsi="Cambria Math" w:cs="Times New Roman"/>
                <w:sz w:val="28"/>
                <w:szCs w:val="28"/>
              </w:rPr>
              <m:t>Z</m:t>
            </m:r>
          </m:e>
          <m:sub>
            <m:r>
              <w:rPr>
                <w:rFonts w:ascii="Cambria Math" w:hAnsi="Cambria Math" w:cs="Times New Roman"/>
                <w:sz w:val="28"/>
                <w:szCs w:val="28"/>
              </w:rPr>
              <m:t>GN</m:t>
            </m:r>
            <m:r>
              <w:rPr>
                <w:rFonts w:ascii="Cambria Math" w:hAnsi="Times New Roman" w:cs="Times New Roman"/>
                <w:sz w:val="28"/>
                <w:szCs w:val="28"/>
              </w:rPr>
              <m:t>+</m:t>
            </m:r>
            <m:r>
              <w:rPr>
                <w:rFonts w:ascii="Cambria Math" w:hAnsi="Cambria Math" w:cs="Times New Roman"/>
                <w:sz w:val="28"/>
                <w:szCs w:val="28"/>
              </w:rPr>
              <m:t>MOMR</m:t>
            </m:r>
          </m:sub>
        </m:sSub>
        <m:r>
          <w:rPr>
            <w:rFonts w:ascii="Cambria Math" w:hAnsi="Times New Roman" w:cs="Times New Roman"/>
            <w:sz w:val="28"/>
            <w:szCs w:val="28"/>
          </w:rPr>
          <m:t>=</m:t>
        </m:r>
        <m:r>
          <w:rPr>
            <w:rFonts w:ascii="Cambria Math" w:hAnsi="Times New Roman" w:cs="Times New Roman"/>
            <w:sz w:val="28"/>
            <w:szCs w:val="28"/>
          </w:rPr>
          <m:t>₦</m:t>
        </m:r>
        <m:r>
          <w:rPr>
            <w:rFonts w:ascii="Cambria Math" w:hAnsi="Times New Roman" w:cs="Times New Roman"/>
            <w:sz w:val="28"/>
            <w:szCs w:val="28"/>
          </w:rPr>
          <m:t>180,400,000</m:t>
        </m:r>
      </m:oMath>
    </w:p>
    <w:p w14:paraId="405D0E06" w14:textId="77777777" w:rsidR="00971BFF" w:rsidRPr="003815EB" w:rsidRDefault="00891A54" w:rsidP="002B4D35">
      <w:pPr>
        <w:spacing w:after="0" w:line="240" w:lineRule="auto"/>
        <w:jc w:val="center"/>
        <w:rPr>
          <w:rFonts w:ascii="Times New Roman" w:hAnsi="Times New Roman" w:cs="Times New Roman"/>
        </w:rPr>
      </w:pPr>
      <w:r w:rsidRPr="003815EB">
        <w:rPr>
          <w:rFonts w:ascii="Times New Roman" w:hAnsi="Times New Roman" w:cs="Times New Roman"/>
          <w:noProof/>
        </w:rPr>
        <w:drawing>
          <wp:inline distT="0" distB="0" distL="0" distR="0" wp14:anchorId="5D5CF7E8" wp14:editId="529F560C">
            <wp:extent cx="5324475" cy="2619375"/>
            <wp:effectExtent l="0" t="0" r="9525" b="9525"/>
            <wp:docPr id="1294256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6411" t="19159" r="4006" b="16589"/>
                    <a:stretch>
                      <a:fillRect/>
                    </a:stretch>
                  </pic:blipFill>
                  <pic:spPr bwMode="auto">
                    <a:xfrm>
                      <a:off x="0" y="0"/>
                      <a:ext cx="5324475" cy="2619375"/>
                    </a:xfrm>
                    <a:prstGeom prst="rect">
                      <a:avLst/>
                    </a:prstGeom>
                    <a:noFill/>
                    <a:ln>
                      <a:noFill/>
                    </a:ln>
                    <a:extLst>
                      <a:ext uri="{53640926-AAD7-44D8-BBD7-CCE9431645EC}">
                        <a14:shadowObscured xmlns:a14="http://schemas.microsoft.com/office/drawing/2010/main"/>
                      </a:ext>
                    </a:extLst>
                  </pic:spPr>
                </pic:pic>
              </a:graphicData>
            </a:graphic>
          </wp:inline>
        </w:drawing>
      </w:r>
    </w:p>
    <w:p w14:paraId="4CEFCAEE" w14:textId="77777777" w:rsidR="00891A54" w:rsidRPr="003815EB" w:rsidRDefault="001820AE" w:rsidP="00503285">
      <w:pPr>
        <w:spacing w:line="240" w:lineRule="auto"/>
        <w:rPr>
          <w:rFonts w:ascii="Times New Roman" w:hAnsi="Times New Roman" w:cs="Times New Roman"/>
        </w:rPr>
      </w:pPr>
      <w:r>
        <w:rPr>
          <w:rFonts w:ascii="Times New Roman" w:hAnsi="Times New Roman" w:cs="Times New Roman"/>
        </w:rPr>
        <w:t>Figure 4</w:t>
      </w:r>
      <w:r w:rsidR="00891A54" w:rsidRPr="003815EB">
        <w:rPr>
          <w:rFonts w:ascii="Times New Roman" w:hAnsi="Times New Roman" w:cs="Times New Roman"/>
        </w:rPr>
        <w:t>: Comparison of Total Transportation Outlay (TTO).</w:t>
      </w:r>
    </w:p>
    <w:p w14:paraId="2648E2A1" w14:textId="77777777" w:rsidR="00971BFF" w:rsidRPr="003815EB" w:rsidRDefault="00644838" w:rsidP="00503285">
      <w:pPr>
        <w:spacing w:line="240" w:lineRule="auto"/>
        <w:jc w:val="both"/>
        <w:rPr>
          <w:rFonts w:ascii="Times New Roman" w:hAnsi="Times New Roman" w:cs="Times New Roman"/>
        </w:rPr>
      </w:pPr>
      <w:r w:rsidRPr="003815EB">
        <w:rPr>
          <w:rFonts w:ascii="Times New Roman" w:hAnsi="Times New Roman" w:cs="Times New Roman"/>
        </w:rPr>
        <w:t xml:space="preserve">Figure </w:t>
      </w:r>
      <w:r w:rsidR="001820AE">
        <w:rPr>
          <w:rFonts w:ascii="Times New Roman" w:hAnsi="Times New Roman" w:cs="Times New Roman"/>
        </w:rPr>
        <w:t>4</w:t>
      </w:r>
      <w:r w:rsidRPr="003815EB">
        <w:rPr>
          <w:rFonts w:ascii="Times New Roman" w:hAnsi="Times New Roman" w:cs="Times New Roman"/>
        </w:rPr>
        <w:t xml:space="preserve"> showed that </w:t>
      </w:r>
      <w:r w:rsidR="00242C19" w:rsidRPr="003815EB">
        <w:rPr>
          <w:rFonts w:ascii="Times New Roman" w:hAnsi="Times New Roman" w:cs="Times New Roman"/>
        </w:rPr>
        <w:t>GN+MOMR perform better than, VAM and VAM betters LCM and NWCM. Percentage of cost reduction is as displayed in table 4</w:t>
      </w:r>
    </w:p>
    <w:p w14:paraId="552B0FFB" w14:textId="77777777" w:rsidR="00301080" w:rsidRPr="00286B41" w:rsidRDefault="00301080" w:rsidP="00503285">
      <w:pPr>
        <w:spacing w:line="240" w:lineRule="auto"/>
        <w:rPr>
          <w:rFonts w:ascii="Times New Roman" w:hAnsi="Times New Roman" w:cs="Times New Roman"/>
          <w:b/>
          <w:bCs/>
          <w:sz w:val="28"/>
          <w:szCs w:val="28"/>
        </w:rPr>
      </w:pPr>
      <w:r w:rsidRPr="00286B41">
        <w:rPr>
          <w:rFonts w:ascii="Times New Roman" w:hAnsi="Times New Roman" w:cs="Times New Roman"/>
          <w:b/>
          <w:bCs/>
          <w:sz w:val="28"/>
          <w:szCs w:val="28"/>
        </w:rPr>
        <w:t>RESULTS</w:t>
      </w:r>
    </w:p>
    <w:tbl>
      <w:tblPr>
        <w:tblStyle w:val="LightShading"/>
        <w:tblW w:w="5318" w:type="dxa"/>
        <w:tblLook w:val="0620" w:firstRow="1" w:lastRow="0" w:firstColumn="0" w:lastColumn="0" w:noHBand="1" w:noVBand="1"/>
      </w:tblPr>
      <w:tblGrid>
        <w:gridCol w:w="1847"/>
        <w:gridCol w:w="1328"/>
        <w:gridCol w:w="2143"/>
      </w:tblGrid>
      <w:tr w:rsidR="00301080" w:rsidRPr="003815EB" w14:paraId="11BFC7BF" w14:textId="77777777" w:rsidTr="00286B41">
        <w:trPr>
          <w:cnfStyle w:val="100000000000" w:firstRow="1" w:lastRow="0" w:firstColumn="0" w:lastColumn="0" w:oddVBand="0" w:evenVBand="0" w:oddHBand="0" w:evenHBand="0" w:firstRowFirstColumn="0" w:firstRowLastColumn="0" w:lastRowFirstColumn="0" w:lastRowLastColumn="0"/>
          <w:trHeight w:val="514"/>
        </w:trPr>
        <w:tc>
          <w:tcPr>
            <w:tcW w:w="1847" w:type="dxa"/>
            <w:hideMark/>
          </w:tcPr>
          <w:p w14:paraId="7010F3B0"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Method</w:t>
            </w:r>
          </w:p>
        </w:tc>
        <w:tc>
          <w:tcPr>
            <w:tcW w:w="1328" w:type="dxa"/>
            <w:hideMark/>
          </w:tcPr>
          <w:p w14:paraId="5561892B"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Cost (₦)</w:t>
            </w:r>
          </w:p>
        </w:tc>
        <w:tc>
          <w:tcPr>
            <w:tcW w:w="0" w:type="auto"/>
            <w:hideMark/>
          </w:tcPr>
          <w:p w14:paraId="19D8158F"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 Reduction</w:t>
            </w:r>
          </w:p>
        </w:tc>
      </w:tr>
      <w:tr w:rsidR="00301080" w:rsidRPr="003815EB" w14:paraId="57D79FE2" w14:textId="77777777" w:rsidTr="00286B41">
        <w:trPr>
          <w:trHeight w:val="530"/>
        </w:trPr>
        <w:tc>
          <w:tcPr>
            <w:tcW w:w="1847" w:type="dxa"/>
            <w:hideMark/>
          </w:tcPr>
          <w:p w14:paraId="055EB817"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NWCM</w:t>
            </w:r>
          </w:p>
        </w:tc>
        <w:tc>
          <w:tcPr>
            <w:tcW w:w="1328" w:type="dxa"/>
            <w:hideMark/>
          </w:tcPr>
          <w:p w14:paraId="1DC90BB2"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306.5M</w:t>
            </w:r>
          </w:p>
        </w:tc>
        <w:tc>
          <w:tcPr>
            <w:tcW w:w="0" w:type="auto"/>
            <w:hideMark/>
          </w:tcPr>
          <w:p w14:paraId="44D26E20"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w:t>
            </w:r>
          </w:p>
        </w:tc>
      </w:tr>
      <w:tr w:rsidR="00301080" w:rsidRPr="003815EB" w14:paraId="7058BE9E" w14:textId="77777777" w:rsidTr="00286B41">
        <w:trPr>
          <w:trHeight w:val="514"/>
        </w:trPr>
        <w:tc>
          <w:tcPr>
            <w:tcW w:w="1847" w:type="dxa"/>
            <w:hideMark/>
          </w:tcPr>
          <w:p w14:paraId="061D8E47"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LCM</w:t>
            </w:r>
          </w:p>
        </w:tc>
        <w:tc>
          <w:tcPr>
            <w:tcW w:w="1328" w:type="dxa"/>
            <w:hideMark/>
          </w:tcPr>
          <w:p w14:paraId="36E7DFDC"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190.5M</w:t>
            </w:r>
          </w:p>
        </w:tc>
        <w:tc>
          <w:tcPr>
            <w:tcW w:w="0" w:type="auto"/>
            <w:hideMark/>
          </w:tcPr>
          <w:p w14:paraId="7883B8E2"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37.8%</w:t>
            </w:r>
          </w:p>
        </w:tc>
      </w:tr>
      <w:tr w:rsidR="00301080" w:rsidRPr="003815EB" w14:paraId="1F76F2A2" w14:textId="77777777" w:rsidTr="00286B41">
        <w:trPr>
          <w:trHeight w:val="514"/>
        </w:trPr>
        <w:tc>
          <w:tcPr>
            <w:tcW w:w="1847" w:type="dxa"/>
            <w:hideMark/>
          </w:tcPr>
          <w:p w14:paraId="1795B1CE"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VAM</w:t>
            </w:r>
          </w:p>
        </w:tc>
        <w:tc>
          <w:tcPr>
            <w:tcW w:w="1328" w:type="dxa"/>
            <w:hideMark/>
          </w:tcPr>
          <w:p w14:paraId="64D2EFCB"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192.0M</w:t>
            </w:r>
          </w:p>
        </w:tc>
        <w:tc>
          <w:tcPr>
            <w:tcW w:w="0" w:type="auto"/>
            <w:hideMark/>
          </w:tcPr>
          <w:p w14:paraId="0B463549"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37.4%</w:t>
            </w:r>
          </w:p>
        </w:tc>
      </w:tr>
      <w:tr w:rsidR="00301080" w:rsidRPr="003815EB" w14:paraId="6440F909" w14:textId="77777777" w:rsidTr="00286B41">
        <w:trPr>
          <w:trHeight w:val="514"/>
        </w:trPr>
        <w:tc>
          <w:tcPr>
            <w:tcW w:w="1847" w:type="dxa"/>
            <w:hideMark/>
          </w:tcPr>
          <w:p w14:paraId="314704C6"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GN</w:t>
            </w:r>
          </w:p>
        </w:tc>
        <w:tc>
          <w:tcPr>
            <w:tcW w:w="1328" w:type="dxa"/>
            <w:hideMark/>
          </w:tcPr>
          <w:p w14:paraId="0C8EE431"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185.0M</w:t>
            </w:r>
          </w:p>
        </w:tc>
        <w:tc>
          <w:tcPr>
            <w:tcW w:w="0" w:type="auto"/>
            <w:hideMark/>
          </w:tcPr>
          <w:p w14:paraId="60D4F17B"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39.6%</w:t>
            </w:r>
          </w:p>
        </w:tc>
      </w:tr>
      <w:tr w:rsidR="00301080" w:rsidRPr="003815EB" w14:paraId="58BA5000" w14:textId="77777777" w:rsidTr="00286B41">
        <w:trPr>
          <w:trHeight w:val="530"/>
        </w:trPr>
        <w:tc>
          <w:tcPr>
            <w:tcW w:w="1847" w:type="dxa"/>
            <w:hideMark/>
          </w:tcPr>
          <w:p w14:paraId="2B9ECA0D"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GN+MOMR</w:t>
            </w:r>
          </w:p>
        </w:tc>
        <w:tc>
          <w:tcPr>
            <w:tcW w:w="1328" w:type="dxa"/>
            <w:hideMark/>
          </w:tcPr>
          <w:p w14:paraId="05BA3143"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180.4M</w:t>
            </w:r>
          </w:p>
        </w:tc>
        <w:tc>
          <w:tcPr>
            <w:tcW w:w="0" w:type="auto"/>
            <w:hideMark/>
          </w:tcPr>
          <w:p w14:paraId="53009754"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41%</w:t>
            </w:r>
          </w:p>
        </w:tc>
      </w:tr>
    </w:tbl>
    <w:p w14:paraId="7E9BEBB5" w14:textId="77777777" w:rsidR="00F97AA8" w:rsidRPr="003815EB" w:rsidRDefault="003A1957" w:rsidP="00503285">
      <w:pPr>
        <w:spacing w:line="240" w:lineRule="auto"/>
        <w:rPr>
          <w:rFonts w:ascii="Times New Roman" w:hAnsi="Times New Roman" w:cs="Times New Roman"/>
          <w:i/>
          <w:iCs/>
        </w:rPr>
      </w:pPr>
      <w:r w:rsidRPr="003815EB">
        <w:rPr>
          <w:rFonts w:ascii="Times New Roman" w:hAnsi="Times New Roman" w:cs="Times New Roman"/>
        </w:rPr>
        <w:t xml:space="preserve">Table </w:t>
      </w:r>
      <w:r w:rsidR="00F97AA8" w:rsidRPr="003815EB">
        <w:rPr>
          <w:rFonts w:ascii="Times New Roman" w:hAnsi="Times New Roman" w:cs="Times New Roman"/>
        </w:rPr>
        <w:t>4</w:t>
      </w:r>
      <w:r w:rsidRPr="003815EB">
        <w:rPr>
          <w:rFonts w:ascii="Times New Roman" w:hAnsi="Times New Roman" w:cs="Times New Roman"/>
        </w:rPr>
        <w:t>:</w:t>
      </w:r>
      <w:r w:rsidR="00F97AA8" w:rsidRPr="003815EB">
        <w:rPr>
          <w:rFonts w:ascii="Times New Roman" w:hAnsi="Times New Roman" w:cs="Times New Roman"/>
        </w:rPr>
        <w:t xml:space="preserve"> </w:t>
      </w:r>
      <w:r w:rsidR="00F97AA8" w:rsidRPr="003815EB">
        <w:rPr>
          <w:rFonts w:ascii="Times New Roman" w:hAnsi="Times New Roman" w:cs="Times New Roman"/>
          <w:i/>
          <w:iCs/>
        </w:rPr>
        <w:t>Cost Comparison</w:t>
      </w:r>
    </w:p>
    <w:p w14:paraId="3EAE8B8B" w14:textId="77777777" w:rsidR="00242C19" w:rsidRPr="00066908" w:rsidRDefault="00242C19" w:rsidP="00503285">
      <w:pPr>
        <w:spacing w:line="240" w:lineRule="auto"/>
        <w:jc w:val="both"/>
        <w:rPr>
          <w:rFonts w:ascii="Times New Roman" w:hAnsi="Times New Roman" w:cs="Times New Roman"/>
          <w:iCs/>
        </w:rPr>
      </w:pPr>
      <w:r w:rsidRPr="00066908">
        <w:rPr>
          <w:rFonts w:ascii="Times New Roman" w:hAnsi="Times New Roman" w:cs="Times New Roman"/>
          <w:iCs/>
        </w:rPr>
        <w:lastRenderedPageBreak/>
        <w:t>As contained in table 4, GM+MOMR reduces cost of transportation down to 41%,GN is 39.6%, VAM, 37.4%, LCM 37.8% over NWCM. This indicates that GN+MOMR is the best.</w:t>
      </w:r>
    </w:p>
    <w:p w14:paraId="492C3906" w14:textId="77777777" w:rsidR="00301080" w:rsidRPr="00286B41" w:rsidRDefault="00301080" w:rsidP="00286B41">
      <w:pPr>
        <w:spacing w:before="240" w:line="240" w:lineRule="auto"/>
        <w:rPr>
          <w:rFonts w:ascii="Times New Roman" w:hAnsi="Times New Roman" w:cs="Times New Roman"/>
          <w:b/>
          <w:iCs/>
        </w:rPr>
      </w:pPr>
      <w:r w:rsidRPr="00286B41">
        <w:rPr>
          <w:rFonts w:ascii="Times New Roman" w:hAnsi="Times New Roman" w:cs="Times New Roman"/>
          <w:b/>
          <w:iCs/>
        </w:rPr>
        <w:t>Multi-Objective Metrics</w:t>
      </w:r>
    </w:p>
    <w:tbl>
      <w:tblPr>
        <w:tblStyle w:val="LightShading"/>
        <w:tblW w:w="5417" w:type="dxa"/>
        <w:tblLook w:val="0620" w:firstRow="1" w:lastRow="0" w:firstColumn="0" w:lastColumn="0" w:noHBand="1" w:noVBand="1"/>
      </w:tblPr>
      <w:tblGrid>
        <w:gridCol w:w="2058"/>
        <w:gridCol w:w="1550"/>
        <w:gridCol w:w="1809"/>
      </w:tblGrid>
      <w:tr w:rsidR="00301080" w:rsidRPr="003815EB" w14:paraId="1366297A" w14:textId="77777777" w:rsidTr="00286B41">
        <w:trPr>
          <w:cnfStyle w:val="100000000000" w:firstRow="1" w:lastRow="0" w:firstColumn="0" w:lastColumn="0" w:oddVBand="0" w:evenVBand="0" w:oddHBand="0" w:evenHBand="0" w:firstRowFirstColumn="0" w:firstRowLastColumn="0" w:lastRowFirstColumn="0" w:lastRowLastColumn="0"/>
          <w:trHeight w:val="532"/>
        </w:trPr>
        <w:tc>
          <w:tcPr>
            <w:tcW w:w="0" w:type="auto"/>
            <w:hideMark/>
          </w:tcPr>
          <w:p w14:paraId="409479BD" w14:textId="77777777" w:rsidR="00301080" w:rsidRPr="003815EB" w:rsidRDefault="00301080" w:rsidP="00286B41">
            <w:pPr>
              <w:spacing w:before="240" w:after="160"/>
              <w:rPr>
                <w:rFonts w:ascii="Times New Roman" w:hAnsi="Times New Roman" w:cs="Times New Roman"/>
              </w:rPr>
            </w:pPr>
            <w:r w:rsidRPr="003815EB">
              <w:rPr>
                <w:rFonts w:ascii="Times New Roman" w:hAnsi="Times New Roman" w:cs="Times New Roman"/>
              </w:rPr>
              <w:t>Method</w:t>
            </w:r>
          </w:p>
        </w:tc>
        <w:tc>
          <w:tcPr>
            <w:tcW w:w="0" w:type="auto"/>
            <w:hideMark/>
          </w:tcPr>
          <w:p w14:paraId="1B0F2A58"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Time (h)</w:t>
            </w:r>
          </w:p>
        </w:tc>
        <w:tc>
          <w:tcPr>
            <w:tcW w:w="0" w:type="auto"/>
            <w:hideMark/>
          </w:tcPr>
          <w:p w14:paraId="2FD82DEA"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Reliability</w:t>
            </w:r>
          </w:p>
        </w:tc>
      </w:tr>
      <w:tr w:rsidR="00301080" w:rsidRPr="003815EB" w14:paraId="3E95DFF9" w14:textId="77777777" w:rsidTr="00286B41">
        <w:trPr>
          <w:trHeight w:val="548"/>
        </w:trPr>
        <w:tc>
          <w:tcPr>
            <w:tcW w:w="0" w:type="auto"/>
            <w:hideMark/>
          </w:tcPr>
          <w:p w14:paraId="5151DB07"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NWCM</w:t>
            </w:r>
          </w:p>
        </w:tc>
        <w:tc>
          <w:tcPr>
            <w:tcW w:w="0" w:type="auto"/>
            <w:hideMark/>
          </w:tcPr>
          <w:p w14:paraId="4C4C6DBD"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12.5</w:t>
            </w:r>
          </w:p>
        </w:tc>
        <w:tc>
          <w:tcPr>
            <w:tcW w:w="0" w:type="auto"/>
            <w:hideMark/>
          </w:tcPr>
          <w:p w14:paraId="2B1ACF77"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78%</w:t>
            </w:r>
          </w:p>
        </w:tc>
      </w:tr>
      <w:tr w:rsidR="00301080" w:rsidRPr="003815EB" w14:paraId="484F8F10" w14:textId="77777777" w:rsidTr="00286B41">
        <w:trPr>
          <w:trHeight w:val="532"/>
        </w:trPr>
        <w:tc>
          <w:tcPr>
            <w:tcW w:w="0" w:type="auto"/>
            <w:hideMark/>
          </w:tcPr>
          <w:p w14:paraId="16BE21D6"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VAM</w:t>
            </w:r>
          </w:p>
        </w:tc>
        <w:tc>
          <w:tcPr>
            <w:tcW w:w="0" w:type="auto"/>
            <w:hideMark/>
          </w:tcPr>
          <w:p w14:paraId="1724C212"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10.8</w:t>
            </w:r>
          </w:p>
        </w:tc>
        <w:tc>
          <w:tcPr>
            <w:tcW w:w="0" w:type="auto"/>
            <w:hideMark/>
          </w:tcPr>
          <w:p w14:paraId="7835F045"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84%</w:t>
            </w:r>
          </w:p>
        </w:tc>
      </w:tr>
      <w:tr w:rsidR="00301080" w:rsidRPr="003815EB" w14:paraId="60724F9B" w14:textId="77777777" w:rsidTr="00286B41">
        <w:trPr>
          <w:trHeight w:val="532"/>
        </w:trPr>
        <w:tc>
          <w:tcPr>
            <w:tcW w:w="0" w:type="auto"/>
            <w:hideMark/>
          </w:tcPr>
          <w:p w14:paraId="2F30265D"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GN</w:t>
            </w:r>
          </w:p>
        </w:tc>
        <w:tc>
          <w:tcPr>
            <w:tcW w:w="0" w:type="auto"/>
            <w:hideMark/>
          </w:tcPr>
          <w:p w14:paraId="653C978C"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9.5</w:t>
            </w:r>
          </w:p>
        </w:tc>
        <w:tc>
          <w:tcPr>
            <w:tcW w:w="0" w:type="auto"/>
            <w:hideMark/>
          </w:tcPr>
          <w:p w14:paraId="608EC6ED"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88%</w:t>
            </w:r>
          </w:p>
        </w:tc>
      </w:tr>
      <w:tr w:rsidR="00301080" w:rsidRPr="003815EB" w14:paraId="14FB16B8" w14:textId="77777777" w:rsidTr="00286B41">
        <w:trPr>
          <w:trHeight w:val="532"/>
        </w:trPr>
        <w:tc>
          <w:tcPr>
            <w:tcW w:w="0" w:type="auto"/>
            <w:hideMark/>
          </w:tcPr>
          <w:p w14:paraId="1C64E186"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GN+MOMR</w:t>
            </w:r>
          </w:p>
        </w:tc>
        <w:tc>
          <w:tcPr>
            <w:tcW w:w="0" w:type="auto"/>
            <w:hideMark/>
          </w:tcPr>
          <w:p w14:paraId="652CA0F4"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7.8</w:t>
            </w:r>
          </w:p>
        </w:tc>
        <w:tc>
          <w:tcPr>
            <w:tcW w:w="0" w:type="auto"/>
            <w:hideMark/>
          </w:tcPr>
          <w:p w14:paraId="7C279138"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91.5%</w:t>
            </w:r>
          </w:p>
        </w:tc>
      </w:tr>
    </w:tbl>
    <w:p w14:paraId="7FA3509B" w14:textId="77777777" w:rsidR="00F97AA8" w:rsidRPr="003815EB" w:rsidRDefault="00F97AA8" w:rsidP="00503285">
      <w:pPr>
        <w:spacing w:line="240" w:lineRule="auto"/>
        <w:rPr>
          <w:rFonts w:ascii="Times New Roman" w:hAnsi="Times New Roman" w:cs="Times New Roman"/>
          <w:i/>
          <w:iCs/>
        </w:rPr>
      </w:pPr>
      <w:r w:rsidRPr="003815EB">
        <w:rPr>
          <w:rFonts w:ascii="Times New Roman" w:hAnsi="Times New Roman" w:cs="Times New Roman"/>
        </w:rPr>
        <w:t xml:space="preserve">Table 5: </w:t>
      </w:r>
      <w:r w:rsidRPr="003815EB">
        <w:rPr>
          <w:rFonts w:ascii="Times New Roman" w:hAnsi="Times New Roman" w:cs="Times New Roman"/>
          <w:i/>
          <w:iCs/>
        </w:rPr>
        <w:t>Reliability</w:t>
      </w:r>
    </w:p>
    <w:p w14:paraId="37583A41" w14:textId="77777777" w:rsidR="00000186" w:rsidRPr="00066908" w:rsidRDefault="00242C19" w:rsidP="00503285">
      <w:pPr>
        <w:spacing w:line="240" w:lineRule="auto"/>
        <w:jc w:val="both"/>
        <w:rPr>
          <w:rFonts w:ascii="Times New Roman" w:hAnsi="Times New Roman" w:cs="Times New Roman"/>
        </w:rPr>
      </w:pPr>
      <w:r w:rsidRPr="00066908">
        <w:rPr>
          <w:rFonts w:ascii="Times New Roman" w:hAnsi="Times New Roman" w:cs="Times New Roman"/>
          <w:iCs/>
        </w:rPr>
        <w:t xml:space="preserve">Reliability test </w:t>
      </w:r>
      <w:r w:rsidR="00000186" w:rsidRPr="00066908">
        <w:rPr>
          <w:rFonts w:ascii="Times New Roman" w:hAnsi="Times New Roman" w:cs="Times New Roman"/>
          <w:iCs/>
        </w:rPr>
        <w:t>in table 5</w:t>
      </w:r>
      <w:r w:rsidRPr="00066908">
        <w:rPr>
          <w:rFonts w:ascii="Times New Roman" w:hAnsi="Times New Roman" w:cs="Times New Roman"/>
          <w:iCs/>
        </w:rPr>
        <w:t>showed that GN+MOMR has 91.5%, GN 88%, VAM 84%, NWCM 78%. This reveal</w:t>
      </w:r>
      <w:r w:rsidR="00000186" w:rsidRPr="00066908">
        <w:rPr>
          <w:rFonts w:ascii="Times New Roman" w:hAnsi="Times New Roman" w:cs="Times New Roman"/>
          <w:iCs/>
        </w:rPr>
        <w:t>ed that o</w:t>
      </w:r>
      <w:r w:rsidR="00301080" w:rsidRPr="00066908">
        <w:rPr>
          <w:rFonts w:ascii="Times New Roman" w:hAnsi="Times New Roman" w:cs="Times New Roman"/>
        </w:rPr>
        <w:t>nly GN+MOMR is Pareto efficient.</w:t>
      </w:r>
    </w:p>
    <w:p w14:paraId="4EBF917A" w14:textId="77777777" w:rsidR="00301080" w:rsidRPr="003815EB" w:rsidRDefault="00000186" w:rsidP="00286B41">
      <w:pPr>
        <w:spacing w:before="240" w:line="240" w:lineRule="auto"/>
        <w:jc w:val="both"/>
        <w:rPr>
          <w:rFonts w:ascii="Times New Roman" w:hAnsi="Times New Roman" w:cs="Times New Roman"/>
        </w:rPr>
      </w:pPr>
      <w:r w:rsidRPr="003815EB">
        <w:rPr>
          <w:rFonts w:ascii="Times New Roman" w:hAnsi="Times New Roman" w:cs="Times New Roman"/>
        </w:rPr>
        <w:t xml:space="preserve">Table 6 </w:t>
      </w:r>
      <w:r w:rsidR="00066908">
        <w:rPr>
          <w:rFonts w:ascii="Times New Roman" w:hAnsi="Times New Roman" w:cs="Times New Roman"/>
        </w:rPr>
        <w:t>b</w:t>
      </w:r>
      <w:r w:rsidRPr="003815EB">
        <w:rPr>
          <w:rFonts w:ascii="Times New Roman" w:hAnsi="Times New Roman" w:cs="Times New Roman"/>
        </w:rPr>
        <w:t>elow showed sensitive VAM and GN+MOMR responds to fuel increase</w:t>
      </w:r>
    </w:p>
    <w:tbl>
      <w:tblPr>
        <w:tblStyle w:val="LightShading"/>
        <w:tblW w:w="5392" w:type="dxa"/>
        <w:tblLook w:val="0620" w:firstRow="1" w:lastRow="0" w:firstColumn="0" w:lastColumn="0" w:noHBand="1" w:noVBand="1"/>
      </w:tblPr>
      <w:tblGrid>
        <w:gridCol w:w="2568"/>
        <w:gridCol w:w="2824"/>
      </w:tblGrid>
      <w:tr w:rsidR="00301080" w:rsidRPr="003815EB" w14:paraId="1785E9FC" w14:textId="77777777" w:rsidTr="00286B41">
        <w:trPr>
          <w:cnfStyle w:val="100000000000" w:firstRow="1" w:lastRow="0" w:firstColumn="0" w:lastColumn="0" w:oddVBand="0" w:evenVBand="0" w:oddHBand="0" w:evenHBand="0" w:firstRowFirstColumn="0" w:firstRowLastColumn="0" w:lastRowFirstColumn="0" w:lastRowLastColumn="0"/>
          <w:trHeight w:val="630"/>
        </w:trPr>
        <w:tc>
          <w:tcPr>
            <w:tcW w:w="0" w:type="auto"/>
            <w:hideMark/>
          </w:tcPr>
          <w:p w14:paraId="263CC233"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Method</w:t>
            </w:r>
          </w:p>
        </w:tc>
        <w:tc>
          <w:tcPr>
            <w:tcW w:w="0" w:type="auto"/>
            <w:hideMark/>
          </w:tcPr>
          <w:p w14:paraId="03F2DFF2"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Cost Increase</w:t>
            </w:r>
          </w:p>
        </w:tc>
      </w:tr>
      <w:tr w:rsidR="00301080" w:rsidRPr="003815EB" w14:paraId="358CA326" w14:textId="77777777" w:rsidTr="00286B41">
        <w:trPr>
          <w:trHeight w:val="630"/>
        </w:trPr>
        <w:tc>
          <w:tcPr>
            <w:tcW w:w="0" w:type="auto"/>
            <w:hideMark/>
          </w:tcPr>
          <w:p w14:paraId="076E1C53"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VAM</w:t>
            </w:r>
          </w:p>
        </w:tc>
        <w:tc>
          <w:tcPr>
            <w:tcW w:w="0" w:type="auto"/>
            <w:hideMark/>
          </w:tcPr>
          <w:p w14:paraId="26416356"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+28.5%</w:t>
            </w:r>
          </w:p>
        </w:tc>
      </w:tr>
      <w:tr w:rsidR="00301080" w:rsidRPr="003815EB" w14:paraId="4E8D5A42" w14:textId="77777777" w:rsidTr="00286B41">
        <w:trPr>
          <w:trHeight w:val="630"/>
        </w:trPr>
        <w:tc>
          <w:tcPr>
            <w:tcW w:w="0" w:type="auto"/>
            <w:hideMark/>
          </w:tcPr>
          <w:p w14:paraId="6F5BB887"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GN+MOMR</w:t>
            </w:r>
          </w:p>
        </w:tc>
        <w:tc>
          <w:tcPr>
            <w:tcW w:w="0" w:type="auto"/>
            <w:hideMark/>
          </w:tcPr>
          <w:p w14:paraId="2CC2F713" w14:textId="77777777" w:rsidR="00301080" w:rsidRPr="003815EB" w:rsidRDefault="00301080" w:rsidP="00503285">
            <w:pPr>
              <w:spacing w:after="160"/>
              <w:rPr>
                <w:rFonts w:ascii="Times New Roman" w:hAnsi="Times New Roman" w:cs="Times New Roman"/>
              </w:rPr>
            </w:pPr>
            <w:r w:rsidRPr="003815EB">
              <w:rPr>
                <w:rFonts w:ascii="Times New Roman" w:hAnsi="Times New Roman" w:cs="Times New Roman"/>
              </w:rPr>
              <w:t>+22.3%</w:t>
            </w:r>
          </w:p>
        </w:tc>
      </w:tr>
    </w:tbl>
    <w:p w14:paraId="1FCC8553" w14:textId="77777777" w:rsidR="00F97AA8" w:rsidRPr="003815EB" w:rsidRDefault="00F97AA8" w:rsidP="00503285">
      <w:pPr>
        <w:spacing w:line="240" w:lineRule="auto"/>
        <w:rPr>
          <w:rFonts w:ascii="Times New Roman" w:hAnsi="Times New Roman" w:cs="Times New Roman"/>
          <w:i/>
          <w:iCs/>
        </w:rPr>
      </w:pPr>
      <w:r w:rsidRPr="003815EB">
        <w:rPr>
          <w:rFonts w:ascii="Times New Roman" w:hAnsi="Times New Roman" w:cs="Times New Roman"/>
        </w:rPr>
        <w:t xml:space="preserve">Table </w:t>
      </w:r>
      <w:r w:rsidR="00000186" w:rsidRPr="003815EB">
        <w:rPr>
          <w:rFonts w:ascii="Times New Roman" w:hAnsi="Times New Roman" w:cs="Times New Roman"/>
        </w:rPr>
        <w:t>6</w:t>
      </w:r>
      <w:r w:rsidRPr="003815EB">
        <w:rPr>
          <w:rFonts w:ascii="Times New Roman" w:hAnsi="Times New Roman" w:cs="Times New Roman"/>
        </w:rPr>
        <w:t xml:space="preserve">: </w:t>
      </w:r>
      <w:r w:rsidRPr="003815EB">
        <w:rPr>
          <w:rFonts w:ascii="Times New Roman" w:hAnsi="Times New Roman" w:cs="Times New Roman"/>
          <w:i/>
          <w:iCs/>
        </w:rPr>
        <w:t>Fuel Sensitivity (+30%)</w:t>
      </w:r>
    </w:p>
    <w:p w14:paraId="0423717C" w14:textId="77777777" w:rsidR="00301080" w:rsidRPr="00066908" w:rsidRDefault="00000186" w:rsidP="00503285">
      <w:pPr>
        <w:spacing w:after="0" w:line="240" w:lineRule="auto"/>
        <w:jc w:val="both"/>
        <w:rPr>
          <w:rFonts w:ascii="Times New Roman" w:hAnsi="Times New Roman" w:cs="Times New Roman"/>
        </w:rPr>
      </w:pPr>
      <w:r w:rsidRPr="00066908">
        <w:rPr>
          <w:rFonts w:ascii="Times New Roman" w:hAnsi="Times New Roman" w:cs="Times New Roman"/>
          <w:iCs/>
        </w:rPr>
        <w:t xml:space="preserve">According to table 6 above, any increase in fuel prices lead 28.5% cost increase with the use of VAM model and 22.3% with GN+MOMR model. This showed that </w:t>
      </w:r>
      <w:r w:rsidR="00301080" w:rsidRPr="00066908">
        <w:rPr>
          <w:rFonts w:ascii="Times New Roman" w:hAnsi="Times New Roman" w:cs="Times New Roman"/>
        </w:rPr>
        <w:t xml:space="preserve">GN+MOMR </w:t>
      </w:r>
      <w:r w:rsidRPr="00066908">
        <w:rPr>
          <w:rFonts w:ascii="Times New Roman" w:hAnsi="Times New Roman" w:cs="Times New Roman"/>
        </w:rPr>
        <w:t xml:space="preserve">is </w:t>
      </w:r>
      <w:r w:rsidR="00301080" w:rsidRPr="00066908">
        <w:rPr>
          <w:rFonts w:ascii="Times New Roman" w:hAnsi="Times New Roman" w:cs="Times New Roman"/>
        </w:rPr>
        <w:t>more resilient.</w:t>
      </w:r>
    </w:p>
    <w:p w14:paraId="5EC55B97" w14:textId="77777777" w:rsidR="00CA13D2" w:rsidRDefault="00CA13D2" w:rsidP="002B4D35">
      <w:pPr>
        <w:pStyle w:val="NormalWeb"/>
        <w:spacing w:before="240" w:beforeAutospacing="0" w:after="0" w:afterAutospacing="0"/>
        <w:jc w:val="both"/>
      </w:pPr>
      <w:r>
        <w:t xml:space="preserve">Figure 2 corroborates previous studies </w:t>
      </w:r>
      <w:r w:rsidRPr="00E50167">
        <w:t>by</w:t>
      </w:r>
      <w:r w:rsidRPr="00CA13D2">
        <w:rPr>
          <w:b/>
        </w:rPr>
        <w:t xml:space="preserve"> </w:t>
      </w:r>
      <w:r w:rsidRPr="00CA13D2">
        <w:rPr>
          <w:rStyle w:val="Strong"/>
          <w:rFonts w:eastAsiaTheme="majorEastAsia"/>
          <w:b w:val="0"/>
        </w:rPr>
        <w:t>Aliyu et al. (2019), Shammah and Atama (2019),</w:t>
      </w:r>
      <w:r>
        <w:t xml:space="preserve"> and </w:t>
      </w:r>
      <w:r w:rsidRPr="00CA13D2">
        <w:rPr>
          <w:rStyle w:val="Strong"/>
          <w:rFonts w:eastAsiaTheme="majorEastAsia"/>
          <w:b w:val="0"/>
        </w:rPr>
        <w:t>Prifti et al. (2020)</w:t>
      </w:r>
      <w:r>
        <w:t xml:space="preserve"> on transportation cost optimization using linear programming techniques, including the </w:t>
      </w:r>
      <w:r w:rsidRPr="00CA13D2">
        <w:rPr>
          <w:rStyle w:val="Strong"/>
          <w:rFonts w:eastAsiaTheme="majorEastAsia"/>
          <w:b w:val="0"/>
        </w:rPr>
        <w:t>North-West Corner Rule (NWCR), Least Cost Method (LCM),</w:t>
      </w:r>
      <w:r>
        <w:t xml:space="preserve"> and </w:t>
      </w:r>
      <w:r w:rsidRPr="00CA13D2">
        <w:rPr>
          <w:rStyle w:val="Strong"/>
          <w:rFonts w:eastAsiaTheme="majorEastAsia"/>
          <w:b w:val="0"/>
        </w:rPr>
        <w:t>Vogel’s Approximation Method (VAM)</w:t>
      </w:r>
      <w:r w:rsidRPr="00CA13D2">
        <w:rPr>
          <w:b/>
        </w:rPr>
        <w:t>.</w:t>
      </w:r>
      <w:r>
        <w:t xml:space="preserve"> The results consistently indicate that</w:t>
      </w:r>
      <w:r w:rsidRPr="00CA13D2">
        <w:t xml:space="preserve"> </w:t>
      </w:r>
      <w:r w:rsidRPr="00CA13D2">
        <w:rPr>
          <w:rStyle w:val="Strong"/>
          <w:rFonts w:eastAsiaTheme="majorEastAsia"/>
          <w:b w:val="0"/>
        </w:rPr>
        <w:t>VAM</w:t>
      </w:r>
      <w:r>
        <w:t xml:space="preserve"> is the most efficient method, followed by NWCR, with LCM being the least optimal, a finding further supported by </w:t>
      </w:r>
      <w:r w:rsidRPr="00CA13D2">
        <w:rPr>
          <w:rStyle w:val="Strong"/>
          <w:rFonts w:eastAsiaTheme="majorEastAsia"/>
          <w:b w:val="0"/>
        </w:rPr>
        <w:t>Adeniyi et al. (2023)</w:t>
      </w:r>
      <w:r w:rsidRPr="00CA13D2">
        <w:t xml:space="preserve"> and</w:t>
      </w:r>
      <w:r w:rsidRPr="00CA13D2">
        <w:rPr>
          <w:b/>
        </w:rPr>
        <w:t xml:space="preserve"> </w:t>
      </w:r>
      <w:r w:rsidRPr="00CA13D2">
        <w:rPr>
          <w:rStyle w:val="Strong"/>
          <w:rFonts w:eastAsiaTheme="majorEastAsia"/>
          <w:b w:val="0"/>
        </w:rPr>
        <w:t>Adamu et al. (2020)</w:t>
      </w:r>
      <w:r w:rsidRPr="00CA13D2">
        <w:rPr>
          <w:b/>
        </w:rPr>
        <w:t>.</w:t>
      </w:r>
      <w:r>
        <w:t xml:space="preserve"> Subsequent studies by </w:t>
      </w:r>
      <w:r w:rsidRPr="00CA13D2">
        <w:rPr>
          <w:rStyle w:val="Strong"/>
          <w:rFonts w:eastAsiaTheme="majorEastAsia"/>
          <w:b w:val="0"/>
        </w:rPr>
        <w:t>Akpan et al. (2020</w:t>
      </w:r>
      <w:r>
        <w:rPr>
          <w:rStyle w:val="Strong"/>
          <w:rFonts w:eastAsiaTheme="majorEastAsia"/>
        </w:rPr>
        <w:t xml:space="preserve">), </w:t>
      </w:r>
      <w:r w:rsidRPr="00CA13D2">
        <w:rPr>
          <w:rStyle w:val="Strong"/>
          <w:rFonts w:eastAsiaTheme="majorEastAsia"/>
          <w:b w:val="0"/>
        </w:rPr>
        <w:t>Daniel and Agada (2020), Daniel et al. (2021</w:t>
      </w:r>
      <w:r>
        <w:rPr>
          <w:rStyle w:val="Strong"/>
          <w:rFonts w:eastAsiaTheme="majorEastAsia"/>
        </w:rPr>
        <w:t>),</w:t>
      </w:r>
      <w:r>
        <w:t xml:space="preserve"> and </w:t>
      </w:r>
      <w:r w:rsidRPr="00CA13D2">
        <w:rPr>
          <w:rStyle w:val="Strong"/>
          <w:rFonts w:eastAsiaTheme="majorEastAsia"/>
          <w:b w:val="0"/>
        </w:rPr>
        <w:t>Manuela et al. (2025)</w:t>
      </w:r>
      <w:r>
        <w:t xml:space="preserve"> reaffirm VAM’s superiority and recommend its adoption for industrial distribution planning. Adopting VAM can therefore mitigate the impact of rising prices on goods, and the enhanced </w:t>
      </w:r>
      <w:r w:rsidRPr="00CA13D2">
        <w:rPr>
          <w:rStyle w:val="Strong"/>
          <w:rFonts w:eastAsiaTheme="majorEastAsia"/>
          <w:b w:val="0"/>
        </w:rPr>
        <w:t>GN+MOMR</w:t>
      </w:r>
      <w:r w:rsidRPr="00CA13D2">
        <w:rPr>
          <w:b/>
        </w:rPr>
        <w:t xml:space="preserve"> </w:t>
      </w:r>
      <w:r>
        <w:t xml:space="preserve">model further improves VAM, achieving cost savings of approximately </w:t>
      </w:r>
      <w:r w:rsidRPr="00CA13D2">
        <w:rPr>
          <w:rStyle w:val="Strong"/>
          <w:rFonts w:eastAsiaTheme="majorEastAsia"/>
          <w:b w:val="0"/>
        </w:rPr>
        <w:t>₦11,600,000</w:t>
      </w:r>
      <w:r>
        <w:t>.</w:t>
      </w:r>
    </w:p>
    <w:p w14:paraId="54579CE0" w14:textId="77777777" w:rsidR="00891A54" w:rsidRPr="00286B41" w:rsidRDefault="00286B41" w:rsidP="002B4D35">
      <w:pPr>
        <w:spacing w:before="240" w:line="240" w:lineRule="auto"/>
        <w:rPr>
          <w:rFonts w:ascii="Times New Roman" w:hAnsi="Times New Roman" w:cs="Times New Roman"/>
          <w:b/>
          <w:sz w:val="28"/>
          <w:szCs w:val="28"/>
        </w:rPr>
      </w:pPr>
      <w:r w:rsidRPr="00286B41">
        <w:rPr>
          <w:rFonts w:ascii="Times New Roman" w:hAnsi="Times New Roman" w:cs="Times New Roman"/>
          <w:b/>
          <w:sz w:val="28"/>
          <w:szCs w:val="28"/>
        </w:rPr>
        <w:t xml:space="preserve">RECOMMENDATION </w:t>
      </w:r>
    </w:p>
    <w:p w14:paraId="402A223B" w14:textId="77777777" w:rsidR="001D5A67" w:rsidRPr="003815EB" w:rsidRDefault="001D5A67" w:rsidP="002B4D35">
      <w:pPr>
        <w:spacing w:before="240" w:line="240" w:lineRule="auto"/>
        <w:jc w:val="both"/>
        <w:rPr>
          <w:rFonts w:ascii="Times New Roman" w:hAnsi="Times New Roman" w:cs="Times New Roman"/>
        </w:rPr>
      </w:pPr>
      <w:r w:rsidRPr="003815EB">
        <w:rPr>
          <w:rFonts w:ascii="Times New Roman" w:hAnsi="Times New Roman" w:cs="Times New Roman"/>
        </w:rPr>
        <w:lastRenderedPageBreak/>
        <w:t>The GN+MOMR framework offers a context-sensitive, adaptive, and Pareto-efficient logistics optimization model suitable for volatile developing economies.</w:t>
      </w:r>
      <w:r w:rsidR="003815EB" w:rsidRPr="003815EB">
        <w:rPr>
          <w:rFonts w:ascii="Times New Roman" w:hAnsi="Times New Roman" w:cs="Times New Roman"/>
        </w:rPr>
        <w:t xml:space="preserve"> H</w:t>
      </w:r>
      <w:r w:rsidRPr="003815EB">
        <w:rPr>
          <w:rFonts w:ascii="Times New Roman" w:hAnsi="Times New Roman" w:cs="Times New Roman"/>
        </w:rPr>
        <w:t>oweve</w:t>
      </w:r>
      <w:r w:rsidR="003815EB" w:rsidRPr="003815EB">
        <w:rPr>
          <w:rFonts w:ascii="Times New Roman" w:hAnsi="Times New Roman" w:cs="Times New Roman"/>
        </w:rPr>
        <w:t>r</w:t>
      </w:r>
      <w:r w:rsidRPr="003815EB">
        <w:rPr>
          <w:rFonts w:ascii="Times New Roman" w:hAnsi="Times New Roman" w:cs="Times New Roman"/>
        </w:rPr>
        <w:t>,</w:t>
      </w:r>
      <w:r w:rsidR="003815EB" w:rsidRPr="003815EB">
        <w:rPr>
          <w:rFonts w:ascii="Times New Roman" w:hAnsi="Times New Roman" w:cs="Times New Roman"/>
        </w:rPr>
        <w:t xml:space="preserve"> further works need to model the system in respect of routes taking care of safe and unsafe routes, nature of the rout</w:t>
      </w:r>
      <w:r w:rsidR="00CA13D2">
        <w:rPr>
          <w:rFonts w:ascii="Times New Roman" w:hAnsi="Times New Roman" w:cs="Times New Roman"/>
        </w:rPr>
        <w:t>e</w:t>
      </w:r>
      <w:r w:rsidR="003815EB" w:rsidRPr="003815EB">
        <w:rPr>
          <w:rFonts w:ascii="Times New Roman" w:hAnsi="Times New Roman" w:cs="Times New Roman"/>
        </w:rPr>
        <w:t>s.</w:t>
      </w:r>
    </w:p>
    <w:p w14:paraId="2B6FF7A5" w14:textId="77777777" w:rsidR="00301080" w:rsidRPr="00286B41" w:rsidRDefault="00286B41" w:rsidP="00503285">
      <w:pPr>
        <w:spacing w:line="240" w:lineRule="auto"/>
        <w:rPr>
          <w:rFonts w:ascii="Times New Roman" w:hAnsi="Times New Roman" w:cs="Times New Roman"/>
          <w:b/>
          <w:bCs/>
          <w:sz w:val="28"/>
          <w:szCs w:val="28"/>
        </w:rPr>
      </w:pPr>
      <w:r w:rsidRPr="00286B41">
        <w:rPr>
          <w:rFonts w:ascii="Times New Roman" w:hAnsi="Times New Roman" w:cs="Times New Roman"/>
          <w:b/>
          <w:bCs/>
          <w:sz w:val="28"/>
          <w:szCs w:val="28"/>
        </w:rPr>
        <w:t xml:space="preserve"> CONCLUSION</w:t>
      </w:r>
    </w:p>
    <w:p w14:paraId="017C2FFD" w14:textId="77777777" w:rsidR="00301080" w:rsidRPr="003815EB" w:rsidRDefault="00301080" w:rsidP="00503285">
      <w:pPr>
        <w:spacing w:line="240" w:lineRule="auto"/>
        <w:rPr>
          <w:rFonts w:ascii="Times New Roman" w:hAnsi="Times New Roman" w:cs="Times New Roman"/>
        </w:rPr>
      </w:pPr>
      <w:r w:rsidRPr="003815EB">
        <w:rPr>
          <w:rFonts w:ascii="Times New Roman" w:hAnsi="Times New Roman" w:cs="Times New Roman"/>
        </w:rPr>
        <w:t>This study demonstrates that:</w:t>
      </w:r>
    </w:p>
    <w:p w14:paraId="1449B57C" w14:textId="77777777" w:rsidR="00301080" w:rsidRPr="003815EB" w:rsidRDefault="00301080" w:rsidP="002B4D35">
      <w:pPr>
        <w:numPr>
          <w:ilvl w:val="0"/>
          <w:numId w:val="14"/>
        </w:numPr>
        <w:spacing w:after="0" w:line="240" w:lineRule="auto"/>
        <w:rPr>
          <w:rFonts w:ascii="Times New Roman" w:hAnsi="Times New Roman" w:cs="Times New Roman"/>
        </w:rPr>
      </w:pPr>
      <w:r w:rsidRPr="003815EB">
        <w:rPr>
          <w:rFonts w:ascii="Times New Roman" w:hAnsi="Times New Roman" w:cs="Times New Roman"/>
        </w:rPr>
        <w:t>Classical optimization (VAM) reduces distribution costs by ~37%.</w:t>
      </w:r>
    </w:p>
    <w:p w14:paraId="6AC40ED7" w14:textId="77777777" w:rsidR="00301080" w:rsidRPr="003815EB" w:rsidRDefault="00301080" w:rsidP="002B4D35">
      <w:pPr>
        <w:numPr>
          <w:ilvl w:val="0"/>
          <w:numId w:val="14"/>
        </w:numPr>
        <w:spacing w:after="0" w:line="240" w:lineRule="auto"/>
        <w:rPr>
          <w:rFonts w:ascii="Times New Roman" w:hAnsi="Times New Roman" w:cs="Times New Roman"/>
        </w:rPr>
      </w:pPr>
      <w:r w:rsidRPr="003815EB">
        <w:rPr>
          <w:rFonts w:ascii="Times New Roman" w:hAnsi="Times New Roman" w:cs="Times New Roman"/>
        </w:rPr>
        <w:t>The GN Model improves to ~40%.</w:t>
      </w:r>
    </w:p>
    <w:p w14:paraId="7E7A4DAB" w14:textId="77777777" w:rsidR="00301080" w:rsidRPr="003815EB" w:rsidRDefault="00301080" w:rsidP="002B4D35">
      <w:pPr>
        <w:numPr>
          <w:ilvl w:val="0"/>
          <w:numId w:val="14"/>
        </w:numPr>
        <w:spacing w:after="0" w:line="240" w:lineRule="auto"/>
        <w:rPr>
          <w:rFonts w:ascii="Times New Roman" w:hAnsi="Times New Roman" w:cs="Times New Roman"/>
        </w:rPr>
      </w:pPr>
      <w:r w:rsidRPr="003815EB">
        <w:rPr>
          <w:rFonts w:ascii="Times New Roman" w:hAnsi="Times New Roman" w:cs="Times New Roman"/>
        </w:rPr>
        <w:t>GN integrated with MOMR achieves 41% TTO reduction.</w:t>
      </w:r>
    </w:p>
    <w:p w14:paraId="35028F82" w14:textId="77777777" w:rsidR="00301080" w:rsidRPr="003815EB" w:rsidRDefault="00301080" w:rsidP="002B4D35">
      <w:pPr>
        <w:numPr>
          <w:ilvl w:val="0"/>
          <w:numId w:val="14"/>
        </w:numPr>
        <w:spacing w:after="0" w:line="240" w:lineRule="auto"/>
        <w:rPr>
          <w:rFonts w:ascii="Times New Roman" w:hAnsi="Times New Roman" w:cs="Times New Roman"/>
        </w:rPr>
      </w:pPr>
      <w:r w:rsidRPr="003815EB">
        <w:rPr>
          <w:rFonts w:ascii="Times New Roman" w:hAnsi="Times New Roman" w:cs="Times New Roman"/>
        </w:rPr>
        <w:t>Delivery time reduced 28%; reliability improved 17%.</w:t>
      </w:r>
    </w:p>
    <w:p w14:paraId="3E4847C4" w14:textId="77777777" w:rsidR="00301080" w:rsidRPr="003815EB" w:rsidRDefault="00301080" w:rsidP="002B4D35">
      <w:pPr>
        <w:numPr>
          <w:ilvl w:val="0"/>
          <w:numId w:val="14"/>
        </w:numPr>
        <w:spacing w:after="0" w:line="240" w:lineRule="auto"/>
        <w:rPr>
          <w:rFonts w:ascii="Times New Roman" w:hAnsi="Times New Roman" w:cs="Times New Roman"/>
        </w:rPr>
      </w:pPr>
      <w:r w:rsidRPr="003815EB">
        <w:rPr>
          <w:rFonts w:ascii="Times New Roman" w:hAnsi="Times New Roman" w:cs="Times New Roman"/>
        </w:rPr>
        <w:t>Volatility resilience significantly enhanced.</w:t>
      </w:r>
    </w:p>
    <w:p w14:paraId="75F6065D" w14:textId="77777777" w:rsidR="00301080" w:rsidRPr="003815EB" w:rsidRDefault="00301080" w:rsidP="002B4D35">
      <w:pPr>
        <w:spacing w:after="0" w:line="240" w:lineRule="auto"/>
        <w:rPr>
          <w:rFonts w:ascii="Times New Roman" w:hAnsi="Times New Roman" w:cs="Times New Roman"/>
        </w:rPr>
      </w:pPr>
      <w:r w:rsidRPr="003815EB">
        <w:rPr>
          <w:rFonts w:ascii="Times New Roman" w:hAnsi="Times New Roman" w:cs="Times New Roman"/>
        </w:rPr>
        <w:t>At scale, national logistics cost could decline from 22% to 13% of GDP, saving approximately ₦2.7 trillion annually.</w:t>
      </w:r>
    </w:p>
    <w:p w14:paraId="7A5F07A8" w14:textId="77777777" w:rsidR="00301080" w:rsidRPr="003815EB" w:rsidRDefault="00301080" w:rsidP="002B4D35">
      <w:pPr>
        <w:spacing w:before="240" w:after="0"/>
        <w:rPr>
          <w:rFonts w:ascii="Times New Roman" w:hAnsi="Times New Roman" w:cs="Times New Roman"/>
          <w:b/>
          <w:bCs/>
        </w:rPr>
      </w:pPr>
      <w:r w:rsidRPr="003815EB">
        <w:rPr>
          <w:rFonts w:ascii="Times New Roman" w:hAnsi="Times New Roman" w:cs="Times New Roman"/>
          <w:b/>
          <w:bCs/>
        </w:rPr>
        <w:t>REFERENCES</w:t>
      </w:r>
    </w:p>
    <w:p w14:paraId="2AB5AB33" w14:textId="77777777" w:rsidR="005E19BB" w:rsidRPr="006C086D" w:rsidRDefault="005E19BB" w:rsidP="002B4D35">
      <w:pPr>
        <w:spacing w:before="240"/>
        <w:ind w:left="720" w:hanging="720"/>
        <w:rPr>
          <w:rFonts w:ascii="Times New Roman" w:hAnsi="Times New Roman" w:cs="Times New Roman"/>
        </w:rPr>
      </w:pPr>
      <w:r w:rsidRPr="006C086D">
        <w:rPr>
          <w:rFonts w:ascii="Times New Roman" w:hAnsi="Times New Roman" w:cs="Times New Roman"/>
        </w:rPr>
        <w:t xml:space="preserve">Adamu I. K., Suleiman . K. and Yunusa K. G. D.(2020) Optimization of Total Transportation Cost. Global Journal Of Pure And Applied Sciences . 26(2020): 57-63. DOI: </w:t>
      </w:r>
      <w:hyperlink r:id="rId13" w:history="1">
        <w:r w:rsidRPr="006C086D">
          <w:rPr>
            <w:rStyle w:val="Hyperlink"/>
            <w:rFonts w:ascii="Times New Roman" w:hAnsi="Times New Roman" w:cs="Times New Roman"/>
          </w:rPr>
          <w:t>https://dx.doi.org/10.4314/gjpas.v26i1.7</w:t>
        </w:r>
      </w:hyperlink>
    </w:p>
    <w:p w14:paraId="16757E0D" w14:textId="77777777" w:rsidR="00301080" w:rsidRPr="006C086D" w:rsidRDefault="00301080" w:rsidP="00971BFF">
      <w:pPr>
        <w:ind w:left="720" w:hanging="720"/>
        <w:rPr>
          <w:rFonts w:ascii="Times New Roman" w:hAnsi="Times New Roman" w:cs="Times New Roman"/>
        </w:rPr>
      </w:pPr>
      <w:r w:rsidRPr="006C086D">
        <w:rPr>
          <w:rFonts w:ascii="Times New Roman" w:hAnsi="Times New Roman" w:cs="Times New Roman"/>
        </w:rPr>
        <w:t xml:space="preserve">Adenikinju, A. (2009). Energy pricing and subsidy reforms in Nigeria. </w:t>
      </w:r>
      <w:r w:rsidRPr="006C086D">
        <w:rPr>
          <w:rFonts w:ascii="Times New Roman" w:hAnsi="Times New Roman" w:cs="Times New Roman"/>
          <w:i/>
          <w:iCs/>
        </w:rPr>
        <w:t>International Association for Energy Economics Conference Proceedings</w:t>
      </w:r>
      <w:r w:rsidRPr="006C086D">
        <w:rPr>
          <w:rFonts w:ascii="Times New Roman" w:hAnsi="Times New Roman" w:cs="Times New Roman"/>
        </w:rPr>
        <w:t>, 1–15.</w:t>
      </w:r>
    </w:p>
    <w:p w14:paraId="347166E1" w14:textId="77777777" w:rsidR="005E19BB" w:rsidRDefault="005E19BB" w:rsidP="005E19BB">
      <w:pPr>
        <w:ind w:left="720" w:hanging="720"/>
        <w:rPr>
          <w:rFonts w:ascii="Times New Roman" w:hAnsi="Times New Roman" w:cs="Times New Roman"/>
        </w:rPr>
      </w:pPr>
      <w:r w:rsidRPr="006C086D">
        <w:rPr>
          <w:rFonts w:ascii="Times New Roman" w:hAnsi="Times New Roman" w:cs="Times New Roman"/>
        </w:rPr>
        <w:t>Adeniyi S. O. , Amanze C. E. , Adeniyi O. , Mba O. O.(2023) The Vogel Approximation and North West Corner Transportation Models for Optimal Cost Distribution of Dangote Cement. International Journal of Innovative Science and Research Technology. 8(5) Pp. 1364-1369</w:t>
      </w:r>
    </w:p>
    <w:p w14:paraId="7D849B61" w14:textId="77777777" w:rsidR="00EF0EE5" w:rsidRPr="004823DE" w:rsidRDefault="00EF0EE5" w:rsidP="00EF0EE5">
      <w:pPr>
        <w:pStyle w:val="Default"/>
        <w:ind w:left="720" w:hanging="720"/>
      </w:pPr>
      <w:r w:rsidRPr="004823DE">
        <w:rPr>
          <w:bCs/>
        </w:rPr>
        <w:t xml:space="preserve">Agarwal R and Shinde D. K. (2022) </w:t>
      </w:r>
      <w:r>
        <w:t xml:space="preserve"> </w:t>
      </w:r>
      <w:r w:rsidRPr="004823DE">
        <w:rPr>
          <w:bCs/>
        </w:rPr>
        <w:t>Vehicle Allotment and Route Optimization for Transportation Services Using Logistics Techniques in Supply Chain Management.</w:t>
      </w:r>
      <w:r w:rsidRPr="004823DE">
        <w:t xml:space="preserve"> </w:t>
      </w:r>
    </w:p>
    <w:p w14:paraId="6349C9AE" w14:textId="77777777" w:rsidR="00EF0EE5" w:rsidRDefault="00EF0EE5" w:rsidP="00EF0EE5">
      <w:pPr>
        <w:ind w:left="720"/>
        <w:rPr>
          <w:rFonts w:ascii="Times New Roman" w:hAnsi="Times New Roman" w:cs="Times New Roman"/>
          <w:i/>
          <w:iCs/>
        </w:rPr>
      </w:pPr>
      <w:r w:rsidRPr="004823DE">
        <w:rPr>
          <w:rFonts w:ascii="Times New Roman" w:hAnsi="Times New Roman" w:cs="Times New Roman"/>
          <w:i/>
          <w:iCs/>
        </w:rPr>
        <w:t>Proceedings of the 2nd Indian International Conference on Industrial Engineering and Operations Management Warangal, Telangana, India, August 16-18.  PP 45-53</w:t>
      </w:r>
    </w:p>
    <w:p w14:paraId="20CAF25A" w14:textId="77777777" w:rsidR="005E19BB" w:rsidRPr="006C086D" w:rsidRDefault="005E19BB" w:rsidP="001D5A67">
      <w:pPr>
        <w:ind w:left="720" w:hanging="720"/>
        <w:rPr>
          <w:rFonts w:ascii="Times New Roman" w:hAnsi="Times New Roman" w:cs="Times New Roman"/>
        </w:rPr>
      </w:pPr>
      <w:r w:rsidRPr="006C086D">
        <w:rPr>
          <w:rFonts w:ascii="Times New Roman" w:hAnsi="Times New Roman" w:cs="Times New Roman"/>
        </w:rPr>
        <w:t xml:space="preserve">Akpan, W. A .,  Awaka- Ama, E.J. and Ikrang, E.G (2020) Optimization of Products Transportation and Distribution Network. </w:t>
      </w:r>
      <w:r w:rsidRPr="00AF4323">
        <w:rPr>
          <w:rFonts w:ascii="Times New Roman" w:hAnsi="Times New Roman" w:cs="Times New Roman"/>
          <w:i/>
        </w:rPr>
        <w:t>International Journal of Engineering Research &amp; Technology (IJERT)</w:t>
      </w:r>
      <w:r w:rsidRPr="006C086D">
        <w:rPr>
          <w:rFonts w:ascii="Times New Roman" w:hAnsi="Times New Roman" w:cs="Times New Roman"/>
        </w:rPr>
        <w:t xml:space="preserve"> 9(2) Pp 181-184</w:t>
      </w:r>
    </w:p>
    <w:p w14:paraId="24C02DE1" w14:textId="77777777" w:rsidR="005E19BB" w:rsidRPr="006C086D" w:rsidRDefault="005E19BB" w:rsidP="005E19BB">
      <w:pPr>
        <w:spacing w:before="72"/>
        <w:ind w:left="720" w:right="141" w:hanging="720"/>
        <w:rPr>
          <w:rFonts w:ascii="Times New Roman" w:hAnsi="Times New Roman" w:cs="Times New Roman"/>
        </w:rPr>
      </w:pPr>
      <w:r w:rsidRPr="006C086D">
        <w:rPr>
          <w:rFonts w:ascii="Times New Roman" w:hAnsi="Times New Roman" w:cs="Times New Roman"/>
        </w:rPr>
        <w:t>Alli, N. G., Jubril,</w:t>
      </w:r>
      <w:r w:rsidRPr="006C086D">
        <w:rPr>
          <w:rFonts w:ascii="Times New Roman" w:hAnsi="Times New Roman" w:cs="Times New Roman"/>
          <w:spacing w:val="-12"/>
        </w:rPr>
        <w:t xml:space="preserve"> </w:t>
      </w:r>
      <w:r w:rsidRPr="006C086D">
        <w:rPr>
          <w:rFonts w:ascii="Times New Roman" w:hAnsi="Times New Roman" w:cs="Times New Roman"/>
        </w:rPr>
        <w:t>T.</w:t>
      </w:r>
      <w:r w:rsidRPr="006C086D">
        <w:rPr>
          <w:rFonts w:ascii="Times New Roman" w:hAnsi="Times New Roman" w:cs="Times New Roman"/>
          <w:spacing w:val="-12"/>
        </w:rPr>
        <w:t xml:space="preserve"> </w:t>
      </w:r>
      <w:r w:rsidRPr="006C086D">
        <w:rPr>
          <w:rFonts w:ascii="Times New Roman" w:hAnsi="Times New Roman" w:cs="Times New Roman"/>
        </w:rPr>
        <w:t xml:space="preserve">S. and  Bello, L. T. (2024) Impact of Fuel Subsidy Removal on Nigeria's Supply Chain: A Case Study </w:t>
      </w:r>
      <w:r w:rsidRPr="006C086D">
        <w:rPr>
          <w:rFonts w:ascii="Times New Roman" w:hAnsi="Times New Roman" w:cs="Times New Roman"/>
          <w:spacing w:val="-2"/>
        </w:rPr>
        <w:t>Analysis</w:t>
      </w:r>
      <w:r w:rsidRPr="00AF4323">
        <w:rPr>
          <w:rFonts w:ascii="Times New Roman" w:hAnsi="Times New Roman" w:cs="Times New Roman"/>
          <w:i/>
          <w:spacing w:val="-2"/>
        </w:rPr>
        <w:t xml:space="preserve">. </w:t>
      </w:r>
      <w:r w:rsidRPr="00AF4323">
        <w:rPr>
          <w:rFonts w:ascii="Times New Roman" w:hAnsi="Times New Roman" w:cs="Times New Roman"/>
          <w:i/>
        </w:rPr>
        <w:t>International</w:t>
      </w:r>
      <w:r w:rsidRPr="00AF4323">
        <w:rPr>
          <w:rFonts w:ascii="Times New Roman" w:hAnsi="Times New Roman" w:cs="Times New Roman"/>
          <w:i/>
          <w:spacing w:val="-2"/>
        </w:rPr>
        <w:t xml:space="preserve"> </w:t>
      </w:r>
      <w:r w:rsidRPr="00AF4323">
        <w:rPr>
          <w:rFonts w:ascii="Times New Roman" w:hAnsi="Times New Roman" w:cs="Times New Roman"/>
          <w:i/>
        </w:rPr>
        <w:t>Journal</w:t>
      </w:r>
      <w:r w:rsidRPr="00AF4323">
        <w:rPr>
          <w:rFonts w:ascii="Times New Roman" w:hAnsi="Times New Roman" w:cs="Times New Roman"/>
          <w:i/>
          <w:spacing w:val="-1"/>
        </w:rPr>
        <w:t xml:space="preserve"> </w:t>
      </w:r>
      <w:r w:rsidRPr="00AF4323">
        <w:rPr>
          <w:rFonts w:ascii="Times New Roman" w:hAnsi="Times New Roman" w:cs="Times New Roman"/>
          <w:i/>
        </w:rPr>
        <w:t>of</w:t>
      </w:r>
      <w:r w:rsidRPr="00AF4323">
        <w:rPr>
          <w:rFonts w:ascii="Times New Roman" w:hAnsi="Times New Roman" w:cs="Times New Roman"/>
          <w:i/>
          <w:spacing w:val="-1"/>
        </w:rPr>
        <w:t xml:space="preserve"> </w:t>
      </w:r>
      <w:r w:rsidRPr="00AF4323">
        <w:rPr>
          <w:rFonts w:ascii="Times New Roman" w:hAnsi="Times New Roman" w:cs="Times New Roman"/>
          <w:i/>
        </w:rPr>
        <w:t>Studies</w:t>
      </w:r>
      <w:r w:rsidRPr="00AF4323">
        <w:rPr>
          <w:rFonts w:ascii="Times New Roman" w:hAnsi="Times New Roman" w:cs="Times New Roman"/>
          <w:i/>
          <w:spacing w:val="-2"/>
        </w:rPr>
        <w:t xml:space="preserve"> </w:t>
      </w:r>
      <w:r w:rsidRPr="00AF4323">
        <w:rPr>
          <w:rFonts w:ascii="Times New Roman" w:hAnsi="Times New Roman" w:cs="Times New Roman"/>
          <w:i/>
        </w:rPr>
        <w:t>in</w:t>
      </w:r>
      <w:r w:rsidRPr="00AF4323">
        <w:rPr>
          <w:rFonts w:ascii="Times New Roman" w:hAnsi="Times New Roman" w:cs="Times New Roman"/>
          <w:i/>
          <w:spacing w:val="-1"/>
        </w:rPr>
        <w:t xml:space="preserve"> </w:t>
      </w:r>
      <w:r w:rsidRPr="00AF4323">
        <w:rPr>
          <w:rFonts w:ascii="Times New Roman" w:hAnsi="Times New Roman" w:cs="Times New Roman"/>
          <w:i/>
        </w:rPr>
        <w:t>Business</w:t>
      </w:r>
      <w:r w:rsidRPr="00AF4323">
        <w:rPr>
          <w:rFonts w:ascii="Times New Roman" w:hAnsi="Times New Roman" w:cs="Times New Roman"/>
          <w:i/>
          <w:spacing w:val="-1"/>
        </w:rPr>
        <w:t xml:space="preserve"> </w:t>
      </w:r>
      <w:r w:rsidRPr="00AF4323">
        <w:rPr>
          <w:rFonts w:ascii="Times New Roman" w:hAnsi="Times New Roman" w:cs="Times New Roman"/>
          <w:i/>
        </w:rPr>
        <w:t>Management,</w:t>
      </w:r>
      <w:r w:rsidRPr="00AF4323">
        <w:rPr>
          <w:rFonts w:ascii="Times New Roman" w:hAnsi="Times New Roman" w:cs="Times New Roman"/>
          <w:i/>
          <w:spacing w:val="-2"/>
        </w:rPr>
        <w:t xml:space="preserve"> </w:t>
      </w:r>
      <w:r w:rsidRPr="00AF4323">
        <w:rPr>
          <w:rFonts w:ascii="Times New Roman" w:hAnsi="Times New Roman" w:cs="Times New Roman"/>
          <w:i/>
        </w:rPr>
        <w:t>Economics</w:t>
      </w:r>
      <w:r w:rsidRPr="00AF4323">
        <w:rPr>
          <w:rFonts w:ascii="Times New Roman" w:hAnsi="Times New Roman" w:cs="Times New Roman"/>
          <w:i/>
          <w:spacing w:val="-1"/>
        </w:rPr>
        <w:t xml:space="preserve"> </w:t>
      </w:r>
      <w:r w:rsidRPr="00AF4323">
        <w:rPr>
          <w:rFonts w:ascii="Times New Roman" w:hAnsi="Times New Roman" w:cs="Times New Roman"/>
          <w:i/>
        </w:rPr>
        <w:t xml:space="preserve">and </w:t>
      </w:r>
      <w:r w:rsidRPr="00AF4323">
        <w:rPr>
          <w:rFonts w:ascii="Times New Roman" w:hAnsi="Times New Roman" w:cs="Times New Roman"/>
          <w:i/>
          <w:spacing w:val="-2"/>
        </w:rPr>
        <w:t>Strategies</w:t>
      </w:r>
      <w:r w:rsidRPr="006C086D">
        <w:rPr>
          <w:rFonts w:ascii="Times New Roman" w:hAnsi="Times New Roman" w:cs="Times New Roman"/>
          <w:spacing w:val="-2"/>
        </w:rPr>
        <w:t xml:space="preserve">. </w:t>
      </w:r>
      <w:r w:rsidRPr="006C086D">
        <w:rPr>
          <w:rFonts w:ascii="Times New Roman" w:hAnsi="Times New Roman" w:cs="Times New Roman"/>
        </w:rPr>
        <w:t>3(4). 125-143</w:t>
      </w:r>
    </w:p>
    <w:p w14:paraId="7BACD9A4" w14:textId="77777777" w:rsidR="005E19BB" w:rsidRPr="006C086D" w:rsidRDefault="005E19BB" w:rsidP="005E19BB">
      <w:pPr>
        <w:ind w:left="720" w:hanging="720"/>
        <w:rPr>
          <w:rFonts w:ascii="Times New Roman" w:hAnsi="Times New Roman" w:cs="Times New Roman"/>
        </w:rPr>
      </w:pPr>
      <w:r w:rsidRPr="006C086D">
        <w:rPr>
          <w:rFonts w:ascii="Times New Roman" w:hAnsi="Times New Roman" w:cs="Times New Roman"/>
        </w:rPr>
        <w:t>Aliyu M. L., Usman  U.,  Babayaro Z. and  Aminu M. K. (2019) A Minimization of the Cost of Transportation. American Journal of Operational Research 2019, 9(1): 1-7 DOI: 10.5923/j.ajor.20190901.01</w:t>
      </w:r>
    </w:p>
    <w:p w14:paraId="31265EAB" w14:textId="77777777" w:rsidR="00301080" w:rsidRPr="006C086D" w:rsidRDefault="00301080" w:rsidP="00971BFF">
      <w:pPr>
        <w:ind w:left="720" w:hanging="720"/>
        <w:rPr>
          <w:rFonts w:ascii="Times New Roman" w:hAnsi="Times New Roman" w:cs="Times New Roman"/>
        </w:rPr>
      </w:pPr>
      <w:r w:rsidRPr="006C086D">
        <w:rPr>
          <w:rFonts w:ascii="Times New Roman" w:hAnsi="Times New Roman" w:cs="Times New Roman"/>
        </w:rPr>
        <w:lastRenderedPageBreak/>
        <w:t xml:space="preserve">Amorim, P., &amp; Almada-Lobo, B. (2014). The impact of food perishability issues in the vehicle routing problem. </w:t>
      </w:r>
      <w:r w:rsidRPr="006C086D">
        <w:rPr>
          <w:rFonts w:ascii="Times New Roman" w:hAnsi="Times New Roman" w:cs="Times New Roman"/>
          <w:i/>
          <w:iCs/>
        </w:rPr>
        <w:t>Computers &amp; Industrial Engineering, 67</w:t>
      </w:r>
      <w:r w:rsidRPr="006C086D">
        <w:rPr>
          <w:rFonts w:ascii="Times New Roman" w:hAnsi="Times New Roman" w:cs="Times New Roman"/>
        </w:rPr>
        <w:t xml:space="preserve">, 223–233. </w:t>
      </w:r>
      <w:hyperlink r:id="rId14" w:history="1">
        <w:r w:rsidRPr="006C086D">
          <w:rPr>
            <w:rStyle w:val="Hyperlink"/>
            <w:rFonts w:ascii="Times New Roman" w:hAnsi="Times New Roman" w:cs="Times New Roman"/>
          </w:rPr>
          <w:t>https://doi.org/10.1016/j.cie.2013.11.006</w:t>
        </w:r>
      </w:hyperlink>
    </w:p>
    <w:p w14:paraId="280A83CA" w14:textId="77777777" w:rsidR="00EF0EE5" w:rsidRPr="00AF4323" w:rsidRDefault="00EF0EE5" w:rsidP="00971BFF">
      <w:pPr>
        <w:ind w:left="720" w:hanging="720"/>
        <w:rPr>
          <w:rFonts w:ascii="Times New Roman" w:hAnsi="Times New Roman" w:cs="Times New Roman"/>
        </w:rPr>
      </w:pPr>
      <w:r w:rsidRPr="00AF4323">
        <w:rPr>
          <w:rFonts w:ascii="Times New Roman" w:hAnsi="Times New Roman" w:cs="Times New Roman"/>
        </w:rPr>
        <w:t xml:space="preserve">Avila-Torres P. A., Arratia-Martinez N.  M. and Ruiz-y-Ruiz E. (2020) The Inventory Routing Problem with Priorities and Fixed Heterogeneous Fleet. </w:t>
      </w:r>
      <w:r w:rsidRPr="00AF4323">
        <w:rPr>
          <w:rFonts w:ascii="Times New Roman" w:hAnsi="Times New Roman" w:cs="Times New Roman"/>
          <w:i/>
        </w:rPr>
        <w:t>Appl. Sci</w:t>
      </w:r>
      <w:r w:rsidRPr="00AF4323">
        <w:rPr>
          <w:rFonts w:ascii="Times New Roman" w:hAnsi="Times New Roman" w:cs="Times New Roman"/>
        </w:rPr>
        <w:t>.  10, 3502; doi:10.3390/app10103502</w:t>
      </w:r>
    </w:p>
    <w:p w14:paraId="366EA2AB" w14:textId="77777777" w:rsidR="00301080" w:rsidRPr="006C086D" w:rsidRDefault="00301080" w:rsidP="00971BFF">
      <w:pPr>
        <w:ind w:left="720" w:hanging="720"/>
        <w:rPr>
          <w:rFonts w:ascii="Times New Roman" w:hAnsi="Times New Roman" w:cs="Times New Roman"/>
        </w:rPr>
      </w:pPr>
      <w:r w:rsidRPr="006C086D">
        <w:rPr>
          <w:rFonts w:ascii="Times New Roman" w:hAnsi="Times New Roman" w:cs="Times New Roman"/>
        </w:rPr>
        <w:t xml:space="preserve">Charnes, A., &amp; Cooper, W. W. (1954). The stepping stone method of explaining linear programming calculations in transportation problems. </w:t>
      </w:r>
      <w:r w:rsidRPr="006C086D">
        <w:rPr>
          <w:rFonts w:ascii="Times New Roman" w:hAnsi="Times New Roman" w:cs="Times New Roman"/>
          <w:i/>
          <w:iCs/>
        </w:rPr>
        <w:t>Management Science, 1</w:t>
      </w:r>
      <w:r w:rsidRPr="006C086D">
        <w:rPr>
          <w:rFonts w:ascii="Times New Roman" w:hAnsi="Times New Roman" w:cs="Times New Roman"/>
        </w:rPr>
        <w:t xml:space="preserve">(1), 49–69. </w:t>
      </w:r>
      <w:hyperlink r:id="rId15" w:history="1">
        <w:r w:rsidRPr="006C086D">
          <w:rPr>
            <w:rStyle w:val="Hyperlink"/>
            <w:rFonts w:ascii="Times New Roman" w:hAnsi="Times New Roman" w:cs="Times New Roman"/>
          </w:rPr>
          <w:t>https://doi.org/10.1287/mnsc.1.1.49</w:t>
        </w:r>
      </w:hyperlink>
    </w:p>
    <w:p w14:paraId="4D633C22" w14:textId="77777777" w:rsidR="005E19BB" w:rsidRPr="006C086D" w:rsidRDefault="005E19BB" w:rsidP="005E19BB">
      <w:pPr>
        <w:ind w:left="720" w:hanging="578"/>
        <w:rPr>
          <w:rFonts w:ascii="Times New Roman" w:hAnsi="Times New Roman" w:cs="Times New Roman"/>
        </w:rPr>
      </w:pPr>
      <w:r w:rsidRPr="006C086D">
        <w:rPr>
          <w:rFonts w:ascii="Times New Roman" w:hAnsi="Times New Roman" w:cs="Times New Roman"/>
        </w:rPr>
        <w:t xml:space="preserve">Daniel, E. E. and Agada P.O. (2020) Transportation Optimization Model for Cement Distribution. </w:t>
      </w:r>
      <w:r w:rsidRPr="00AF4323">
        <w:rPr>
          <w:rFonts w:ascii="Times New Roman" w:hAnsi="Times New Roman" w:cs="Times New Roman"/>
          <w:i/>
        </w:rPr>
        <w:t>Abacus (Mathematics Science Series</w:t>
      </w:r>
      <w:r w:rsidRPr="006C086D">
        <w:rPr>
          <w:rFonts w:ascii="Times New Roman" w:hAnsi="Times New Roman" w:cs="Times New Roman"/>
        </w:rPr>
        <w:t>) 47(1): 212-225</w:t>
      </w:r>
    </w:p>
    <w:p w14:paraId="7306BF29" w14:textId="77777777" w:rsidR="005E19BB" w:rsidRPr="006C086D" w:rsidRDefault="005E19BB" w:rsidP="005E19BB">
      <w:pPr>
        <w:ind w:left="720" w:hanging="720"/>
        <w:rPr>
          <w:rFonts w:ascii="Times New Roman" w:hAnsi="Times New Roman" w:cs="Times New Roman"/>
        </w:rPr>
      </w:pPr>
      <w:r w:rsidRPr="006C086D">
        <w:rPr>
          <w:rFonts w:ascii="Times New Roman" w:hAnsi="Times New Roman" w:cs="Times New Roman"/>
        </w:rPr>
        <w:t xml:space="preserve">Daniel, E. E.,  Udeh, P. C.,  Ibrahim, I.,  Abubakar A. B. and Danhausa A. A. (2021) Transportation Optimization Model, Analysis for Cement Distribution and Risk </w:t>
      </w:r>
      <w:r w:rsidRPr="006C086D">
        <w:rPr>
          <w:rFonts w:ascii="Times New Roman" w:hAnsi="Times New Roman" w:cs="Times New Roman"/>
          <w:i/>
        </w:rPr>
        <w:t xml:space="preserve">Reduction. Abacus (Mathematics Science Series) </w:t>
      </w:r>
      <w:r w:rsidRPr="006C086D">
        <w:rPr>
          <w:rFonts w:ascii="Times New Roman" w:hAnsi="Times New Roman" w:cs="Times New Roman"/>
        </w:rPr>
        <w:t xml:space="preserve"> 48(2) 110-117</w:t>
      </w:r>
    </w:p>
    <w:p w14:paraId="64E08DCA" w14:textId="77777777" w:rsidR="00301080" w:rsidRPr="006C086D" w:rsidRDefault="00301080" w:rsidP="00971BFF">
      <w:pPr>
        <w:ind w:left="720" w:hanging="720"/>
        <w:rPr>
          <w:rFonts w:ascii="Times New Roman" w:hAnsi="Times New Roman" w:cs="Times New Roman"/>
        </w:rPr>
      </w:pPr>
      <w:r w:rsidRPr="006C086D">
        <w:rPr>
          <w:rFonts w:ascii="Times New Roman" w:hAnsi="Times New Roman" w:cs="Times New Roman"/>
        </w:rPr>
        <w:t xml:space="preserve">Dantzig, G. B. (1951). Application of the simplex method to a transportation problem. In T. C. Koopmans (Ed.), </w:t>
      </w:r>
      <w:r w:rsidRPr="006C086D">
        <w:rPr>
          <w:rFonts w:ascii="Times New Roman" w:hAnsi="Times New Roman" w:cs="Times New Roman"/>
          <w:i/>
          <w:iCs/>
        </w:rPr>
        <w:t>Activity analysis of production and allocation</w:t>
      </w:r>
      <w:r w:rsidRPr="006C086D">
        <w:rPr>
          <w:rFonts w:ascii="Times New Roman" w:hAnsi="Times New Roman" w:cs="Times New Roman"/>
        </w:rPr>
        <w:t xml:space="preserve"> (pp. 359–373). John Wiley &amp; Sons.</w:t>
      </w:r>
    </w:p>
    <w:p w14:paraId="15AC6F01" w14:textId="77777777" w:rsidR="00301080" w:rsidRPr="006C086D" w:rsidRDefault="00301080" w:rsidP="00971BFF">
      <w:pPr>
        <w:ind w:left="720" w:hanging="720"/>
        <w:rPr>
          <w:rFonts w:ascii="Times New Roman" w:hAnsi="Times New Roman" w:cs="Times New Roman"/>
        </w:rPr>
      </w:pPr>
      <w:r w:rsidRPr="006C086D">
        <w:rPr>
          <w:rFonts w:ascii="Times New Roman" w:hAnsi="Times New Roman" w:cs="Times New Roman"/>
        </w:rPr>
        <w:t xml:space="preserve">Dantzig, G. B. (1963). </w:t>
      </w:r>
      <w:r w:rsidRPr="006C086D">
        <w:rPr>
          <w:rFonts w:ascii="Times New Roman" w:hAnsi="Times New Roman" w:cs="Times New Roman"/>
          <w:i/>
          <w:iCs/>
        </w:rPr>
        <w:t>Linear programming and extensions</w:t>
      </w:r>
      <w:r w:rsidRPr="006C086D">
        <w:rPr>
          <w:rFonts w:ascii="Times New Roman" w:hAnsi="Times New Roman" w:cs="Times New Roman"/>
        </w:rPr>
        <w:t>. Princeton University Press.</w:t>
      </w:r>
    </w:p>
    <w:p w14:paraId="132B2D11" w14:textId="77777777" w:rsidR="00301080" w:rsidRPr="006C086D" w:rsidRDefault="00301080" w:rsidP="00971BFF">
      <w:pPr>
        <w:ind w:left="720" w:hanging="720"/>
        <w:rPr>
          <w:rFonts w:ascii="Times New Roman" w:hAnsi="Times New Roman" w:cs="Times New Roman"/>
        </w:rPr>
      </w:pPr>
      <w:r w:rsidRPr="006C086D">
        <w:rPr>
          <w:rFonts w:ascii="Times New Roman" w:hAnsi="Times New Roman" w:cs="Times New Roman"/>
        </w:rPr>
        <w:t xml:space="preserve">Deb, K., Pratap, A., Agarwal, S., &amp; Meyarivan, T. (2002). A fast and elitist multiobjective genetic algorithm: NSGA-II. </w:t>
      </w:r>
      <w:r w:rsidRPr="006C086D">
        <w:rPr>
          <w:rFonts w:ascii="Times New Roman" w:hAnsi="Times New Roman" w:cs="Times New Roman"/>
          <w:i/>
          <w:iCs/>
        </w:rPr>
        <w:t>IEEE Transactions on Evolutionary Computation, 6</w:t>
      </w:r>
      <w:r w:rsidRPr="006C086D">
        <w:rPr>
          <w:rFonts w:ascii="Times New Roman" w:hAnsi="Times New Roman" w:cs="Times New Roman"/>
        </w:rPr>
        <w:t xml:space="preserve">(2), 182–197. </w:t>
      </w:r>
      <w:hyperlink r:id="rId16" w:history="1">
        <w:r w:rsidRPr="006C086D">
          <w:rPr>
            <w:rStyle w:val="Hyperlink"/>
            <w:rFonts w:ascii="Times New Roman" w:hAnsi="Times New Roman" w:cs="Times New Roman"/>
          </w:rPr>
          <w:t>https://doi.org/10.1109/4235.996017</w:t>
        </w:r>
      </w:hyperlink>
    </w:p>
    <w:p w14:paraId="7A6CA563" w14:textId="77777777" w:rsidR="00301080" w:rsidRPr="006C086D" w:rsidRDefault="00301080" w:rsidP="00971BFF">
      <w:pPr>
        <w:ind w:left="720" w:hanging="720"/>
        <w:rPr>
          <w:rFonts w:ascii="Times New Roman" w:hAnsi="Times New Roman" w:cs="Times New Roman"/>
        </w:rPr>
      </w:pPr>
      <w:r w:rsidRPr="006C086D">
        <w:rPr>
          <w:rFonts w:ascii="Times New Roman" w:hAnsi="Times New Roman" w:cs="Times New Roman"/>
        </w:rPr>
        <w:t xml:space="preserve">Ehrgott, M. (2005). </w:t>
      </w:r>
      <w:r w:rsidRPr="006C086D">
        <w:rPr>
          <w:rFonts w:ascii="Times New Roman" w:hAnsi="Times New Roman" w:cs="Times New Roman"/>
          <w:i/>
          <w:iCs/>
        </w:rPr>
        <w:t>Multicriteria optimization</w:t>
      </w:r>
      <w:r w:rsidRPr="006C086D">
        <w:rPr>
          <w:rFonts w:ascii="Times New Roman" w:hAnsi="Times New Roman" w:cs="Times New Roman"/>
        </w:rPr>
        <w:t xml:space="preserve"> (2nd ed.). Springer.</w:t>
      </w:r>
    </w:p>
    <w:p w14:paraId="3511BA5B" w14:textId="77777777" w:rsidR="005E19BB" w:rsidRPr="006C086D" w:rsidRDefault="005E19BB" w:rsidP="005E19BB">
      <w:pPr>
        <w:spacing w:before="72"/>
        <w:ind w:left="720" w:right="141" w:hanging="720"/>
        <w:rPr>
          <w:rFonts w:ascii="Times New Roman" w:hAnsi="Times New Roman" w:cs="Times New Roman"/>
        </w:rPr>
      </w:pPr>
      <w:r w:rsidRPr="006C086D">
        <w:rPr>
          <w:rFonts w:ascii="Times New Roman" w:hAnsi="Times New Roman" w:cs="Times New Roman"/>
        </w:rPr>
        <w:t>Ezekiel A. M. (2024) Effects of Petroleum Products Price Hike on The Supply of Agricultural Products in Nigeria – A Review</w:t>
      </w:r>
      <w:r w:rsidRPr="00AF4323">
        <w:rPr>
          <w:rFonts w:ascii="Times New Roman" w:hAnsi="Times New Roman" w:cs="Times New Roman"/>
          <w:i/>
        </w:rPr>
        <w:t>. FUDMA Journal of Agriculture and Agricultural</w:t>
      </w:r>
      <w:r w:rsidRPr="006C086D">
        <w:rPr>
          <w:rFonts w:ascii="Times New Roman" w:hAnsi="Times New Roman" w:cs="Times New Roman"/>
        </w:rPr>
        <w:t>. 10(3) Pp.19-25. https://doi.org/10.33003/jaat.2024.1003.03</w:t>
      </w:r>
    </w:p>
    <w:p w14:paraId="04270469" w14:textId="77777777" w:rsidR="00301080" w:rsidRPr="006C086D" w:rsidRDefault="00301080" w:rsidP="00971BFF">
      <w:pPr>
        <w:ind w:left="720" w:hanging="720"/>
        <w:rPr>
          <w:rFonts w:ascii="Times New Roman" w:hAnsi="Times New Roman" w:cs="Times New Roman"/>
        </w:rPr>
      </w:pPr>
      <w:r w:rsidRPr="006C086D">
        <w:rPr>
          <w:rFonts w:ascii="Times New Roman" w:hAnsi="Times New Roman" w:cs="Times New Roman"/>
        </w:rPr>
        <w:t xml:space="preserve">Hitchcock, F. L. (1941). The distribution of a product from several sources to numerous localities. </w:t>
      </w:r>
      <w:r w:rsidRPr="006C086D">
        <w:rPr>
          <w:rFonts w:ascii="Times New Roman" w:hAnsi="Times New Roman" w:cs="Times New Roman"/>
          <w:i/>
          <w:iCs/>
        </w:rPr>
        <w:t>Journal of Mathematics and Physics, 20</w:t>
      </w:r>
      <w:r w:rsidRPr="006C086D">
        <w:rPr>
          <w:rFonts w:ascii="Times New Roman" w:hAnsi="Times New Roman" w:cs="Times New Roman"/>
        </w:rPr>
        <w:t xml:space="preserve">(1–4), 224–230. </w:t>
      </w:r>
      <w:hyperlink r:id="rId17" w:history="1">
        <w:r w:rsidRPr="006C086D">
          <w:rPr>
            <w:rStyle w:val="Hyperlink"/>
            <w:rFonts w:ascii="Times New Roman" w:hAnsi="Times New Roman" w:cs="Times New Roman"/>
          </w:rPr>
          <w:t>https://doi.org/10.1002/sapm1941201224</w:t>
        </w:r>
      </w:hyperlink>
    </w:p>
    <w:p w14:paraId="67E0F154" w14:textId="77777777" w:rsidR="005E19BB" w:rsidRPr="006C086D" w:rsidRDefault="005E19BB" w:rsidP="005E19BB">
      <w:pPr>
        <w:pStyle w:val="Heading2"/>
        <w:spacing w:before="0" w:line="240" w:lineRule="auto"/>
        <w:ind w:left="720" w:hanging="720"/>
        <w:rPr>
          <w:rFonts w:ascii="Times New Roman" w:hAnsi="Times New Roman" w:cs="Times New Roman"/>
          <w:color w:val="000000" w:themeColor="text1"/>
          <w:sz w:val="24"/>
          <w:szCs w:val="24"/>
        </w:rPr>
      </w:pPr>
      <w:r w:rsidRPr="006C086D">
        <w:rPr>
          <w:rFonts w:ascii="Times New Roman" w:hAnsi="Times New Roman" w:cs="Times New Roman"/>
          <w:bCs/>
          <w:color w:val="000000" w:themeColor="text1"/>
          <w:sz w:val="24"/>
          <w:szCs w:val="24"/>
        </w:rPr>
        <w:t>Hussaini, A. S., Oladimeji, Y. U., Sani, A. A., Umar, M</w:t>
      </w:r>
      <w:r w:rsidRPr="006C086D">
        <w:rPr>
          <w:rFonts w:ascii="Times New Roman" w:hAnsi="Times New Roman" w:cs="Times New Roman"/>
          <w:bCs/>
          <w:color w:val="000000" w:themeColor="text1"/>
          <w:sz w:val="24"/>
          <w:szCs w:val="24"/>
          <w:vertAlign w:val="superscript"/>
        </w:rPr>
        <w:t>.</w:t>
      </w:r>
      <w:r w:rsidRPr="006C086D">
        <w:rPr>
          <w:rFonts w:ascii="Times New Roman" w:hAnsi="Times New Roman" w:cs="Times New Roman"/>
          <w:bCs/>
          <w:color w:val="000000" w:themeColor="text1"/>
          <w:sz w:val="24"/>
          <w:szCs w:val="24"/>
        </w:rPr>
        <w:t>and</w:t>
      </w:r>
      <w:r w:rsidRPr="006C086D">
        <w:rPr>
          <w:rFonts w:ascii="Times New Roman" w:hAnsi="Times New Roman" w:cs="Times New Roman"/>
          <w:color w:val="000000" w:themeColor="text1"/>
          <w:sz w:val="24"/>
          <w:szCs w:val="24"/>
        </w:rPr>
        <w:t xml:space="preserve"> Udeh, B. E (2025) Effects of Fuel Subsidy Removal on Price Trend of Staple Food Crops in Kaduna Municipal, Nigeria. Umteb – Xvii </w:t>
      </w:r>
      <w:r w:rsidRPr="00AF4323">
        <w:rPr>
          <w:rFonts w:ascii="Times New Roman" w:hAnsi="Times New Roman" w:cs="Times New Roman"/>
          <w:i/>
          <w:color w:val="000000" w:themeColor="text1"/>
          <w:sz w:val="24"/>
          <w:szCs w:val="24"/>
        </w:rPr>
        <w:t>International Scientific Research Congress</w:t>
      </w:r>
      <w:r w:rsidRPr="006C086D">
        <w:rPr>
          <w:rFonts w:ascii="Times New Roman" w:hAnsi="Times New Roman" w:cs="Times New Roman"/>
          <w:color w:val="000000" w:themeColor="text1"/>
          <w:sz w:val="24"/>
          <w:szCs w:val="24"/>
        </w:rPr>
        <w:t>.</w:t>
      </w:r>
    </w:p>
    <w:p w14:paraId="3B9724C4" w14:textId="77777777" w:rsidR="006C086D" w:rsidRPr="006C086D" w:rsidRDefault="006C086D" w:rsidP="006C086D">
      <w:pPr>
        <w:autoSpaceDE w:val="0"/>
        <w:autoSpaceDN w:val="0"/>
        <w:adjustRightInd w:val="0"/>
        <w:spacing w:before="240" w:after="0" w:line="240" w:lineRule="auto"/>
        <w:ind w:left="720" w:hanging="720"/>
        <w:rPr>
          <w:rFonts w:ascii="Times New Roman" w:hAnsi="Times New Roman" w:cs="Times New Roman"/>
          <w:b/>
          <w:bCs/>
          <w:color w:val="000000" w:themeColor="text1"/>
        </w:rPr>
      </w:pPr>
      <w:r w:rsidRPr="006C086D">
        <w:rPr>
          <w:rFonts w:ascii="Times New Roman" w:hAnsi="Times New Roman" w:cs="Times New Roman"/>
          <w:bCs/>
          <w:color w:val="000000" w:themeColor="text1"/>
        </w:rPr>
        <w:t xml:space="preserve">Ikechukwu E. C., Nwagbala S. C. and Ezeanokwasa F. N.  (2025) Fuel subsidy removal and performance of SMEs in Anambra State Nigeria. </w:t>
      </w:r>
      <w:r w:rsidRPr="006C086D">
        <w:rPr>
          <w:rFonts w:ascii="Times New Roman" w:hAnsi="Times New Roman" w:cs="Times New Roman"/>
          <w:bCs/>
          <w:i/>
          <w:color w:val="000000" w:themeColor="text1"/>
        </w:rPr>
        <w:t>International Journal of Financial, Accounting, and Management (IJFAM)</w:t>
      </w:r>
      <w:r w:rsidRPr="006C086D">
        <w:rPr>
          <w:rFonts w:ascii="Times New Roman" w:hAnsi="Times New Roman" w:cs="Times New Roman"/>
          <w:b/>
          <w:bCs/>
          <w:color w:val="000000" w:themeColor="text1"/>
        </w:rPr>
        <w:t xml:space="preserve"> </w:t>
      </w:r>
      <w:r w:rsidRPr="006C086D">
        <w:rPr>
          <w:rFonts w:ascii="Times New Roman" w:hAnsi="Times New Roman" w:cs="Times New Roman"/>
          <w:i/>
          <w:iCs/>
          <w:color w:val="000000" w:themeColor="text1"/>
        </w:rPr>
        <w:t>6(4) 585-599</w:t>
      </w:r>
    </w:p>
    <w:p w14:paraId="306A59B5" w14:textId="77777777" w:rsidR="00DC52FD" w:rsidRPr="006C086D" w:rsidRDefault="00DC52FD" w:rsidP="006C086D">
      <w:pPr>
        <w:pStyle w:val="Default"/>
        <w:spacing w:before="240"/>
        <w:ind w:left="720" w:hanging="720"/>
        <w:rPr>
          <w:bCs/>
        </w:rPr>
      </w:pPr>
      <w:r w:rsidRPr="006C086D">
        <w:lastRenderedPageBreak/>
        <w:t>Ilodigwe A. O</w:t>
      </w:r>
      <w:r w:rsidRPr="006C086D">
        <w:rPr>
          <w:bCs/>
        </w:rPr>
        <w:t xml:space="preserve"> (2023) Fuel Subsidy Removal and Its Negative Impact on Small and Medium Scale Enterprises. </w:t>
      </w:r>
      <w:r w:rsidRPr="006C086D">
        <w:rPr>
          <w:i/>
          <w:iCs/>
        </w:rPr>
        <w:t>Journal of Education, Humanities, Management &amp; Social Sciences (JEHMSS). Pp 25-35</w:t>
      </w:r>
      <w:r w:rsidRPr="006C086D">
        <w:rPr>
          <w:bCs/>
        </w:rPr>
        <w:t xml:space="preserve"> </w:t>
      </w:r>
    </w:p>
    <w:p w14:paraId="7B003ACF" w14:textId="77777777" w:rsidR="001D5A67" w:rsidRDefault="001D5A67" w:rsidP="001D5A67">
      <w:pPr>
        <w:autoSpaceDE w:val="0"/>
        <w:autoSpaceDN w:val="0"/>
        <w:adjustRightInd w:val="0"/>
        <w:spacing w:before="240" w:after="0" w:line="240" w:lineRule="auto"/>
        <w:ind w:left="720" w:hanging="720"/>
        <w:rPr>
          <w:rFonts w:ascii="Times New Roman" w:hAnsi="Times New Roman" w:cs="Times New Roman"/>
          <w:color w:val="221F1F"/>
        </w:rPr>
      </w:pPr>
      <w:r w:rsidRPr="006C086D">
        <w:rPr>
          <w:rFonts w:ascii="Times New Roman" w:hAnsi="Times New Roman" w:cs="Times New Roman"/>
          <w:color w:val="221F1F"/>
        </w:rPr>
        <w:t xml:space="preserve">Islam S., Biswas H. R., Khatun U.H., Rani R.,  Nourin S. I. (2024) </w:t>
      </w:r>
      <w:r w:rsidRPr="006C086D">
        <w:rPr>
          <w:rFonts w:ascii="Times New Roman" w:hAnsi="Times New Roman" w:cs="Times New Roman"/>
        </w:rPr>
        <w:t xml:space="preserve">Optimizing Transportation Logistics for Cost Efficiency in a Garment Factory: A Linear Programming Approach Using LINDO. </w:t>
      </w:r>
      <w:r w:rsidRPr="006C086D">
        <w:rPr>
          <w:rFonts w:ascii="Times New Roman" w:hAnsi="Times New Roman" w:cs="Times New Roman"/>
          <w:i/>
          <w:color w:val="221F1F"/>
        </w:rPr>
        <w:t>Sch J Phys Math Stat</w:t>
      </w:r>
      <w:r w:rsidRPr="006C086D">
        <w:rPr>
          <w:rFonts w:ascii="Times New Roman" w:hAnsi="Times New Roman" w:cs="Times New Roman"/>
          <w:color w:val="221F1F"/>
        </w:rPr>
        <w:t>,  11(10): 146-149.</w:t>
      </w:r>
    </w:p>
    <w:p w14:paraId="52DD1108" w14:textId="77777777" w:rsidR="00EF0EE5" w:rsidRPr="00AF4323" w:rsidRDefault="00EF0EE5" w:rsidP="00EF0EE5">
      <w:pPr>
        <w:autoSpaceDE w:val="0"/>
        <w:autoSpaceDN w:val="0"/>
        <w:adjustRightInd w:val="0"/>
        <w:spacing w:before="240" w:after="0" w:line="240" w:lineRule="auto"/>
        <w:ind w:left="720" w:hanging="720"/>
        <w:rPr>
          <w:rFonts w:ascii="Times New Roman" w:hAnsi="Times New Roman" w:cs="Times New Roman"/>
        </w:rPr>
      </w:pPr>
      <w:r w:rsidRPr="00AF4323">
        <w:rPr>
          <w:rFonts w:ascii="Times New Roman" w:hAnsi="Times New Roman" w:cs="Times New Roman"/>
        </w:rPr>
        <w:t xml:space="preserve">Jiang Q. and Wang H. (2025) Risk Assessment and Hybrid Algorithm Transportation path optimization for Model Road Transport of Dangerous Goods. </w:t>
      </w:r>
      <w:r w:rsidRPr="00AF4323">
        <w:rPr>
          <w:rFonts w:ascii="Times New Roman" w:hAnsi="Times New Roman" w:cs="Times New Roman"/>
          <w:i/>
        </w:rPr>
        <w:t>IATSS Research</w:t>
      </w:r>
      <w:r w:rsidRPr="00AF4323">
        <w:rPr>
          <w:rFonts w:ascii="Times New Roman" w:hAnsi="Times New Roman" w:cs="Times New Roman"/>
        </w:rPr>
        <w:t xml:space="preserve"> 49(2025) 72-80</w:t>
      </w:r>
    </w:p>
    <w:p w14:paraId="05E3473C" w14:textId="77777777" w:rsidR="00DC52FD" w:rsidRDefault="00DC52FD" w:rsidP="00D60765">
      <w:pPr>
        <w:autoSpaceDE w:val="0"/>
        <w:autoSpaceDN w:val="0"/>
        <w:adjustRightInd w:val="0"/>
        <w:spacing w:before="240" w:after="0" w:line="240" w:lineRule="auto"/>
        <w:ind w:left="720" w:hanging="720"/>
        <w:rPr>
          <w:rFonts w:ascii="Times New Roman" w:hAnsi="Times New Roman" w:cs="Times New Roman"/>
        </w:rPr>
      </w:pPr>
      <w:r w:rsidRPr="006C086D">
        <w:rPr>
          <w:rFonts w:ascii="Times New Roman" w:hAnsi="Times New Roman" w:cs="Times New Roman"/>
        </w:rPr>
        <w:t>Jolaiya O. F.and Akinmulegun S. O.(2025)</w:t>
      </w:r>
      <w:r w:rsidRPr="006C086D">
        <w:rPr>
          <w:rFonts w:ascii="Times New Roman" w:hAnsi="Times New Roman" w:cs="Times New Roman"/>
          <w:bCs/>
        </w:rPr>
        <w:t xml:space="preserve"> The Fuel Subsidy Removal and the Performance of Transport Sector: A Study of Selected Transport Firms in Nigeria. </w:t>
      </w:r>
      <w:r w:rsidRPr="00AF4323">
        <w:rPr>
          <w:rFonts w:ascii="Times New Roman" w:hAnsi="Times New Roman" w:cs="Times New Roman"/>
          <w:i/>
        </w:rPr>
        <w:t>Journal of Public Administration and Social Welfare Research</w:t>
      </w:r>
      <w:r w:rsidRPr="006C086D">
        <w:rPr>
          <w:rFonts w:ascii="Times New Roman" w:hAnsi="Times New Roman" w:cs="Times New Roman"/>
        </w:rPr>
        <w:t>. 10( 1) Pp 73-86</w:t>
      </w:r>
    </w:p>
    <w:p w14:paraId="7B308EC7" w14:textId="77777777" w:rsidR="00FA4009" w:rsidRPr="00455EFA" w:rsidRDefault="00FA4009" w:rsidP="00FA4009">
      <w:pPr>
        <w:pStyle w:val="Default"/>
        <w:spacing w:before="240"/>
        <w:ind w:left="720" w:hanging="720"/>
      </w:pPr>
      <w:r w:rsidRPr="00455EFA">
        <w:rPr>
          <w:bCs/>
        </w:rPr>
        <w:t>Justinah. O. O. and Oseyemi E. A. (2024)</w:t>
      </w:r>
      <w:r w:rsidRPr="00455EFA">
        <w:t xml:space="preserve"> </w:t>
      </w:r>
      <w:r w:rsidRPr="00455EFA">
        <w:rPr>
          <w:bCs/>
        </w:rPr>
        <w:t xml:space="preserve">Evaluation of the Impact of Fuel Subsidy Removal on Family Income and Sustainability in Ondo City, Nigeria. </w:t>
      </w:r>
      <w:r w:rsidRPr="00455EFA">
        <w:t xml:space="preserve"> </w:t>
      </w:r>
      <w:r w:rsidRPr="00455EFA">
        <w:rPr>
          <w:bCs/>
          <w:i/>
        </w:rPr>
        <w:t>International Journal of Home Economics, Hospitality and Allied Research</w:t>
      </w:r>
      <w:r w:rsidRPr="00455EFA">
        <w:rPr>
          <w:i/>
        </w:rPr>
        <w:t xml:space="preserve">, </w:t>
      </w:r>
      <w:r w:rsidRPr="00455EFA">
        <w:rPr>
          <w:bCs/>
        </w:rPr>
        <w:t>3(1): 117-128</w:t>
      </w:r>
    </w:p>
    <w:p w14:paraId="10E25B29" w14:textId="77777777" w:rsidR="00301080" w:rsidRPr="006C086D" w:rsidRDefault="00301080" w:rsidP="001D5A67">
      <w:pPr>
        <w:spacing w:before="240"/>
        <w:ind w:left="720" w:hanging="720"/>
        <w:rPr>
          <w:rFonts w:ascii="Times New Roman" w:hAnsi="Times New Roman" w:cs="Times New Roman"/>
        </w:rPr>
      </w:pPr>
      <w:r w:rsidRPr="006C086D">
        <w:rPr>
          <w:rFonts w:ascii="Times New Roman" w:hAnsi="Times New Roman" w:cs="Times New Roman"/>
        </w:rPr>
        <w:t xml:space="preserve">Koopmans, T. C. (1949). Optimum utilization of the transportation system. </w:t>
      </w:r>
      <w:r w:rsidRPr="006C086D">
        <w:rPr>
          <w:rFonts w:ascii="Times New Roman" w:hAnsi="Times New Roman" w:cs="Times New Roman"/>
          <w:i/>
          <w:iCs/>
        </w:rPr>
        <w:t>Econometrica, 17</w:t>
      </w:r>
      <w:r w:rsidRPr="006C086D">
        <w:rPr>
          <w:rFonts w:ascii="Times New Roman" w:hAnsi="Times New Roman" w:cs="Times New Roman"/>
        </w:rPr>
        <w:t xml:space="preserve">(Supplement), 136–146. </w:t>
      </w:r>
      <w:hyperlink r:id="rId18" w:history="1">
        <w:r w:rsidRPr="006C086D">
          <w:rPr>
            <w:rStyle w:val="Hyperlink"/>
            <w:rFonts w:ascii="Times New Roman" w:hAnsi="Times New Roman" w:cs="Times New Roman"/>
          </w:rPr>
          <w:t>https://doi.org/10.2307/1907301</w:t>
        </w:r>
      </w:hyperlink>
    </w:p>
    <w:p w14:paraId="56CFF8E7" w14:textId="77777777" w:rsidR="00EF0EE5" w:rsidRPr="004D2205" w:rsidRDefault="00EF0EE5" w:rsidP="00EF0EE5">
      <w:pPr>
        <w:autoSpaceDE w:val="0"/>
        <w:autoSpaceDN w:val="0"/>
        <w:adjustRightInd w:val="0"/>
        <w:spacing w:after="0" w:line="240" w:lineRule="auto"/>
        <w:ind w:left="720" w:hanging="720"/>
        <w:rPr>
          <w:rFonts w:ascii="Times New Roman" w:hAnsi="Times New Roman" w:cs="Times New Roman"/>
        </w:rPr>
      </w:pPr>
      <w:r w:rsidRPr="004D2205">
        <w:rPr>
          <w:rFonts w:ascii="Times New Roman" w:hAnsi="Times New Roman" w:cs="Times New Roman"/>
        </w:rPr>
        <w:t>Liu F., Lu .C., Gui L., Zhang Q., Tong X., Yuan M.(2023) Heuristics for Vehicle Routing Problem: A Survey and</w:t>
      </w:r>
      <w:r>
        <w:rPr>
          <w:rFonts w:ascii="Times New Roman" w:hAnsi="Times New Roman" w:cs="Times New Roman"/>
        </w:rPr>
        <w:t xml:space="preserve"> </w:t>
      </w:r>
      <w:r w:rsidRPr="004D2205">
        <w:rPr>
          <w:rFonts w:ascii="Times New Roman" w:hAnsi="Times New Roman" w:cs="Times New Roman"/>
        </w:rPr>
        <w:t xml:space="preserve">Recent Advances. </w:t>
      </w:r>
      <w:r w:rsidRPr="004D2205">
        <w:rPr>
          <w:rFonts w:ascii="Times New Roman" w:hAnsi="Times New Roman" w:cs="Times New Roman"/>
          <w:color w:val="808080"/>
        </w:rPr>
        <w:t>arXiv:2303.04147v1 [cs.AI] 1-67</w:t>
      </w:r>
    </w:p>
    <w:p w14:paraId="038C9AED" w14:textId="77777777" w:rsidR="00EF0EE5" w:rsidRDefault="00EF0EE5" w:rsidP="00EF0EE5">
      <w:pPr>
        <w:autoSpaceDE w:val="0"/>
        <w:autoSpaceDN w:val="0"/>
        <w:adjustRightInd w:val="0"/>
        <w:spacing w:after="0" w:line="240" w:lineRule="auto"/>
        <w:ind w:left="720" w:hanging="720"/>
        <w:rPr>
          <w:rFonts w:ascii="Times New Roman" w:eastAsia="URWPalladioL-Roma" w:hAnsi="Times New Roman" w:cs="Times New Roman"/>
        </w:rPr>
      </w:pPr>
    </w:p>
    <w:p w14:paraId="442023E1" w14:textId="77777777" w:rsidR="00EF0EE5" w:rsidRDefault="00EF0EE5" w:rsidP="00EF0EE5">
      <w:pPr>
        <w:autoSpaceDE w:val="0"/>
        <w:autoSpaceDN w:val="0"/>
        <w:adjustRightInd w:val="0"/>
        <w:spacing w:after="0" w:line="240" w:lineRule="auto"/>
        <w:ind w:left="720" w:hanging="720"/>
        <w:rPr>
          <w:rFonts w:ascii="Times New Roman" w:eastAsia="URWPalladioL-Roma" w:hAnsi="Times New Roman" w:cs="Times New Roman"/>
        </w:rPr>
      </w:pPr>
      <w:r w:rsidRPr="001B4E9A">
        <w:rPr>
          <w:rFonts w:ascii="Times New Roman" w:eastAsia="URWPalladioL-Roma" w:hAnsi="Times New Roman" w:cs="Times New Roman"/>
        </w:rPr>
        <w:t xml:space="preserve">Lorenc, A. (2025) Predicting Fuel Consumption by Artificial Neural Network (ANN) Based on the Regular City Bus Lines. </w:t>
      </w:r>
      <w:r w:rsidRPr="009E7798">
        <w:rPr>
          <w:rFonts w:ascii="Times New Roman" w:eastAsia="URWPalladioL-Ital" w:hAnsi="Times New Roman" w:cs="Times New Roman"/>
          <w:i/>
        </w:rPr>
        <w:t>Sustainability</w:t>
      </w:r>
      <w:r w:rsidRPr="001B4E9A">
        <w:rPr>
          <w:rFonts w:ascii="Times New Roman" w:eastAsia="URWPalladioL-Ital" w:hAnsi="Times New Roman" w:cs="Times New Roman"/>
        </w:rPr>
        <w:t xml:space="preserve"> </w:t>
      </w:r>
      <w:r w:rsidRPr="001B4E9A">
        <w:rPr>
          <w:rFonts w:ascii="Times New Roman" w:eastAsia="URWPalladioL-Roma" w:hAnsi="Times New Roman" w:cs="Times New Roman"/>
        </w:rPr>
        <w:t xml:space="preserve"> </w:t>
      </w:r>
      <w:r w:rsidRPr="001B4E9A">
        <w:rPr>
          <w:rFonts w:ascii="Times New Roman" w:eastAsia="URWPalladioL-Ital" w:hAnsi="Times New Roman" w:cs="Times New Roman"/>
        </w:rPr>
        <w:t>17</w:t>
      </w:r>
      <w:r w:rsidRPr="001B4E9A">
        <w:rPr>
          <w:rFonts w:ascii="Times New Roman" w:eastAsia="URWPalladioL-Roma" w:hAnsi="Times New Roman" w:cs="Times New Roman"/>
        </w:rPr>
        <w:t xml:space="preserve">(1678). </w:t>
      </w:r>
      <w:hyperlink r:id="rId19" w:history="1">
        <w:r w:rsidRPr="00EA7CD1">
          <w:rPr>
            <w:rStyle w:val="Hyperlink"/>
            <w:rFonts w:ascii="Times New Roman" w:eastAsia="URWPalladioL-Roma" w:hAnsi="Times New Roman" w:cs="Times New Roman"/>
          </w:rPr>
          <w:t>https://doi.org/10.3390/su17041678</w:t>
        </w:r>
      </w:hyperlink>
      <w:r w:rsidRPr="001B4E9A">
        <w:rPr>
          <w:rFonts w:ascii="Times New Roman" w:eastAsia="URWPalladioL-Roma" w:hAnsi="Times New Roman" w:cs="Times New Roman"/>
        </w:rPr>
        <w:t>.</w:t>
      </w:r>
    </w:p>
    <w:p w14:paraId="200D47E8" w14:textId="77777777" w:rsidR="00FA4009" w:rsidRDefault="00FA4009" w:rsidP="00FA4009">
      <w:pPr>
        <w:autoSpaceDE w:val="0"/>
        <w:autoSpaceDN w:val="0"/>
        <w:adjustRightInd w:val="0"/>
        <w:spacing w:before="240" w:after="0" w:line="240" w:lineRule="auto"/>
        <w:ind w:left="720" w:hanging="720"/>
        <w:rPr>
          <w:rFonts w:ascii="Times New Roman" w:hAnsi="Times New Roman" w:cs="Times New Roman"/>
        </w:rPr>
      </w:pPr>
      <w:r>
        <w:rPr>
          <w:rFonts w:ascii="Times New Roman" w:hAnsi="Times New Roman" w:cs="Times New Roman"/>
          <w:bCs/>
        </w:rPr>
        <w:t>Luyi, E. O., Ogunjobi O. E. a</w:t>
      </w:r>
      <w:r w:rsidRPr="00455EFA">
        <w:rPr>
          <w:rFonts w:ascii="Times New Roman" w:hAnsi="Times New Roman" w:cs="Times New Roman"/>
          <w:bCs/>
        </w:rPr>
        <w:t>nd Olorunjubee O.  I.</w:t>
      </w:r>
      <w:r>
        <w:rPr>
          <w:rFonts w:ascii="Times New Roman" w:hAnsi="Times New Roman" w:cs="Times New Roman"/>
          <w:bCs/>
        </w:rPr>
        <w:t xml:space="preserve"> </w:t>
      </w:r>
      <w:r w:rsidRPr="00455EFA">
        <w:rPr>
          <w:rFonts w:ascii="Times New Roman" w:hAnsi="Times New Roman" w:cs="Times New Roman"/>
          <w:bCs/>
        </w:rPr>
        <w:t xml:space="preserve">(2025) Removal </w:t>
      </w:r>
      <w:r>
        <w:rPr>
          <w:rFonts w:ascii="Times New Roman" w:hAnsi="Times New Roman" w:cs="Times New Roman"/>
          <w:bCs/>
        </w:rPr>
        <w:t>of Fuel Subsidy and it's Effects on t</w:t>
      </w:r>
      <w:r w:rsidRPr="00455EFA">
        <w:rPr>
          <w:rFonts w:ascii="Times New Roman" w:hAnsi="Times New Roman" w:cs="Times New Roman"/>
          <w:bCs/>
        </w:rPr>
        <w:t>he</w:t>
      </w:r>
      <w:r>
        <w:rPr>
          <w:rFonts w:ascii="Times New Roman" w:hAnsi="Times New Roman" w:cs="Times New Roman"/>
          <w:bCs/>
        </w:rPr>
        <w:t xml:space="preserve"> Prices of Goods and Services i</w:t>
      </w:r>
      <w:r w:rsidRPr="00455EFA">
        <w:rPr>
          <w:rFonts w:ascii="Times New Roman" w:hAnsi="Times New Roman" w:cs="Times New Roman"/>
          <w:bCs/>
        </w:rPr>
        <w:t>n Okitipupa</w:t>
      </w:r>
      <w:r>
        <w:rPr>
          <w:rFonts w:ascii="Times New Roman" w:hAnsi="Times New Roman" w:cs="Times New Roman"/>
          <w:bCs/>
        </w:rPr>
        <w:t xml:space="preserve"> Local Government Area o</w:t>
      </w:r>
      <w:r w:rsidRPr="00455EFA">
        <w:rPr>
          <w:rFonts w:ascii="Times New Roman" w:hAnsi="Times New Roman" w:cs="Times New Roman"/>
          <w:bCs/>
        </w:rPr>
        <w:t>f Ondo State, Nigeria.</w:t>
      </w:r>
      <w:r w:rsidRPr="00455EFA">
        <w:rPr>
          <w:rFonts w:ascii="Times New Roman" w:hAnsi="Times New Roman" w:cs="Times New Roman"/>
        </w:rPr>
        <w:t xml:space="preserve"> </w:t>
      </w:r>
      <w:r w:rsidRPr="00455EFA">
        <w:rPr>
          <w:rFonts w:ascii="Times New Roman" w:hAnsi="Times New Roman" w:cs="Times New Roman"/>
          <w:i/>
        </w:rPr>
        <w:t>International Journal Of Innovation, Management &amp; Social Sciences</w:t>
      </w:r>
      <w:r w:rsidRPr="00455EFA">
        <w:rPr>
          <w:rFonts w:ascii="Times New Roman" w:hAnsi="Times New Roman" w:cs="Times New Roman"/>
        </w:rPr>
        <w:t>. 1, 140-152</w:t>
      </w:r>
      <w:r>
        <w:rPr>
          <w:rFonts w:ascii="Times New Roman" w:hAnsi="Times New Roman" w:cs="Times New Roman"/>
        </w:rPr>
        <w:t>.</w:t>
      </w:r>
    </w:p>
    <w:p w14:paraId="388C489A" w14:textId="77777777" w:rsidR="00FA4009" w:rsidRDefault="00FA4009" w:rsidP="00EF0EE5">
      <w:pPr>
        <w:autoSpaceDE w:val="0"/>
        <w:autoSpaceDN w:val="0"/>
        <w:adjustRightInd w:val="0"/>
        <w:spacing w:after="0" w:line="240" w:lineRule="auto"/>
        <w:ind w:left="720" w:hanging="720"/>
        <w:rPr>
          <w:rFonts w:ascii="Times New Roman" w:eastAsia="URWPalladioL-Roma" w:hAnsi="Times New Roman" w:cs="Times New Roman"/>
        </w:rPr>
      </w:pPr>
    </w:p>
    <w:p w14:paraId="78CA140F" w14:textId="77777777" w:rsidR="0066385D" w:rsidRPr="006C086D" w:rsidRDefault="0066385D" w:rsidP="0066385D">
      <w:pPr>
        <w:pStyle w:val="Default"/>
        <w:ind w:left="720" w:hanging="720"/>
      </w:pPr>
      <w:r w:rsidRPr="006C086D">
        <w:t>Manuela A. L., Harahap R. P. B., Yoefitri T., Meizani N. and Hidayana R. A. (2025)  Optimization Model in Transportation Based on Linear Programming</w:t>
      </w:r>
      <w:r w:rsidRPr="00AF4323">
        <w:rPr>
          <w:i/>
        </w:rPr>
        <w:t xml:space="preserve">.  </w:t>
      </w:r>
      <w:r w:rsidRPr="00AF4323">
        <w:rPr>
          <w:bCs/>
          <w:i/>
        </w:rPr>
        <w:t>International Journal of Quantitative Research and Modeling</w:t>
      </w:r>
      <w:r w:rsidRPr="006C086D">
        <w:rPr>
          <w:bCs/>
        </w:rPr>
        <w:t xml:space="preserve">. </w:t>
      </w:r>
      <w:r w:rsidRPr="006C086D">
        <w:t>6(2) . 171-175</w:t>
      </w:r>
    </w:p>
    <w:p w14:paraId="7B7074AA" w14:textId="77777777" w:rsidR="006C086D" w:rsidRPr="006C086D" w:rsidRDefault="006C086D" w:rsidP="006C086D">
      <w:pPr>
        <w:spacing w:before="240"/>
        <w:ind w:left="720" w:hanging="720"/>
        <w:rPr>
          <w:rFonts w:ascii="Times New Roman" w:hAnsi="Times New Roman" w:cs="Times New Roman"/>
        </w:rPr>
      </w:pPr>
      <w:r w:rsidRPr="006C086D">
        <w:rPr>
          <w:rFonts w:ascii="Times New Roman" w:hAnsi="Times New Roman" w:cs="Times New Roman"/>
        </w:rPr>
        <w:t>Nadoo, V. (2022). The impact of fuel subsidies on economic growth in sub-Saharan Africa. Energy Economics, 112, 106223. https://www.imf.org/external/pubs/ft/dp/2013/afr1302.pdf</w:t>
      </w:r>
    </w:p>
    <w:p w14:paraId="24388948" w14:textId="77777777" w:rsidR="00301080" w:rsidRPr="006C086D" w:rsidRDefault="00301080" w:rsidP="00971BFF">
      <w:pPr>
        <w:ind w:left="720" w:hanging="720"/>
        <w:rPr>
          <w:rFonts w:ascii="Times New Roman" w:hAnsi="Times New Roman" w:cs="Times New Roman"/>
        </w:rPr>
      </w:pPr>
      <w:r w:rsidRPr="006C086D">
        <w:rPr>
          <w:rFonts w:ascii="Times New Roman" w:hAnsi="Times New Roman" w:cs="Times New Roman"/>
        </w:rPr>
        <w:t xml:space="preserve">National Bureau of Statistics. (2022). </w:t>
      </w:r>
      <w:r w:rsidRPr="006C086D">
        <w:rPr>
          <w:rFonts w:ascii="Times New Roman" w:hAnsi="Times New Roman" w:cs="Times New Roman"/>
          <w:i/>
          <w:iCs/>
        </w:rPr>
        <w:t>Nigeria poverty assessment 2022</w:t>
      </w:r>
      <w:r w:rsidRPr="006C086D">
        <w:rPr>
          <w:rFonts w:ascii="Times New Roman" w:hAnsi="Times New Roman" w:cs="Times New Roman"/>
        </w:rPr>
        <w:t>. Federal Republic of Nigeria.</w:t>
      </w:r>
    </w:p>
    <w:p w14:paraId="27F75BCF" w14:textId="77777777" w:rsidR="006C086D" w:rsidRPr="006C086D" w:rsidRDefault="006C086D" w:rsidP="006C086D">
      <w:pPr>
        <w:ind w:left="720" w:hanging="720"/>
        <w:rPr>
          <w:rFonts w:ascii="Times New Roman" w:hAnsi="Times New Roman" w:cs="Times New Roman"/>
        </w:rPr>
      </w:pPr>
      <w:r w:rsidRPr="006C086D">
        <w:rPr>
          <w:rFonts w:ascii="Times New Roman" w:hAnsi="Times New Roman" w:cs="Times New Roman"/>
        </w:rPr>
        <w:lastRenderedPageBreak/>
        <w:t xml:space="preserve">Oghenenyerhovwo E. A. and Bright O. (2025)The study finds that the removal of fuel subsidy has affected transportation cost in Delta State. </w:t>
      </w:r>
      <w:r w:rsidRPr="00AF4323">
        <w:rPr>
          <w:rFonts w:ascii="Times New Roman" w:hAnsi="Times New Roman" w:cs="Times New Roman"/>
          <w:i/>
        </w:rPr>
        <w:t xml:space="preserve">Journal of Economic Equity, Finance, and Taxation </w:t>
      </w:r>
      <w:r w:rsidRPr="006C086D">
        <w:rPr>
          <w:rFonts w:ascii="Times New Roman" w:hAnsi="Times New Roman" w:cs="Times New Roman"/>
        </w:rPr>
        <w:t>| Volume 1(2), 63-73</w:t>
      </w:r>
    </w:p>
    <w:p w14:paraId="5789E712" w14:textId="77777777" w:rsidR="0066385D" w:rsidRPr="006C086D" w:rsidRDefault="0066385D" w:rsidP="0066385D">
      <w:pPr>
        <w:ind w:left="720" w:hanging="720"/>
        <w:rPr>
          <w:rFonts w:ascii="Times New Roman" w:hAnsi="Times New Roman" w:cs="Times New Roman"/>
        </w:rPr>
      </w:pPr>
      <w:r w:rsidRPr="006C086D">
        <w:rPr>
          <w:rFonts w:ascii="Times New Roman" w:hAnsi="Times New Roman" w:cs="Times New Roman"/>
        </w:rPr>
        <w:t xml:space="preserve">Olusegun O. A., Afolabi Q. B. and Ogola D. B. (2023) Impact of Fuel Subsidy Removal on Gross Domestic Product and Transportation Cost in Nigeria. </w:t>
      </w:r>
      <w:r w:rsidRPr="006C086D">
        <w:rPr>
          <w:rFonts w:ascii="Times New Roman" w:hAnsi="Times New Roman" w:cs="Times New Roman"/>
          <w:i/>
        </w:rPr>
        <w:t>European Journal of theoretical and Applied Science</w:t>
      </w:r>
      <w:r w:rsidRPr="006C086D">
        <w:rPr>
          <w:rFonts w:ascii="Times New Roman" w:hAnsi="Times New Roman" w:cs="Times New Roman"/>
        </w:rPr>
        <w:t>.1(5) Pp 769-777</w:t>
      </w:r>
    </w:p>
    <w:p w14:paraId="60727355" w14:textId="77777777" w:rsidR="00DC52FD" w:rsidRDefault="00DC52FD" w:rsidP="00DC52FD">
      <w:pPr>
        <w:ind w:left="720" w:hanging="720"/>
        <w:rPr>
          <w:rFonts w:ascii="Times New Roman" w:hAnsi="Times New Roman" w:cs="Times New Roman"/>
        </w:rPr>
      </w:pPr>
      <w:r w:rsidRPr="006C086D">
        <w:rPr>
          <w:rFonts w:ascii="Times New Roman" w:hAnsi="Times New Roman" w:cs="Times New Roman"/>
        </w:rPr>
        <w:t xml:space="preserve">Orluchukwu G. and Thankgod F. L. (2024) Fuel Subsidy Removal in Nigeria: Problems and Prospects. </w:t>
      </w:r>
      <w:r w:rsidRPr="00AF4323">
        <w:rPr>
          <w:rFonts w:ascii="Times New Roman" w:hAnsi="Times New Roman" w:cs="Times New Roman"/>
          <w:i/>
        </w:rPr>
        <w:t>Journal of Policy and Development Studies</w:t>
      </w:r>
      <w:r w:rsidRPr="006C086D">
        <w:rPr>
          <w:rFonts w:ascii="Times New Roman" w:hAnsi="Times New Roman" w:cs="Times New Roman"/>
        </w:rPr>
        <w:t xml:space="preserve"> (JPDS). 17(2) 92-108</w:t>
      </w:r>
    </w:p>
    <w:p w14:paraId="21BF5CE5" w14:textId="77777777" w:rsidR="00EF0EE5" w:rsidRDefault="00EF0EE5" w:rsidP="00EF0EE5">
      <w:pPr>
        <w:pStyle w:val="Default"/>
        <w:ind w:left="720" w:hanging="720"/>
      </w:pPr>
      <w:r w:rsidRPr="00462B70">
        <w:rPr>
          <w:iCs/>
        </w:rPr>
        <w:t>Papară C. (2022)</w:t>
      </w:r>
      <w:r w:rsidRPr="00462B70">
        <w:t xml:space="preserve"> An empirical study of large transportation networks and solutions for the cost optimization. </w:t>
      </w:r>
      <w:r w:rsidRPr="00462B70">
        <w:rPr>
          <w:i/>
        </w:rPr>
        <w:t>International Journal of Advanced Statistics and IT&amp;C for Economics and Life Sciences</w:t>
      </w:r>
      <w:r w:rsidRPr="00462B70">
        <w:t>. 12(02) 41-52</w:t>
      </w:r>
    </w:p>
    <w:p w14:paraId="455B8EF0" w14:textId="77777777" w:rsidR="001D5A67" w:rsidRDefault="001D5A67" w:rsidP="00EF0EE5">
      <w:pPr>
        <w:spacing w:before="240"/>
        <w:ind w:left="720" w:hanging="720"/>
        <w:rPr>
          <w:rFonts w:ascii="Times New Roman" w:hAnsi="Times New Roman" w:cs="Times New Roman"/>
        </w:rPr>
      </w:pPr>
      <w:r w:rsidRPr="006C086D">
        <w:rPr>
          <w:rFonts w:ascii="Times New Roman" w:hAnsi="Times New Roman" w:cs="Times New Roman"/>
        </w:rPr>
        <w:t>Prifti V.,  Dervishi  I.,  Dhoska  K. Markja I. and Pramono A.(2020) Minimization of transport costs in an industrial company through linear programming</w:t>
      </w:r>
      <w:r w:rsidRPr="00AF4323">
        <w:rPr>
          <w:rFonts w:ascii="Times New Roman" w:hAnsi="Times New Roman" w:cs="Times New Roman"/>
          <w:i/>
        </w:rPr>
        <w:t xml:space="preserve">.  International Conference on Advanced Mechanical and Industrial engineering . </w:t>
      </w:r>
      <w:r w:rsidRPr="006C086D">
        <w:rPr>
          <w:rFonts w:ascii="Times New Roman" w:hAnsi="Times New Roman" w:cs="Times New Roman"/>
        </w:rPr>
        <w:t>Pp 1-10. doi:10.1088/1757-899X/909/1/012040</w:t>
      </w:r>
    </w:p>
    <w:p w14:paraId="64876D8B" w14:textId="77777777" w:rsidR="00EF0EE5" w:rsidRPr="00AF4323" w:rsidRDefault="00EF0EE5" w:rsidP="001D5A67">
      <w:pPr>
        <w:ind w:left="720" w:hanging="720"/>
        <w:rPr>
          <w:rFonts w:ascii="Times New Roman" w:hAnsi="Times New Roman" w:cs="Times New Roman"/>
          <w:color w:val="1F4E79"/>
        </w:rPr>
      </w:pPr>
      <w:r w:rsidRPr="00AF4323">
        <w:rPr>
          <w:rFonts w:ascii="Times New Roman" w:hAnsi="Times New Roman" w:cs="Times New Roman"/>
        </w:rPr>
        <w:t xml:space="preserve">Prokudin, G., Oliskevych, M., Сhupaylenko, O., &amp; Maidanik, K. (2020). Optimization model of freight transportation on the routes of international transport corridors. </w:t>
      </w:r>
      <w:r w:rsidRPr="00AF4323">
        <w:rPr>
          <w:rFonts w:ascii="Times New Roman" w:hAnsi="Times New Roman" w:cs="Times New Roman"/>
          <w:i/>
          <w:iCs/>
        </w:rPr>
        <w:t>Journal of Sustainable Development of Transport and Logistics, 5</w:t>
      </w:r>
      <w:r w:rsidRPr="00AF4323">
        <w:rPr>
          <w:rFonts w:ascii="Times New Roman" w:hAnsi="Times New Roman" w:cs="Times New Roman"/>
        </w:rPr>
        <w:t>(1), 66-76. doi:</w:t>
      </w:r>
      <w:r w:rsidRPr="00AF4323">
        <w:rPr>
          <w:rFonts w:ascii="Times New Roman" w:hAnsi="Times New Roman" w:cs="Times New Roman"/>
          <w:color w:val="1F4E79"/>
        </w:rPr>
        <w:t>10.14254/jsdtl.2020.5- 1.7</w:t>
      </w:r>
    </w:p>
    <w:p w14:paraId="3A825DF7" w14:textId="77777777" w:rsidR="001D5A67" w:rsidRPr="006C086D" w:rsidRDefault="001D5A67" w:rsidP="001D5A67">
      <w:pPr>
        <w:pStyle w:val="Default"/>
        <w:ind w:left="720" w:hanging="720"/>
        <w:rPr>
          <w:color w:val="000000" w:themeColor="text1"/>
        </w:rPr>
      </w:pPr>
      <w:r w:rsidRPr="006C086D">
        <w:rPr>
          <w:color w:val="000000" w:themeColor="text1"/>
        </w:rPr>
        <w:t xml:space="preserve">Samaila M. L., Adamu H. and Murtala M. (2024) </w:t>
      </w:r>
      <w:r w:rsidRPr="006C086D">
        <w:rPr>
          <w:bCs/>
          <w:color w:val="000000" w:themeColor="text1"/>
        </w:rPr>
        <w:t xml:space="preserve">Effect Of Fuel Subsidy Removal On Commodity Prices In Sokoto Metropolis, Sokoto State, Nigeria. </w:t>
      </w:r>
      <w:r w:rsidRPr="00AF4323">
        <w:rPr>
          <w:i/>
          <w:color w:val="000000" w:themeColor="text1"/>
        </w:rPr>
        <w:t>UMYU Journal of Accounting and Finance Research</w:t>
      </w:r>
      <w:r w:rsidRPr="006C086D">
        <w:rPr>
          <w:color w:val="000000" w:themeColor="text1"/>
        </w:rPr>
        <w:t xml:space="preserve">. .6(1) Pp 190-198. </w:t>
      </w:r>
      <w:hyperlink r:id="rId20" w:history="1">
        <w:r w:rsidRPr="006C086D">
          <w:rPr>
            <w:rStyle w:val="Hyperlink"/>
            <w:color w:val="000000" w:themeColor="text1"/>
          </w:rPr>
          <w:t>https://doi.org/10.61143/umyu-jafr.6(1)2024.015</w:t>
        </w:r>
      </w:hyperlink>
    </w:p>
    <w:p w14:paraId="365B98DC" w14:textId="77777777" w:rsidR="00DC52FD" w:rsidRPr="006C086D" w:rsidRDefault="00DC52FD" w:rsidP="001D5A67">
      <w:pPr>
        <w:spacing w:before="240"/>
        <w:ind w:left="720" w:hanging="720"/>
        <w:rPr>
          <w:rFonts w:ascii="Times New Roman" w:hAnsi="Times New Roman" w:cs="Times New Roman"/>
        </w:rPr>
      </w:pPr>
      <w:r w:rsidRPr="006C086D">
        <w:rPr>
          <w:rFonts w:ascii="Times New Roman" w:hAnsi="Times New Roman" w:cs="Times New Roman"/>
          <w:bCs/>
        </w:rPr>
        <w:t xml:space="preserve">Samson O. S., Ezekiel O. I., Joseph B., Daniel A. A.  and Mudashir A. O. (2024) Impact of Fuel Subsidy Removal on Agricultural Production among Smallholder Farmers in Niger State, Nigeria. </w:t>
      </w:r>
      <w:r w:rsidRPr="006C086D">
        <w:rPr>
          <w:rFonts w:ascii="Times New Roman" w:hAnsi="Times New Roman" w:cs="Times New Roman"/>
          <w:bCs/>
          <w:i/>
        </w:rPr>
        <w:t>Journal of Economics, Business Management</w:t>
      </w:r>
      <w:r w:rsidRPr="006C086D">
        <w:rPr>
          <w:rFonts w:ascii="Times New Roman" w:hAnsi="Times New Roman" w:cs="Times New Roman"/>
          <w:bCs/>
        </w:rPr>
        <w:t xml:space="preserve"> </w:t>
      </w:r>
      <w:r w:rsidRPr="006C086D">
        <w:rPr>
          <w:rFonts w:ascii="Times New Roman" w:hAnsi="Times New Roman" w:cs="Times New Roman"/>
          <w:bCs/>
          <w:i/>
        </w:rPr>
        <w:t>and Administration</w:t>
      </w:r>
      <w:r w:rsidRPr="006C086D">
        <w:rPr>
          <w:rFonts w:ascii="Times New Roman" w:hAnsi="Times New Roman" w:cs="Times New Roman"/>
          <w:bCs/>
        </w:rPr>
        <w:t xml:space="preserve">. </w:t>
      </w:r>
      <w:r w:rsidRPr="006C086D">
        <w:rPr>
          <w:rFonts w:ascii="Times New Roman" w:hAnsi="Times New Roman" w:cs="Times New Roman"/>
        </w:rPr>
        <w:t>pp 7-17</w:t>
      </w:r>
    </w:p>
    <w:p w14:paraId="7303F860" w14:textId="77777777" w:rsidR="001D5A67" w:rsidRPr="006C086D" w:rsidRDefault="001D5A67" w:rsidP="001D5A67">
      <w:pPr>
        <w:spacing w:before="240"/>
        <w:ind w:left="720" w:hanging="720"/>
        <w:rPr>
          <w:rFonts w:ascii="Times New Roman" w:hAnsi="Times New Roman" w:cs="Times New Roman"/>
        </w:rPr>
      </w:pPr>
      <w:r w:rsidRPr="006C086D">
        <w:rPr>
          <w:rFonts w:ascii="Times New Roman" w:hAnsi="Times New Roman" w:cs="Times New Roman"/>
        </w:rPr>
        <w:t>Shammah S. K. and Atama A. M. (2019) Minimization of Transportation Cost Problems. Mathematical Theory and Modeling 9(3) Pp. 35-46</w:t>
      </w:r>
    </w:p>
    <w:p w14:paraId="7A5C6D83" w14:textId="77777777" w:rsidR="00DC52FD" w:rsidRPr="006C086D" w:rsidRDefault="00DC52FD" w:rsidP="00DC52FD">
      <w:pPr>
        <w:pStyle w:val="Default"/>
        <w:ind w:left="720" w:hanging="720"/>
      </w:pPr>
      <w:r w:rsidRPr="006C086D">
        <w:rPr>
          <w:bCs/>
        </w:rPr>
        <w:t xml:space="preserve">Shimbura G., Umar U. D. &amp; Mai-lafia  J. S. </w:t>
      </w:r>
      <w:r w:rsidRPr="006C086D">
        <w:t xml:space="preserve"> (2025)</w:t>
      </w:r>
      <w:r w:rsidRPr="006C086D">
        <w:rPr>
          <w:bCs/>
        </w:rPr>
        <w:t>Effect of Fuel Subsidy Removal on the Transportation System in Jalingo Metropolis, Taraba State</w:t>
      </w:r>
      <w:r w:rsidRPr="00AF4323">
        <w:rPr>
          <w:bCs/>
          <w:i/>
        </w:rPr>
        <w:t>.</w:t>
      </w:r>
      <w:r w:rsidRPr="00AF4323">
        <w:rPr>
          <w:i/>
        </w:rPr>
        <w:t xml:space="preserve"> International Journal Of African Innovation &amp; Multidsciplinary Research</w:t>
      </w:r>
      <w:r w:rsidRPr="006C086D">
        <w:t xml:space="preserve"> 9(2) Pp 45-56.</w:t>
      </w:r>
    </w:p>
    <w:p w14:paraId="46E2377F" w14:textId="77777777" w:rsidR="001D5A67" w:rsidRPr="006C086D" w:rsidRDefault="001D5A67" w:rsidP="006C086D">
      <w:pPr>
        <w:spacing w:before="240"/>
        <w:ind w:left="720" w:hanging="720"/>
        <w:rPr>
          <w:rFonts w:ascii="Times New Roman" w:hAnsi="Times New Roman" w:cs="Times New Roman"/>
        </w:rPr>
      </w:pPr>
      <w:r w:rsidRPr="006C086D">
        <w:rPr>
          <w:rFonts w:ascii="Times New Roman" w:hAnsi="Times New Roman" w:cs="Times New Roman"/>
        </w:rPr>
        <w:t>Stanfast S. B. and Marian L.  A. (2020) Transportation Model and Cost Control in Nigerian Manufacturing Firms. I</w:t>
      </w:r>
      <w:r w:rsidR="00AF4323">
        <w:rPr>
          <w:rFonts w:ascii="Times New Roman" w:hAnsi="Times New Roman" w:cs="Times New Roman"/>
          <w:i/>
        </w:rPr>
        <w:t>nternational Journal o</w:t>
      </w:r>
      <w:r w:rsidRPr="00AF4323">
        <w:rPr>
          <w:rFonts w:ascii="Times New Roman" w:hAnsi="Times New Roman" w:cs="Times New Roman"/>
          <w:i/>
        </w:rPr>
        <w:t>f Advanced Academic Research (Social And Management Sciences</w:t>
      </w:r>
      <w:r w:rsidR="00AF4323">
        <w:rPr>
          <w:rFonts w:ascii="Times New Roman" w:hAnsi="Times New Roman" w:cs="Times New Roman"/>
        </w:rPr>
        <w:t xml:space="preserve">. </w:t>
      </w:r>
      <w:r w:rsidRPr="006C086D">
        <w:rPr>
          <w:rFonts w:ascii="Times New Roman" w:hAnsi="Times New Roman" w:cs="Times New Roman"/>
        </w:rPr>
        <w:t>6(12) Pp. 41- 52. Doi: 10.46654/Ij.24889849</w:t>
      </w:r>
    </w:p>
    <w:p w14:paraId="6F77D52E" w14:textId="77777777" w:rsidR="00EF0EE5" w:rsidRPr="00AE6931" w:rsidRDefault="00EF0EE5" w:rsidP="00EF0EE5">
      <w:pPr>
        <w:autoSpaceDE w:val="0"/>
        <w:autoSpaceDN w:val="0"/>
        <w:adjustRightInd w:val="0"/>
        <w:spacing w:after="0" w:line="240" w:lineRule="auto"/>
        <w:rPr>
          <w:rFonts w:ascii="Times New Roman" w:hAnsi="Times New Roman" w:cs="Times New Roman"/>
        </w:rPr>
      </w:pPr>
      <w:r w:rsidRPr="00AE6931">
        <w:rPr>
          <w:rFonts w:ascii="Times New Roman" w:hAnsi="Times New Roman" w:cs="Times New Roman"/>
        </w:rPr>
        <w:t>Tanash M.  and As’ad R. (2025) Heuristic Algorithms for the Heterogeneous</w:t>
      </w:r>
    </w:p>
    <w:p w14:paraId="633A41F1" w14:textId="77777777" w:rsidR="00EF0EE5" w:rsidRPr="00AE6931" w:rsidRDefault="00EF0EE5" w:rsidP="00EF0EE5">
      <w:pPr>
        <w:autoSpaceDE w:val="0"/>
        <w:autoSpaceDN w:val="0"/>
        <w:adjustRightInd w:val="0"/>
        <w:spacing w:after="0" w:line="240" w:lineRule="auto"/>
        <w:ind w:left="720"/>
        <w:rPr>
          <w:rFonts w:ascii="Times New Roman" w:hAnsi="Times New Roman" w:cs="Times New Roman"/>
        </w:rPr>
      </w:pPr>
      <w:r w:rsidRPr="00AE6931">
        <w:rPr>
          <w:rFonts w:ascii="Times New Roman" w:hAnsi="Times New Roman" w:cs="Times New Roman"/>
        </w:rPr>
        <w:lastRenderedPageBreak/>
        <w:t>Vehicle Routing Problem With Time Windows,</w:t>
      </w:r>
      <w:r>
        <w:rPr>
          <w:rFonts w:ascii="Times New Roman" w:hAnsi="Times New Roman" w:cs="Times New Roman"/>
        </w:rPr>
        <w:t xml:space="preserve"> </w:t>
      </w:r>
      <w:r w:rsidRPr="00AE6931">
        <w:rPr>
          <w:rFonts w:ascii="Times New Roman" w:hAnsi="Times New Roman" w:cs="Times New Roman"/>
        </w:rPr>
        <w:t>Customers Priority, Pickup and Delivery.</w:t>
      </w:r>
      <w:r>
        <w:rPr>
          <w:rFonts w:ascii="Times New Roman" w:hAnsi="Times New Roman" w:cs="Times New Roman"/>
        </w:rPr>
        <w:t xml:space="preserve"> </w:t>
      </w:r>
      <w:r w:rsidRPr="00AF4323">
        <w:rPr>
          <w:rFonts w:ascii="Times New Roman" w:hAnsi="Times New Roman" w:cs="Times New Roman"/>
          <w:i/>
        </w:rPr>
        <w:t>IEEE Access</w:t>
      </w:r>
      <w:r w:rsidRPr="00AE6931">
        <w:rPr>
          <w:rFonts w:ascii="Times New Roman" w:hAnsi="Times New Roman" w:cs="Times New Roman"/>
        </w:rPr>
        <w:t xml:space="preserve"> 13(2025). 110605- 110622</w:t>
      </w:r>
    </w:p>
    <w:p w14:paraId="4D009AAF" w14:textId="77777777" w:rsidR="00301080" w:rsidRPr="006C086D" w:rsidRDefault="00301080" w:rsidP="00EF0EE5">
      <w:pPr>
        <w:spacing w:before="240"/>
        <w:ind w:left="720" w:hanging="720"/>
        <w:rPr>
          <w:rFonts w:ascii="Times New Roman" w:hAnsi="Times New Roman" w:cs="Times New Roman"/>
        </w:rPr>
      </w:pPr>
      <w:r w:rsidRPr="006C086D">
        <w:rPr>
          <w:rFonts w:ascii="Times New Roman" w:hAnsi="Times New Roman" w:cs="Times New Roman"/>
        </w:rPr>
        <w:t xml:space="preserve">Teravaninthorn, S., &amp; Raballand, G. (2009). </w:t>
      </w:r>
      <w:r w:rsidRPr="006C086D">
        <w:rPr>
          <w:rFonts w:ascii="Times New Roman" w:hAnsi="Times New Roman" w:cs="Times New Roman"/>
          <w:i/>
          <w:iCs/>
        </w:rPr>
        <w:t>Transport prices and costs in Africa</w:t>
      </w:r>
      <w:r w:rsidRPr="006C086D">
        <w:rPr>
          <w:rFonts w:ascii="Times New Roman" w:hAnsi="Times New Roman" w:cs="Times New Roman"/>
        </w:rPr>
        <w:t xml:space="preserve">. World Bank. </w:t>
      </w:r>
      <w:hyperlink r:id="rId21" w:history="1">
        <w:r w:rsidRPr="006C086D">
          <w:rPr>
            <w:rStyle w:val="Hyperlink"/>
            <w:rFonts w:ascii="Times New Roman" w:hAnsi="Times New Roman" w:cs="Times New Roman"/>
          </w:rPr>
          <w:t>https://doi.org/10.1596/978-0-8213-7650-8</w:t>
        </w:r>
      </w:hyperlink>
    </w:p>
    <w:p w14:paraId="2B3B0723" w14:textId="77777777" w:rsidR="00301080" w:rsidRPr="006C086D" w:rsidRDefault="00301080" w:rsidP="00971BFF">
      <w:pPr>
        <w:ind w:left="720" w:hanging="720"/>
        <w:rPr>
          <w:rFonts w:ascii="Times New Roman" w:hAnsi="Times New Roman" w:cs="Times New Roman"/>
        </w:rPr>
      </w:pPr>
      <w:r w:rsidRPr="006C086D">
        <w:rPr>
          <w:rFonts w:ascii="Times New Roman" w:hAnsi="Times New Roman" w:cs="Times New Roman"/>
        </w:rPr>
        <w:t xml:space="preserve">Vogel, W. R. (1958). A special algorithm for the transportation problem. </w:t>
      </w:r>
      <w:r w:rsidRPr="006C086D">
        <w:rPr>
          <w:rFonts w:ascii="Times New Roman" w:hAnsi="Times New Roman" w:cs="Times New Roman"/>
          <w:i/>
          <w:iCs/>
        </w:rPr>
        <w:t>Naval Research Logistics Quarterly, 5</w:t>
      </w:r>
      <w:r w:rsidRPr="006C086D">
        <w:rPr>
          <w:rFonts w:ascii="Times New Roman" w:hAnsi="Times New Roman" w:cs="Times New Roman"/>
        </w:rPr>
        <w:t xml:space="preserve">(1), 67–70. </w:t>
      </w:r>
      <w:hyperlink r:id="rId22" w:history="1">
        <w:r w:rsidRPr="006C086D">
          <w:rPr>
            <w:rStyle w:val="Hyperlink"/>
            <w:rFonts w:ascii="Times New Roman" w:hAnsi="Times New Roman" w:cs="Times New Roman"/>
          </w:rPr>
          <w:t>https://doi.org/10.1002/nav.3800050109</w:t>
        </w:r>
      </w:hyperlink>
    </w:p>
    <w:p w14:paraId="128DA235" w14:textId="77777777" w:rsidR="00301080" w:rsidRDefault="00301080" w:rsidP="00971BFF">
      <w:pPr>
        <w:ind w:left="720" w:hanging="720"/>
        <w:rPr>
          <w:rFonts w:ascii="Times New Roman" w:hAnsi="Times New Roman" w:cs="Times New Roman"/>
        </w:rPr>
      </w:pPr>
      <w:r w:rsidRPr="006C086D">
        <w:rPr>
          <w:rFonts w:ascii="Times New Roman" w:hAnsi="Times New Roman" w:cs="Times New Roman"/>
        </w:rPr>
        <w:t xml:space="preserve">World Bank. (2020). </w:t>
      </w:r>
      <w:r w:rsidRPr="006C086D">
        <w:rPr>
          <w:rFonts w:ascii="Times New Roman" w:hAnsi="Times New Roman" w:cs="Times New Roman"/>
          <w:i/>
          <w:iCs/>
        </w:rPr>
        <w:t>Doing business 2020</w:t>
      </w:r>
      <w:r w:rsidRPr="006C086D">
        <w:rPr>
          <w:rFonts w:ascii="Times New Roman" w:hAnsi="Times New Roman" w:cs="Times New Roman"/>
        </w:rPr>
        <w:t>. World Bank Publications.</w:t>
      </w:r>
    </w:p>
    <w:p w14:paraId="5E949296" w14:textId="77777777" w:rsidR="00EF0EE5" w:rsidRDefault="00EF0EE5" w:rsidP="00EF0EE5">
      <w:pPr>
        <w:pStyle w:val="Default"/>
        <w:ind w:left="720" w:hanging="720"/>
        <w:rPr>
          <w:color w:val="auto"/>
        </w:rPr>
      </w:pPr>
      <w:r w:rsidRPr="00BB766A">
        <w:rPr>
          <w:bCs/>
        </w:rPr>
        <w:t>Wu F. and Zhu Y. (2021) Transportation route optimization based on heuristic algorithm</w:t>
      </w:r>
      <w:r w:rsidRPr="00BB766A">
        <w:t xml:space="preserve"> </w:t>
      </w:r>
      <w:r w:rsidRPr="00BB766A">
        <w:rPr>
          <w:color w:val="auto"/>
        </w:rPr>
        <w:t xml:space="preserve">Journal of Physics: </w:t>
      </w:r>
      <w:r w:rsidRPr="00AF4323">
        <w:rPr>
          <w:i/>
          <w:color w:val="auto"/>
        </w:rPr>
        <w:t>Conference Series</w:t>
      </w:r>
      <w:r w:rsidRPr="00BB766A">
        <w:rPr>
          <w:color w:val="auto"/>
        </w:rPr>
        <w:t xml:space="preserve"> </w:t>
      </w:r>
      <w:r w:rsidRPr="00BB766A">
        <w:rPr>
          <w:bCs/>
          <w:color w:val="auto"/>
        </w:rPr>
        <w:t>2083</w:t>
      </w:r>
      <w:r w:rsidRPr="00BB766A">
        <w:rPr>
          <w:b/>
          <w:bCs/>
          <w:color w:val="auto"/>
        </w:rPr>
        <w:t xml:space="preserve"> </w:t>
      </w:r>
      <w:r w:rsidRPr="00BB766A">
        <w:rPr>
          <w:color w:val="auto"/>
        </w:rPr>
        <w:t>(2021)</w:t>
      </w:r>
      <w:r>
        <w:rPr>
          <w:color w:val="auto"/>
        </w:rPr>
        <w:t xml:space="preserve"> </w:t>
      </w:r>
      <w:r w:rsidRPr="00BB766A">
        <w:rPr>
          <w:color w:val="auto"/>
        </w:rPr>
        <w:t>doi:10.1088/1742-6596/2083/3/032016</w:t>
      </w:r>
    </w:p>
    <w:p w14:paraId="04C85B57" w14:textId="77777777" w:rsidR="00DC52FD" w:rsidRPr="006C086D" w:rsidRDefault="00DC52FD" w:rsidP="00FA4009">
      <w:pPr>
        <w:autoSpaceDE w:val="0"/>
        <w:autoSpaceDN w:val="0"/>
        <w:adjustRightInd w:val="0"/>
        <w:spacing w:before="240" w:after="0" w:line="240" w:lineRule="auto"/>
        <w:ind w:left="720" w:hanging="720"/>
        <w:rPr>
          <w:rFonts w:ascii="Times New Roman" w:hAnsi="Times New Roman" w:cs="Times New Roman"/>
          <w:color w:val="000000" w:themeColor="text1"/>
        </w:rPr>
      </w:pPr>
      <w:r w:rsidRPr="006C086D">
        <w:rPr>
          <w:rFonts w:ascii="Times New Roman" w:hAnsi="Times New Roman" w:cs="Times New Roman"/>
          <w:bCs/>
          <w:color w:val="000000" w:themeColor="text1"/>
        </w:rPr>
        <w:t xml:space="preserve">Yunusa E., Yakubu Y., Emeje Y. A., Ibrahim Y. B., Stephen E.  And Egbunu D. A.(2023) Fuel Subsidy Removal And Poverty in Nigeria: A Literature Review. </w:t>
      </w:r>
      <w:r w:rsidRPr="006C086D">
        <w:rPr>
          <w:rFonts w:ascii="Times New Roman" w:hAnsi="Times New Roman" w:cs="Times New Roman"/>
          <w:i/>
          <w:color w:val="000000" w:themeColor="text1"/>
        </w:rPr>
        <w:t>Int. J. Applied Management Science</w:t>
      </w:r>
      <w:r w:rsidRPr="006C086D">
        <w:rPr>
          <w:rFonts w:ascii="Times New Roman" w:hAnsi="Times New Roman" w:cs="Times New Roman"/>
          <w:color w:val="000000" w:themeColor="text1"/>
        </w:rPr>
        <w:t>. 04(09), 14-27</w:t>
      </w:r>
    </w:p>
    <w:p w14:paraId="1564B9BA" w14:textId="77777777" w:rsidR="000C5BB6" w:rsidRPr="006C086D" w:rsidRDefault="000C5BB6" w:rsidP="00FA4009">
      <w:pPr>
        <w:autoSpaceDE w:val="0"/>
        <w:autoSpaceDN w:val="0"/>
        <w:adjustRightInd w:val="0"/>
        <w:spacing w:before="240" w:after="0" w:line="240" w:lineRule="auto"/>
        <w:rPr>
          <w:rFonts w:ascii="Times New Roman" w:hAnsi="Times New Roman" w:cs="Times New Roman"/>
          <w:bCs/>
          <w:kern w:val="0"/>
        </w:rPr>
      </w:pPr>
      <w:r w:rsidRPr="006C086D">
        <w:rPr>
          <w:rFonts w:ascii="Times New Roman" w:hAnsi="Times New Roman" w:cs="Times New Roman"/>
          <w:kern w:val="0"/>
        </w:rPr>
        <w:t xml:space="preserve">Zhang N. L and Xie ., F. R. (2025) </w:t>
      </w:r>
      <w:r w:rsidRPr="006C086D">
        <w:rPr>
          <w:rFonts w:ascii="Times New Roman" w:hAnsi="Times New Roman" w:cs="Times New Roman"/>
          <w:bCs/>
          <w:kern w:val="0"/>
        </w:rPr>
        <w:t>A Review of Research on the Transportation</w:t>
      </w:r>
    </w:p>
    <w:p w14:paraId="5435D2FC" w14:textId="77777777" w:rsidR="000C5BB6" w:rsidRDefault="000C5BB6" w:rsidP="00066908">
      <w:pPr>
        <w:ind w:left="720"/>
        <w:rPr>
          <w:rFonts w:ascii="Times New Roman" w:hAnsi="Times New Roman" w:cs="Times New Roman"/>
          <w:bCs/>
          <w:kern w:val="0"/>
        </w:rPr>
      </w:pPr>
      <w:r w:rsidRPr="006C086D">
        <w:rPr>
          <w:rFonts w:ascii="Times New Roman" w:hAnsi="Times New Roman" w:cs="Times New Roman"/>
          <w:bCs/>
          <w:kern w:val="0"/>
        </w:rPr>
        <w:t xml:space="preserve">Problem. </w:t>
      </w:r>
      <w:r w:rsidRPr="006C086D">
        <w:rPr>
          <w:rFonts w:ascii="Times New Roman" w:hAnsi="Times New Roman" w:cs="Times New Roman"/>
          <w:bCs/>
          <w:i/>
          <w:kern w:val="0"/>
        </w:rPr>
        <w:t>Open Journal of Applied Sciences</w:t>
      </w:r>
      <w:r w:rsidRPr="006C086D">
        <w:rPr>
          <w:rFonts w:ascii="Times New Roman" w:hAnsi="Times New Roman" w:cs="Times New Roman"/>
          <w:bCs/>
          <w:kern w:val="0"/>
        </w:rPr>
        <w:t>. 15(5), 1168-1177</w:t>
      </w:r>
    </w:p>
    <w:p w14:paraId="2FEBF327" w14:textId="77777777" w:rsidR="00EF0EE5" w:rsidRDefault="00EF0EE5" w:rsidP="00EF0EE5">
      <w:pPr>
        <w:autoSpaceDE w:val="0"/>
        <w:autoSpaceDN w:val="0"/>
        <w:adjustRightInd w:val="0"/>
        <w:spacing w:after="0" w:line="240" w:lineRule="auto"/>
        <w:ind w:left="720" w:hanging="720"/>
        <w:rPr>
          <w:rFonts w:ascii="TimesNewRomanPSMT" w:hAnsi="TimesNewRomanPSMT" w:cs="TimesNewRomanPSMT"/>
        </w:rPr>
      </w:pPr>
      <w:r w:rsidRPr="0097580D">
        <w:rPr>
          <w:rFonts w:ascii="TimesNewRomanPS-BoldMT" w:hAnsi="TimesNewRomanPS-BoldMT" w:cs="TimesNewRomanPS-BoldMT"/>
          <w:bCs/>
        </w:rPr>
        <w:t>Ziółkowski J.,  Hošková-Mayerová</w:t>
      </w:r>
      <w:r>
        <w:rPr>
          <w:rFonts w:ascii="TimesNewRomanPS-BoldMT" w:hAnsi="TimesNewRomanPS-BoldMT" w:cs="TimesNewRomanPS-BoldMT"/>
          <w:bCs/>
        </w:rPr>
        <w:t xml:space="preserve"> S., Hutsaylyuk V. a</w:t>
      </w:r>
      <w:r w:rsidRPr="0097580D">
        <w:rPr>
          <w:rFonts w:ascii="TimesNewRomanPS-BoldMT" w:hAnsi="TimesNewRomanPS-BoldMT" w:cs="TimesNewRomanPS-BoldMT"/>
          <w:bCs/>
        </w:rPr>
        <w:t>nd  Łukasiak D. (2025)</w:t>
      </w:r>
      <w:r w:rsidRPr="0097580D">
        <w:rPr>
          <w:rFonts w:ascii="TimesNewRomanPS-BoldMT" w:hAnsi="TimesNewRomanPS-BoldMT" w:cs="TimesNewRomanPS-BoldMT"/>
          <w:bCs/>
          <w:sz w:val="26"/>
          <w:szCs w:val="26"/>
        </w:rPr>
        <w:t xml:space="preserve"> </w:t>
      </w:r>
      <w:r>
        <w:rPr>
          <w:rFonts w:ascii="TimesNewRomanPS-BoldMT" w:hAnsi="TimesNewRomanPS-BoldMT" w:cs="TimesNewRomanPS-BoldMT"/>
          <w:bCs/>
          <w:sz w:val="26"/>
          <w:szCs w:val="26"/>
        </w:rPr>
        <w:t>Optimization of Road Transport Within t</w:t>
      </w:r>
      <w:r w:rsidRPr="0097580D">
        <w:rPr>
          <w:rFonts w:ascii="TimesNewRomanPS-BoldMT" w:hAnsi="TimesNewRomanPS-BoldMT" w:cs="TimesNewRomanPS-BoldMT"/>
          <w:bCs/>
          <w:sz w:val="26"/>
          <w:szCs w:val="26"/>
        </w:rPr>
        <w:t>he Supply</w:t>
      </w:r>
      <w:r>
        <w:rPr>
          <w:rFonts w:ascii="TimesNewRomanPS-BoldMT" w:hAnsi="TimesNewRomanPS-BoldMT" w:cs="TimesNewRomanPS-BoldMT"/>
          <w:bCs/>
          <w:sz w:val="26"/>
          <w:szCs w:val="26"/>
        </w:rPr>
        <w:t xml:space="preserve"> </w:t>
      </w:r>
      <w:r w:rsidRPr="0097580D">
        <w:rPr>
          <w:rFonts w:ascii="TimesNewRomanPS-BoldMT" w:hAnsi="TimesNewRomanPS-BoldMT" w:cs="TimesNewRomanPS-BoldMT"/>
          <w:bCs/>
          <w:sz w:val="26"/>
          <w:szCs w:val="26"/>
        </w:rPr>
        <w:t>Network – A Case Study From Poland</w:t>
      </w:r>
      <w:r>
        <w:rPr>
          <w:rFonts w:ascii="TimesNewRomanPS-BoldMT" w:hAnsi="TimesNewRomanPS-BoldMT" w:cs="TimesNewRomanPS-BoldMT"/>
          <w:bCs/>
          <w:sz w:val="26"/>
          <w:szCs w:val="26"/>
        </w:rPr>
        <w:t>.</w:t>
      </w:r>
      <w:r w:rsidRPr="0097580D">
        <w:rPr>
          <w:rFonts w:ascii="TimesNewRomanPSMT" w:hAnsi="TimesNewRomanPSMT" w:cs="TimesNewRomanPSMT"/>
        </w:rPr>
        <w:t xml:space="preserve"> </w:t>
      </w:r>
      <w:r w:rsidRPr="00B20D16">
        <w:rPr>
          <w:rFonts w:ascii="TimesNewRomanPSMT" w:hAnsi="TimesNewRomanPSMT" w:cs="TimesNewRomanPSMT"/>
          <w:i/>
        </w:rPr>
        <w:t>Transport Problems</w:t>
      </w:r>
      <w:r>
        <w:rPr>
          <w:rFonts w:ascii="TimesNewRomanPSMT" w:hAnsi="TimesNewRomanPSMT" w:cs="TimesNewRomanPSMT"/>
        </w:rPr>
        <w:t xml:space="preserve"> 20(01) 193-206. DOI: 10.20858/tp.2025.20.1.16</w:t>
      </w:r>
    </w:p>
    <w:p w14:paraId="09DBDE56" w14:textId="77777777" w:rsidR="00EF0EE5" w:rsidRPr="0097580D" w:rsidRDefault="00EF0EE5" w:rsidP="00FA4009">
      <w:pPr>
        <w:autoSpaceDE w:val="0"/>
        <w:autoSpaceDN w:val="0"/>
        <w:adjustRightInd w:val="0"/>
        <w:spacing w:before="240" w:after="0" w:line="240" w:lineRule="auto"/>
        <w:ind w:left="720" w:hanging="720"/>
        <w:rPr>
          <w:rFonts w:ascii="TimesNewRomanPS-BoldMT" w:hAnsi="TimesNewRomanPS-BoldMT" w:cs="TimesNewRomanPS-BoldMT"/>
          <w:bCs/>
          <w:sz w:val="26"/>
          <w:szCs w:val="26"/>
        </w:rPr>
      </w:pPr>
      <w:r w:rsidRPr="006C086D">
        <w:rPr>
          <w:rFonts w:ascii="Times New Roman" w:hAnsi="Times New Roman" w:cs="Times New Roman"/>
        </w:rPr>
        <w:t>Zitzler, E., Laumanns, M., &amp; Thiele, L. (2001). SPEA2: Improving the strength Pareto evolutionary algorithm (TIK Report No. 103). ETH Zurich</w:t>
      </w:r>
    </w:p>
    <w:p w14:paraId="52ED4170" w14:textId="77777777" w:rsidR="00EF0EE5" w:rsidRPr="001B4E9A" w:rsidRDefault="00EF0EE5" w:rsidP="00EF0EE5">
      <w:pPr>
        <w:autoSpaceDE w:val="0"/>
        <w:autoSpaceDN w:val="0"/>
        <w:adjustRightInd w:val="0"/>
        <w:spacing w:after="0" w:line="240" w:lineRule="auto"/>
        <w:rPr>
          <w:rFonts w:ascii="Times New Roman" w:eastAsia="URWPalladioL-Roma" w:hAnsi="Times New Roman" w:cs="Times New Roman"/>
        </w:rPr>
      </w:pPr>
    </w:p>
    <w:p w14:paraId="72F4485E" w14:textId="77777777" w:rsidR="00EF0EE5" w:rsidRPr="006C086D" w:rsidRDefault="00EF0EE5" w:rsidP="00066908">
      <w:pPr>
        <w:ind w:left="720"/>
        <w:rPr>
          <w:rFonts w:ascii="Times New Roman" w:hAnsi="Times New Roman" w:cs="Times New Roman"/>
          <w:bCs/>
          <w:kern w:val="0"/>
        </w:rPr>
      </w:pPr>
    </w:p>
    <w:p w14:paraId="20892075" w14:textId="77777777" w:rsidR="00582B7A" w:rsidRPr="003815EB" w:rsidRDefault="00582B7A" w:rsidP="00B8647F">
      <w:pPr>
        <w:autoSpaceDE w:val="0"/>
        <w:autoSpaceDN w:val="0"/>
        <w:adjustRightInd w:val="0"/>
        <w:spacing w:after="0" w:line="240" w:lineRule="auto"/>
        <w:rPr>
          <w:rFonts w:ascii="Times New Roman" w:eastAsia="CIDFont+F2" w:hAnsi="Times New Roman" w:cs="Times New Roman"/>
          <w:kern w:val="0"/>
          <w:sz w:val="18"/>
          <w:szCs w:val="18"/>
        </w:rPr>
      </w:pPr>
    </w:p>
    <w:p w14:paraId="47AEE7F8" w14:textId="77777777" w:rsidR="00E940E4" w:rsidRPr="003815EB" w:rsidRDefault="00E940E4" w:rsidP="00E940E4">
      <w:pPr>
        <w:pStyle w:val="Default"/>
      </w:pPr>
    </w:p>
    <w:p w14:paraId="1C05E92A" w14:textId="77777777" w:rsidR="00E940E4" w:rsidRPr="003815EB" w:rsidRDefault="00E940E4" w:rsidP="00E940E4">
      <w:pPr>
        <w:pStyle w:val="Default"/>
      </w:pPr>
    </w:p>
    <w:p w14:paraId="29CEC275" w14:textId="77777777" w:rsidR="00E940E4" w:rsidRPr="003815EB" w:rsidRDefault="00E940E4" w:rsidP="00E940E4">
      <w:pPr>
        <w:autoSpaceDE w:val="0"/>
        <w:autoSpaceDN w:val="0"/>
        <w:adjustRightInd w:val="0"/>
        <w:spacing w:after="0" w:line="240" w:lineRule="auto"/>
        <w:rPr>
          <w:rFonts w:ascii="Times New Roman" w:hAnsi="Times New Roman" w:cs="Times New Roman"/>
          <w:kern w:val="0"/>
        </w:rPr>
      </w:pPr>
      <w:r w:rsidRPr="003815EB">
        <w:rPr>
          <w:rFonts w:ascii="Times New Roman" w:hAnsi="Times New Roman" w:cs="Times New Roman"/>
        </w:rPr>
        <w:t xml:space="preserve"> </w:t>
      </w:r>
    </w:p>
    <w:p w14:paraId="7C06BFF1" w14:textId="77777777" w:rsidR="00E940E4" w:rsidRPr="003815EB" w:rsidRDefault="00E940E4" w:rsidP="00B8647F">
      <w:pPr>
        <w:autoSpaceDE w:val="0"/>
        <w:autoSpaceDN w:val="0"/>
        <w:adjustRightInd w:val="0"/>
        <w:spacing w:after="0" w:line="240" w:lineRule="auto"/>
        <w:rPr>
          <w:rFonts w:ascii="Times New Roman" w:hAnsi="Times New Roman" w:cs="Times New Roman"/>
          <w:kern w:val="0"/>
        </w:rPr>
      </w:pPr>
    </w:p>
    <w:sectPr w:rsidR="00E940E4" w:rsidRPr="003815EB" w:rsidSect="004C60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23987" w14:textId="77777777" w:rsidR="00716D57" w:rsidRDefault="00716D57" w:rsidP="00503285">
      <w:pPr>
        <w:spacing w:after="0" w:line="240" w:lineRule="auto"/>
      </w:pPr>
      <w:r>
        <w:separator/>
      </w:r>
    </w:p>
  </w:endnote>
  <w:endnote w:type="continuationSeparator" w:id="0">
    <w:p w14:paraId="3E9D0393" w14:textId="77777777" w:rsidR="00716D57" w:rsidRDefault="00716D57" w:rsidP="00503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URWPalladioL-Roma">
    <w:altName w:val="MS Mincho"/>
    <w:panose1 w:val="00000000000000000000"/>
    <w:charset w:val="80"/>
    <w:family w:val="auto"/>
    <w:notTrueType/>
    <w:pitch w:val="default"/>
    <w:sig w:usb0="00000001" w:usb1="08070000" w:usb2="00000010" w:usb3="00000000" w:csb0="00020000" w:csb1="00000000"/>
  </w:font>
  <w:font w:name="URWPalladioL-Ital">
    <w:altName w:val="MS Mincho"/>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EE"/>
    <w:family w:val="auto"/>
    <w:notTrueType/>
    <w:pitch w:val="default"/>
    <w:sig w:usb0="00000003" w:usb1="00000000" w:usb2="00000000" w:usb3="00000000" w:csb0="00000003" w:csb1="00000000"/>
  </w:font>
  <w:font w:name="TimesNewRomanPSMT">
    <w:altName w:val="Times New Roman"/>
    <w:panose1 w:val="00000000000000000000"/>
    <w:charset w:val="00"/>
    <w:family w:val="roman"/>
    <w:notTrueType/>
    <w:pitch w:val="default"/>
    <w:sig w:usb0="00000003" w:usb1="00000000" w:usb2="00000000" w:usb3="00000000" w:csb0="00000003" w:csb1="00000000"/>
  </w:font>
  <w:font w:name="CIDFont+F2">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4569407"/>
      <w:docPartObj>
        <w:docPartGallery w:val="Page Numbers (Bottom of Page)"/>
        <w:docPartUnique/>
      </w:docPartObj>
    </w:sdtPr>
    <w:sdtContent>
      <w:p w14:paraId="4F7DD083" w14:textId="77777777" w:rsidR="00503285" w:rsidRDefault="00286B4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8B5152C" w14:textId="77777777" w:rsidR="00503285" w:rsidRDefault="00503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A2512" w14:textId="77777777" w:rsidR="00716D57" w:rsidRDefault="00716D57" w:rsidP="00503285">
      <w:pPr>
        <w:spacing w:after="0" w:line="240" w:lineRule="auto"/>
      </w:pPr>
      <w:r>
        <w:separator/>
      </w:r>
    </w:p>
  </w:footnote>
  <w:footnote w:type="continuationSeparator" w:id="0">
    <w:p w14:paraId="5BD5B3F3" w14:textId="77777777" w:rsidR="00716D57" w:rsidRDefault="00716D57" w:rsidP="005032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6FDD"/>
    <w:multiLevelType w:val="multilevel"/>
    <w:tmpl w:val="B244842E"/>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FD18AB"/>
    <w:multiLevelType w:val="multilevel"/>
    <w:tmpl w:val="005C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549EC"/>
    <w:multiLevelType w:val="hybridMultilevel"/>
    <w:tmpl w:val="DAB26C58"/>
    <w:lvl w:ilvl="0" w:tplc="522A8B7E">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171410A8"/>
    <w:multiLevelType w:val="multilevel"/>
    <w:tmpl w:val="0BE4A47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0959A0"/>
    <w:multiLevelType w:val="multilevel"/>
    <w:tmpl w:val="A93E43B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EF5A17"/>
    <w:multiLevelType w:val="multilevel"/>
    <w:tmpl w:val="DF4A97C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275F04"/>
    <w:multiLevelType w:val="multilevel"/>
    <w:tmpl w:val="CE004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BB7E81"/>
    <w:multiLevelType w:val="hybridMultilevel"/>
    <w:tmpl w:val="E6087C7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086EDE"/>
    <w:multiLevelType w:val="hybridMultilevel"/>
    <w:tmpl w:val="129A103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3374AC"/>
    <w:multiLevelType w:val="multilevel"/>
    <w:tmpl w:val="89B2D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063BB4"/>
    <w:multiLevelType w:val="multilevel"/>
    <w:tmpl w:val="56EC148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E72398"/>
    <w:multiLevelType w:val="multilevel"/>
    <w:tmpl w:val="48D69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C7037F"/>
    <w:multiLevelType w:val="hybridMultilevel"/>
    <w:tmpl w:val="552603FC"/>
    <w:lvl w:ilvl="0" w:tplc="525619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0D3935"/>
    <w:multiLevelType w:val="multilevel"/>
    <w:tmpl w:val="ABA44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D806148"/>
    <w:multiLevelType w:val="multilevel"/>
    <w:tmpl w:val="8CCC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280096">
    <w:abstractNumId w:val="7"/>
  </w:num>
  <w:num w:numId="2" w16cid:durableId="1176384835">
    <w:abstractNumId w:val="12"/>
  </w:num>
  <w:num w:numId="3" w16cid:durableId="1650282651">
    <w:abstractNumId w:val="8"/>
  </w:num>
  <w:num w:numId="4" w16cid:durableId="877008055">
    <w:abstractNumId w:val="9"/>
  </w:num>
  <w:num w:numId="5" w16cid:durableId="744646316">
    <w:abstractNumId w:val="1"/>
  </w:num>
  <w:num w:numId="6" w16cid:durableId="1624727449">
    <w:abstractNumId w:val="14"/>
  </w:num>
  <w:num w:numId="7" w16cid:durableId="2122456615">
    <w:abstractNumId w:val="13"/>
  </w:num>
  <w:num w:numId="8" w16cid:durableId="2049841606">
    <w:abstractNumId w:val="6"/>
  </w:num>
  <w:num w:numId="9" w16cid:durableId="1778328810">
    <w:abstractNumId w:val="11"/>
  </w:num>
  <w:num w:numId="10" w16cid:durableId="1491828119">
    <w:abstractNumId w:val="0"/>
  </w:num>
  <w:num w:numId="11" w16cid:durableId="2092697254">
    <w:abstractNumId w:val="4"/>
  </w:num>
  <w:num w:numId="12" w16cid:durableId="659312051">
    <w:abstractNumId w:val="10"/>
  </w:num>
  <w:num w:numId="13" w16cid:durableId="921336137">
    <w:abstractNumId w:val="3"/>
  </w:num>
  <w:num w:numId="14" w16cid:durableId="1714378441">
    <w:abstractNumId w:val="5"/>
  </w:num>
  <w:num w:numId="15" w16cid:durableId="6403050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0ED7"/>
    <w:rsid w:val="00000186"/>
    <w:rsid w:val="00006929"/>
    <w:rsid w:val="000172EB"/>
    <w:rsid w:val="00021A6D"/>
    <w:rsid w:val="000226CA"/>
    <w:rsid w:val="000403B1"/>
    <w:rsid w:val="00066908"/>
    <w:rsid w:val="00072EF6"/>
    <w:rsid w:val="000C5BB6"/>
    <w:rsid w:val="00112BF9"/>
    <w:rsid w:val="001314C3"/>
    <w:rsid w:val="00167DC9"/>
    <w:rsid w:val="001820AE"/>
    <w:rsid w:val="001C1DC3"/>
    <w:rsid w:val="001D5A67"/>
    <w:rsid w:val="00241C71"/>
    <w:rsid w:val="00242C19"/>
    <w:rsid w:val="00272859"/>
    <w:rsid w:val="00274B5D"/>
    <w:rsid w:val="00286B41"/>
    <w:rsid w:val="00295C70"/>
    <w:rsid w:val="002B4D35"/>
    <w:rsid w:val="002D32BD"/>
    <w:rsid w:val="00301080"/>
    <w:rsid w:val="00376C86"/>
    <w:rsid w:val="003815EB"/>
    <w:rsid w:val="003A0B37"/>
    <w:rsid w:val="003A1957"/>
    <w:rsid w:val="003B2E19"/>
    <w:rsid w:val="003B7059"/>
    <w:rsid w:val="00401B1E"/>
    <w:rsid w:val="00424C85"/>
    <w:rsid w:val="00453F7D"/>
    <w:rsid w:val="004655D2"/>
    <w:rsid w:val="00471295"/>
    <w:rsid w:val="00496335"/>
    <w:rsid w:val="004C60AA"/>
    <w:rsid w:val="004D0630"/>
    <w:rsid w:val="004E53C9"/>
    <w:rsid w:val="004F380C"/>
    <w:rsid w:val="004F4A47"/>
    <w:rsid w:val="00503285"/>
    <w:rsid w:val="0055444E"/>
    <w:rsid w:val="00582B7A"/>
    <w:rsid w:val="00587E32"/>
    <w:rsid w:val="005C68AF"/>
    <w:rsid w:val="005D0BE0"/>
    <w:rsid w:val="005E19BB"/>
    <w:rsid w:val="006364A0"/>
    <w:rsid w:val="00644838"/>
    <w:rsid w:val="0066385D"/>
    <w:rsid w:val="0069487D"/>
    <w:rsid w:val="006C086D"/>
    <w:rsid w:val="00714EA1"/>
    <w:rsid w:val="00716D57"/>
    <w:rsid w:val="00835191"/>
    <w:rsid w:val="008415C9"/>
    <w:rsid w:val="00841C81"/>
    <w:rsid w:val="00841EB2"/>
    <w:rsid w:val="00853033"/>
    <w:rsid w:val="00891A54"/>
    <w:rsid w:val="008A5E22"/>
    <w:rsid w:val="008F757F"/>
    <w:rsid w:val="00901C42"/>
    <w:rsid w:val="00946A5D"/>
    <w:rsid w:val="009532D8"/>
    <w:rsid w:val="00971BFF"/>
    <w:rsid w:val="009A1EB0"/>
    <w:rsid w:val="009C319F"/>
    <w:rsid w:val="009D5CD7"/>
    <w:rsid w:val="009E439C"/>
    <w:rsid w:val="00A11F63"/>
    <w:rsid w:val="00A60E9B"/>
    <w:rsid w:val="00A9488F"/>
    <w:rsid w:val="00AF4323"/>
    <w:rsid w:val="00B05C19"/>
    <w:rsid w:val="00B075D7"/>
    <w:rsid w:val="00B25FB4"/>
    <w:rsid w:val="00B563FD"/>
    <w:rsid w:val="00B8647F"/>
    <w:rsid w:val="00BA43B1"/>
    <w:rsid w:val="00BD6EF9"/>
    <w:rsid w:val="00C1025F"/>
    <w:rsid w:val="00C16D7E"/>
    <w:rsid w:val="00C5792A"/>
    <w:rsid w:val="00C80BF6"/>
    <w:rsid w:val="00CA13D2"/>
    <w:rsid w:val="00CD0ED7"/>
    <w:rsid w:val="00CD71B7"/>
    <w:rsid w:val="00CE005A"/>
    <w:rsid w:val="00D02768"/>
    <w:rsid w:val="00D60765"/>
    <w:rsid w:val="00D620E9"/>
    <w:rsid w:val="00D90B24"/>
    <w:rsid w:val="00D96A9A"/>
    <w:rsid w:val="00DA3862"/>
    <w:rsid w:val="00DC52FD"/>
    <w:rsid w:val="00E15AAF"/>
    <w:rsid w:val="00E50167"/>
    <w:rsid w:val="00E50E12"/>
    <w:rsid w:val="00E75787"/>
    <w:rsid w:val="00E940E4"/>
    <w:rsid w:val="00EE666B"/>
    <w:rsid w:val="00EF0EE5"/>
    <w:rsid w:val="00F94EFF"/>
    <w:rsid w:val="00F97AA8"/>
    <w:rsid w:val="00FA4009"/>
    <w:rsid w:val="00FA4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A1A11"/>
  <w15:docId w15:val="{EAE94DBC-9BB1-4B75-9E34-56BB2D4C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4C3"/>
  </w:style>
  <w:style w:type="paragraph" w:styleId="Heading1">
    <w:name w:val="heading 1"/>
    <w:basedOn w:val="Normal"/>
    <w:next w:val="Normal"/>
    <w:link w:val="Heading1Char"/>
    <w:uiPriority w:val="9"/>
    <w:qFormat/>
    <w:rsid w:val="00CD0E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0E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0E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CD0E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0E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0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0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E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0E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0E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CD0E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0E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0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ED7"/>
    <w:rPr>
      <w:rFonts w:eastAsiaTheme="majorEastAsia" w:cstheme="majorBidi"/>
      <w:color w:val="272727" w:themeColor="text1" w:themeTint="D8"/>
    </w:rPr>
  </w:style>
  <w:style w:type="paragraph" w:styleId="Title">
    <w:name w:val="Title"/>
    <w:basedOn w:val="Normal"/>
    <w:next w:val="Normal"/>
    <w:link w:val="TitleChar"/>
    <w:uiPriority w:val="10"/>
    <w:qFormat/>
    <w:rsid w:val="00CD0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ED7"/>
    <w:pPr>
      <w:spacing w:before="160"/>
      <w:jc w:val="center"/>
    </w:pPr>
    <w:rPr>
      <w:i/>
      <w:iCs/>
      <w:color w:val="404040" w:themeColor="text1" w:themeTint="BF"/>
    </w:rPr>
  </w:style>
  <w:style w:type="character" w:customStyle="1" w:styleId="QuoteChar">
    <w:name w:val="Quote Char"/>
    <w:basedOn w:val="DefaultParagraphFont"/>
    <w:link w:val="Quote"/>
    <w:uiPriority w:val="29"/>
    <w:rsid w:val="00CD0ED7"/>
    <w:rPr>
      <w:i/>
      <w:iCs/>
      <w:color w:val="404040" w:themeColor="text1" w:themeTint="BF"/>
    </w:rPr>
  </w:style>
  <w:style w:type="paragraph" w:styleId="ListParagraph">
    <w:name w:val="List Paragraph"/>
    <w:basedOn w:val="Normal"/>
    <w:uiPriority w:val="34"/>
    <w:qFormat/>
    <w:rsid w:val="00CD0ED7"/>
    <w:pPr>
      <w:ind w:left="720"/>
      <w:contextualSpacing/>
    </w:pPr>
  </w:style>
  <w:style w:type="character" w:styleId="IntenseEmphasis">
    <w:name w:val="Intense Emphasis"/>
    <w:basedOn w:val="DefaultParagraphFont"/>
    <w:uiPriority w:val="21"/>
    <w:qFormat/>
    <w:rsid w:val="00CD0ED7"/>
    <w:rPr>
      <w:i/>
      <w:iCs/>
      <w:color w:val="2F5496" w:themeColor="accent1" w:themeShade="BF"/>
    </w:rPr>
  </w:style>
  <w:style w:type="paragraph" w:styleId="IntenseQuote">
    <w:name w:val="Intense Quote"/>
    <w:basedOn w:val="Normal"/>
    <w:next w:val="Normal"/>
    <w:link w:val="IntenseQuoteChar"/>
    <w:uiPriority w:val="30"/>
    <w:qFormat/>
    <w:rsid w:val="00CD0E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0ED7"/>
    <w:rPr>
      <w:i/>
      <w:iCs/>
      <w:color w:val="2F5496" w:themeColor="accent1" w:themeShade="BF"/>
    </w:rPr>
  </w:style>
  <w:style w:type="character" w:styleId="IntenseReference">
    <w:name w:val="Intense Reference"/>
    <w:basedOn w:val="DefaultParagraphFont"/>
    <w:uiPriority w:val="32"/>
    <w:qFormat/>
    <w:rsid w:val="00CD0ED7"/>
    <w:rPr>
      <w:b/>
      <w:bCs/>
      <w:smallCaps/>
      <w:color w:val="2F5496" w:themeColor="accent1" w:themeShade="BF"/>
      <w:spacing w:val="5"/>
    </w:rPr>
  </w:style>
  <w:style w:type="character" w:styleId="PlaceholderText">
    <w:name w:val="Placeholder Text"/>
    <w:basedOn w:val="DefaultParagraphFont"/>
    <w:uiPriority w:val="99"/>
    <w:semiHidden/>
    <w:rsid w:val="004F4A47"/>
    <w:rPr>
      <w:color w:val="666666"/>
    </w:rPr>
  </w:style>
  <w:style w:type="character" w:styleId="Hyperlink">
    <w:name w:val="Hyperlink"/>
    <w:basedOn w:val="DefaultParagraphFont"/>
    <w:uiPriority w:val="99"/>
    <w:unhideWhenUsed/>
    <w:rsid w:val="00301080"/>
    <w:rPr>
      <w:color w:val="0563C1" w:themeColor="hyperlink"/>
      <w:u w:val="single"/>
    </w:rPr>
  </w:style>
  <w:style w:type="character" w:customStyle="1" w:styleId="UnresolvedMention1">
    <w:name w:val="Unresolved Mention1"/>
    <w:basedOn w:val="DefaultParagraphFont"/>
    <w:uiPriority w:val="99"/>
    <w:semiHidden/>
    <w:unhideWhenUsed/>
    <w:rsid w:val="00301080"/>
    <w:rPr>
      <w:color w:val="605E5C"/>
      <w:shd w:val="clear" w:color="auto" w:fill="E1DFDD"/>
    </w:rPr>
  </w:style>
  <w:style w:type="table" w:customStyle="1" w:styleId="TableGridLight1">
    <w:name w:val="Table Grid Light1"/>
    <w:basedOn w:val="TableNormal"/>
    <w:uiPriority w:val="40"/>
    <w:rsid w:val="00072EF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3A19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957"/>
    <w:rPr>
      <w:rFonts w:ascii="Tahoma" w:hAnsi="Tahoma" w:cs="Tahoma"/>
      <w:sz w:val="16"/>
      <w:szCs w:val="16"/>
    </w:rPr>
  </w:style>
  <w:style w:type="paragraph" w:customStyle="1" w:styleId="Default">
    <w:name w:val="Default"/>
    <w:rsid w:val="00E940E4"/>
    <w:pPr>
      <w:autoSpaceDE w:val="0"/>
      <w:autoSpaceDN w:val="0"/>
      <w:adjustRightInd w:val="0"/>
      <w:spacing w:after="0" w:line="240" w:lineRule="auto"/>
    </w:pPr>
    <w:rPr>
      <w:rFonts w:ascii="Times New Roman" w:hAnsi="Times New Roman" w:cs="Times New Roman"/>
      <w:color w:val="000000"/>
      <w:kern w:val="0"/>
    </w:rPr>
  </w:style>
  <w:style w:type="character" w:customStyle="1" w:styleId="whitespace-normal">
    <w:name w:val="whitespace-normal"/>
    <w:basedOn w:val="DefaultParagraphFont"/>
    <w:rsid w:val="00582B7A"/>
  </w:style>
  <w:style w:type="paragraph" w:styleId="NormalWeb">
    <w:name w:val="Normal (Web)"/>
    <w:basedOn w:val="Normal"/>
    <w:uiPriority w:val="99"/>
    <w:semiHidden/>
    <w:unhideWhenUsed/>
    <w:rsid w:val="00CA13D2"/>
    <w:pPr>
      <w:spacing w:before="100" w:beforeAutospacing="1" w:after="100" w:afterAutospacing="1" w:line="240" w:lineRule="auto"/>
    </w:pPr>
    <w:rPr>
      <w:rFonts w:ascii="Times New Roman" w:eastAsia="Times New Roman" w:hAnsi="Times New Roman" w:cs="Times New Roman"/>
      <w:kern w:val="0"/>
    </w:rPr>
  </w:style>
  <w:style w:type="character" w:styleId="Strong">
    <w:name w:val="Strong"/>
    <w:basedOn w:val="DefaultParagraphFont"/>
    <w:uiPriority w:val="22"/>
    <w:qFormat/>
    <w:rsid w:val="00CA13D2"/>
    <w:rPr>
      <w:b/>
      <w:bCs/>
    </w:rPr>
  </w:style>
  <w:style w:type="paragraph" w:styleId="Header">
    <w:name w:val="header"/>
    <w:basedOn w:val="Normal"/>
    <w:link w:val="HeaderChar"/>
    <w:uiPriority w:val="99"/>
    <w:semiHidden/>
    <w:unhideWhenUsed/>
    <w:rsid w:val="0050328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3285"/>
  </w:style>
  <w:style w:type="paragraph" w:styleId="Footer">
    <w:name w:val="footer"/>
    <w:basedOn w:val="Normal"/>
    <w:link w:val="FooterChar"/>
    <w:uiPriority w:val="99"/>
    <w:unhideWhenUsed/>
    <w:rsid w:val="00503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285"/>
  </w:style>
  <w:style w:type="table" w:styleId="LightShading">
    <w:name w:val="Light Shading"/>
    <w:basedOn w:val="TableNormal"/>
    <w:uiPriority w:val="60"/>
    <w:rsid w:val="00286B4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667717">
      <w:bodyDiv w:val="1"/>
      <w:marLeft w:val="0"/>
      <w:marRight w:val="0"/>
      <w:marTop w:val="0"/>
      <w:marBottom w:val="0"/>
      <w:divBdr>
        <w:top w:val="none" w:sz="0" w:space="0" w:color="auto"/>
        <w:left w:val="none" w:sz="0" w:space="0" w:color="auto"/>
        <w:bottom w:val="none" w:sz="0" w:space="0" w:color="auto"/>
        <w:right w:val="none" w:sz="0" w:space="0" w:color="auto"/>
      </w:divBdr>
    </w:div>
    <w:div w:id="731001978">
      <w:bodyDiv w:val="1"/>
      <w:marLeft w:val="0"/>
      <w:marRight w:val="0"/>
      <w:marTop w:val="0"/>
      <w:marBottom w:val="0"/>
      <w:divBdr>
        <w:top w:val="none" w:sz="0" w:space="0" w:color="auto"/>
        <w:left w:val="none" w:sz="0" w:space="0" w:color="auto"/>
        <w:bottom w:val="none" w:sz="0" w:space="0" w:color="auto"/>
        <w:right w:val="none" w:sz="0" w:space="0" w:color="auto"/>
      </w:divBdr>
    </w:div>
    <w:div w:id="841117364">
      <w:bodyDiv w:val="1"/>
      <w:marLeft w:val="0"/>
      <w:marRight w:val="0"/>
      <w:marTop w:val="0"/>
      <w:marBottom w:val="0"/>
      <w:divBdr>
        <w:top w:val="none" w:sz="0" w:space="0" w:color="auto"/>
        <w:left w:val="none" w:sz="0" w:space="0" w:color="auto"/>
        <w:bottom w:val="none" w:sz="0" w:space="0" w:color="auto"/>
        <w:right w:val="none" w:sz="0" w:space="0" w:color="auto"/>
      </w:divBdr>
    </w:div>
    <w:div w:id="1154101903">
      <w:bodyDiv w:val="1"/>
      <w:marLeft w:val="0"/>
      <w:marRight w:val="0"/>
      <w:marTop w:val="0"/>
      <w:marBottom w:val="0"/>
      <w:divBdr>
        <w:top w:val="none" w:sz="0" w:space="0" w:color="auto"/>
        <w:left w:val="none" w:sz="0" w:space="0" w:color="auto"/>
        <w:bottom w:val="none" w:sz="0" w:space="0" w:color="auto"/>
        <w:right w:val="none" w:sz="0" w:space="0" w:color="auto"/>
      </w:divBdr>
      <w:divsChild>
        <w:div w:id="1021660444">
          <w:marLeft w:val="0"/>
          <w:marRight w:val="0"/>
          <w:marTop w:val="0"/>
          <w:marBottom w:val="0"/>
          <w:divBdr>
            <w:top w:val="none" w:sz="0" w:space="0" w:color="auto"/>
            <w:left w:val="none" w:sz="0" w:space="0" w:color="auto"/>
            <w:bottom w:val="none" w:sz="0" w:space="0" w:color="auto"/>
            <w:right w:val="none" w:sz="0" w:space="0" w:color="auto"/>
          </w:divBdr>
          <w:divsChild>
            <w:div w:id="882643867">
              <w:marLeft w:val="0"/>
              <w:marRight w:val="0"/>
              <w:marTop w:val="0"/>
              <w:marBottom w:val="0"/>
              <w:divBdr>
                <w:top w:val="none" w:sz="0" w:space="0" w:color="auto"/>
                <w:left w:val="none" w:sz="0" w:space="0" w:color="auto"/>
                <w:bottom w:val="none" w:sz="0" w:space="0" w:color="auto"/>
                <w:right w:val="none" w:sz="0" w:space="0" w:color="auto"/>
              </w:divBdr>
              <w:divsChild>
                <w:div w:id="505678506">
                  <w:marLeft w:val="0"/>
                  <w:marRight w:val="0"/>
                  <w:marTop w:val="0"/>
                  <w:marBottom w:val="0"/>
                  <w:divBdr>
                    <w:top w:val="none" w:sz="0" w:space="0" w:color="auto"/>
                    <w:left w:val="none" w:sz="0" w:space="0" w:color="auto"/>
                    <w:bottom w:val="none" w:sz="0" w:space="0" w:color="auto"/>
                    <w:right w:val="none" w:sz="0" w:space="0" w:color="auto"/>
                  </w:divBdr>
                  <w:divsChild>
                    <w:div w:id="1427073059">
                      <w:marLeft w:val="0"/>
                      <w:marRight w:val="0"/>
                      <w:marTop w:val="0"/>
                      <w:marBottom w:val="0"/>
                      <w:divBdr>
                        <w:top w:val="none" w:sz="0" w:space="0" w:color="auto"/>
                        <w:left w:val="none" w:sz="0" w:space="0" w:color="auto"/>
                        <w:bottom w:val="none" w:sz="0" w:space="0" w:color="auto"/>
                        <w:right w:val="none" w:sz="0" w:space="0" w:color="auto"/>
                      </w:divBdr>
                      <w:divsChild>
                        <w:div w:id="1968195024">
                          <w:marLeft w:val="0"/>
                          <w:marRight w:val="0"/>
                          <w:marTop w:val="0"/>
                          <w:marBottom w:val="0"/>
                          <w:divBdr>
                            <w:top w:val="none" w:sz="0" w:space="0" w:color="auto"/>
                            <w:left w:val="none" w:sz="0" w:space="0" w:color="auto"/>
                            <w:bottom w:val="none" w:sz="0" w:space="0" w:color="auto"/>
                            <w:right w:val="none" w:sz="0" w:space="0" w:color="auto"/>
                          </w:divBdr>
                          <w:divsChild>
                            <w:div w:id="1250043816">
                              <w:marLeft w:val="0"/>
                              <w:marRight w:val="0"/>
                              <w:marTop w:val="0"/>
                              <w:marBottom w:val="0"/>
                              <w:divBdr>
                                <w:top w:val="none" w:sz="0" w:space="0" w:color="auto"/>
                                <w:left w:val="none" w:sz="0" w:space="0" w:color="auto"/>
                                <w:bottom w:val="none" w:sz="0" w:space="0" w:color="auto"/>
                                <w:right w:val="none" w:sz="0" w:space="0" w:color="auto"/>
                              </w:divBdr>
                              <w:divsChild>
                                <w:div w:id="199933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8116599">
      <w:bodyDiv w:val="1"/>
      <w:marLeft w:val="0"/>
      <w:marRight w:val="0"/>
      <w:marTop w:val="0"/>
      <w:marBottom w:val="0"/>
      <w:divBdr>
        <w:top w:val="none" w:sz="0" w:space="0" w:color="auto"/>
        <w:left w:val="none" w:sz="0" w:space="0" w:color="auto"/>
        <w:bottom w:val="none" w:sz="0" w:space="0" w:color="auto"/>
        <w:right w:val="none" w:sz="0" w:space="0" w:color="auto"/>
      </w:divBdr>
    </w:div>
    <w:div w:id="1554805917">
      <w:bodyDiv w:val="1"/>
      <w:marLeft w:val="0"/>
      <w:marRight w:val="0"/>
      <w:marTop w:val="0"/>
      <w:marBottom w:val="0"/>
      <w:divBdr>
        <w:top w:val="none" w:sz="0" w:space="0" w:color="auto"/>
        <w:left w:val="none" w:sz="0" w:space="0" w:color="auto"/>
        <w:bottom w:val="none" w:sz="0" w:space="0" w:color="auto"/>
        <w:right w:val="none" w:sz="0" w:space="0" w:color="auto"/>
      </w:divBdr>
    </w:div>
    <w:div w:id="202435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x.doi.org/10.4314/gjpas.v26i1.7" TargetMode="External"/><Relationship Id="rId18" Type="http://schemas.openxmlformats.org/officeDocument/2006/relationships/hyperlink" Target="https://doi.org/10.2307/1907301" TargetMode="External"/><Relationship Id="rId3" Type="http://schemas.openxmlformats.org/officeDocument/2006/relationships/settings" Target="settings.xml"/><Relationship Id="rId21" Type="http://schemas.openxmlformats.org/officeDocument/2006/relationships/hyperlink" Target="https://doi.org/10.1596/978-0-8213-7650-8" TargetMode="External"/><Relationship Id="rId7" Type="http://schemas.openxmlformats.org/officeDocument/2006/relationships/chart" Target="charts/chart1.xml"/><Relationship Id="rId12" Type="http://schemas.openxmlformats.org/officeDocument/2006/relationships/image" Target="media/image2.png"/><Relationship Id="rId17" Type="http://schemas.openxmlformats.org/officeDocument/2006/relationships/hyperlink" Target="https://doi.org/10.1002/sapm1941201224" TargetMode="External"/><Relationship Id="rId2" Type="http://schemas.openxmlformats.org/officeDocument/2006/relationships/styles" Target="styles.xml"/><Relationship Id="rId16" Type="http://schemas.openxmlformats.org/officeDocument/2006/relationships/hyperlink" Target="https://doi.org/10.1109/4235.996017" TargetMode="External"/><Relationship Id="rId20" Type="http://schemas.openxmlformats.org/officeDocument/2006/relationships/hyperlink" Target="https://doi.org/10.61143/umyu-jafr.6(1)2024.01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287/mnsc.1.1.49" TargetMode="Externa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hyperlink" Target="https://doi.org/10.3390/su17041678"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16/j.cie.2013.11.006" TargetMode="External"/><Relationship Id="rId22" Type="http://schemas.openxmlformats.org/officeDocument/2006/relationships/hyperlink" Target="https://doi.org/10.1002/nav.3800050109"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for%20IBR%202025\transport%20fare%20within%20and%20intercity.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for%20IBR%202025\transport%20fare%20within%20and%20intercit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n-US"/>
              <a:t>price/litre in (Naira)</a:t>
            </a:r>
          </a:p>
        </c:rich>
      </c:tx>
      <c:overlay val="0"/>
    </c:title>
    <c:autoTitleDeleted val="0"/>
    <c:plotArea>
      <c:layout/>
      <c:lineChart>
        <c:grouping val="standard"/>
        <c:varyColors val="0"/>
        <c:ser>
          <c:idx val="1"/>
          <c:order val="0"/>
          <c:tx>
            <c:strRef>
              <c:f>Sheet1!$C$3</c:f>
              <c:strCache>
                <c:ptCount val="1"/>
                <c:pt idx="0">
                  <c:v>price/litre in (naira)</c:v>
                </c:pt>
              </c:strCache>
            </c:strRef>
          </c:tx>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Lit>
              <c:formatCode>General</c:formatCode>
              <c:ptCount val="21"/>
              <c:pt idx="0">
                <c:v>1973</c:v>
              </c:pt>
              <c:pt idx="1">
                <c:v>1978</c:v>
              </c:pt>
              <c:pt idx="2">
                <c:v>1982</c:v>
              </c:pt>
              <c:pt idx="3">
                <c:v>1986</c:v>
              </c:pt>
              <c:pt idx="4">
                <c:v>1988</c:v>
              </c:pt>
              <c:pt idx="5">
                <c:v>1989</c:v>
              </c:pt>
              <c:pt idx="6">
                <c:v>1991</c:v>
              </c:pt>
              <c:pt idx="7">
                <c:v>1993</c:v>
              </c:pt>
              <c:pt idx="8">
                <c:v>1994</c:v>
              </c:pt>
              <c:pt idx="9">
                <c:v>1998</c:v>
              </c:pt>
              <c:pt idx="10">
                <c:v>1999</c:v>
              </c:pt>
              <c:pt idx="11">
                <c:v>2000</c:v>
              </c:pt>
              <c:pt idx="12">
                <c:v>2002</c:v>
              </c:pt>
              <c:pt idx="13">
                <c:v>2003</c:v>
              </c:pt>
              <c:pt idx="14">
                <c:v>2004</c:v>
              </c:pt>
              <c:pt idx="15">
                <c:v>2012</c:v>
              </c:pt>
              <c:pt idx="16">
                <c:v>2015</c:v>
              </c:pt>
              <c:pt idx="17">
                <c:v>2016</c:v>
              </c:pt>
              <c:pt idx="18">
                <c:v>2021</c:v>
              </c:pt>
              <c:pt idx="19">
                <c:v>2023</c:v>
              </c:pt>
              <c:pt idx="20">
                <c:v>2024</c:v>
              </c:pt>
            </c:numLit>
          </c:cat>
          <c:val>
            <c:numRef>
              <c:f>Sheet1!$C$4:$C$24</c:f>
              <c:numCache>
                <c:formatCode>General</c:formatCode>
                <c:ptCount val="21"/>
                <c:pt idx="0">
                  <c:v>8.5000000000000048E-2</c:v>
                </c:pt>
                <c:pt idx="1">
                  <c:v>9.0000000000000066E-2</c:v>
                </c:pt>
                <c:pt idx="2">
                  <c:v>0.2</c:v>
                </c:pt>
                <c:pt idx="3">
                  <c:v>0.39500000000000102</c:v>
                </c:pt>
                <c:pt idx="4">
                  <c:v>0.42000000000000032</c:v>
                </c:pt>
                <c:pt idx="5">
                  <c:v>0.60000000000000064</c:v>
                </c:pt>
                <c:pt idx="6">
                  <c:v>0.70000000000000062</c:v>
                </c:pt>
                <c:pt idx="7">
                  <c:v>3.25</c:v>
                </c:pt>
                <c:pt idx="8">
                  <c:v>11</c:v>
                </c:pt>
                <c:pt idx="9">
                  <c:v>25</c:v>
                </c:pt>
                <c:pt idx="10">
                  <c:v>20</c:v>
                </c:pt>
                <c:pt idx="11">
                  <c:v>30</c:v>
                </c:pt>
                <c:pt idx="12">
                  <c:v>22</c:v>
                </c:pt>
                <c:pt idx="13">
                  <c:v>42</c:v>
                </c:pt>
                <c:pt idx="14">
                  <c:v>65</c:v>
                </c:pt>
                <c:pt idx="15">
                  <c:v>141</c:v>
                </c:pt>
                <c:pt idx="16">
                  <c:v>87</c:v>
                </c:pt>
                <c:pt idx="17">
                  <c:v>145</c:v>
                </c:pt>
                <c:pt idx="18">
                  <c:v>212</c:v>
                </c:pt>
                <c:pt idx="19">
                  <c:v>617</c:v>
                </c:pt>
                <c:pt idx="20" formatCode="#,##0">
                  <c:v>1030</c:v>
                </c:pt>
              </c:numCache>
            </c:numRef>
          </c:val>
          <c:smooth val="0"/>
          <c:extLst>
            <c:ext xmlns:c16="http://schemas.microsoft.com/office/drawing/2014/chart" uri="{C3380CC4-5D6E-409C-BE32-E72D297353CC}">
              <c16:uniqueId val="{00000000-2B36-47BC-A0AD-0C3BDE6B8625}"/>
            </c:ext>
          </c:extLst>
        </c:ser>
        <c:dLbls>
          <c:showLegendKey val="0"/>
          <c:showVal val="1"/>
          <c:showCatName val="0"/>
          <c:showSerName val="0"/>
          <c:showPercent val="0"/>
          <c:showBubbleSize val="0"/>
        </c:dLbls>
        <c:marker val="1"/>
        <c:smooth val="0"/>
        <c:axId val="233325696"/>
        <c:axId val="233327232"/>
      </c:lineChart>
      <c:catAx>
        <c:axId val="233325696"/>
        <c:scaling>
          <c:orientation val="minMax"/>
        </c:scaling>
        <c:delete val="0"/>
        <c:axPos val="b"/>
        <c:numFmt formatCode="General" sourceLinked="1"/>
        <c:majorTickMark val="none"/>
        <c:minorTickMark val="none"/>
        <c:tickLblPos val="nextTo"/>
        <c:spPr>
          <a:ln w="9525">
            <a:noFill/>
          </a:ln>
        </c:spPr>
        <c:crossAx val="233327232"/>
        <c:crosses val="autoZero"/>
        <c:auto val="1"/>
        <c:lblAlgn val="ctr"/>
        <c:lblOffset val="100"/>
        <c:noMultiLvlLbl val="0"/>
      </c:catAx>
      <c:valAx>
        <c:axId val="233327232"/>
        <c:scaling>
          <c:orientation val="minMax"/>
        </c:scaling>
        <c:delete val="1"/>
        <c:axPos val="l"/>
        <c:numFmt formatCode="General" sourceLinked="1"/>
        <c:majorTickMark val="out"/>
        <c:minorTickMark val="none"/>
        <c:tickLblPos val="none"/>
        <c:crossAx val="23332569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cked"/>
        <c:varyColors val="0"/>
        <c:ser>
          <c:idx val="0"/>
          <c:order val="0"/>
          <c:tx>
            <c:strRef>
              <c:f>Sheet3!$D$1</c:f>
              <c:strCache>
                <c:ptCount val="1"/>
                <c:pt idx="0">
                  <c:v>petrol (price per litre)</c:v>
                </c:pt>
              </c:strCache>
            </c:strRef>
          </c:tx>
          <c:marker>
            <c:symbol val="none"/>
          </c:marker>
          <c:cat>
            <c:multiLvlStrRef>
              <c:f>Sheet3!$B$2:$C$25</c:f>
              <c:multiLvlStrCache>
                <c:ptCount val="24"/>
                <c:lvl>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pt idx="12">
                    <c:v>January</c:v>
                  </c:pt>
                  <c:pt idx="13">
                    <c:v>February</c:v>
                  </c:pt>
                  <c:pt idx="14">
                    <c:v>March</c:v>
                  </c:pt>
                  <c:pt idx="15">
                    <c:v>April</c:v>
                  </c:pt>
                  <c:pt idx="16">
                    <c:v>May</c:v>
                  </c:pt>
                  <c:pt idx="17">
                    <c:v>June</c:v>
                  </c:pt>
                  <c:pt idx="18">
                    <c:v>July</c:v>
                  </c:pt>
                  <c:pt idx="19">
                    <c:v>August</c:v>
                  </c:pt>
                  <c:pt idx="20">
                    <c:v>September</c:v>
                  </c:pt>
                  <c:pt idx="21">
                    <c:v>October</c:v>
                  </c:pt>
                  <c:pt idx="22">
                    <c:v>November</c:v>
                  </c:pt>
                  <c:pt idx="23">
                    <c:v>December</c:v>
                  </c:pt>
                </c:lvl>
                <c:lvl>
                  <c:pt idx="0">
                    <c:v>2022</c:v>
                  </c:pt>
                  <c:pt idx="12">
                    <c:v>2023</c:v>
                  </c:pt>
                </c:lvl>
              </c:multiLvlStrCache>
            </c:multiLvlStrRef>
          </c:cat>
          <c:val>
            <c:numRef>
              <c:f>Sheet3!$D$2:$D$25</c:f>
              <c:numCache>
                <c:formatCode>General</c:formatCode>
                <c:ptCount val="24"/>
                <c:pt idx="0">
                  <c:v>166.3987000000003</c:v>
                </c:pt>
                <c:pt idx="1">
                  <c:v>170.4248</c:v>
                </c:pt>
                <c:pt idx="2">
                  <c:v>185.29659999999998</c:v>
                </c:pt>
                <c:pt idx="3">
                  <c:v>172.6103</c:v>
                </c:pt>
                <c:pt idx="4">
                  <c:v>173.07989999999998</c:v>
                </c:pt>
                <c:pt idx="5">
                  <c:v>175.89490000000001</c:v>
                </c:pt>
                <c:pt idx="6">
                  <c:v>190.01079999999999</c:v>
                </c:pt>
                <c:pt idx="7">
                  <c:v>189.46340000000001</c:v>
                </c:pt>
                <c:pt idx="8">
                  <c:v>191.64759999999998</c:v>
                </c:pt>
                <c:pt idx="9">
                  <c:v>195.29399999999998</c:v>
                </c:pt>
                <c:pt idx="10">
                  <c:v>202.47989999999999</c:v>
                </c:pt>
                <c:pt idx="11">
                  <c:v>206.18740000000031</c:v>
                </c:pt>
                <c:pt idx="12">
                  <c:v>257.11869999999999</c:v>
                </c:pt>
                <c:pt idx="13">
                  <c:v>263.75569999999999</c:v>
                </c:pt>
                <c:pt idx="14">
                  <c:v>264.28960000000001</c:v>
                </c:pt>
                <c:pt idx="15">
                  <c:v>254.05620000000027</c:v>
                </c:pt>
                <c:pt idx="16">
                  <c:v>238.11329999999998</c:v>
                </c:pt>
                <c:pt idx="17">
                  <c:v>545.82739999999876</c:v>
                </c:pt>
                <c:pt idx="18">
                  <c:v>600.34749999999826</c:v>
                </c:pt>
                <c:pt idx="19">
                  <c:v>626.69980000000055</c:v>
                </c:pt>
                <c:pt idx="20">
                  <c:v>630.63440000000003</c:v>
                </c:pt>
                <c:pt idx="21">
                  <c:v>630.63440000000003</c:v>
                </c:pt>
                <c:pt idx="22">
                  <c:v>648.93359999999996</c:v>
                </c:pt>
                <c:pt idx="23">
                  <c:v>671.85819999999876</c:v>
                </c:pt>
              </c:numCache>
            </c:numRef>
          </c:val>
          <c:smooth val="0"/>
          <c:extLst>
            <c:ext xmlns:c16="http://schemas.microsoft.com/office/drawing/2014/chart" uri="{C3380CC4-5D6E-409C-BE32-E72D297353CC}">
              <c16:uniqueId val="{00000000-A7B3-4882-8065-B6A4FA44170A}"/>
            </c:ext>
          </c:extLst>
        </c:ser>
        <c:ser>
          <c:idx val="1"/>
          <c:order val="1"/>
          <c:tx>
            <c:strRef>
              <c:f>Sheet3!$E$1</c:f>
              <c:strCache>
                <c:ptCount val="1"/>
                <c:pt idx="0">
                  <c:v>transport fare</c:v>
                </c:pt>
              </c:strCache>
            </c:strRef>
          </c:tx>
          <c:marker>
            <c:symbol val="none"/>
          </c:marker>
          <c:cat>
            <c:multiLvlStrRef>
              <c:f>Sheet3!$B$2:$C$25</c:f>
              <c:multiLvlStrCache>
                <c:ptCount val="24"/>
                <c:lvl>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pt idx="12">
                    <c:v>January</c:v>
                  </c:pt>
                  <c:pt idx="13">
                    <c:v>February</c:v>
                  </c:pt>
                  <c:pt idx="14">
                    <c:v>March</c:v>
                  </c:pt>
                  <c:pt idx="15">
                    <c:v>April</c:v>
                  </c:pt>
                  <c:pt idx="16">
                    <c:v>May</c:v>
                  </c:pt>
                  <c:pt idx="17">
                    <c:v>June</c:v>
                  </c:pt>
                  <c:pt idx="18">
                    <c:v>July</c:v>
                  </c:pt>
                  <c:pt idx="19">
                    <c:v>August</c:v>
                  </c:pt>
                  <c:pt idx="20">
                    <c:v>September</c:v>
                  </c:pt>
                  <c:pt idx="21">
                    <c:v>October</c:v>
                  </c:pt>
                  <c:pt idx="22">
                    <c:v>November</c:v>
                  </c:pt>
                  <c:pt idx="23">
                    <c:v>December</c:v>
                  </c:pt>
                </c:lvl>
                <c:lvl>
                  <c:pt idx="0">
                    <c:v>2022</c:v>
                  </c:pt>
                  <c:pt idx="12">
                    <c:v>2023</c:v>
                  </c:pt>
                </c:lvl>
              </c:multiLvlStrCache>
            </c:multiLvlStrRef>
          </c:cat>
          <c:val>
            <c:numRef>
              <c:f>Sheet3!$E$2:$E$25</c:f>
              <c:numCache>
                <c:formatCode>General</c:formatCode>
                <c:ptCount val="24"/>
                <c:pt idx="0">
                  <c:v>367.6</c:v>
                </c:pt>
                <c:pt idx="1">
                  <c:v>372.4</c:v>
                </c:pt>
                <c:pt idx="2">
                  <c:v>377.9</c:v>
                </c:pt>
                <c:pt idx="3">
                  <c:v>383.7</c:v>
                </c:pt>
                <c:pt idx="4">
                  <c:v>389.7</c:v>
                </c:pt>
                <c:pt idx="5">
                  <c:v>396</c:v>
                </c:pt>
                <c:pt idx="6">
                  <c:v>402.4</c:v>
                </c:pt>
                <c:pt idx="7">
                  <c:v>409.1</c:v>
                </c:pt>
                <c:pt idx="8">
                  <c:v>425.4</c:v>
                </c:pt>
                <c:pt idx="9">
                  <c:v>421.5</c:v>
                </c:pt>
                <c:pt idx="10">
                  <c:v>428.6</c:v>
                </c:pt>
                <c:pt idx="11">
                  <c:v>436.2</c:v>
                </c:pt>
                <c:pt idx="12">
                  <c:v>444.9</c:v>
                </c:pt>
                <c:pt idx="13">
                  <c:v>452.2</c:v>
                </c:pt>
                <c:pt idx="14">
                  <c:v>462</c:v>
                </c:pt>
                <c:pt idx="15">
                  <c:v>472.4</c:v>
                </c:pt>
                <c:pt idx="16">
                  <c:v>482.7</c:v>
                </c:pt>
                <c:pt idx="17">
                  <c:v>494.3</c:v>
                </c:pt>
                <c:pt idx="18">
                  <c:v>508.2</c:v>
                </c:pt>
                <c:pt idx="19">
                  <c:v>519.9</c:v>
                </c:pt>
                <c:pt idx="20">
                  <c:v>528.29999999999995</c:v>
                </c:pt>
                <c:pt idx="21">
                  <c:v>535.5</c:v>
                </c:pt>
                <c:pt idx="22">
                  <c:v>544.4</c:v>
                </c:pt>
                <c:pt idx="23">
                  <c:v>552.79999999999995</c:v>
                </c:pt>
              </c:numCache>
            </c:numRef>
          </c:val>
          <c:smooth val="0"/>
          <c:extLst>
            <c:ext xmlns:c16="http://schemas.microsoft.com/office/drawing/2014/chart" uri="{C3380CC4-5D6E-409C-BE32-E72D297353CC}">
              <c16:uniqueId val="{00000001-A7B3-4882-8065-B6A4FA44170A}"/>
            </c:ext>
          </c:extLst>
        </c:ser>
        <c:ser>
          <c:idx val="2"/>
          <c:order val="2"/>
          <c:tx>
            <c:strRef>
              <c:f>Sheet3!$F$1</c:f>
              <c:strCache>
                <c:ptCount val="1"/>
                <c:pt idx="0">
                  <c:v>food price</c:v>
                </c:pt>
              </c:strCache>
            </c:strRef>
          </c:tx>
          <c:marker>
            <c:symbol val="none"/>
          </c:marker>
          <c:cat>
            <c:multiLvlStrRef>
              <c:f>Sheet3!$B$2:$C$25</c:f>
              <c:multiLvlStrCache>
                <c:ptCount val="24"/>
                <c:lvl>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pt idx="12">
                    <c:v>January</c:v>
                  </c:pt>
                  <c:pt idx="13">
                    <c:v>February</c:v>
                  </c:pt>
                  <c:pt idx="14">
                    <c:v>March</c:v>
                  </c:pt>
                  <c:pt idx="15">
                    <c:v>April</c:v>
                  </c:pt>
                  <c:pt idx="16">
                    <c:v>May</c:v>
                  </c:pt>
                  <c:pt idx="17">
                    <c:v>June</c:v>
                  </c:pt>
                  <c:pt idx="18">
                    <c:v>July</c:v>
                  </c:pt>
                  <c:pt idx="19">
                    <c:v>August</c:v>
                  </c:pt>
                  <c:pt idx="20">
                    <c:v>September</c:v>
                  </c:pt>
                  <c:pt idx="21">
                    <c:v>October</c:v>
                  </c:pt>
                  <c:pt idx="22">
                    <c:v>November</c:v>
                  </c:pt>
                  <c:pt idx="23">
                    <c:v>December</c:v>
                  </c:pt>
                </c:lvl>
                <c:lvl>
                  <c:pt idx="0">
                    <c:v>2022</c:v>
                  </c:pt>
                  <c:pt idx="12">
                    <c:v>2023</c:v>
                  </c:pt>
                </c:lvl>
              </c:multiLvlStrCache>
            </c:multiLvlStrRef>
          </c:cat>
          <c:val>
            <c:numRef>
              <c:f>Sheet3!$F$2:$F$25</c:f>
              <c:numCache>
                <c:formatCode>General</c:formatCode>
                <c:ptCount val="24"/>
                <c:pt idx="0">
                  <c:v>484.7</c:v>
                </c:pt>
                <c:pt idx="1">
                  <c:v>493.8</c:v>
                </c:pt>
                <c:pt idx="2">
                  <c:v>503.6</c:v>
                </c:pt>
                <c:pt idx="3">
                  <c:v>513.6</c:v>
                </c:pt>
                <c:pt idx="4">
                  <c:v>524</c:v>
                </c:pt>
                <c:pt idx="5">
                  <c:v>534.70000000000005</c:v>
                </c:pt>
                <c:pt idx="6">
                  <c:v>545.6</c:v>
                </c:pt>
                <c:pt idx="7">
                  <c:v>556.4</c:v>
                </c:pt>
                <c:pt idx="8">
                  <c:v>564.4</c:v>
                </c:pt>
                <c:pt idx="9">
                  <c:v>571.29999999999995</c:v>
                </c:pt>
                <c:pt idx="10">
                  <c:v>579.29999999999995</c:v>
                </c:pt>
                <c:pt idx="11">
                  <c:v>590.20000000000005</c:v>
                </c:pt>
                <c:pt idx="12">
                  <c:v>602.5</c:v>
                </c:pt>
                <c:pt idx="13">
                  <c:v>614</c:v>
                </c:pt>
                <c:pt idx="14">
                  <c:v>626.70000000000005</c:v>
                </c:pt>
                <c:pt idx="15">
                  <c:v>640</c:v>
                </c:pt>
                <c:pt idx="16">
                  <c:v>654.1</c:v>
                </c:pt>
                <c:pt idx="17">
                  <c:v>669.7</c:v>
                </c:pt>
                <c:pt idx="18">
                  <c:v>692.9</c:v>
                </c:pt>
                <c:pt idx="19">
                  <c:v>719.7</c:v>
                </c:pt>
                <c:pt idx="20">
                  <c:v>737.3</c:v>
                </c:pt>
                <c:pt idx="21">
                  <c:v>751.4</c:v>
                </c:pt>
                <c:pt idx="22">
                  <c:v>769.6</c:v>
                </c:pt>
                <c:pt idx="23">
                  <c:v>790.5</c:v>
                </c:pt>
              </c:numCache>
            </c:numRef>
          </c:val>
          <c:smooth val="0"/>
          <c:extLst>
            <c:ext xmlns:c16="http://schemas.microsoft.com/office/drawing/2014/chart" uri="{C3380CC4-5D6E-409C-BE32-E72D297353CC}">
              <c16:uniqueId val="{00000002-A7B3-4882-8065-B6A4FA44170A}"/>
            </c:ext>
          </c:extLst>
        </c:ser>
        <c:dLbls>
          <c:showLegendKey val="0"/>
          <c:showVal val="0"/>
          <c:showCatName val="0"/>
          <c:showSerName val="0"/>
          <c:showPercent val="0"/>
          <c:showBubbleSize val="0"/>
        </c:dLbls>
        <c:smooth val="0"/>
        <c:axId val="256338176"/>
        <c:axId val="256339968"/>
      </c:lineChart>
      <c:catAx>
        <c:axId val="256338176"/>
        <c:scaling>
          <c:orientation val="minMax"/>
        </c:scaling>
        <c:delete val="0"/>
        <c:axPos val="b"/>
        <c:numFmt formatCode="General" sourceLinked="0"/>
        <c:majorTickMark val="out"/>
        <c:minorTickMark val="none"/>
        <c:tickLblPos val="nextTo"/>
        <c:crossAx val="256339968"/>
        <c:crosses val="autoZero"/>
        <c:auto val="1"/>
        <c:lblAlgn val="ctr"/>
        <c:lblOffset val="100"/>
        <c:noMultiLvlLbl val="0"/>
      </c:catAx>
      <c:valAx>
        <c:axId val="256339968"/>
        <c:scaling>
          <c:orientation val="minMax"/>
        </c:scaling>
        <c:delete val="0"/>
        <c:axPos val="l"/>
        <c:majorGridlines/>
        <c:numFmt formatCode="General" sourceLinked="1"/>
        <c:majorTickMark val="out"/>
        <c:minorTickMark val="none"/>
        <c:tickLblPos val="nextTo"/>
        <c:crossAx val="256338176"/>
        <c:crosses val="autoZero"/>
        <c:crossBetween val="between"/>
      </c:valAx>
    </c:plotArea>
    <c:legend>
      <c:legendPos val="r"/>
      <c:overlay val="0"/>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0104233659534432E-2"/>
          <c:y val="3.835067248718263E-2"/>
          <c:w val="0.73615036531029643"/>
          <c:h val="0.9232986550256348"/>
        </c:manualLayout>
      </c:layout>
      <c:lineChart>
        <c:grouping val="standard"/>
        <c:varyColors val="0"/>
        <c:ser>
          <c:idx val="0"/>
          <c:order val="0"/>
          <c:tx>
            <c:strRef>
              <c:f>'price per litre and marginal'!$U$1</c:f>
              <c:strCache>
                <c:ptCount val="1"/>
                <c:pt idx="0">
                  <c:v>Palm oil (price per litre)monthly % change</c:v>
                </c:pt>
              </c:strCache>
            </c:strRef>
          </c:tx>
          <c:marker>
            <c:symbol val="none"/>
          </c:marker>
          <c:cat>
            <c:multiLvlStrRef>
              <c:f>'price per litre and marginal'!$S$2:$T$37</c:f>
              <c:multiLvlStrCache>
                <c:ptCount val="36"/>
                <c:lvl>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pt idx="12">
                    <c:v>January</c:v>
                  </c:pt>
                  <c:pt idx="13">
                    <c:v>February</c:v>
                  </c:pt>
                  <c:pt idx="14">
                    <c:v>March</c:v>
                  </c:pt>
                  <c:pt idx="15">
                    <c:v>April</c:v>
                  </c:pt>
                  <c:pt idx="16">
                    <c:v>May</c:v>
                  </c:pt>
                  <c:pt idx="17">
                    <c:v>June</c:v>
                  </c:pt>
                  <c:pt idx="18">
                    <c:v>July</c:v>
                  </c:pt>
                  <c:pt idx="19">
                    <c:v>August</c:v>
                  </c:pt>
                  <c:pt idx="20">
                    <c:v>September</c:v>
                  </c:pt>
                  <c:pt idx="21">
                    <c:v>October</c:v>
                  </c:pt>
                  <c:pt idx="22">
                    <c:v>November</c:v>
                  </c:pt>
                  <c:pt idx="23">
                    <c:v>December</c:v>
                  </c:pt>
                  <c:pt idx="24">
                    <c:v>January</c:v>
                  </c:pt>
                  <c:pt idx="25">
                    <c:v>February</c:v>
                  </c:pt>
                  <c:pt idx="26">
                    <c:v>March</c:v>
                  </c:pt>
                  <c:pt idx="27">
                    <c:v>April</c:v>
                  </c:pt>
                  <c:pt idx="28">
                    <c:v>May</c:v>
                  </c:pt>
                  <c:pt idx="29">
                    <c:v>June</c:v>
                  </c:pt>
                  <c:pt idx="30">
                    <c:v>July</c:v>
                  </c:pt>
                  <c:pt idx="31">
                    <c:v>August</c:v>
                  </c:pt>
                  <c:pt idx="32">
                    <c:v>September</c:v>
                  </c:pt>
                  <c:pt idx="33">
                    <c:v>October</c:v>
                  </c:pt>
                  <c:pt idx="34">
                    <c:v>November</c:v>
                  </c:pt>
                  <c:pt idx="35">
                    <c:v>December</c:v>
                  </c:pt>
                </c:lvl>
                <c:lvl>
                  <c:pt idx="0">
                    <c:v>2022</c:v>
                  </c:pt>
                  <c:pt idx="12">
                    <c:v>2023</c:v>
                  </c:pt>
                  <c:pt idx="24">
                    <c:v>2024</c:v>
                  </c:pt>
                </c:lvl>
              </c:multiLvlStrCache>
            </c:multiLvlStrRef>
          </c:cat>
          <c:val>
            <c:numRef>
              <c:f>'price per litre and marginal'!$U$2:$U$37</c:f>
              <c:numCache>
                <c:formatCode>General</c:formatCode>
                <c:ptCount val="36"/>
                <c:pt idx="1">
                  <c:v>2.4905332422869457</c:v>
                </c:pt>
                <c:pt idx="2">
                  <c:v>2.0605443907402687</c:v>
                </c:pt>
                <c:pt idx="3">
                  <c:v>2.7299055215308631E-2</c:v>
                </c:pt>
                <c:pt idx="4">
                  <c:v>2.0622960545832068</c:v>
                </c:pt>
                <c:pt idx="5">
                  <c:v>3.1018566960808167</c:v>
                </c:pt>
                <c:pt idx="6">
                  <c:v>-2.2079137583022588</c:v>
                </c:pt>
                <c:pt idx="7">
                  <c:v>3.3901041246266823</c:v>
                </c:pt>
                <c:pt idx="8">
                  <c:v>3.4250471208859867</c:v>
                </c:pt>
                <c:pt idx="9">
                  <c:v>4.4665387020941933</c:v>
                </c:pt>
                <c:pt idx="10">
                  <c:v>3.9101531855155027</c:v>
                </c:pt>
                <c:pt idx="11">
                  <c:v>1.7374632440594429</c:v>
                </c:pt>
                <c:pt idx="12">
                  <c:v>42.239754718639233</c:v>
                </c:pt>
                <c:pt idx="13">
                  <c:v>7.1901257619858265</c:v>
                </c:pt>
                <c:pt idx="14">
                  <c:v>-30.404877486455035</c:v>
                </c:pt>
                <c:pt idx="15">
                  <c:v>1.880923898039933</c:v>
                </c:pt>
                <c:pt idx="16">
                  <c:v>0.18335531188467341</c:v>
                </c:pt>
                <c:pt idx="17">
                  <c:v>5.8629425606534245</c:v>
                </c:pt>
                <c:pt idx="18">
                  <c:v>2.9313575200136128</c:v>
                </c:pt>
                <c:pt idx="19">
                  <c:v>2.4772054078204944</c:v>
                </c:pt>
                <c:pt idx="20">
                  <c:v>1.9466154243638065</c:v>
                </c:pt>
                <c:pt idx="21">
                  <c:v>4.7423317256290174</c:v>
                </c:pt>
                <c:pt idx="22">
                  <c:v>3.5998638992854777</c:v>
                </c:pt>
                <c:pt idx="23">
                  <c:v>4.0258072049979345</c:v>
                </c:pt>
                <c:pt idx="24">
                  <c:v>2.2030140600005876</c:v>
                </c:pt>
                <c:pt idx="25">
                  <c:v>7.1901257619858265</c:v>
                </c:pt>
                <c:pt idx="26">
                  <c:v>0.2843492628693714</c:v>
                </c:pt>
                <c:pt idx="27">
                  <c:v>4.3521297656299796</c:v>
                </c:pt>
                <c:pt idx="28">
                  <c:v>2.9974602980325002</c:v>
                </c:pt>
                <c:pt idx="29">
                  <c:v>9.4615069250102568</c:v>
                </c:pt>
                <c:pt idx="30">
                  <c:v>0.7137933093412</c:v>
                </c:pt>
                <c:pt idx="31">
                  <c:v>1.5840079335137154</c:v>
                </c:pt>
                <c:pt idx="32">
                  <c:v>9.8582881033101319</c:v>
                </c:pt>
                <c:pt idx="33">
                  <c:v>3.6882672822632792</c:v>
                </c:pt>
                <c:pt idx="34">
                  <c:v>14.895271985430748</c:v>
                </c:pt>
                <c:pt idx="35">
                  <c:v>4.684630633333196</c:v>
                </c:pt>
              </c:numCache>
            </c:numRef>
          </c:val>
          <c:smooth val="0"/>
          <c:extLst>
            <c:ext xmlns:c16="http://schemas.microsoft.com/office/drawing/2014/chart" uri="{C3380CC4-5D6E-409C-BE32-E72D297353CC}">
              <c16:uniqueId val="{00000000-BCD6-4A99-97F5-0F1328155959}"/>
            </c:ext>
          </c:extLst>
        </c:ser>
        <c:ser>
          <c:idx val="1"/>
          <c:order val="1"/>
          <c:tx>
            <c:strRef>
              <c:f>'price per litre and marginal'!$V$1</c:f>
              <c:strCache>
                <c:ptCount val="1"/>
                <c:pt idx="0">
                  <c:v>Ground  Nut oil (price per litre) monthly % changemarginal</c:v>
                </c:pt>
              </c:strCache>
            </c:strRef>
          </c:tx>
          <c:marker>
            <c:symbol val="none"/>
          </c:marker>
          <c:cat>
            <c:multiLvlStrRef>
              <c:f>'price per litre and marginal'!$S$2:$T$37</c:f>
              <c:multiLvlStrCache>
                <c:ptCount val="36"/>
                <c:lvl>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pt idx="12">
                    <c:v>January</c:v>
                  </c:pt>
                  <c:pt idx="13">
                    <c:v>February</c:v>
                  </c:pt>
                  <c:pt idx="14">
                    <c:v>March</c:v>
                  </c:pt>
                  <c:pt idx="15">
                    <c:v>April</c:v>
                  </c:pt>
                  <c:pt idx="16">
                    <c:v>May</c:v>
                  </c:pt>
                  <c:pt idx="17">
                    <c:v>June</c:v>
                  </c:pt>
                  <c:pt idx="18">
                    <c:v>July</c:v>
                  </c:pt>
                  <c:pt idx="19">
                    <c:v>August</c:v>
                  </c:pt>
                  <c:pt idx="20">
                    <c:v>September</c:v>
                  </c:pt>
                  <c:pt idx="21">
                    <c:v>October</c:v>
                  </c:pt>
                  <c:pt idx="22">
                    <c:v>November</c:v>
                  </c:pt>
                  <c:pt idx="23">
                    <c:v>December</c:v>
                  </c:pt>
                  <c:pt idx="24">
                    <c:v>January</c:v>
                  </c:pt>
                  <c:pt idx="25">
                    <c:v>February</c:v>
                  </c:pt>
                  <c:pt idx="26">
                    <c:v>March</c:v>
                  </c:pt>
                  <c:pt idx="27">
                    <c:v>April</c:v>
                  </c:pt>
                  <c:pt idx="28">
                    <c:v>May</c:v>
                  </c:pt>
                  <c:pt idx="29">
                    <c:v>June</c:v>
                  </c:pt>
                  <c:pt idx="30">
                    <c:v>July</c:v>
                  </c:pt>
                  <c:pt idx="31">
                    <c:v>August</c:v>
                  </c:pt>
                  <c:pt idx="32">
                    <c:v>September</c:v>
                  </c:pt>
                  <c:pt idx="33">
                    <c:v>October</c:v>
                  </c:pt>
                  <c:pt idx="34">
                    <c:v>November</c:v>
                  </c:pt>
                  <c:pt idx="35">
                    <c:v>December</c:v>
                  </c:pt>
                </c:lvl>
                <c:lvl>
                  <c:pt idx="0">
                    <c:v>2022</c:v>
                  </c:pt>
                  <c:pt idx="12">
                    <c:v>2023</c:v>
                  </c:pt>
                  <c:pt idx="24">
                    <c:v>2024</c:v>
                  </c:pt>
                </c:lvl>
              </c:multiLvlStrCache>
            </c:multiLvlStrRef>
          </c:cat>
          <c:val>
            <c:numRef>
              <c:f>'price per litre and marginal'!$V$2:$V$37</c:f>
              <c:numCache>
                <c:formatCode>General</c:formatCode>
                <c:ptCount val="36"/>
                <c:pt idx="1">
                  <c:v>3.1781957284029581</c:v>
                </c:pt>
                <c:pt idx="2">
                  <c:v>2.7558933481632519</c:v>
                </c:pt>
                <c:pt idx="3">
                  <c:v>0.993214869158216</c:v>
                </c:pt>
                <c:pt idx="4">
                  <c:v>5.5940377897745321</c:v>
                </c:pt>
                <c:pt idx="5">
                  <c:v>2.3777078144824002</c:v>
                </c:pt>
                <c:pt idx="6">
                  <c:v>-3.6315233855051132</c:v>
                </c:pt>
                <c:pt idx="7">
                  <c:v>3.6054830013621912</c:v>
                </c:pt>
                <c:pt idx="8">
                  <c:v>2.3619947776837802</c:v>
                </c:pt>
                <c:pt idx="9">
                  <c:v>4.1326471037338921</c:v>
                </c:pt>
                <c:pt idx="10">
                  <c:v>3.4545517277071602</c:v>
                </c:pt>
                <c:pt idx="11">
                  <c:v>2.1736049158322093</c:v>
                </c:pt>
                <c:pt idx="12">
                  <c:v>53.490934016614155</c:v>
                </c:pt>
                <c:pt idx="13">
                  <c:v>6.8060628292848904</c:v>
                </c:pt>
                <c:pt idx="14">
                  <c:v>-35.66170065555329</c:v>
                </c:pt>
                <c:pt idx="15">
                  <c:v>1.9302928319987824</c:v>
                </c:pt>
                <c:pt idx="16">
                  <c:v>0.97533206831118868</c:v>
                </c:pt>
                <c:pt idx="17">
                  <c:v>4.3063855376404447</c:v>
                </c:pt>
                <c:pt idx="18">
                  <c:v>2.3168833415006667</c:v>
                </c:pt>
                <c:pt idx="19">
                  <c:v>3.5815155762472011</c:v>
                </c:pt>
                <c:pt idx="20">
                  <c:v>1.7359788935429363</c:v>
                </c:pt>
                <c:pt idx="21">
                  <c:v>7.2224413001196384</c:v>
                </c:pt>
                <c:pt idx="22">
                  <c:v>8.3984216727027938</c:v>
                </c:pt>
                <c:pt idx="23">
                  <c:v>3.9098081611997775</c:v>
                </c:pt>
                <c:pt idx="24">
                  <c:v>4.0964055452558155</c:v>
                </c:pt>
                <c:pt idx="25">
                  <c:v>6.8060628292848904</c:v>
                </c:pt>
                <c:pt idx="26">
                  <c:v>7.78002877067581</c:v>
                </c:pt>
                <c:pt idx="27">
                  <c:v>3.0725676468279324</c:v>
                </c:pt>
                <c:pt idx="28">
                  <c:v>5.3808102803989355</c:v>
                </c:pt>
                <c:pt idx="29">
                  <c:v>9.0556186248623547</c:v>
                </c:pt>
                <c:pt idx="30">
                  <c:v>3.9073800435886241</c:v>
                </c:pt>
                <c:pt idx="31">
                  <c:v>2.2937139555215422</c:v>
                </c:pt>
                <c:pt idx="32">
                  <c:v>4.0073507834966904</c:v>
                </c:pt>
                <c:pt idx="33">
                  <c:v>3.2950213190665592</c:v>
                </c:pt>
                <c:pt idx="34">
                  <c:v>8.0732829848544849</c:v>
                </c:pt>
                <c:pt idx="35">
                  <c:v>5.1428264536958945</c:v>
                </c:pt>
              </c:numCache>
            </c:numRef>
          </c:val>
          <c:smooth val="0"/>
          <c:extLst>
            <c:ext xmlns:c16="http://schemas.microsoft.com/office/drawing/2014/chart" uri="{C3380CC4-5D6E-409C-BE32-E72D297353CC}">
              <c16:uniqueId val="{00000001-BCD6-4A99-97F5-0F1328155959}"/>
            </c:ext>
          </c:extLst>
        </c:ser>
        <c:ser>
          <c:idx val="2"/>
          <c:order val="2"/>
          <c:tx>
            <c:strRef>
              <c:f>'price per litre and marginal'!$W$1</c:f>
              <c:strCache>
                <c:ptCount val="1"/>
                <c:pt idx="0">
                  <c:v>Vegetable oil (price per litre)monthly % Change</c:v>
                </c:pt>
              </c:strCache>
            </c:strRef>
          </c:tx>
          <c:marker>
            <c:symbol val="none"/>
          </c:marker>
          <c:cat>
            <c:multiLvlStrRef>
              <c:f>'price per litre and marginal'!$S$2:$T$37</c:f>
              <c:multiLvlStrCache>
                <c:ptCount val="36"/>
                <c:lvl>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pt idx="12">
                    <c:v>January</c:v>
                  </c:pt>
                  <c:pt idx="13">
                    <c:v>February</c:v>
                  </c:pt>
                  <c:pt idx="14">
                    <c:v>March</c:v>
                  </c:pt>
                  <c:pt idx="15">
                    <c:v>April</c:v>
                  </c:pt>
                  <c:pt idx="16">
                    <c:v>May</c:v>
                  </c:pt>
                  <c:pt idx="17">
                    <c:v>June</c:v>
                  </c:pt>
                  <c:pt idx="18">
                    <c:v>July</c:v>
                  </c:pt>
                  <c:pt idx="19">
                    <c:v>August</c:v>
                  </c:pt>
                  <c:pt idx="20">
                    <c:v>September</c:v>
                  </c:pt>
                  <c:pt idx="21">
                    <c:v>October</c:v>
                  </c:pt>
                  <c:pt idx="22">
                    <c:v>November</c:v>
                  </c:pt>
                  <c:pt idx="23">
                    <c:v>December</c:v>
                  </c:pt>
                  <c:pt idx="24">
                    <c:v>January</c:v>
                  </c:pt>
                  <c:pt idx="25">
                    <c:v>February</c:v>
                  </c:pt>
                  <c:pt idx="26">
                    <c:v>March</c:v>
                  </c:pt>
                  <c:pt idx="27">
                    <c:v>April</c:v>
                  </c:pt>
                  <c:pt idx="28">
                    <c:v>May</c:v>
                  </c:pt>
                  <c:pt idx="29">
                    <c:v>June</c:v>
                  </c:pt>
                  <c:pt idx="30">
                    <c:v>July</c:v>
                  </c:pt>
                  <c:pt idx="31">
                    <c:v>August</c:v>
                  </c:pt>
                  <c:pt idx="32">
                    <c:v>September</c:v>
                  </c:pt>
                  <c:pt idx="33">
                    <c:v>October</c:v>
                  </c:pt>
                  <c:pt idx="34">
                    <c:v>November</c:v>
                  </c:pt>
                  <c:pt idx="35">
                    <c:v>December</c:v>
                  </c:pt>
                </c:lvl>
                <c:lvl>
                  <c:pt idx="0">
                    <c:v>2022</c:v>
                  </c:pt>
                  <c:pt idx="12">
                    <c:v>2023</c:v>
                  </c:pt>
                  <c:pt idx="24">
                    <c:v>2024</c:v>
                  </c:pt>
                </c:lvl>
              </c:multiLvlStrCache>
            </c:multiLvlStrRef>
          </c:cat>
          <c:val>
            <c:numRef>
              <c:f>'price per litre and marginal'!$W$2:$W$37</c:f>
              <c:numCache>
                <c:formatCode>General</c:formatCode>
                <c:ptCount val="36"/>
                <c:pt idx="1">
                  <c:v>3.2255962465789461</c:v>
                </c:pt>
                <c:pt idx="2">
                  <c:v>2.3051995875681213</c:v>
                </c:pt>
                <c:pt idx="3">
                  <c:v>0.9039768812283353</c:v>
                </c:pt>
                <c:pt idx="4">
                  <c:v>3.4224795140445967</c:v>
                </c:pt>
                <c:pt idx="5">
                  <c:v>2.6046080769458237</c:v>
                </c:pt>
                <c:pt idx="6">
                  <c:v>-2.5932364551418225</c:v>
                </c:pt>
                <c:pt idx="7">
                  <c:v>3.4826508376307768</c:v>
                </c:pt>
                <c:pt idx="8">
                  <c:v>2.5155075322299489</c:v>
                </c:pt>
                <c:pt idx="9">
                  <c:v>2.8060489455241306</c:v>
                </c:pt>
                <c:pt idx="10">
                  <c:v>3.3370099811948393</c:v>
                </c:pt>
                <c:pt idx="11">
                  <c:v>1.6421840960988281</c:v>
                </c:pt>
                <c:pt idx="12">
                  <c:v>53.454241839966627</c:v>
                </c:pt>
                <c:pt idx="13">
                  <c:v>5.3871222872271778</c:v>
                </c:pt>
                <c:pt idx="14">
                  <c:v>-35.032281071529304</c:v>
                </c:pt>
                <c:pt idx="15">
                  <c:v>1.553308974127906</c:v>
                </c:pt>
                <c:pt idx="16">
                  <c:v>1.8893496184191378</c:v>
                </c:pt>
                <c:pt idx="17">
                  <c:v>4.6904196357878076</c:v>
                </c:pt>
                <c:pt idx="18">
                  <c:v>3.2467630687318612</c:v>
                </c:pt>
                <c:pt idx="19">
                  <c:v>1.7558252818330338</c:v>
                </c:pt>
                <c:pt idx="20">
                  <c:v>1.7903163108109974</c:v>
                </c:pt>
                <c:pt idx="21">
                  <c:v>5.3556905538150366</c:v>
                </c:pt>
                <c:pt idx="22">
                  <c:v>8.0846322177025094</c:v>
                </c:pt>
                <c:pt idx="23">
                  <c:v>6.1713597237575923</c:v>
                </c:pt>
                <c:pt idx="24">
                  <c:v>4.2829984498844764</c:v>
                </c:pt>
                <c:pt idx="25">
                  <c:v>5.3871222872271778</c:v>
                </c:pt>
                <c:pt idx="26">
                  <c:v>6.6446314422427042</c:v>
                </c:pt>
                <c:pt idx="27">
                  <c:v>3.7212087939510372</c:v>
                </c:pt>
                <c:pt idx="28">
                  <c:v>7.3505564885165455</c:v>
                </c:pt>
                <c:pt idx="29">
                  <c:v>7.8069180670291365</c:v>
                </c:pt>
                <c:pt idx="30">
                  <c:v>3.0688442252841797</c:v>
                </c:pt>
                <c:pt idx="31">
                  <c:v>2.9512495209665377</c:v>
                </c:pt>
                <c:pt idx="32">
                  <c:v>2.177022150299162</c:v>
                </c:pt>
                <c:pt idx="33">
                  <c:v>4.2754643033819404</c:v>
                </c:pt>
                <c:pt idx="34">
                  <c:v>15.736109680930802</c:v>
                </c:pt>
                <c:pt idx="35">
                  <c:v>6.8565799717195386</c:v>
                </c:pt>
              </c:numCache>
            </c:numRef>
          </c:val>
          <c:smooth val="0"/>
          <c:extLst>
            <c:ext xmlns:c16="http://schemas.microsoft.com/office/drawing/2014/chart" uri="{C3380CC4-5D6E-409C-BE32-E72D297353CC}">
              <c16:uniqueId val="{00000002-BCD6-4A99-97F5-0F1328155959}"/>
            </c:ext>
          </c:extLst>
        </c:ser>
        <c:ser>
          <c:idx val="3"/>
          <c:order val="3"/>
          <c:tx>
            <c:strRef>
              <c:f>'price per litre and marginal'!$X$1</c:f>
              <c:strCache>
                <c:ptCount val="1"/>
                <c:pt idx="0">
                  <c:v>petrol price (price per litre)monthly % change</c:v>
                </c:pt>
              </c:strCache>
            </c:strRef>
          </c:tx>
          <c:marker>
            <c:symbol val="none"/>
          </c:marker>
          <c:cat>
            <c:multiLvlStrRef>
              <c:f>'price per litre and marginal'!$S$2:$T$37</c:f>
              <c:multiLvlStrCache>
                <c:ptCount val="36"/>
                <c:lvl>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pt idx="12">
                    <c:v>January</c:v>
                  </c:pt>
                  <c:pt idx="13">
                    <c:v>February</c:v>
                  </c:pt>
                  <c:pt idx="14">
                    <c:v>March</c:v>
                  </c:pt>
                  <c:pt idx="15">
                    <c:v>April</c:v>
                  </c:pt>
                  <c:pt idx="16">
                    <c:v>May</c:v>
                  </c:pt>
                  <c:pt idx="17">
                    <c:v>June</c:v>
                  </c:pt>
                  <c:pt idx="18">
                    <c:v>July</c:v>
                  </c:pt>
                  <c:pt idx="19">
                    <c:v>August</c:v>
                  </c:pt>
                  <c:pt idx="20">
                    <c:v>September</c:v>
                  </c:pt>
                  <c:pt idx="21">
                    <c:v>October</c:v>
                  </c:pt>
                  <c:pt idx="22">
                    <c:v>November</c:v>
                  </c:pt>
                  <c:pt idx="23">
                    <c:v>December</c:v>
                  </c:pt>
                  <c:pt idx="24">
                    <c:v>January</c:v>
                  </c:pt>
                  <c:pt idx="25">
                    <c:v>February</c:v>
                  </c:pt>
                  <c:pt idx="26">
                    <c:v>March</c:v>
                  </c:pt>
                  <c:pt idx="27">
                    <c:v>April</c:v>
                  </c:pt>
                  <c:pt idx="28">
                    <c:v>May</c:v>
                  </c:pt>
                  <c:pt idx="29">
                    <c:v>June</c:v>
                  </c:pt>
                  <c:pt idx="30">
                    <c:v>July</c:v>
                  </c:pt>
                  <c:pt idx="31">
                    <c:v>August</c:v>
                  </c:pt>
                  <c:pt idx="32">
                    <c:v>September</c:v>
                  </c:pt>
                  <c:pt idx="33">
                    <c:v>October</c:v>
                  </c:pt>
                  <c:pt idx="34">
                    <c:v>November</c:v>
                  </c:pt>
                  <c:pt idx="35">
                    <c:v>December</c:v>
                  </c:pt>
                </c:lvl>
                <c:lvl>
                  <c:pt idx="0">
                    <c:v>2022</c:v>
                  </c:pt>
                  <c:pt idx="12">
                    <c:v>2023</c:v>
                  </c:pt>
                  <c:pt idx="24">
                    <c:v>2024</c:v>
                  </c:pt>
                </c:lvl>
              </c:multiLvlStrCache>
            </c:multiLvlStrRef>
          </c:cat>
          <c:val>
            <c:numRef>
              <c:f>'price per litre and marginal'!$X$2:$X$37</c:f>
              <c:numCache>
                <c:formatCode>General</c:formatCode>
                <c:ptCount val="36"/>
                <c:pt idx="1">
                  <c:v>2.4158653846153548</c:v>
                </c:pt>
                <c:pt idx="2">
                  <c:v>8.7313695575636707</c:v>
                </c:pt>
                <c:pt idx="3">
                  <c:v>-6.8483540205072755</c:v>
                </c:pt>
                <c:pt idx="4">
                  <c:v>0.2722901338277034</c:v>
                </c:pt>
                <c:pt idx="5">
                  <c:v>1.623526692858771</c:v>
                </c:pt>
                <c:pt idx="6">
                  <c:v>8.0277446131104693</c:v>
                </c:pt>
                <c:pt idx="7">
                  <c:v>-0.28945844955527888</c:v>
                </c:pt>
                <c:pt idx="8">
                  <c:v>1.155916816214503</c:v>
                </c:pt>
                <c:pt idx="9">
                  <c:v>1.8992955909209426</c:v>
                </c:pt>
                <c:pt idx="10">
                  <c:v>3.6817041323160442</c:v>
                </c:pt>
                <c:pt idx="11">
                  <c:v>1.832279731331494</c:v>
                </c:pt>
                <c:pt idx="12">
                  <c:v>24.700518938842819</c:v>
                </c:pt>
                <c:pt idx="13">
                  <c:v>2.5824517734909715</c:v>
                </c:pt>
                <c:pt idx="14">
                  <c:v>0.20094024871096242</c:v>
                </c:pt>
                <c:pt idx="15">
                  <c:v>-3.8707480419236378</c:v>
                </c:pt>
                <c:pt idx="16">
                  <c:v>-6.2780445564039855</c:v>
                </c:pt>
                <c:pt idx="17">
                  <c:v>129.234387467977</c:v>
                </c:pt>
                <c:pt idx="18">
                  <c:v>9.9884579447813397</c:v>
                </c:pt>
                <c:pt idx="19">
                  <c:v>4.3891063546264695</c:v>
                </c:pt>
                <c:pt idx="20">
                  <c:v>-7.8187330461147134E-2</c:v>
                </c:pt>
                <c:pt idx="21">
                  <c:v>0.70583350633173514</c:v>
                </c:pt>
                <c:pt idx="22">
                  <c:v>2.9018600447171803</c:v>
                </c:pt>
                <c:pt idx="23">
                  <c:v>3.5335090071348318</c:v>
                </c:pt>
                <c:pt idx="24">
                  <c:v>-0.52987229482333509</c:v>
                </c:pt>
                <c:pt idx="25">
                  <c:v>1.6549453838096753</c:v>
                </c:pt>
                <c:pt idx="26">
                  <c:v>2.5656500235515707</c:v>
                </c:pt>
                <c:pt idx="27">
                  <c:v>0.63864291967452214</c:v>
                </c:pt>
                <c:pt idx="28">
                  <c:v>9.7512977012149911</c:v>
                </c:pt>
                <c:pt idx="29">
                  <c:v>-2.5272212260596212</c:v>
                </c:pt>
                <c:pt idx="30">
                  <c:v>2.7153845128437601</c:v>
                </c:pt>
                <c:pt idx="31">
                  <c:v>7.7763646274042024</c:v>
                </c:pt>
                <c:pt idx="32">
                  <c:v>24.083038316113889</c:v>
                </c:pt>
                <c:pt idx="33">
                  <c:v>14.980688236321729</c:v>
                </c:pt>
                <c:pt idx="34">
                  <c:v>2.4763046175400807</c:v>
                </c:pt>
                <c:pt idx="35">
                  <c:v>-2.0631377813650951</c:v>
                </c:pt>
              </c:numCache>
            </c:numRef>
          </c:val>
          <c:smooth val="0"/>
          <c:extLst>
            <c:ext xmlns:c16="http://schemas.microsoft.com/office/drawing/2014/chart" uri="{C3380CC4-5D6E-409C-BE32-E72D297353CC}">
              <c16:uniqueId val="{00000003-BCD6-4A99-97F5-0F1328155959}"/>
            </c:ext>
          </c:extLst>
        </c:ser>
        <c:ser>
          <c:idx val="4"/>
          <c:order val="4"/>
          <c:tx>
            <c:strRef>
              <c:f>'price per litre and marginal'!$Y$1</c:f>
              <c:strCache>
                <c:ptCount val="1"/>
                <c:pt idx="0">
                  <c:v>inter city transport fare monthly % change</c:v>
                </c:pt>
              </c:strCache>
            </c:strRef>
          </c:tx>
          <c:marker>
            <c:symbol val="none"/>
          </c:marker>
          <c:cat>
            <c:multiLvlStrRef>
              <c:f>'price per litre and marginal'!$S$2:$T$37</c:f>
              <c:multiLvlStrCache>
                <c:ptCount val="36"/>
                <c:lvl>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pt idx="12">
                    <c:v>January</c:v>
                  </c:pt>
                  <c:pt idx="13">
                    <c:v>February</c:v>
                  </c:pt>
                  <c:pt idx="14">
                    <c:v>March</c:v>
                  </c:pt>
                  <c:pt idx="15">
                    <c:v>April</c:v>
                  </c:pt>
                  <c:pt idx="16">
                    <c:v>May</c:v>
                  </c:pt>
                  <c:pt idx="17">
                    <c:v>June</c:v>
                  </c:pt>
                  <c:pt idx="18">
                    <c:v>July</c:v>
                  </c:pt>
                  <c:pt idx="19">
                    <c:v>August</c:v>
                  </c:pt>
                  <c:pt idx="20">
                    <c:v>September</c:v>
                  </c:pt>
                  <c:pt idx="21">
                    <c:v>October</c:v>
                  </c:pt>
                  <c:pt idx="22">
                    <c:v>November</c:v>
                  </c:pt>
                  <c:pt idx="23">
                    <c:v>December</c:v>
                  </c:pt>
                  <c:pt idx="24">
                    <c:v>January</c:v>
                  </c:pt>
                  <c:pt idx="25">
                    <c:v>February</c:v>
                  </c:pt>
                  <c:pt idx="26">
                    <c:v>March</c:v>
                  </c:pt>
                  <c:pt idx="27">
                    <c:v>April</c:v>
                  </c:pt>
                  <c:pt idx="28">
                    <c:v>May</c:v>
                  </c:pt>
                  <c:pt idx="29">
                    <c:v>June</c:v>
                  </c:pt>
                  <c:pt idx="30">
                    <c:v>July</c:v>
                  </c:pt>
                  <c:pt idx="31">
                    <c:v>August</c:v>
                  </c:pt>
                  <c:pt idx="32">
                    <c:v>September</c:v>
                  </c:pt>
                  <c:pt idx="33">
                    <c:v>October</c:v>
                  </c:pt>
                  <c:pt idx="34">
                    <c:v>November</c:v>
                  </c:pt>
                  <c:pt idx="35">
                    <c:v>December</c:v>
                  </c:pt>
                </c:lvl>
                <c:lvl>
                  <c:pt idx="0">
                    <c:v>2022</c:v>
                  </c:pt>
                  <c:pt idx="12">
                    <c:v>2023</c:v>
                  </c:pt>
                  <c:pt idx="24">
                    <c:v>2024</c:v>
                  </c:pt>
                </c:lvl>
              </c:multiLvlStrCache>
            </c:multiLvlStrRef>
          </c:cat>
          <c:val>
            <c:numRef>
              <c:f>'price per litre and marginal'!$Y$2:$Y$37</c:f>
              <c:numCache>
                <c:formatCode>General</c:formatCode>
                <c:ptCount val="36"/>
                <c:pt idx="1">
                  <c:v>217.28205881735587</c:v>
                </c:pt>
                <c:pt idx="2">
                  <c:v>-110.08136728178769</c:v>
                </c:pt>
                <c:pt idx="3">
                  <c:v>53.362543115502937</c:v>
                </c:pt>
                <c:pt idx="4">
                  <c:v>19.537712042618775</c:v>
                </c:pt>
                <c:pt idx="5">
                  <c:v>-0.99176678870382007</c:v>
                </c:pt>
                <c:pt idx="6">
                  <c:v>16.407202073428081</c:v>
                </c:pt>
                <c:pt idx="7">
                  <c:v>3.5668663005789938</c:v>
                </c:pt>
                <c:pt idx="8">
                  <c:v>1.6757644638383151</c:v>
                </c:pt>
                <c:pt idx="9">
                  <c:v>8.7542986354286061</c:v>
                </c:pt>
                <c:pt idx="10">
                  <c:v>0.41926416783130088</c:v>
                </c:pt>
                <c:pt idx="11">
                  <c:v>19.265421440903886</c:v>
                </c:pt>
                <c:pt idx="12">
                  <c:v>4.2192783793007589</c:v>
                </c:pt>
                <c:pt idx="13">
                  <c:v>-1.1862323294407437</c:v>
                </c:pt>
                <c:pt idx="14">
                  <c:v>0.25635481977952307</c:v>
                </c:pt>
                <c:pt idx="15">
                  <c:v>0.33633670698590828</c:v>
                </c:pt>
                <c:pt idx="16">
                  <c:v>1.1757082021847638</c:v>
                </c:pt>
                <c:pt idx="17">
                  <c:v>259.29124524699876</c:v>
                </c:pt>
                <c:pt idx="18">
                  <c:v>17.837730244522202</c:v>
                </c:pt>
                <c:pt idx="19">
                  <c:v>-9.8032612681340947E-2</c:v>
                </c:pt>
                <c:pt idx="20">
                  <c:v>-7.6325596013142732E-2</c:v>
                </c:pt>
                <c:pt idx="21">
                  <c:v>-2.3531170578561684</c:v>
                </c:pt>
                <c:pt idx="22">
                  <c:v>28.716548823055533</c:v>
                </c:pt>
                <c:pt idx="23">
                  <c:v>114.12603566110495</c:v>
                </c:pt>
                <c:pt idx="24">
                  <c:v>19.371884346959131</c:v>
                </c:pt>
                <c:pt idx="25">
                  <c:v>-59.588116838630611</c:v>
                </c:pt>
                <c:pt idx="26">
                  <c:v>15.761269307554901</c:v>
                </c:pt>
                <c:pt idx="27">
                  <c:v>-3.1362192052160838</c:v>
                </c:pt>
                <c:pt idx="28">
                  <c:v>0.71195337687033222</c:v>
                </c:pt>
                <c:pt idx="29">
                  <c:v>-3.8347266617490665</c:v>
                </c:pt>
                <c:pt idx="30">
                  <c:v>2.6090205276158001</c:v>
                </c:pt>
                <c:pt idx="31">
                  <c:v>4.4376783611461734</c:v>
                </c:pt>
                <c:pt idx="32">
                  <c:v>1.8473572209122302</c:v>
                </c:pt>
                <c:pt idx="33">
                  <c:v>1.3966263023873278</c:v>
                </c:pt>
                <c:pt idx="34">
                  <c:v>1.563618344987042</c:v>
                </c:pt>
                <c:pt idx="35">
                  <c:v>40.923413711897595</c:v>
                </c:pt>
              </c:numCache>
            </c:numRef>
          </c:val>
          <c:smooth val="0"/>
          <c:extLst>
            <c:ext xmlns:c16="http://schemas.microsoft.com/office/drawing/2014/chart" uri="{C3380CC4-5D6E-409C-BE32-E72D297353CC}">
              <c16:uniqueId val="{00000004-BCD6-4A99-97F5-0F1328155959}"/>
            </c:ext>
          </c:extLst>
        </c:ser>
        <c:ser>
          <c:idx val="5"/>
          <c:order val="5"/>
          <c:tx>
            <c:strRef>
              <c:f>'price per litre and marginal'!$Z$1</c:f>
              <c:strCache>
                <c:ptCount val="1"/>
                <c:pt idx="0">
                  <c:v>transport fare within city monthly % change</c:v>
                </c:pt>
              </c:strCache>
            </c:strRef>
          </c:tx>
          <c:marker>
            <c:symbol val="none"/>
          </c:marker>
          <c:cat>
            <c:multiLvlStrRef>
              <c:f>'price per litre and marginal'!$S$2:$T$37</c:f>
              <c:multiLvlStrCache>
                <c:ptCount val="36"/>
                <c:lvl>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pt idx="12">
                    <c:v>January</c:v>
                  </c:pt>
                  <c:pt idx="13">
                    <c:v>February</c:v>
                  </c:pt>
                  <c:pt idx="14">
                    <c:v>March</c:v>
                  </c:pt>
                  <c:pt idx="15">
                    <c:v>April</c:v>
                  </c:pt>
                  <c:pt idx="16">
                    <c:v>May</c:v>
                  </c:pt>
                  <c:pt idx="17">
                    <c:v>June</c:v>
                  </c:pt>
                  <c:pt idx="18">
                    <c:v>July</c:v>
                  </c:pt>
                  <c:pt idx="19">
                    <c:v>August</c:v>
                  </c:pt>
                  <c:pt idx="20">
                    <c:v>September</c:v>
                  </c:pt>
                  <c:pt idx="21">
                    <c:v>October</c:v>
                  </c:pt>
                  <c:pt idx="22">
                    <c:v>November</c:v>
                  </c:pt>
                  <c:pt idx="23">
                    <c:v>December</c:v>
                  </c:pt>
                  <c:pt idx="24">
                    <c:v>January</c:v>
                  </c:pt>
                  <c:pt idx="25">
                    <c:v>February</c:v>
                  </c:pt>
                  <c:pt idx="26">
                    <c:v>March</c:v>
                  </c:pt>
                  <c:pt idx="27">
                    <c:v>April</c:v>
                  </c:pt>
                  <c:pt idx="28">
                    <c:v>May</c:v>
                  </c:pt>
                  <c:pt idx="29">
                    <c:v>June</c:v>
                  </c:pt>
                  <c:pt idx="30">
                    <c:v>July</c:v>
                  </c:pt>
                  <c:pt idx="31">
                    <c:v>August</c:v>
                  </c:pt>
                  <c:pt idx="32">
                    <c:v>September</c:v>
                  </c:pt>
                  <c:pt idx="33">
                    <c:v>October</c:v>
                  </c:pt>
                  <c:pt idx="34">
                    <c:v>November</c:v>
                  </c:pt>
                  <c:pt idx="35">
                    <c:v>December</c:v>
                  </c:pt>
                </c:lvl>
                <c:lvl>
                  <c:pt idx="0">
                    <c:v>2022</c:v>
                  </c:pt>
                  <c:pt idx="12">
                    <c:v>2023</c:v>
                  </c:pt>
                  <c:pt idx="24">
                    <c:v>2024</c:v>
                  </c:pt>
                </c:lvl>
              </c:multiLvlStrCache>
            </c:multiLvlStrRef>
          </c:cat>
          <c:val>
            <c:numRef>
              <c:f>'price per litre and marginal'!$Z$2:$Z$37</c:f>
              <c:numCache>
                <c:formatCode>General</c:formatCode>
                <c:ptCount val="36"/>
                <c:pt idx="1">
                  <c:v>1.3325765526498048</c:v>
                </c:pt>
                <c:pt idx="2">
                  <c:v>0.58986823756337703</c:v>
                </c:pt>
                <c:pt idx="3">
                  <c:v>1.0483225005655861</c:v>
                </c:pt>
                <c:pt idx="4">
                  <c:v>0.31345318583697762</c:v>
                </c:pt>
                <c:pt idx="5">
                  <c:v>2.2351607135070492E-2</c:v>
                </c:pt>
                <c:pt idx="6">
                  <c:v>0.55038808366117264</c:v>
                </c:pt>
                <c:pt idx="7">
                  <c:v>-1.5963985249263346E-3</c:v>
                </c:pt>
                <c:pt idx="8">
                  <c:v>0.90265505455084671</c:v>
                </c:pt>
                <c:pt idx="9">
                  <c:v>0</c:v>
                </c:pt>
                <c:pt idx="10">
                  <c:v>7.0206276441109492E-3</c:v>
                </c:pt>
                <c:pt idx="11">
                  <c:v>0.19644119236685625</c:v>
                </c:pt>
                <c:pt idx="12">
                  <c:v>0.15461243648047879</c:v>
                </c:pt>
                <c:pt idx="13">
                  <c:v>-8.1532205221062248E-2</c:v>
                </c:pt>
                <c:pt idx="14">
                  <c:v>1.5536121482446803E-2</c:v>
                </c:pt>
                <c:pt idx="15">
                  <c:v>-1.0019136550802918E-3</c:v>
                </c:pt>
                <c:pt idx="16">
                  <c:v>3.6800232317113941E-2</c:v>
                </c:pt>
                <c:pt idx="17">
                  <c:v>16.406890279249186</c:v>
                </c:pt>
                <c:pt idx="18">
                  <c:v>0.52879720178880063</c:v>
                </c:pt>
                <c:pt idx="19">
                  <c:v>1.5204012507858873E-3</c:v>
                </c:pt>
                <c:pt idx="20">
                  <c:v>2.3993862978142693E-2</c:v>
                </c:pt>
                <c:pt idx="21">
                  <c:v>-3.7264498509420059</c:v>
                </c:pt>
                <c:pt idx="22">
                  <c:v>-1.1835505837898121</c:v>
                </c:pt>
                <c:pt idx="23">
                  <c:v>-2.3352823558413487</c:v>
                </c:pt>
                <c:pt idx="24">
                  <c:v>0.81976071849297971</c:v>
                </c:pt>
                <c:pt idx="25">
                  <c:v>-0.15415010894770048</c:v>
                </c:pt>
                <c:pt idx="26">
                  <c:v>0.25160753223275278</c:v>
                </c:pt>
                <c:pt idx="27">
                  <c:v>-2.1809122644161422E-2</c:v>
                </c:pt>
                <c:pt idx="28">
                  <c:v>0.11681176878570587</c:v>
                </c:pt>
                <c:pt idx="29">
                  <c:v>-0.17532884678503041</c:v>
                </c:pt>
                <c:pt idx="30">
                  <c:v>-0.29568402840935581</c:v>
                </c:pt>
                <c:pt idx="31">
                  <c:v>-1.0293417186887484</c:v>
                </c:pt>
                <c:pt idx="32">
                  <c:v>0.4184942031009925</c:v>
                </c:pt>
                <c:pt idx="33">
                  <c:v>0.12320454463098694</c:v>
                </c:pt>
                <c:pt idx="34">
                  <c:v>-5.1199145196878945E-2</c:v>
                </c:pt>
                <c:pt idx="35">
                  <c:v>0.26895979071956838</c:v>
                </c:pt>
              </c:numCache>
            </c:numRef>
          </c:val>
          <c:smooth val="0"/>
          <c:extLst>
            <c:ext xmlns:c16="http://schemas.microsoft.com/office/drawing/2014/chart" uri="{C3380CC4-5D6E-409C-BE32-E72D297353CC}">
              <c16:uniqueId val="{00000005-BCD6-4A99-97F5-0F1328155959}"/>
            </c:ext>
          </c:extLst>
        </c:ser>
        <c:dLbls>
          <c:showLegendKey val="0"/>
          <c:showVal val="0"/>
          <c:showCatName val="0"/>
          <c:showSerName val="0"/>
          <c:showPercent val="0"/>
          <c:showBubbleSize val="0"/>
        </c:dLbls>
        <c:smooth val="0"/>
        <c:axId val="305299840"/>
        <c:axId val="305301376"/>
      </c:lineChart>
      <c:catAx>
        <c:axId val="305299840"/>
        <c:scaling>
          <c:orientation val="minMax"/>
        </c:scaling>
        <c:delete val="0"/>
        <c:axPos val="b"/>
        <c:numFmt formatCode="General" sourceLinked="0"/>
        <c:majorTickMark val="out"/>
        <c:minorTickMark val="none"/>
        <c:tickLblPos val="nextTo"/>
        <c:crossAx val="305301376"/>
        <c:crosses val="autoZero"/>
        <c:auto val="1"/>
        <c:lblAlgn val="ctr"/>
        <c:lblOffset val="100"/>
        <c:noMultiLvlLbl val="0"/>
      </c:catAx>
      <c:valAx>
        <c:axId val="305301376"/>
        <c:scaling>
          <c:orientation val="minMax"/>
        </c:scaling>
        <c:delete val="0"/>
        <c:axPos val="l"/>
        <c:majorGridlines/>
        <c:numFmt formatCode="General" sourceLinked="1"/>
        <c:majorTickMark val="out"/>
        <c:minorTickMark val="none"/>
        <c:tickLblPos val="nextTo"/>
        <c:crossAx val="305299840"/>
        <c:crosses val="autoZero"/>
        <c:crossBetween val="between"/>
      </c:valAx>
    </c:plotArea>
    <c:legend>
      <c:legendPos val="r"/>
      <c:layout>
        <c:manualLayout>
          <c:xMode val="edge"/>
          <c:yMode val="edge"/>
          <c:x val="0.77856089180905352"/>
          <c:y val="0.16441407259325744"/>
          <c:w val="0.20810137143453095"/>
          <c:h val="0.6435376377952756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15</Pages>
  <Words>3932</Words>
  <Characters>22418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Nannim Dandam</dc:creator>
  <cp:keywords/>
  <dc:description/>
  <cp:lastModifiedBy>theaisha1707@gmail.com</cp:lastModifiedBy>
  <cp:revision>10</cp:revision>
  <dcterms:created xsi:type="dcterms:W3CDTF">2026-03-09T13:53:00Z</dcterms:created>
  <dcterms:modified xsi:type="dcterms:W3CDTF">2026-03-18T06:11:00Z</dcterms:modified>
</cp:coreProperties>
</file>