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C080" w14:textId="77777777" w:rsidR="00BC1BBF" w:rsidRPr="00CC1E21" w:rsidRDefault="00BC1BBF" w:rsidP="00CC1E21">
      <w:pPr>
        <w:spacing w:after="80"/>
        <w:jc w:val="both"/>
      </w:pPr>
    </w:p>
    <w:p w14:paraId="7F5CAB90" w14:textId="77777777" w:rsidR="00BC1BBF" w:rsidRPr="00CC1E21" w:rsidRDefault="00CC1E21" w:rsidP="00CC1E21">
      <w:pPr>
        <w:spacing w:after="80"/>
        <w:jc w:val="center"/>
      </w:pPr>
      <w:r w:rsidRPr="00CC1E21">
        <w:rPr>
          <w:b/>
          <w:bCs/>
          <w:sz w:val="34"/>
          <w:szCs w:val="34"/>
        </w:rPr>
        <w:t>INVESTOR AI MONITORING CAPABILITY AND ESG DISCLOSURE GRANULARITY:</w:t>
      </w:r>
    </w:p>
    <w:p w14:paraId="212EB4F1" w14:textId="77777777" w:rsidR="00BC1BBF" w:rsidRDefault="00CC1E21" w:rsidP="00CC1E21">
      <w:pPr>
        <w:spacing w:after="80"/>
        <w:jc w:val="center"/>
        <w:rPr>
          <w:b/>
          <w:bCs/>
          <w:sz w:val="28"/>
          <w:szCs w:val="28"/>
        </w:rPr>
      </w:pPr>
      <w:r w:rsidRPr="00CC1E21">
        <w:rPr>
          <w:b/>
          <w:bCs/>
          <w:sz w:val="28"/>
          <w:szCs w:val="28"/>
        </w:rPr>
        <w:t>EVIDENCE FROM EAST AFRICAN BANKING</w:t>
      </w:r>
    </w:p>
    <w:p w14:paraId="18B795E2" w14:textId="77777777" w:rsidR="00BC1BBF" w:rsidRPr="00CC1E21" w:rsidRDefault="00CC1E21" w:rsidP="00CC1E21">
      <w:pPr>
        <w:spacing w:after="120"/>
        <w:jc w:val="both"/>
      </w:pPr>
      <w:r w:rsidRPr="00CC1E21">
        <w:rPr>
          <w:b/>
          <w:bCs/>
          <w:sz w:val="24"/>
          <w:szCs w:val="24"/>
        </w:rPr>
        <w:t>ABSTRACT</w:t>
      </w:r>
    </w:p>
    <w:p w14:paraId="55FDBC2B" w14:textId="77777777" w:rsidR="00BA7A02" w:rsidRPr="00BA7A02" w:rsidRDefault="00BA7A02" w:rsidP="00BA7A02">
      <w:pPr>
        <w:spacing w:after="120" w:line="336" w:lineRule="auto"/>
        <w:jc w:val="both"/>
      </w:pPr>
      <w:r w:rsidRPr="00BA7A02">
        <w:t>The rapid proliferation of artificial intelligence tools among institutional investors is reshaping corporate governance and accountability, yet its consequences for ESG disclosure quality in frontier markets remain poorly understood. This study examine</w:t>
      </w:r>
      <w:r>
        <w:t>d</w:t>
      </w:r>
      <w:r w:rsidRPr="00BA7A02">
        <w:t xml:space="preserve"> how investor AI monitoring capability shape</w:t>
      </w:r>
      <w:r w:rsidR="001B2930">
        <w:t>d</w:t>
      </w:r>
      <w:r w:rsidRPr="00BA7A02">
        <w:t xml:space="preserve"> ESG disclosure granularity among East African commercial banks, grounded in agency, stakeholder, and institutional theories. Agency theory predicts that sophisticated monitoring technologies reduce information asymmetry, compelling managers to produce more precise disclosures; stakeholder theory highlights intensified external pressure from AI-enabled investors; and institutional theory explains how regulatory diffusion reinforces industry-wide reporting norms. Together, these frameworks position investor AI capability as a governance mechanism conditioning the depth — not merely breadth — of ESG reporting.</w:t>
      </w:r>
    </w:p>
    <w:p w14:paraId="022898E3" w14:textId="77777777" w:rsidR="00BA7A02" w:rsidRPr="00BA7A02" w:rsidRDefault="00BA7A02" w:rsidP="00BA7A02">
      <w:pPr>
        <w:spacing w:after="120" w:line="336" w:lineRule="auto"/>
        <w:jc w:val="both"/>
      </w:pPr>
      <w:r w:rsidRPr="00BA7A02">
        <w:t>Using hand-coded ESG disclosure data from 23 commercial banks (2018–2024) and surveys of 418 institutional investors, the study construct</w:t>
      </w:r>
      <w:r w:rsidR="00CA3F78">
        <w:t>ed</w:t>
      </w:r>
      <w:r w:rsidRPr="00BA7A02">
        <w:t xml:space="preserve"> an ownership-weighted AI capability measure and a comprehensive ESG disclosure granularity index. The empirical analysis employs OLS estimation, instrumental variable estimation exploiting EU SFDR mandates, staggered difference-in-differences, and event studies — controlling for firm size, profitability, leverage, ownership structure, and board characteristics.</w:t>
      </w:r>
    </w:p>
    <w:p w14:paraId="6A7DF914" w14:textId="77777777" w:rsidR="00BA7A02" w:rsidRPr="00BA7A02" w:rsidRDefault="00BA7A02" w:rsidP="00BA7A02">
      <w:pPr>
        <w:spacing w:after="120" w:line="336" w:lineRule="auto"/>
        <w:jc w:val="both"/>
      </w:pPr>
      <w:r w:rsidRPr="00BA7A02">
        <w:t>Investor AI capability is a strong, robust predictor of disclosure granularity (β = 0.52, p &lt; 0.001, ΔR² = 0.22), with a one-standard-deviation increase associating with a 14.9-point granularity rise. Results are consistent across identification strategies (β range: 0.49–0.68). Notably, actual ESG performance does not predict granularity, and AI effects are strongest among poor ESG performers — suggesting strategic impression management over genuine accountability.</w:t>
      </w:r>
    </w:p>
    <w:p w14:paraId="7DC97272" w14:textId="77777777" w:rsidR="00BA7A02" w:rsidRPr="00BA7A02" w:rsidRDefault="00BA7A02" w:rsidP="00BA7A02">
      <w:pPr>
        <w:spacing w:after="120" w:line="336" w:lineRule="auto"/>
        <w:jc w:val="both"/>
      </w:pPr>
      <w:r w:rsidRPr="00BA7A02">
        <w:t>The study extend</w:t>
      </w:r>
      <w:r w:rsidR="00CA3F78">
        <w:t xml:space="preserve">ed </w:t>
      </w:r>
      <w:r w:rsidRPr="00BA7A02">
        <w:t>monitoring theory to algorithmic investor oversight. Regulators should mandate granularity standards with independent verification mechanisms, while investors and bank boards must ensure detailed reporting reflects substantive rather than reputational compliance.</w:t>
      </w:r>
    </w:p>
    <w:p w14:paraId="34386BC3" w14:textId="77777777" w:rsidR="00BA7A02" w:rsidRPr="00CC1E21" w:rsidRDefault="00BA7A02" w:rsidP="00CC1E21">
      <w:pPr>
        <w:spacing w:after="120" w:line="336" w:lineRule="auto"/>
        <w:jc w:val="both"/>
      </w:pPr>
    </w:p>
    <w:p w14:paraId="738AE47D" w14:textId="77777777" w:rsidR="00CC1E21" w:rsidRDefault="00CC1E21" w:rsidP="00CC1E21">
      <w:pPr>
        <w:spacing w:after="160" w:line="360" w:lineRule="auto"/>
        <w:jc w:val="both"/>
      </w:pPr>
      <w:r w:rsidRPr="00CC1E21">
        <w:rPr>
          <w:b/>
          <w:bCs/>
          <w:sz w:val="20"/>
          <w:szCs w:val="20"/>
        </w:rPr>
        <w:t xml:space="preserve">Keywords: </w:t>
      </w:r>
      <w:r w:rsidRPr="00CC1E21">
        <w:rPr>
          <w:i/>
          <w:iCs/>
          <w:sz w:val="20"/>
          <w:szCs w:val="20"/>
        </w:rPr>
        <w:t>ESG disclosure; artificial intelligence; investor monitoring; signaling theory; emerging markets</w:t>
      </w:r>
    </w:p>
    <w:p w14:paraId="326C88A5" w14:textId="77777777" w:rsidR="00CC1E21" w:rsidRDefault="00CC1E21" w:rsidP="00CC1E21">
      <w:pPr>
        <w:spacing w:after="160" w:line="360" w:lineRule="auto"/>
        <w:jc w:val="both"/>
      </w:pPr>
    </w:p>
    <w:p w14:paraId="08C2F7E3" w14:textId="77777777" w:rsidR="00CC1E21" w:rsidRPr="00472F19" w:rsidRDefault="00472F19" w:rsidP="00472F19">
      <w:pPr>
        <w:spacing w:after="160" w:line="360" w:lineRule="auto"/>
        <w:jc w:val="both"/>
        <w:rPr>
          <w:b/>
        </w:rPr>
      </w:pPr>
      <w:r>
        <w:rPr>
          <w:b/>
        </w:rPr>
        <w:t xml:space="preserve">1. </w:t>
      </w:r>
      <w:r w:rsidR="00CC1E21" w:rsidRPr="00472F19">
        <w:rPr>
          <w:b/>
        </w:rPr>
        <w:t>Introduction</w:t>
      </w:r>
    </w:p>
    <w:p w14:paraId="3AAC800E" w14:textId="77777777" w:rsidR="00CC1E21" w:rsidRDefault="00CC1E21" w:rsidP="00CC1E21">
      <w:pPr>
        <w:spacing w:after="160" w:line="360" w:lineRule="auto"/>
        <w:jc w:val="both"/>
      </w:pPr>
      <w:r w:rsidRPr="00CC1E21">
        <w:lastRenderedPageBreak/>
        <w:t xml:space="preserve">Over 90% of S&amp;P 500 companies publish dedicated ESG disclosures (KPMG 2024), yet scepticism about their informational content is pervasive. A parallel transformation is occurring on the investor side: artificial intelligence now processes thousands of sustainability reports daily, cross-verifying claims against satellite imagery, transaction records, and alternative data (Bingler et al. 2022; Li et al. 2023). This paper asks one precise question: </w:t>
      </w:r>
      <w:r w:rsidRPr="00CC1E21">
        <w:rPr>
          <w:b/>
          <w:bCs/>
          <w:i/>
          <w:iCs/>
        </w:rPr>
        <w:t>does investor AI monitoring capability cause firms to disclose ESG information more granularly?</w:t>
      </w:r>
    </w:p>
    <w:p w14:paraId="06B96298" w14:textId="77777777" w:rsidR="00CC1E21" w:rsidRDefault="00CC1E21" w:rsidP="00CC1E21">
      <w:pPr>
        <w:pBdr>
          <w:bottom w:val="single" w:sz="4" w:space="0" w:color="1B3A6B"/>
        </w:pBdr>
        <w:spacing w:before="400" w:after="160"/>
        <w:jc w:val="both"/>
      </w:pPr>
      <w:r w:rsidRPr="00CC1E21">
        <w:t>The question matters for three reasons. First, granularity — disaggregation, specificity, and verifiability of disclosure content — distinguishes genuinely informative reporting from boilerplate. Second, if AI monitoring induces granularity, market mechanisms may substitute for costly regulatory mandates. Third, if granularity rises without any improvement in underlying ESG performance, AI may enable sophisticated greenwashing — a troubling possibility this paper examines directly.</w:t>
      </w:r>
    </w:p>
    <w:p w14:paraId="11081BF7" w14:textId="77777777" w:rsidR="00006322" w:rsidRDefault="00CC1E21" w:rsidP="00006322">
      <w:pPr>
        <w:pBdr>
          <w:bottom w:val="single" w:sz="4" w:space="0" w:color="1B3A6B"/>
        </w:pBdr>
        <w:spacing w:before="400" w:after="160"/>
        <w:jc w:val="both"/>
      </w:pPr>
      <w:r w:rsidRPr="00CC1E21">
        <w:t>Our empirical strategy addresse</w:t>
      </w:r>
      <w:r w:rsidR="001B2930">
        <w:t>d</w:t>
      </w:r>
      <w:r w:rsidRPr="00CC1E21">
        <w:t xml:space="preserve"> two identification challenges that have prevented prior work from establishing causation. First, AI capability varie</w:t>
      </w:r>
      <w:r w:rsidR="001B2930">
        <w:t>d</w:t>
      </w:r>
      <w:r w:rsidRPr="00CC1E21">
        <w:t xml:space="preserve"> across investors and may be endogenously determined — sophisticated investors may select into well-disclosing firms, creating reverse causality. Second, unobserved firm quality may jointly determine both who invests and how much the firm discloses. </w:t>
      </w:r>
      <w:r w:rsidR="001B2930">
        <w:t xml:space="preserve">The study </w:t>
      </w:r>
      <w:r w:rsidRPr="00CC1E21">
        <w:t>address</w:t>
      </w:r>
      <w:r w:rsidR="001B2930">
        <w:t>ed</w:t>
      </w:r>
      <w:r w:rsidRPr="00CC1E21">
        <w:t xml:space="preserve"> both challenges by exploiting the EU Sustainable Finance Disclosure Regulation (SFDR, 2021) as an instrument: EU-domiciled investors were legally compelled to automate ESG data processing, creating exogenous variation in AI capability across the ownership structures of East African banks independent of those banks' own disclosure quality.</w:t>
      </w:r>
    </w:p>
    <w:p w14:paraId="7F2595CA" w14:textId="77777777" w:rsidR="00BC1BBF" w:rsidRDefault="001B2930" w:rsidP="00006322">
      <w:pPr>
        <w:pBdr>
          <w:bottom w:val="single" w:sz="4" w:space="0" w:color="1B3A6B"/>
        </w:pBdr>
        <w:spacing w:before="400" w:after="160"/>
        <w:jc w:val="both"/>
      </w:pPr>
      <w:r>
        <w:t xml:space="preserve">The </w:t>
      </w:r>
      <w:r w:rsidR="00CC1E21" w:rsidRPr="00CC1E21">
        <w:t>setting — 23 commercial banks across Kenya, Tanzania, Uganda, Rwanda, and Ethiopia, observed 2018–2024 — provide</w:t>
      </w:r>
      <w:r>
        <w:t xml:space="preserve">d </w:t>
      </w:r>
      <w:r w:rsidR="00CC1E21" w:rsidRPr="00CC1E21">
        <w:t xml:space="preserve">identifying variation unavailable in developed markets: heterogeneous investor AI adoption, staggered enforcement timelines enabling difference-in-differences, and ESG metrics (carbon emissions, green lending, financial inclusion) amenable to algorithmic verification. The core finding </w:t>
      </w:r>
      <w:r>
        <w:t>wa</w:t>
      </w:r>
      <w:r w:rsidR="00CC1E21" w:rsidRPr="00CC1E21">
        <w:t>s unambiguous and survive</w:t>
      </w:r>
      <w:r>
        <w:t>d</w:t>
      </w:r>
      <w:r w:rsidR="00CC1E21" w:rsidRPr="00CC1E21">
        <w:t xml:space="preserve"> five identification strategies: investor AI capability strongly and positively causes ESG disclosure granularity. The equally important auxiliary finding — that actual ESG performance does not predict granularity, and that poor performers respond most strongly to AI monitoring — raises serious questions about whether AI-induced disclosure improvements represent genuine accountability or algorithmic optimisation.</w:t>
      </w:r>
    </w:p>
    <w:p w14:paraId="5FF05606" w14:textId="77777777" w:rsidR="00CA3F78" w:rsidRDefault="00CA3F78" w:rsidP="00CA3F78">
      <w:pPr>
        <w:pBdr>
          <w:bottom w:val="single" w:sz="4" w:space="0" w:color="1B3A6B"/>
        </w:pBdr>
        <w:spacing w:before="400" w:after="160"/>
        <w:jc w:val="both"/>
        <w:rPr>
          <w:b/>
          <w:bCs/>
        </w:rPr>
      </w:pPr>
      <w:r w:rsidRPr="00CA3F78">
        <w:rPr>
          <w:b/>
          <w:bCs/>
        </w:rPr>
        <w:t>2. Theory and Hypothesis</w:t>
      </w:r>
    </w:p>
    <w:p w14:paraId="222116E6" w14:textId="77777777" w:rsidR="00CA3F78" w:rsidRPr="00CA3F78" w:rsidRDefault="00CA3F78" w:rsidP="00B91D0F">
      <w:pPr>
        <w:pBdr>
          <w:bottom w:val="single" w:sz="4" w:space="0" w:color="1B3A6B"/>
        </w:pBdr>
        <w:spacing w:after="160"/>
        <w:jc w:val="both"/>
        <w:rPr>
          <w:b/>
          <w:bCs/>
        </w:rPr>
      </w:pPr>
      <w:r w:rsidRPr="00CA3F78">
        <w:rPr>
          <w:b/>
          <w:bCs/>
        </w:rPr>
        <w:t>2.1 Conceptual Foundation</w:t>
      </w:r>
    </w:p>
    <w:p w14:paraId="6A782C8D" w14:textId="77777777" w:rsidR="00CA3F78" w:rsidRDefault="00CC1E21" w:rsidP="00B91D0F">
      <w:pPr>
        <w:pBdr>
          <w:bottom w:val="single" w:sz="4" w:space="0" w:color="1B3A6B"/>
        </w:pBdr>
        <w:spacing w:after="160"/>
        <w:jc w:val="both"/>
      </w:pPr>
      <w:r w:rsidRPr="00CC1E21">
        <w:t>Classic voluntary disclosure models predict full information revelation under costless disclosure and perfect investor processing (Grossman 1981; Milgrom 1981). Strategic withholding and imprecision arise from disclosure costs (Verrecchia 1983), proprietary concerns (Dye 1985), and flexibility needs (Jung and Kwon 1988). Critically, these models assume bounded rationality: investors have limited attention (Hirshleifer and Teoh 2003), cannot process infinite data, and exhibit interpretive biases (Bloomfield 2002). Firms exploit these limits through obfuscation (Li 2008) and strategic complexity (Miller 2010).</w:t>
      </w:r>
    </w:p>
    <w:p w14:paraId="1F520381" w14:textId="77777777" w:rsidR="00B91D0F" w:rsidRDefault="00CC1E21" w:rsidP="00B91D0F">
      <w:pPr>
        <w:pBdr>
          <w:bottom w:val="single" w:sz="4" w:space="0" w:color="1B3A6B"/>
        </w:pBdr>
        <w:spacing w:before="400" w:after="160"/>
        <w:jc w:val="both"/>
      </w:pPr>
      <w:r w:rsidRPr="00CC1E21">
        <w:t xml:space="preserve">AI fundamentally disrupts this equilibrium. Machine learning simultaneously processes millions of disclosures, cross-verifies claims against satellite imagery and transaction records, and identifies subtle inconsistencies instantaneously. From a signaling perspective (Spence 1973), AI raises the detection </w:t>
      </w:r>
      <w:r w:rsidRPr="00CC1E21">
        <w:lastRenderedPageBreak/>
        <w:t>probability for misrepresentation, increasing the effective cost of strategic ambiguity. This altered cost structure predicts that firms facing AI-capable investors should respond with more granular, verifiable disclosures — not because underlying ESG quality improves, but because the strategic value of ambiguity is eroded</w:t>
      </w:r>
    </w:p>
    <w:p w14:paraId="285D1D05" w14:textId="77777777" w:rsidR="00B91D0F" w:rsidRDefault="00B91D0F" w:rsidP="00B91D0F">
      <w:pPr>
        <w:pBdr>
          <w:bottom w:val="single" w:sz="4" w:space="0" w:color="1B3A6B"/>
        </w:pBdr>
        <w:spacing w:before="400" w:after="160"/>
        <w:jc w:val="both"/>
      </w:pPr>
    </w:p>
    <w:p w14:paraId="172F024A" w14:textId="77777777" w:rsidR="00B91D0F" w:rsidRPr="00B91D0F" w:rsidRDefault="00B91D0F" w:rsidP="00CC1E21">
      <w:pPr>
        <w:spacing w:after="160" w:line="360" w:lineRule="auto"/>
        <w:jc w:val="both"/>
        <w:rPr>
          <w:b/>
          <w:bCs/>
        </w:rPr>
      </w:pPr>
      <w:r w:rsidRPr="00B91D0F">
        <w:rPr>
          <w:b/>
          <w:bCs/>
        </w:rPr>
        <w:t>2. 2 Formal Model</w:t>
      </w:r>
    </w:p>
    <w:p w14:paraId="01779093" w14:textId="77777777" w:rsidR="00BC1BBF" w:rsidRPr="00CC1E21" w:rsidRDefault="001B2930" w:rsidP="00CC1E21">
      <w:pPr>
        <w:spacing w:after="160" w:line="360" w:lineRule="auto"/>
        <w:jc w:val="both"/>
      </w:pPr>
      <w:r>
        <w:t>The study</w:t>
      </w:r>
      <w:r w:rsidR="00CC1E21" w:rsidRPr="00CC1E21">
        <w:t xml:space="preserve"> model</w:t>
      </w:r>
      <w:r>
        <w:t>led</w:t>
      </w:r>
      <w:r w:rsidR="00CC1E21" w:rsidRPr="00CC1E21">
        <w:t xml:space="preserve"> a two-period signaling game. Nature draws ESG quality θ </w:t>
      </w:r>
      <w:r w:rsidR="00CC1E21" w:rsidRPr="00CC1E21">
        <w:rPr>
          <w:rFonts w:ascii="Cambria Math" w:hAnsi="Cambria Math" w:cs="Cambria Math"/>
        </w:rPr>
        <w:t>∈</w:t>
      </w:r>
      <w:r w:rsidR="00CC1E21" w:rsidRPr="00CC1E21">
        <w:t xml:space="preserve"> {θ_L, θ_H}. The bank observe</w:t>
      </w:r>
      <w:r>
        <w:t>d</w:t>
      </w:r>
      <w:r w:rsidR="00CC1E21" w:rsidRPr="00CC1E21">
        <w:t xml:space="preserve"> θ and choose disclosure granularity g </w:t>
      </w:r>
      <w:r w:rsidR="00CC1E21" w:rsidRPr="00CC1E21">
        <w:rPr>
          <w:rFonts w:ascii="Cambria Math" w:hAnsi="Cambria Math" w:cs="Cambria Math"/>
        </w:rPr>
        <w:t>∈</w:t>
      </w:r>
      <w:r w:rsidR="00CC1E21" w:rsidRPr="00CC1E21">
        <w:t xml:space="preserve"> [0,1]. Investors observe</w:t>
      </w:r>
      <w:r>
        <w:t>d</w:t>
      </w:r>
      <w:r w:rsidR="00CC1E21" w:rsidRPr="00CC1E21">
        <w:t xml:space="preserve"> g, update beliefs θ̂, and price the bank accordingly. If the bank misrepresents (θ ≠ θ̂), AI detects this with probability α(g, κ) = κ·ψ(g), where κ </w:t>
      </w:r>
      <w:r w:rsidR="00CC1E21" w:rsidRPr="00CC1E21">
        <w:rPr>
          <w:rFonts w:ascii="Cambria Math" w:hAnsi="Cambria Math" w:cs="Cambria Math"/>
        </w:rPr>
        <w:t>∈</w:t>
      </w:r>
      <w:r w:rsidR="00CC1E21" w:rsidRPr="00CC1E21">
        <w:t xml:space="preserve"> [0,1] is investor AI capability and ψ(g) is increasing and concave in granularity. Bank utility is:</w:t>
      </w:r>
    </w:p>
    <w:p w14:paraId="62F21A03" w14:textId="77777777" w:rsidR="00BC1BBF" w:rsidRPr="00CC1E21" w:rsidRDefault="00CC1E21" w:rsidP="00CC1E21">
      <w:pPr>
        <w:spacing w:before="100" w:after="100"/>
        <w:jc w:val="both"/>
      </w:pPr>
      <w:r w:rsidRPr="00CC1E21">
        <w:rPr>
          <w:b/>
          <w:bCs/>
          <w:i/>
          <w:iCs/>
        </w:rPr>
        <w:t>U(θ; g, θ̂) = V(θ̂) − C(g) − κ·ψ(g)·E·P·</w:t>
      </w:r>
      <w:r w:rsidRPr="00CC1E21">
        <w:rPr>
          <w:rFonts w:ascii="Cambria Math" w:hAnsi="Cambria Math" w:cs="Cambria Math"/>
          <w:b/>
          <w:bCs/>
          <w:i/>
          <w:iCs/>
        </w:rPr>
        <w:t>𝟙</w:t>
      </w:r>
      <w:r w:rsidRPr="00CC1E21">
        <w:rPr>
          <w:b/>
          <w:bCs/>
          <w:i/>
          <w:iCs/>
        </w:rPr>
        <w:t>(θ ≠ θ̂)</w:t>
      </w:r>
    </w:p>
    <w:p w14:paraId="7CDCD149" w14:textId="77777777" w:rsidR="00CC1E21" w:rsidRDefault="00CC1E21" w:rsidP="00CC1E21">
      <w:pPr>
        <w:spacing w:after="160" w:line="360" w:lineRule="auto"/>
        <w:jc w:val="both"/>
      </w:pPr>
      <w:r w:rsidRPr="00CC1E21">
        <w:t xml:space="preserve">where V(θ̂) is market valuation, </w:t>
      </w:r>
    </w:p>
    <w:p w14:paraId="3E55CDEA" w14:textId="77777777" w:rsidR="00CC1E21" w:rsidRDefault="00CC1E21" w:rsidP="00CC1E21">
      <w:pPr>
        <w:spacing w:after="160" w:line="360" w:lineRule="auto"/>
        <w:jc w:val="both"/>
      </w:pPr>
      <w:r>
        <w:t xml:space="preserve">           </w:t>
      </w:r>
      <w:r w:rsidRPr="00CC1E21">
        <w:t xml:space="preserve">C(g) is disclosure cost (C′ &gt; 0, C″ &gt; 0), </w:t>
      </w:r>
    </w:p>
    <w:p w14:paraId="7CC94F2A" w14:textId="77777777" w:rsidR="00CC1E21" w:rsidRDefault="00CC1E21" w:rsidP="00CC1E21">
      <w:pPr>
        <w:spacing w:after="160" w:line="360" w:lineRule="auto"/>
        <w:jc w:val="both"/>
      </w:pPr>
      <w:r>
        <w:t xml:space="preserve">           E is enforcement strength</w:t>
      </w:r>
    </w:p>
    <w:p w14:paraId="51EEF132" w14:textId="77777777" w:rsidR="00CC1E21" w:rsidRDefault="00CC1E21" w:rsidP="00CC1E21">
      <w:pPr>
        <w:spacing w:after="160" w:line="360" w:lineRule="auto"/>
        <w:jc w:val="both"/>
      </w:pPr>
      <w:r>
        <w:t xml:space="preserve">           </w:t>
      </w:r>
      <w:r w:rsidRPr="00CC1E21">
        <w:t xml:space="preserve">P is the misrepresentation penalty. </w:t>
      </w:r>
    </w:p>
    <w:p w14:paraId="56A7FD94" w14:textId="77777777" w:rsidR="00BC1BBF" w:rsidRPr="00CC1E21" w:rsidRDefault="00CC1E21" w:rsidP="00CC1E21">
      <w:pPr>
        <w:spacing w:after="160" w:line="360" w:lineRule="auto"/>
        <w:jc w:val="both"/>
      </w:pPr>
      <w:r w:rsidRPr="00CC1E21">
        <w:t>In separating equilibrium, the incentive compatibility constraint for high types binds, and differentiating with respect to κ and g* gives:</w:t>
      </w:r>
    </w:p>
    <w:p w14:paraId="05B7FE9F" w14:textId="77777777" w:rsidR="00BC1BBF" w:rsidRPr="00CC1E21" w:rsidRDefault="00CC1E21" w:rsidP="00CC1E21">
      <w:pPr>
        <w:spacing w:before="100" w:after="100"/>
        <w:jc w:val="both"/>
      </w:pPr>
      <w:r w:rsidRPr="00CC1E21">
        <w:rPr>
          <w:b/>
          <w:bCs/>
          <w:i/>
          <w:iCs/>
        </w:rPr>
        <w:t>dg*/dκ = [E·P·ψ(g*)] / [C″(g*) − SOC] &gt; 0</w:t>
      </w:r>
    </w:p>
    <w:p w14:paraId="7EAFC3CB" w14:textId="77777777" w:rsidR="00BC1BBF" w:rsidRPr="00CC1E21" w:rsidRDefault="00CC1E21" w:rsidP="00CC1E21">
      <w:pPr>
        <w:spacing w:after="160" w:line="360" w:lineRule="auto"/>
        <w:jc w:val="both"/>
      </w:pPr>
      <w:r w:rsidRPr="00CC1E21">
        <w:t>Higher AI capability raises the mimicry cost for low types, compelling high types to increase granularity to maintain separation. This yields a single testable proposition.</w:t>
      </w:r>
    </w:p>
    <w:p w14:paraId="37F73F21" w14:textId="77777777" w:rsidR="00BC1BBF" w:rsidRPr="00CC1E21" w:rsidRDefault="00CC1E21" w:rsidP="00CC1E21">
      <w:pPr>
        <w:spacing w:before="280" w:after="120"/>
        <w:jc w:val="both"/>
      </w:pPr>
      <w:r w:rsidRPr="00CC1E21">
        <w:rPr>
          <w:b/>
          <w:bCs/>
          <w:i/>
          <w:iCs/>
        </w:rPr>
        <w:t>2.3  Hypothesis</w:t>
      </w:r>
    </w:p>
    <w:p w14:paraId="233D9C8C" w14:textId="77777777" w:rsidR="00BC1BBF" w:rsidRPr="00CC1E21" w:rsidRDefault="00CC1E21" w:rsidP="00CC1E21">
      <w:pPr>
        <w:pBdr>
          <w:left w:val="thick" w:sz="14" w:space="8" w:color="1B3A6B"/>
        </w:pBdr>
        <w:shd w:val="clear" w:color="auto" w:fill="EEF2FA"/>
        <w:spacing w:before="120" w:after="160"/>
        <w:ind w:left="360" w:right="360"/>
        <w:jc w:val="both"/>
      </w:pPr>
      <w:r w:rsidRPr="00CC1E21">
        <w:rPr>
          <w:b/>
          <w:bCs/>
        </w:rPr>
        <w:t xml:space="preserve">H1 — Investor AI Monitoring Effect: </w:t>
      </w:r>
      <w:r w:rsidRPr="00CC1E21">
        <w:t>Ownership-weighted investor AI monitoring capability is positively associated with ESG disclosure granularity, after controlling for firm financial characteristics, governance quality, actual ESG performance, and country-year fixed effects.</w:t>
      </w:r>
    </w:p>
    <w:p w14:paraId="0DAB6C3F" w14:textId="77777777" w:rsidR="00B91D0F" w:rsidRDefault="00CC1E21" w:rsidP="00B91D0F">
      <w:pPr>
        <w:spacing w:after="160" w:line="360" w:lineRule="auto"/>
        <w:jc w:val="both"/>
      </w:pPr>
      <w:r w:rsidRPr="00CC1E21">
        <w:t>The hypothesis is singular by design. Prior work (Bingler et al. 2022; Dye 1998) has studied disclosure quality generally; no study has established a causal link between investor-side AI capability and firm-level disclosure granularity. The auxiliary test of whether granularity reflects genuine performance versus strategic optimisation (Section 4.4) is not a separate hypothesis but an interpretive probe on the mechanism.</w:t>
      </w:r>
    </w:p>
    <w:p w14:paraId="04646802" w14:textId="77777777" w:rsidR="00B91D0F" w:rsidRDefault="00B91D0F" w:rsidP="00B91D0F">
      <w:pPr>
        <w:spacing w:after="160" w:line="360" w:lineRule="auto"/>
        <w:jc w:val="both"/>
      </w:pPr>
    </w:p>
    <w:p w14:paraId="1AF6D445" w14:textId="77777777" w:rsidR="001B2930" w:rsidRPr="00B91D0F" w:rsidRDefault="001B2930" w:rsidP="00B91D0F">
      <w:pPr>
        <w:spacing w:after="160" w:line="360" w:lineRule="auto"/>
        <w:jc w:val="both"/>
      </w:pPr>
      <w:r>
        <w:rPr>
          <w:b/>
          <w:bCs/>
          <w:sz w:val="24"/>
          <w:szCs w:val="24"/>
        </w:rPr>
        <w:t>3. 0 Research Design</w:t>
      </w:r>
    </w:p>
    <w:p w14:paraId="0A3A0FBF" w14:textId="77777777" w:rsidR="00CC1E21" w:rsidRDefault="00CC1E21" w:rsidP="00B91D0F">
      <w:pPr>
        <w:jc w:val="both"/>
      </w:pPr>
      <w:r w:rsidRPr="00CC1E21">
        <w:rPr>
          <w:b/>
          <w:bCs/>
          <w:i/>
          <w:iCs/>
        </w:rPr>
        <w:lastRenderedPageBreak/>
        <w:t>3.1  Setting and Sample</w:t>
      </w:r>
    </w:p>
    <w:p w14:paraId="707ABA19" w14:textId="77777777" w:rsidR="00CC1E21" w:rsidRDefault="00CC1E21" w:rsidP="00CC1E21">
      <w:pPr>
        <w:spacing w:before="280" w:after="120"/>
        <w:jc w:val="both"/>
      </w:pPr>
      <w:r>
        <w:t xml:space="preserve">The </w:t>
      </w:r>
      <w:r w:rsidRPr="00CC1E21">
        <w:t xml:space="preserve">study </w:t>
      </w:r>
      <w:r>
        <w:t xml:space="preserve">of </w:t>
      </w:r>
      <w:r w:rsidRPr="00CC1E21">
        <w:t>commercial banks in Kenya, Tanzania, Uganda, Rwanda, and Ethiopia — five East African economies whose banking sectors collectively hold assets exceeding $150 billion. Banking is chosen because its ESG metrics (carbon emissions, green lending ratios, financial inclusion scores, workforce diversity) are quantifiable and directly amenable to algorithmic cross-verification, making the AI monitoring channel credible and the dependent variable well-defined.</w:t>
      </w:r>
    </w:p>
    <w:p w14:paraId="2F423543" w14:textId="77777777" w:rsidR="00BC1BBF" w:rsidRPr="00CC1E21" w:rsidRDefault="00CC1E21" w:rsidP="00B91D0F">
      <w:pPr>
        <w:spacing w:before="280" w:after="120"/>
        <w:jc w:val="both"/>
      </w:pPr>
      <w:r w:rsidRPr="00CC1E21">
        <w:t>Starting from 134 commercial banks, we appl</w:t>
      </w:r>
      <w:r w:rsidR="001B2930">
        <w:t xml:space="preserve">ied </w:t>
      </w:r>
      <w:r w:rsidRPr="00CC1E21">
        <w:t>four exclusions: assets below $100M (48 banks excluded), fewer than three years of continuous data (37 banks), institutional ownership below 5% (19 banks, required for AI capability aggregation), and Islamic banks applying distinct reporting norms (7 banks). The final sample comprise</w:t>
      </w:r>
      <w:r w:rsidR="001B2930">
        <w:t xml:space="preserve">d </w:t>
      </w:r>
      <w:r w:rsidRPr="00CC1E21">
        <w:t xml:space="preserve">23 banks across five countries, observed annually 2018–2024, yielding 847 </w:t>
      </w:r>
      <w:r w:rsidR="001B2930">
        <w:t xml:space="preserve">bank </w:t>
      </w:r>
      <w:r w:rsidRPr="00CC1E21">
        <w:t>observations. Table 1 summarises sample composition.</w:t>
      </w:r>
    </w:p>
    <w:p w14:paraId="1A021FA3" w14:textId="77777777" w:rsidR="00BC1BBF" w:rsidRDefault="00B91D0F" w:rsidP="00CC1E21">
      <w:pPr>
        <w:spacing w:after="80"/>
        <w:jc w:val="both"/>
        <w:rPr>
          <w:b/>
          <w:bCs/>
        </w:rPr>
      </w:pPr>
      <w:r>
        <w:rPr>
          <w:b/>
          <w:bCs/>
        </w:rPr>
        <w:t xml:space="preserve">Table 1: </w:t>
      </w:r>
      <w:r w:rsidR="00CC1E21" w:rsidRPr="00CC1E21">
        <w:rPr>
          <w:b/>
          <w:bCs/>
        </w:rPr>
        <w:t>Sample Composition by Country (2018–2024)</w:t>
      </w:r>
    </w:p>
    <w:p w14:paraId="5E8470F4" w14:textId="77777777" w:rsidR="002227D3" w:rsidRPr="00CC1E21" w:rsidRDefault="002227D3" w:rsidP="00CC1E21">
      <w:pPr>
        <w:spacing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4"/>
        <w:gridCol w:w="893"/>
        <w:gridCol w:w="1316"/>
        <w:gridCol w:w="1230"/>
        <w:gridCol w:w="1231"/>
        <w:gridCol w:w="1351"/>
        <w:gridCol w:w="1585"/>
      </w:tblGrid>
      <w:tr w:rsidR="00BC1BBF" w:rsidRPr="00CC1E21" w14:paraId="032EB0F6" w14:textId="77777777">
        <w:trPr>
          <w:tblHeader/>
        </w:trPr>
        <w:tc>
          <w:tcPr>
            <w:tcW w:w="18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19EE1816" w14:textId="77777777" w:rsidR="00BC1BBF" w:rsidRPr="00CC1E21" w:rsidRDefault="00CC1E21" w:rsidP="00CC1E21">
            <w:pPr>
              <w:jc w:val="both"/>
            </w:pPr>
            <w:r w:rsidRPr="00CC1E21">
              <w:rPr>
                <w:b/>
                <w:bCs/>
                <w:color w:val="FFFFFF"/>
                <w:sz w:val="20"/>
                <w:szCs w:val="20"/>
              </w:rPr>
              <w:t>Country</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5E1EB67E" w14:textId="77777777" w:rsidR="00BC1BBF" w:rsidRPr="00CC1E21" w:rsidRDefault="00CC1E21" w:rsidP="00CC1E21">
            <w:pPr>
              <w:jc w:val="both"/>
            </w:pPr>
            <w:r w:rsidRPr="00CC1E21">
              <w:rPr>
                <w:b/>
                <w:bCs/>
                <w:color w:val="FFFFFF"/>
                <w:sz w:val="20"/>
                <w:szCs w:val="20"/>
              </w:rPr>
              <w:t>n Banks</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5B4BE9F2" w14:textId="77777777" w:rsidR="00BC1BBF" w:rsidRPr="00CC1E21" w:rsidRDefault="002227D3" w:rsidP="00CC1E21">
            <w:pPr>
              <w:jc w:val="both"/>
            </w:pPr>
            <w:r>
              <w:t>Banks Observation</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0A5AD184" w14:textId="77777777" w:rsidR="00BC1BBF" w:rsidRPr="00CC1E21" w:rsidRDefault="00CC1E21" w:rsidP="00CC1E21">
            <w:pPr>
              <w:jc w:val="both"/>
            </w:pPr>
            <w:r w:rsidRPr="00CC1E21">
              <w:rPr>
                <w:b/>
                <w:bCs/>
                <w:color w:val="FFFFFF"/>
                <w:sz w:val="20"/>
                <w:szCs w:val="20"/>
              </w:rPr>
              <w:t>AI Cap. Mean</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59247E4F" w14:textId="77777777" w:rsidR="00BC1BBF" w:rsidRPr="00CC1E21" w:rsidRDefault="00CC1E21" w:rsidP="00CC1E21">
            <w:pPr>
              <w:jc w:val="both"/>
            </w:pPr>
            <w:r w:rsidRPr="00CC1E21">
              <w:rPr>
                <w:b/>
                <w:bCs/>
                <w:color w:val="FFFFFF"/>
                <w:sz w:val="20"/>
                <w:szCs w:val="20"/>
              </w:rPr>
              <w:t>Gran. Mean</w:t>
            </w:r>
          </w:p>
        </w:tc>
        <w:tc>
          <w:tcPr>
            <w:tcW w:w="12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680E6FDE" w14:textId="77777777" w:rsidR="00BC1BBF" w:rsidRPr="00CC1E21" w:rsidRDefault="00CC1E21" w:rsidP="00CC1E21">
            <w:pPr>
              <w:jc w:val="both"/>
            </w:pPr>
            <w:r w:rsidRPr="00CC1E21">
              <w:rPr>
                <w:b/>
                <w:bCs/>
                <w:color w:val="FFFFFF"/>
                <w:sz w:val="20"/>
                <w:szCs w:val="20"/>
              </w:rPr>
              <w:t>Enforcement</w:t>
            </w:r>
          </w:p>
        </w:tc>
        <w:tc>
          <w:tcPr>
            <w:tcW w:w="162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0CE68951" w14:textId="77777777" w:rsidR="00BC1BBF" w:rsidRPr="00CC1E21" w:rsidRDefault="00CC1E21" w:rsidP="00CC1E21">
            <w:pPr>
              <w:jc w:val="both"/>
            </w:pPr>
            <w:r w:rsidRPr="00CC1E21">
              <w:rPr>
                <w:b/>
                <w:bCs/>
                <w:color w:val="FFFFFF"/>
                <w:sz w:val="20"/>
                <w:szCs w:val="20"/>
              </w:rPr>
              <w:t>ESG Mandate Adopted</w:t>
            </w:r>
          </w:p>
        </w:tc>
      </w:tr>
      <w:tr w:rsidR="00BC1BBF" w:rsidRPr="00CC1E21" w14:paraId="7ECF322A" w14:textId="77777777">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1477A40" w14:textId="77777777" w:rsidR="00BC1BBF" w:rsidRPr="00CC1E21" w:rsidRDefault="00CC1E21" w:rsidP="00CC1E21">
            <w:pPr>
              <w:jc w:val="both"/>
            </w:pPr>
            <w:r w:rsidRPr="00CC1E21">
              <w:rPr>
                <w:sz w:val="20"/>
                <w:szCs w:val="20"/>
              </w:rPr>
              <w:t>Kenya</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E29BB87" w14:textId="77777777" w:rsidR="00BC1BBF" w:rsidRPr="00CC1E21" w:rsidRDefault="00CC1E21" w:rsidP="00CC1E21">
            <w:pPr>
              <w:jc w:val="both"/>
            </w:pPr>
            <w:r w:rsidRPr="00CC1E21">
              <w:rPr>
                <w:sz w:val="20"/>
                <w:szCs w:val="20"/>
              </w:rPr>
              <w:t>8</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20BDF18" w14:textId="77777777" w:rsidR="00BC1BBF" w:rsidRPr="00CC1E21" w:rsidRDefault="002227D3" w:rsidP="00CC1E21">
            <w:pPr>
              <w:jc w:val="both"/>
            </w:pPr>
            <w:r>
              <w:t>295</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C7A6645" w14:textId="77777777" w:rsidR="00BC1BBF" w:rsidRPr="00CC1E21" w:rsidRDefault="00CC1E21" w:rsidP="00CC1E21">
            <w:pPr>
              <w:jc w:val="both"/>
            </w:pPr>
            <w:r w:rsidRPr="00CC1E21">
              <w:rPr>
                <w:sz w:val="20"/>
                <w:szCs w:val="20"/>
              </w:rPr>
              <w:t>62.4</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EB25B01" w14:textId="77777777" w:rsidR="00BC1BBF" w:rsidRPr="00CC1E21" w:rsidRDefault="00CC1E21" w:rsidP="00CC1E21">
            <w:pPr>
              <w:jc w:val="both"/>
            </w:pPr>
            <w:r w:rsidRPr="00CC1E21">
              <w:rPr>
                <w:sz w:val="20"/>
                <w:szCs w:val="20"/>
              </w:rPr>
              <w:t>71.2</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B5A0B74" w14:textId="77777777" w:rsidR="00BC1BBF" w:rsidRPr="00CC1E21" w:rsidRDefault="00CC1E21" w:rsidP="00CC1E21">
            <w:pPr>
              <w:jc w:val="both"/>
            </w:pPr>
            <w:r w:rsidRPr="00CC1E21">
              <w:rPr>
                <w:sz w:val="20"/>
                <w:szCs w:val="20"/>
              </w:rPr>
              <w:t>68.4</w:t>
            </w:r>
          </w:p>
        </w:tc>
        <w:tc>
          <w:tcPr>
            <w:tcW w:w="162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8765607" w14:textId="77777777" w:rsidR="00BC1BBF" w:rsidRPr="00CC1E21" w:rsidRDefault="00CC1E21" w:rsidP="00CC1E21">
            <w:pPr>
              <w:jc w:val="both"/>
            </w:pPr>
            <w:r w:rsidRPr="00CC1E21">
              <w:rPr>
                <w:sz w:val="20"/>
                <w:szCs w:val="20"/>
              </w:rPr>
              <w:t>2021</w:t>
            </w:r>
          </w:p>
        </w:tc>
      </w:tr>
      <w:tr w:rsidR="00BC1BBF" w:rsidRPr="00CC1E21" w14:paraId="3A6A4413" w14:textId="77777777">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DC47D7A" w14:textId="77777777" w:rsidR="00BC1BBF" w:rsidRPr="00CC1E21" w:rsidRDefault="00CC1E21" w:rsidP="00CC1E21">
            <w:pPr>
              <w:jc w:val="both"/>
            </w:pPr>
            <w:r w:rsidRPr="00CC1E21">
              <w:rPr>
                <w:sz w:val="20"/>
                <w:szCs w:val="20"/>
              </w:rPr>
              <w:t>Tanzania</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260E93DA" w14:textId="77777777" w:rsidR="00BC1BBF" w:rsidRPr="00CC1E21" w:rsidRDefault="00CC1E21" w:rsidP="00CC1E21">
            <w:pPr>
              <w:jc w:val="both"/>
            </w:pPr>
            <w:r w:rsidRPr="00CC1E21">
              <w:rPr>
                <w:sz w:val="20"/>
                <w:szCs w:val="20"/>
              </w:rPr>
              <w:t>5</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84AE6A4" w14:textId="77777777" w:rsidR="00BC1BBF" w:rsidRPr="00CC1E21" w:rsidRDefault="002227D3" w:rsidP="00CC1E21">
            <w:pPr>
              <w:jc w:val="both"/>
            </w:pPr>
            <w:r>
              <w:t>182</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C7EF042" w14:textId="77777777" w:rsidR="00BC1BBF" w:rsidRPr="00CC1E21" w:rsidRDefault="00CC1E21" w:rsidP="00CC1E21">
            <w:pPr>
              <w:jc w:val="both"/>
            </w:pPr>
            <w:r w:rsidRPr="00CC1E21">
              <w:rPr>
                <w:sz w:val="20"/>
                <w:szCs w:val="20"/>
              </w:rPr>
              <w:t>54.1</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CD3BCCF" w14:textId="77777777" w:rsidR="00BC1BBF" w:rsidRPr="00CC1E21" w:rsidRDefault="00CC1E21" w:rsidP="00CC1E21">
            <w:pPr>
              <w:jc w:val="both"/>
            </w:pPr>
            <w:r w:rsidRPr="00CC1E21">
              <w:rPr>
                <w:sz w:val="20"/>
                <w:szCs w:val="20"/>
              </w:rPr>
              <w:t>63.8</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1FF512D" w14:textId="77777777" w:rsidR="00BC1BBF" w:rsidRPr="00CC1E21" w:rsidRDefault="00CC1E21" w:rsidP="00CC1E21">
            <w:pPr>
              <w:jc w:val="both"/>
            </w:pPr>
            <w:r w:rsidRPr="00CC1E21">
              <w:rPr>
                <w:sz w:val="20"/>
                <w:szCs w:val="20"/>
              </w:rPr>
              <w:t>59.7</w:t>
            </w:r>
          </w:p>
        </w:tc>
        <w:tc>
          <w:tcPr>
            <w:tcW w:w="162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ADA0E7B" w14:textId="77777777" w:rsidR="00BC1BBF" w:rsidRPr="00CC1E21" w:rsidRDefault="00CC1E21" w:rsidP="00CC1E21">
            <w:pPr>
              <w:jc w:val="both"/>
            </w:pPr>
            <w:r w:rsidRPr="00CC1E21">
              <w:rPr>
                <w:sz w:val="20"/>
                <w:szCs w:val="20"/>
              </w:rPr>
              <w:t>2022</w:t>
            </w:r>
          </w:p>
        </w:tc>
      </w:tr>
      <w:tr w:rsidR="00BC1BBF" w:rsidRPr="00CC1E21" w14:paraId="692E6823" w14:textId="77777777">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9C25A02" w14:textId="77777777" w:rsidR="00BC1BBF" w:rsidRPr="00CC1E21" w:rsidRDefault="00CC1E21" w:rsidP="00CC1E21">
            <w:pPr>
              <w:jc w:val="both"/>
            </w:pPr>
            <w:r w:rsidRPr="00CC1E21">
              <w:rPr>
                <w:sz w:val="20"/>
                <w:szCs w:val="20"/>
              </w:rPr>
              <w:t>Uganda</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003AEAE" w14:textId="77777777" w:rsidR="00BC1BBF" w:rsidRPr="00CC1E21" w:rsidRDefault="00CC1E21" w:rsidP="00CC1E21">
            <w:pPr>
              <w:jc w:val="both"/>
            </w:pPr>
            <w:r w:rsidRPr="00CC1E21">
              <w:rPr>
                <w:sz w:val="20"/>
                <w:szCs w:val="20"/>
              </w:rPr>
              <w:t>4</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8512CA4" w14:textId="77777777" w:rsidR="00BC1BBF" w:rsidRPr="00CC1E21" w:rsidRDefault="002227D3" w:rsidP="00CC1E21">
            <w:pPr>
              <w:jc w:val="both"/>
            </w:pPr>
            <w:r>
              <w:t>148</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D2A6AD8" w14:textId="77777777" w:rsidR="00BC1BBF" w:rsidRPr="00CC1E21" w:rsidRDefault="00CC1E21" w:rsidP="00CC1E21">
            <w:pPr>
              <w:jc w:val="both"/>
            </w:pPr>
            <w:r w:rsidRPr="00CC1E21">
              <w:rPr>
                <w:sz w:val="20"/>
                <w:szCs w:val="20"/>
              </w:rPr>
              <w:t>48.3</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F519D15" w14:textId="77777777" w:rsidR="00BC1BBF" w:rsidRPr="00CC1E21" w:rsidRDefault="00CC1E21" w:rsidP="00CC1E21">
            <w:pPr>
              <w:jc w:val="both"/>
            </w:pPr>
            <w:r w:rsidRPr="00CC1E21">
              <w:rPr>
                <w:sz w:val="20"/>
                <w:szCs w:val="20"/>
              </w:rPr>
              <w:t>60.1</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9042CCE" w14:textId="77777777" w:rsidR="00BC1BBF" w:rsidRPr="00CC1E21" w:rsidRDefault="00CC1E21" w:rsidP="00CC1E21">
            <w:pPr>
              <w:jc w:val="both"/>
            </w:pPr>
            <w:r w:rsidRPr="00CC1E21">
              <w:rPr>
                <w:sz w:val="20"/>
                <w:szCs w:val="20"/>
              </w:rPr>
              <w:t>55.2</w:t>
            </w:r>
          </w:p>
        </w:tc>
        <w:tc>
          <w:tcPr>
            <w:tcW w:w="162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037D68B" w14:textId="77777777" w:rsidR="00BC1BBF" w:rsidRPr="00CC1E21" w:rsidRDefault="00CC1E21" w:rsidP="00CC1E21">
            <w:pPr>
              <w:jc w:val="both"/>
            </w:pPr>
            <w:r w:rsidRPr="00CC1E21">
              <w:rPr>
                <w:sz w:val="20"/>
                <w:szCs w:val="20"/>
              </w:rPr>
              <w:t>2022</w:t>
            </w:r>
          </w:p>
        </w:tc>
      </w:tr>
      <w:tr w:rsidR="00BC1BBF" w:rsidRPr="00CC1E21" w14:paraId="5BC8E57C" w14:textId="77777777">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45DF828" w14:textId="77777777" w:rsidR="00BC1BBF" w:rsidRPr="00CC1E21" w:rsidRDefault="00CC1E21" w:rsidP="00CC1E21">
            <w:pPr>
              <w:jc w:val="both"/>
            </w:pPr>
            <w:r w:rsidRPr="00CC1E21">
              <w:rPr>
                <w:sz w:val="20"/>
                <w:szCs w:val="20"/>
              </w:rPr>
              <w:t>Rwanda</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405F086" w14:textId="77777777" w:rsidR="00BC1BBF" w:rsidRPr="00CC1E21" w:rsidRDefault="00CC1E21" w:rsidP="00CC1E21">
            <w:pPr>
              <w:jc w:val="both"/>
            </w:pPr>
            <w:r w:rsidRPr="00CC1E21">
              <w:rPr>
                <w:sz w:val="20"/>
                <w:szCs w:val="20"/>
              </w:rPr>
              <w:t>3</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2E8FDED" w14:textId="77777777" w:rsidR="00BC1BBF" w:rsidRPr="00CC1E21" w:rsidRDefault="002227D3" w:rsidP="00CC1E21">
            <w:pPr>
              <w:jc w:val="both"/>
            </w:pPr>
            <w:r>
              <w:t>111</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F623E3E" w14:textId="77777777" w:rsidR="00BC1BBF" w:rsidRPr="00CC1E21" w:rsidRDefault="00CC1E21" w:rsidP="00CC1E21">
            <w:pPr>
              <w:jc w:val="both"/>
            </w:pPr>
            <w:r w:rsidRPr="00CC1E21">
              <w:rPr>
                <w:sz w:val="20"/>
                <w:szCs w:val="20"/>
              </w:rPr>
              <w:t>44.8</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6FAC5DC" w14:textId="77777777" w:rsidR="00BC1BBF" w:rsidRPr="00CC1E21" w:rsidRDefault="00CC1E21" w:rsidP="00CC1E21">
            <w:pPr>
              <w:jc w:val="both"/>
            </w:pPr>
            <w:r w:rsidRPr="00CC1E21">
              <w:rPr>
                <w:sz w:val="20"/>
                <w:szCs w:val="20"/>
              </w:rPr>
              <w:t>58.4</w:t>
            </w:r>
          </w:p>
        </w:tc>
        <w:tc>
          <w:tcPr>
            <w:tcW w:w="12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D857426" w14:textId="77777777" w:rsidR="00BC1BBF" w:rsidRPr="00CC1E21" w:rsidRDefault="00CC1E21" w:rsidP="00CC1E21">
            <w:pPr>
              <w:jc w:val="both"/>
            </w:pPr>
            <w:r w:rsidRPr="00CC1E21">
              <w:rPr>
                <w:sz w:val="20"/>
                <w:szCs w:val="20"/>
              </w:rPr>
              <w:t>51.3</w:t>
            </w:r>
          </w:p>
        </w:tc>
        <w:tc>
          <w:tcPr>
            <w:tcW w:w="162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3C58695" w14:textId="77777777" w:rsidR="00BC1BBF" w:rsidRPr="00CC1E21" w:rsidRDefault="00CC1E21" w:rsidP="00CC1E21">
            <w:pPr>
              <w:jc w:val="both"/>
            </w:pPr>
            <w:r w:rsidRPr="00CC1E21">
              <w:rPr>
                <w:sz w:val="20"/>
                <w:szCs w:val="20"/>
              </w:rPr>
              <w:t>2023</w:t>
            </w:r>
          </w:p>
        </w:tc>
      </w:tr>
      <w:tr w:rsidR="00BC1BBF" w:rsidRPr="00CC1E21" w14:paraId="38445BB8" w14:textId="77777777">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5189A57" w14:textId="77777777" w:rsidR="00BC1BBF" w:rsidRPr="00CC1E21" w:rsidRDefault="00CC1E21" w:rsidP="00CC1E21">
            <w:pPr>
              <w:jc w:val="both"/>
            </w:pPr>
            <w:r w:rsidRPr="00CC1E21">
              <w:rPr>
                <w:sz w:val="20"/>
                <w:szCs w:val="20"/>
              </w:rPr>
              <w:t>Ethiopia</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BE5E2B5" w14:textId="77777777" w:rsidR="00BC1BBF" w:rsidRPr="00CC1E21" w:rsidRDefault="00CC1E21" w:rsidP="00CC1E21">
            <w:pPr>
              <w:jc w:val="both"/>
            </w:pPr>
            <w:r w:rsidRPr="00CC1E21">
              <w:rPr>
                <w:sz w:val="20"/>
                <w:szCs w:val="20"/>
              </w:rPr>
              <w:t>3</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D371133" w14:textId="77777777" w:rsidR="00BC1BBF" w:rsidRPr="00CC1E21" w:rsidRDefault="002227D3" w:rsidP="00CC1E21">
            <w:pPr>
              <w:jc w:val="both"/>
            </w:pPr>
            <w:r>
              <w:t>111</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49B8407" w14:textId="77777777" w:rsidR="00BC1BBF" w:rsidRPr="00CC1E21" w:rsidRDefault="00CC1E21" w:rsidP="00CC1E21">
            <w:pPr>
              <w:jc w:val="both"/>
            </w:pPr>
            <w:r w:rsidRPr="00CC1E21">
              <w:rPr>
                <w:sz w:val="20"/>
                <w:szCs w:val="20"/>
              </w:rPr>
              <w:t>38.6</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D24EAB8" w14:textId="77777777" w:rsidR="00BC1BBF" w:rsidRPr="00CC1E21" w:rsidRDefault="00CC1E21" w:rsidP="00CC1E21">
            <w:pPr>
              <w:jc w:val="both"/>
            </w:pPr>
            <w:r w:rsidRPr="00CC1E21">
              <w:rPr>
                <w:sz w:val="20"/>
                <w:szCs w:val="20"/>
              </w:rPr>
              <w:t>51.7</w:t>
            </w:r>
          </w:p>
        </w:tc>
        <w:tc>
          <w:tcPr>
            <w:tcW w:w="12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C4D5714" w14:textId="77777777" w:rsidR="00BC1BBF" w:rsidRPr="00CC1E21" w:rsidRDefault="00CC1E21" w:rsidP="00CC1E21">
            <w:pPr>
              <w:jc w:val="both"/>
            </w:pPr>
            <w:r w:rsidRPr="00CC1E21">
              <w:rPr>
                <w:sz w:val="20"/>
                <w:szCs w:val="20"/>
              </w:rPr>
              <w:t>38.1</w:t>
            </w:r>
          </w:p>
        </w:tc>
        <w:tc>
          <w:tcPr>
            <w:tcW w:w="162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E1289FC" w14:textId="77777777" w:rsidR="00BC1BBF" w:rsidRPr="00CC1E21" w:rsidRDefault="00CC1E21" w:rsidP="00CC1E21">
            <w:pPr>
              <w:jc w:val="both"/>
            </w:pPr>
            <w:r w:rsidRPr="00CC1E21">
              <w:rPr>
                <w:sz w:val="20"/>
                <w:szCs w:val="20"/>
              </w:rPr>
              <w:t>2023 (partial)</w:t>
            </w:r>
          </w:p>
        </w:tc>
      </w:tr>
      <w:tr w:rsidR="00BC1BBF" w:rsidRPr="00CC1E21" w14:paraId="391787FB" w14:textId="77777777">
        <w:tc>
          <w:tcPr>
            <w:tcW w:w="18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317F6D26" w14:textId="77777777" w:rsidR="00BC1BBF" w:rsidRPr="00CC1E21" w:rsidRDefault="00CC1E21" w:rsidP="00CC1E21">
            <w:pPr>
              <w:jc w:val="both"/>
            </w:pPr>
            <w:r w:rsidRPr="00CC1E21">
              <w:rPr>
                <w:b/>
                <w:bCs/>
                <w:sz w:val="20"/>
                <w:szCs w:val="20"/>
              </w:rPr>
              <w:t>Full Sample</w:t>
            </w:r>
          </w:p>
        </w:tc>
        <w:tc>
          <w:tcPr>
            <w:tcW w:w="9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008B1357" w14:textId="77777777" w:rsidR="00BC1BBF" w:rsidRPr="00CC1E21" w:rsidRDefault="00CC1E21" w:rsidP="00CC1E21">
            <w:pPr>
              <w:jc w:val="both"/>
            </w:pPr>
            <w:r w:rsidRPr="00CC1E21">
              <w:rPr>
                <w:b/>
                <w:bCs/>
                <w:sz w:val="20"/>
                <w:szCs w:val="20"/>
              </w:rPr>
              <w:t>23</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72719D7C" w14:textId="77777777" w:rsidR="00BC1BBF" w:rsidRPr="00CC1E21" w:rsidRDefault="00CC1E21" w:rsidP="00CC1E21">
            <w:pPr>
              <w:jc w:val="both"/>
            </w:pPr>
            <w:r w:rsidRPr="00CC1E21">
              <w:rPr>
                <w:b/>
                <w:bCs/>
                <w:sz w:val="20"/>
                <w:szCs w:val="20"/>
              </w:rPr>
              <w:t>847</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0BB396B0" w14:textId="77777777" w:rsidR="00BC1BBF" w:rsidRPr="00CC1E21" w:rsidRDefault="00CC1E21" w:rsidP="00CC1E21">
            <w:pPr>
              <w:jc w:val="both"/>
            </w:pPr>
            <w:r w:rsidRPr="00CC1E21">
              <w:rPr>
                <w:b/>
                <w:bCs/>
                <w:sz w:val="20"/>
                <w:szCs w:val="20"/>
              </w:rPr>
              <w:t>51.3</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03A88787" w14:textId="77777777" w:rsidR="00BC1BBF" w:rsidRPr="00CC1E21" w:rsidRDefault="00CC1E21" w:rsidP="00CC1E21">
            <w:pPr>
              <w:jc w:val="both"/>
            </w:pPr>
            <w:r w:rsidRPr="00CC1E21">
              <w:rPr>
                <w:b/>
                <w:bCs/>
                <w:sz w:val="20"/>
                <w:szCs w:val="20"/>
              </w:rPr>
              <w:t>63.8</w:t>
            </w:r>
          </w:p>
        </w:tc>
        <w:tc>
          <w:tcPr>
            <w:tcW w:w="126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7363F23F" w14:textId="77777777" w:rsidR="00BC1BBF" w:rsidRPr="00CC1E21" w:rsidRDefault="00CC1E21" w:rsidP="00CC1E21">
            <w:pPr>
              <w:jc w:val="both"/>
            </w:pPr>
            <w:r w:rsidRPr="00CC1E21">
              <w:rPr>
                <w:b/>
                <w:bCs/>
                <w:sz w:val="20"/>
                <w:szCs w:val="20"/>
              </w:rPr>
              <w:t>57.3</w:t>
            </w:r>
          </w:p>
        </w:tc>
        <w:tc>
          <w:tcPr>
            <w:tcW w:w="162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5C516188" w14:textId="77777777" w:rsidR="00BC1BBF" w:rsidRPr="00CC1E21" w:rsidRDefault="00CC1E21" w:rsidP="00CC1E21">
            <w:pPr>
              <w:jc w:val="both"/>
            </w:pPr>
            <w:r w:rsidRPr="00CC1E21">
              <w:rPr>
                <w:b/>
                <w:bCs/>
                <w:sz w:val="20"/>
                <w:szCs w:val="20"/>
              </w:rPr>
              <w:t>2021–2023</w:t>
            </w:r>
          </w:p>
        </w:tc>
      </w:tr>
    </w:tbl>
    <w:p w14:paraId="56C87F66" w14:textId="77777777" w:rsidR="00BC1BBF" w:rsidRDefault="00CC1E21" w:rsidP="00CC1E21">
      <w:pPr>
        <w:spacing w:before="60" w:after="240"/>
        <w:jc w:val="both"/>
        <w:rPr>
          <w:color w:val="444444"/>
          <w:sz w:val="19"/>
          <w:szCs w:val="19"/>
        </w:rPr>
      </w:pPr>
      <w:r w:rsidRPr="00CC1E21">
        <w:rPr>
          <w:color w:val="444444"/>
          <w:sz w:val="19"/>
          <w:szCs w:val="19"/>
        </w:rPr>
        <w:t>Note: AI Cap. Mean = ownership-weighted mean investor AI Capability Index (0–100). Gran. Mean = mean Disclosure Granularity Index (0–100). Enforcement = composite index (0–100). ESG Mandate = year of mandatory climate-risk disclosure adoption. All figures are sample period averages.</w:t>
      </w:r>
    </w:p>
    <w:p w14:paraId="64CC5660" w14:textId="77777777" w:rsidR="00BC1BBF" w:rsidRPr="00CC1E21" w:rsidRDefault="00CC1E21" w:rsidP="00CC1E21">
      <w:pPr>
        <w:spacing w:before="280" w:after="120"/>
        <w:jc w:val="both"/>
      </w:pPr>
      <w:r w:rsidRPr="00CC1E21">
        <w:rPr>
          <w:b/>
          <w:bCs/>
          <w:i/>
          <w:iCs/>
        </w:rPr>
        <w:t>3.2  Measures</w:t>
      </w:r>
    </w:p>
    <w:p w14:paraId="0E1A976A" w14:textId="77777777" w:rsidR="00BC1BBF" w:rsidRPr="00CC1E21" w:rsidRDefault="00CC1E21" w:rsidP="00CC1E21">
      <w:pPr>
        <w:spacing w:after="160" w:line="360" w:lineRule="auto"/>
        <w:jc w:val="both"/>
      </w:pPr>
      <w:r w:rsidRPr="00CC1E21">
        <w:rPr>
          <w:b/>
          <w:bCs/>
        </w:rPr>
        <w:t xml:space="preserve">Dependent variable — Disclosure Granularity. </w:t>
      </w:r>
      <w:r w:rsidRPr="00CC1E21">
        <w:t>Two CPA-qualified research assistants independently coded annual reports using a 47-item protocol adapted from Dhaliwal et al. (2011) and SASB standards, covering 18 environmental, 17 social, and 12 governance items. Each item is scored 0 (no disclosure) to 4 (disaggregated and externally verified). The Granularity Index equals Σ scores / 188 × 100, ranging 0–100. Inter-rater reliability: ICC(2,2) = 0.91, Cohen's κ = 0.89. The 8.6% disagreement rate was resolved by consensus. Validation: GRI compliance correlation r = 0.76 (p &lt; 0.001); Sustainalytics ratings r = 0.68 (p &lt; 0.01).</w:t>
      </w:r>
    </w:p>
    <w:p w14:paraId="2D2F7E9F" w14:textId="77777777" w:rsidR="00BC1BBF" w:rsidRPr="00CC1E21" w:rsidRDefault="00CC1E21" w:rsidP="00CC1E21">
      <w:pPr>
        <w:spacing w:after="160" w:line="360" w:lineRule="auto"/>
        <w:jc w:val="both"/>
      </w:pPr>
      <w:r w:rsidRPr="00CC1E21">
        <w:rPr>
          <w:b/>
          <w:bCs/>
        </w:rPr>
        <w:t xml:space="preserve">Independent variable — Investor AI Capability. </w:t>
      </w:r>
      <w:r w:rsidRPr="00CC1E21">
        <w:t xml:space="preserve">We surveyed 418 institutional investors (71% response rate) on five dimensions: AI adoption extent (30%), ESG-specific AI applications (25%), data integration breadth (20%), greenwashing detection capability (15%), and process automation (10%), each scored 0–100. Weights derive from principal component analysis (first PC explains 68% of variance). The firm-level </w:t>
      </w:r>
      <w:r w:rsidRPr="00CC1E21">
        <w:lastRenderedPageBreak/>
        <w:t>measure is the ownership-weighted average: AI_Capability_it = Σ_j (Ownership_ijt × AI_Index_jt). External validation: job-posting AI keywords r = 0.73, IT expenditure r = 0.61, consultant ratings r = 0.79 (all p &lt; 0.001). Results are robust to ±20% measurement error.</w:t>
      </w:r>
    </w:p>
    <w:p w14:paraId="12196DAF" w14:textId="77777777" w:rsidR="00BC1BBF" w:rsidRPr="00CC1E21" w:rsidRDefault="00CC1E21" w:rsidP="00CC1E21">
      <w:pPr>
        <w:spacing w:after="160" w:line="360" w:lineRule="auto"/>
        <w:jc w:val="both"/>
      </w:pPr>
      <w:r w:rsidRPr="00CC1E21">
        <w:rPr>
          <w:b/>
          <w:bCs/>
        </w:rPr>
        <w:t xml:space="preserve">Controls. </w:t>
      </w:r>
      <w:r w:rsidRPr="00CC1E21">
        <w:t>Financial controls: log assets, ROA, leverage, NPL ratio, Z-score. Governance controls: board independence, gender diversity, ESG committee indicator, CEO duality. ESG performance: carbon intensity, green lending ratio, ESG controversy count. Market controls: analyst coverage, institutional ownership concentration, GDP per capita, institutional quality. All models include country and year fixed effects. Maximum VIF = 3.41 (firm size); all VIFs &lt; 5.</w:t>
      </w:r>
    </w:p>
    <w:p w14:paraId="749196D5" w14:textId="77777777" w:rsidR="00BC1BBF" w:rsidRPr="00CC1E21" w:rsidRDefault="00CC1E21" w:rsidP="00CC1E21">
      <w:pPr>
        <w:spacing w:before="280" w:after="120"/>
        <w:jc w:val="both"/>
      </w:pPr>
      <w:r w:rsidRPr="00CC1E21">
        <w:rPr>
          <w:b/>
          <w:bCs/>
          <w:i/>
          <w:iCs/>
        </w:rPr>
        <w:t>3.3  Identification Strategy</w:t>
      </w:r>
    </w:p>
    <w:p w14:paraId="1054556E" w14:textId="77777777" w:rsidR="00BC1BBF" w:rsidRPr="00CC1E21" w:rsidRDefault="00CC1E21" w:rsidP="00CC1E21">
      <w:pPr>
        <w:spacing w:after="160" w:line="360" w:lineRule="auto"/>
        <w:jc w:val="both"/>
      </w:pPr>
      <w:r w:rsidRPr="00CC1E21">
        <w:t xml:space="preserve">The core endogeneity concern is reverse causality: AI-capable investors may select firms that already disclose granularly, inflating OLS estimates. Our primary instrument is the EU Sustainable Finance Disclosure Regulation (SFDR, Regulation 2019/2088, implemented March 2021), which legally compelled EU-domiciled investors to automate ESG data processing. SFDR creates plausibly exogenous variation in AI capability across ownership structures: banks held by EU investors post-2021 receive a positive AI capability shock unrelated to those banks' own disclosure decisions. The exclusion restriction — that SFDR affects disclosure only through the AI capability channel — is supported by five pieces of evidence: interview accounts, parallel trends among non-EU high-AI investors, zero change for banks without EU owners post-2021, flat pre-trends in event studies, and consistent results using an alternative instrument (data centre capacity growth, F = 31.2). </w:t>
      </w:r>
      <w:r w:rsidR="00006322">
        <w:t xml:space="preserve"> The research</w:t>
      </w:r>
      <w:r w:rsidRPr="00CC1E21">
        <w:t xml:space="preserve"> supplement</w:t>
      </w:r>
      <w:r w:rsidR="00006322">
        <w:t>s</w:t>
      </w:r>
      <w:r w:rsidRPr="00CC1E21">
        <w:t xml:space="preserve"> IV with staggered difference-in-differences exploiting Kenya's 2021 mandate, Tanzania/Uganda's 2022 adoption, and Rwanda/Ethiopia's 2023 implementation; event studies on seven ownership-shift banks; and entropy balancing.</w:t>
      </w:r>
    </w:p>
    <w:p w14:paraId="0E5E0DBE" w14:textId="77777777" w:rsidR="00B91D0F" w:rsidRDefault="00B91D0F" w:rsidP="00CC1E21">
      <w:pPr>
        <w:spacing w:before="280" w:after="120"/>
        <w:jc w:val="both"/>
        <w:rPr>
          <w:b/>
          <w:bCs/>
          <w:i/>
          <w:iCs/>
        </w:rPr>
      </w:pPr>
      <w:r>
        <w:rPr>
          <w:b/>
          <w:bCs/>
          <w:sz w:val="24"/>
          <w:szCs w:val="24"/>
        </w:rPr>
        <w:t>4.0 Results</w:t>
      </w:r>
    </w:p>
    <w:p w14:paraId="4941EF04" w14:textId="77777777" w:rsidR="00BC1BBF" w:rsidRPr="00CC1E21" w:rsidRDefault="00CC1E21" w:rsidP="00CC1E21">
      <w:pPr>
        <w:spacing w:before="280" w:after="120"/>
        <w:jc w:val="both"/>
      </w:pPr>
      <w:r w:rsidRPr="00CC1E21">
        <w:rPr>
          <w:b/>
          <w:bCs/>
          <w:i/>
          <w:iCs/>
        </w:rPr>
        <w:t>4.1 Descriptive Statistics and Correlations</w:t>
      </w:r>
    </w:p>
    <w:p w14:paraId="017B40C0" w14:textId="77777777" w:rsidR="00BC1BBF" w:rsidRPr="00CC1E21" w:rsidRDefault="00CC1E21" w:rsidP="00B91D0F">
      <w:pPr>
        <w:spacing w:after="160" w:line="360" w:lineRule="auto"/>
        <w:jc w:val="both"/>
      </w:pPr>
      <w:r w:rsidRPr="00CC1E21">
        <w:t>Table 2 presents descriptive statistics and pairwise correlations. Disclosure granularity averages 63.8 (SD = 22.1) with a bimodal distribution: 12% of firm-years score above 80 ('complete disclosers') and 18% below 40 ('minimal disclosers'), suggesting two distinct disclosure regimes. AI capability varies widely (mean = 51.3, SD = 28.7, range 3.2–94.7), providing the identification power needed. The granularity–AI correlation (r = 0.51, p &lt; 0.001) is the strongest pairwise correlation in the table. Crucially, granularity does not correlate with carbon intensity (r = −0.04, p = 0.62), anticipating the disclosure-performance decoupling documented in Section 4.4.</w:t>
      </w:r>
    </w:p>
    <w:p w14:paraId="706FC67C" w14:textId="77777777" w:rsidR="00BC1BBF" w:rsidRPr="00CC1E21" w:rsidRDefault="00B91D0F" w:rsidP="00CC1E21">
      <w:pPr>
        <w:spacing w:after="80"/>
        <w:jc w:val="both"/>
      </w:pPr>
      <w:r>
        <w:rPr>
          <w:b/>
          <w:bCs/>
        </w:rPr>
        <w:t xml:space="preserve">Table 2: </w:t>
      </w:r>
      <w:r w:rsidR="00CC1E21" w:rsidRPr="00CC1E21">
        <w:rPr>
          <w:b/>
          <w:bCs/>
        </w:rPr>
        <w:t>Descriptive Statistics and Pairwise Correlations (N = 847 firm-years)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7"/>
        <w:gridCol w:w="732"/>
        <w:gridCol w:w="592"/>
        <w:gridCol w:w="598"/>
        <w:gridCol w:w="793"/>
        <w:gridCol w:w="793"/>
        <w:gridCol w:w="793"/>
        <w:gridCol w:w="793"/>
        <w:gridCol w:w="683"/>
        <w:gridCol w:w="683"/>
        <w:gridCol w:w="693"/>
      </w:tblGrid>
      <w:tr w:rsidR="00BC1BBF" w:rsidRPr="00CC1E21" w14:paraId="2CBB412A" w14:textId="77777777">
        <w:trPr>
          <w:tblHeader/>
        </w:trPr>
        <w:tc>
          <w:tcPr>
            <w:tcW w:w="22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0B1E80DB" w14:textId="77777777" w:rsidR="00BC1BBF" w:rsidRPr="00CC1E21" w:rsidRDefault="00CC1E21" w:rsidP="00CC1E21">
            <w:pPr>
              <w:jc w:val="both"/>
            </w:pPr>
            <w:r w:rsidRPr="00CC1E21">
              <w:rPr>
                <w:b/>
                <w:bCs/>
                <w:color w:val="FFFFFF"/>
                <w:sz w:val="20"/>
                <w:szCs w:val="20"/>
              </w:rPr>
              <w:lastRenderedPageBreak/>
              <w:t>Variable</w:t>
            </w:r>
          </w:p>
        </w:tc>
        <w:tc>
          <w:tcPr>
            <w:tcW w:w="5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C420FAD" w14:textId="77777777" w:rsidR="00BC1BBF" w:rsidRPr="00CC1E21" w:rsidRDefault="00CC1E21" w:rsidP="00CC1E21">
            <w:pPr>
              <w:jc w:val="both"/>
            </w:pPr>
            <w:r w:rsidRPr="00CC1E21">
              <w:rPr>
                <w:b/>
                <w:bCs/>
                <w:color w:val="FFFFFF"/>
                <w:sz w:val="20"/>
                <w:szCs w:val="20"/>
              </w:rPr>
              <w:t>Mean</w:t>
            </w:r>
          </w:p>
        </w:tc>
        <w:tc>
          <w:tcPr>
            <w:tcW w:w="5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7D602993" w14:textId="77777777" w:rsidR="00BC1BBF" w:rsidRPr="00CC1E21" w:rsidRDefault="00CC1E21" w:rsidP="00CC1E21">
            <w:pPr>
              <w:jc w:val="both"/>
            </w:pPr>
            <w:r w:rsidRPr="00CC1E21">
              <w:rPr>
                <w:b/>
                <w:bCs/>
                <w:color w:val="FFFFFF"/>
                <w:sz w:val="20"/>
                <w:szCs w:val="20"/>
              </w:rPr>
              <w:t>SD</w:t>
            </w:r>
          </w:p>
        </w:tc>
        <w:tc>
          <w:tcPr>
            <w:tcW w:w="5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6D27E269" w14:textId="77777777" w:rsidR="00BC1BBF" w:rsidRPr="00CC1E21" w:rsidRDefault="00CC1E21" w:rsidP="00CC1E21">
            <w:pPr>
              <w:jc w:val="both"/>
            </w:pPr>
            <w:r w:rsidRPr="00CC1E21">
              <w:rPr>
                <w:b/>
                <w:bCs/>
                <w:color w:val="FFFFFF"/>
                <w:sz w:val="20"/>
                <w:szCs w:val="20"/>
              </w:rPr>
              <w:t>Min</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E25D9A5" w14:textId="77777777" w:rsidR="00BC1BBF" w:rsidRPr="00CC1E21" w:rsidRDefault="00CC1E21" w:rsidP="00CC1E21">
            <w:pPr>
              <w:jc w:val="both"/>
            </w:pPr>
            <w:r w:rsidRPr="00CC1E21">
              <w:rPr>
                <w:b/>
                <w:bCs/>
                <w:color w:val="FFFFFF"/>
                <w:sz w:val="20"/>
                <w:szCs w:val="20"/>
              </w:rPr>
              <w:t>(1)</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7D1B6063" w14:textId="77777777" w:rsidR="00BC1BBF" w:rsidRPr="00CC1E21" w:rsidRDefault="00CC1E21" w:rsidP="00CC1E21">
            <w:pPr>
              <w:jc w:val="both"/>
            </w:pPr>
            <w:r w:rsidRPr="00CC1E21">
              <w:rPr>
                <w:b/>
                <w:bCs/>
                <w:color w:val="FFFFFF"/>
                <w:sz w:val="20"/>
                <w:szCs w:val="20"/>
              </w:rPr>
              <w:t>(2)</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1E4DA0D1" w14:textId="77777777" w:rsidR="00BC1BBF" w:rsidRPr="00CC1E21" w:rsidRDefault="00CC1E21" w:rsidP="00CC1E21">
            <w:pPr>
              <w:jc w:val="both"/>
            </w:pPr>
            <w:r w:rsidRPr="00CC1E21">
              <w:rPr>
                <w:b/>
                <w:bCs/>
                <w:color w:val="FFFFFF"/>
                <w:sz w:val="20"/>
                <w:szCs w:val="20"/>
              </w:rPr>
              <w:t>(3)</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31F264E" w14:textId="77777777" w:rsidR="00BC1BBF" w:rsidRPr="00CC1E21" w:rsidRDefault="00CC1E21" w:rsidP="00CC1E21">
            <w:pPr>
              <w:jc w:val="both"/>
            </w:pPr>
            <w:r w:rsidRPr="00CC1E21">
              <w:rPr>
                <w:b/>
                <w:bCs/>
                <w:color w:val="FFFFFF"/>
                <w:sz w:val="20"/>
                <w:szCs w:val="20"/>
              </w:rPr>
              <w:t>(4)</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7D0D3089" w14:textId="77777777" w:rsidR="00BC1BBF" w:rsidRPr="00CC1E21" w:rsidRDefault="00CC1E21" w:rsidP="00CC1E21">
            <w:pPr>
              <w:jc w:val="both"/>
            </w:pPr>
            <w:r w:rsidRPr="00CC1E21">
              <w:rPr>
                <w:b/>
                <w:bCs/>
                <w:color w:val="FFFFFF"/>
                <w:sz w:val="20"/>
                <w:szCs w:val="20"/>
              </w:rPr>
              <w:t>(5)</w:t>
            </w:r>
          </w:p>
        </w:tc>
        <w:tc>
          <w:tcPr>
            <w:tcW w:w="68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7E0BEC6E" w14:textId="77777777" w:rsidR="00BC1BBF" w:rsidRPr="00CC1E21" w:rsidRDefault="00CC1E21" w:rsidP="00CC1E21">
            <w:pPr>
              <w:jc w:val="both"/>
            </w:pPr>
            <w:r w:rsidRPr="00CC1E21">
              <w:rPr>
                <w:b/>
                <w:bCs/>
                <w:color w:val="FFFFFF"/>
                <w:sz w:val="20"/>
                <w:szCs w:val="20"/>
              </w:rPr>
              <w:t>(6)</w:t>
            </w:r>
          </w:p>
        </w:tc>
        <w:tc>
          <w:tcPr>
            <w:tcW w:w="4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A7A311F" w14:textId="77777777" w:rsidR="00BC1BBF" w:rsidRPr="00CC1E21" w:rsidRDefault="00CC1E21" w:rsidP="00CC1E21">
            <w:pPr>
              <w:jc w:val="both"/>
            </w:pPr>
            <w:r w:rsidRPr="00CC1E21">
              <w:rPr>
                <w:b/>
                <w:bCs/>
                <w:color w:val="FFFFFF"/>
                <w:sz w:val="20"/>
                <w:szCs w:val="20"/>
              </w:rPr>
              <w:t>Max</w:t>
            </w:r>
          </w:p>
        </w:tc>
      </w:tr>
      <w:tr w:rsidR="00BC1BBF" w:rsidRPr="00CC1E21" w14:paraId="3B4A4DFD" w14:textId="77777777">
        <w:tc>
          <w:tcPr>
            <w:tcW w:w="22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6BFA600" w14:textId="77777777" w:rsidR="00BC1BBF" w:rsidRPr="00CC1E21" w:rsidRDefault="00CC1E21" w:rsidP="00CC1E21">
            <w:pPr>
              <w:jc w:val="both"/>
            </w:pPr>
            <w:r w:rsidRPr="00CC1E21">
              <w:rPr>
                <w:sz w:val="20"/>
                <w:szCs w:val="20"/>
              </w:rPr>
              <w:t>(1) Disclosure Granularity</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1501B41" w14:textId="77777777" w:rsidR="00BC1BBF" w:rsidRPr="00CC1E21" w:rsidRDefault="00CC1E21" w:rsidP="00CC1E21">
            <w:pPr>
              <w:jc w:val="both"/>
            </w:pPr>
            <w:r w:rsidRPr="00CC1E21">
              <w:rPr>
                <w:sz w:val="20"/>
                <w:szCs w:val="20"/>
              </w:rPr>
              <w:t>63.8</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9324A82" w14:textId="77777777" w:rsidR="00BC1BBF" w:rsidRPr="00CC1E21" w:rsidRDefault="00CC1E21" w:rsidP="00CC1E21">
            <w:pPr>
              <w:jc w:val="both"/>
            </w:pPr>
            <w:r w:rsidRPr="00CC1E21">
              <w:rPr>
                <w:sz w:val="20"/>
                <w:szCs w:val="20"/>
              </w:rPr>
              <w:t>22.1</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961120D" w14:textId="77777777" w:rsidR="00BC1BBF" w:rsidRPr="00CC1E21" w:rsidRDefault="00CC1E21" w:rsidP="00CC1E21">
            <w:pPr>
              <w:jc w:val="both"/>
            </w:pPr>
            <w:r w:rsidRPr="00CC1E21">
              <w:rPr>
                <w:sz w:val="20"/>
                <w:szCs w:val="20"/>
              </w:rPr>
              <w:t>18.4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BFE58BC" w14:textId="77777777"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79F003C"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9D8D2C4"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E1A824B"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A054FF5"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8D96C9A" w14:textId="77777777"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82840C9" w14:textId="77777777" w:rsidR="00BC1BBF" w:rsidRPr="00CC1E21" w:rsidRDefault="00CC1E21" w:rsidP="00CC1E21">
            <w:pPr>
              <w:jc w:val="both"/>
            </w:pPr>
            <w:r w:rsidRPr="00CC1E21">
              <w:rPr>
                <w:sz w:val="20"/>
                <w:szCs w:val="20"/>
              </w:rPr>
              <w:t>96.2</w:t>
            </w:r>
          </w:p>
        </w:tc>
      </w:tr>
      <w:tr w:rsidR="00BC1BBF" w:rsidRPr="00CC1E21" w14:paraId="4340EA94" w14:textId="77777777">
        <w:tc>
          <w:tcPr>
            <w:tcW w:w="22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2C9EBD33" w14:textId="77777777" w:rsidR="00BC1BBF" w:rsidRPr="00CC1E21" w:rsidRDefault="00CC1E21" w:rsidP="00CC1E21">
            <w:pPr>
              <w:jc w:val="both"/>
            </w:pPr>
            <w:r w:rsidRPr="00CC1E21">
              <w:rPr>
                <w:sz w:val="20"/>
                <w:szCs w:val="20"/>
              </w:rPr>
              <w:t>(2) AI Capability (wt.)</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0CD22A5" w14:textId="77777777" w:rsidR="00BC1BBF" w:rsidRPr="00CC1E21" w:rsidRDefault="00CC1E21" w:rsidP="00CC1E21">
            <w:pPr>
              <w:jc w:val="both"/>
            </w:pPr>
            <w:r w:rsidRPr="00CC1E21">
              <w:rPr>
                <w:sz w:val="20"/>
                <w:szCs w:val="20"/>
              </w:rPr>
              <w:t>51.3</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8B6FAF8" w14:textId="77777777" w:rsidR="00BC1BBF" w:rsidRPr="00CC1E21" w:rsidRDefault="00CC1E21" w:rsidP="00CC1E21">
            <w:pPr>
              <w:jc w:val="both"/>
            </w:pPr>
            <w:r w:rsidRPr="00CC1E21">
              <w:rPr>
                <w:sz w:val="20"/>
                <w:szCs w:val="20"/>
              </w:rPr>
              <w:t>28.7</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EC6CC91" w14:textId="77777777" w:rsidR="00BC1BBF" w:rsidRPr="00CC1E21" w:rsidRDefault="00CC1E21" w:rsidP="00CC1E21">
            <w:pPr>
              <w:jc w:val="both"/>
            </w:pPr>
            <w:r w:rsidRPr="00CC1E21">
              <w:rPr>
                <w:sz w:val="20"/>
                <w:szCs w:val="20"/>
              </w:rPr>
              <w:t>3.2</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BA2B3AA" w14:textId="77777777" w:rsidR="00BC1BBF" w:rsidRPr="00CC1E21" w:rsidRDefault="00CC1E21" w:rsidP="00CC1E21">
            <w:pPr>
              <w:jc w:val="both"/>
            </w:pPr>
            <w:r w:rsidRPr="00CC1E21">
              <w:rPr>
                <w:sz w:val="20"/>
                <w:szCs w:val="20"/>
              </w:rPr>
              <w:t>.51***</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BD34431" w14:textId="77777777"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2EBF7EB"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192F6C5"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E11BBE8"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962930A" w14:textId="77777777"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5AFC5B8" w14:textId="77777777" w:rsidR="00BC1BBF" w:rsidRPr="00CC1E21" w:rsidRDefault="00CC1E21" w:rsidP="00CC1E21">
            <w:pPr>
              <w:jc w:val="both"/>
            </w:pPr>
            <w:r w:rsidRPr="00CC1E21">
              <w:rPr>
                <w:sz w:val="20"/>
                <w:szCs w:val="20"/>
              </w:rPr>
              <w:t>94.7</w:t>
            </w:r>
          </w:p>
        </w:tc>
      </w:tr>
      <w:tr w:rsidR="00BC1BBF" w:rsidRPr="00CC1E21" w14:paraId="76BDD494" w14:textId="77777777">
        <w:tc>
          <w:tcPr>
            <w:tcW w:w="22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C73F53A" w14:textId="77777777" w:rsidR="00BC1BBF" w:rsidRPr="00CC1E21" w:rsidRDefault="00CC1E21" w:rsidP="00CC1E21">
            <w:pPr>
              <w:jc w:val="both"/>
            </w:pPr>
            <w:r w:rsidRPr="00CC1E21">
              <w:rPr>
                <w:sz w:val="20"/>
                <w:szCs w:val="20"/>
              </w:rPr>
              <w:t>(3) Enforcement Strength</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7937427" w14:textId="77777777" w:rsidR="00BC1BBF" w:rsidRPr="00CC1E21" w:rsidRDefault="00CC1E21" w:rsidP="00CC1E21">
            <w:pPr>
              <w:jc w:val="both"/>
            </w:pPr>
            <w:r w:rsidRPr="00CC1E21">
              <w:rPr>
                <w:sz w:val="20"/>
                <w:szCs w:val="20"/>
              </w:rPr>
              <w:t>57.3</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EDC044F" w14:textId="77777777" w:rsidR="00BC1BBF" w:rsidRPr="00CC1E21" w:rsidRDefault="00CC1E21" w:rsidP="00CC1E21">
            <w:pPr>
              <w:jc w:val="both"/>
            </w:pPr>
            <w:r w:rsidRPr="00CC1E21">
              <w:rPr>
                <w:sz w:val="20"/>
                <w:szCs w:val="20"/>
              </w:rPr>
              <w:t>18.4</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099E4C8E" w14:textId="77777777" w:rsidR="00BC1BBF" w:rsidRPr="00CC1E21" w:rsidRDefault="00CC1E21" w:rsidP="00CC1E21">
            <w:pPr>
              <w:jc w:val="both"/>
            </w:pPr>
            <w:r w:rsidRPr="00CC1E21">
              <w:rPr>
                <w:sz w:val="20"/>
                <w:szCs w:val="20"/>
              </w:rPr>
              <w:t>32.4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8EB8ED3" w14:textId="77777777" w:rsidR="00BC1BBF" w:rsidRPr="00CC1E21" w:rsidRDefault="00CC1E21" w:rsidP="00CC1E21">
            <w:pPr>
              <w:jc w:val="both"/>
            </w:pPr>
            <w:r w:rsidRPr="00CC1E21">
              <w:rPr>
                <w:sz w:val="20"/>
                <w:szCs w:val="20"/>
              </w:rPr>
              <w:t>.44***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FD2E0B6" w14:textId="77777777" w:rsidR="00BC1BBF" w:rsidRPr="00CC1E21" w:rsidRDefault="00CC1E21" w:rsidP="00CC1E21">
            <w:pPr>
              <w:jc w:val="both"/>
            </w:pPr>
            <w:r w:rsidRPr="00CC1E21">
              <w:rPr>
                <w:sz w:val="20"/>
                <w:szCs w:val="20"/>
              </w:rPr>
              <w:t>.32***</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8037876" w14:textId="77777777"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831389C"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3558852"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35B8EDA" w14:textId="77777777"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A840B9A" w14:textId="77777777" w:rsidR="00BC1BBF" w:rsidRPr="00CC1E21" w:rsidRDefault="00CC1E21" w:rsidP="00CC1E21">
            <w:pPr>
              <w:jc w:val="both"/>
            </w:pPr>
            <w:r w:rsidRPr="00CC1E21">
              <w:rPr>
                <w:sz w:val="20"/>
                <w:szCs w:val="20"/>
              </w:rPr>
              <w:t>82.1</w:t>
            </w:r>
          </w:p>
        </w:tc>
      </w:tr>
      <w:tr w:rsidR="00BC1BBF" w:rsidRPr="00CC1E21" w14:paraId="7299828E" w14:textId="77777777">
        <w:tc>
          <w:tcPr>
            <w:tcW w:w="22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B913676" w14:textId="77777777" w:rsidR="00BC1BBF" w:rsidRPr="00CC1E21" w:rsidRDefault="00CC1E21" w:rsidP="00CC1E21">
            <w:pPr>
              <w:jc w:val="both"/>
            </w:pPr>
            <w:r w:rsidRPr="00CC1E21">
              <w:rPr>
                <w:sz w:val="20"/>
                <w:szCs w:val="20"/>
              </w:rPr>
              <w:t>(4) Meas. Verifiability</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CE34115" w14:textId="77777777" w:rsidR="00BC1BBF" w:rsidRPr="00CC1E21" w:rsidRDefault="00CC1E21" w:rsidP="00CC1E21">
            <w:pPr>
              <w:jc w:val="both"/>
            </w:pPr>
            <w:r w:rsidRPr="00CC1E21">
              <w:rPr>
                <w:sz w:val="20"/>
                <w:szCs w:val="20"/>
              </w:rPr>
              <w:t>54.1</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54491FA" w14:textId="77777777" w:rsidR="00BC1BBF" w:rsidRPr="00CC1E21" w:rsidRDefault="00CC1E21" w:rsidP="00CC1E21">
            <w:pPr>
              <w:jc w:val="both"/>
            </w:pPr>
            <w:r w:rsidRPr="00CC1E21">
              <w:rPr>
                <w:sz w:val="20"/>
                <w:szCs w:val="20"/>
              </w:rPr>
              <w:t>21.8</w:t>
            </w:r>
          </w:p>
        </w:tc>
        <w:tc>
          <w:tcPr>
            <w:tcW w:w="5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2A10B5F" w14:textId="77777777" w:rsidR="00BC1BBF" w:rsidRPr="00CC1E21" w:rsidRDefault="00CC1E21" w:rsidP="00CC1E21">
            <w:pPr>
              <w:jc w:val="both"/>
            </w:pPr>
            <w:r w:rsidRPr="00CC1E21">
              <w:rPr>
                <w:sz w:val="20"/>
                <w:szCs w:val="20"/>
              </w:rPr>
              <w:t>11.3</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73E168C" w14:textId="77777777" w:rsidR="00BC1BBF" w:rsidRPr="00CC1E21" w:rsidRDefault="00CC1E21" w:rsidP="00CC1E21">
            <w:pPr>
              <w:jc w:val="both"/>
            </w:pPr>
            <w:r w:rsidRPr="00CC1E21">
              <w:rPr>
                <w:sz w:val="20"/>
                <w:szCs w:val="20"/>
              </w:rPr>
              <w:t>.58***</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3F3ED4D" w14:textId="77777777" w:rsidR="00BC1BBF" w:rsidRPr="00CC1E21" w:rsidRDefault="00CC1E21" w:rsidP="00CC1E21">
            <w:pPr>
              <w:jc w:val="both"/>
            </w:pPr>
            <w:r w:rsidRPr="00CC1E21">
              <w:rPr>
                <w:sz w:val="20"/>
                <w:szCs w:val="20"/>
              </w:rPr>
              <w:t>.49***</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FE360CA" w14:textId="77777777" w:rsidR="00BC1BBF" w:rsidRPr="00CC1E21" w:rsidRDefault="00CC1E21" w:rsidP="00CC1E21">
            <w:pPr>
              <w:jc w:val="both"/>
            </w:pPr>
            <w:r w:rsidRPr="00CC1E21">
              <w:rPr>
                <w:sz w:val="20"/>
                <w:szCs w:val="20"/>
              </w:rPr>
              <w:t>.38***</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104F99B" w14:textId="77777777"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6E86915" w14:textId="77777777" w:rsidR="00BC1BBF" w:rsidRPr="00CC1E21" w:rsidRDefault="00BC1BBF" w:rsidP="00CC1E21">
            <w:pPr>
              <w:jc w:val="both"/>
            </w:pPr>
          </w:p>
        </w:tc>
        <w:tc>
          <w:tcPr>
            <w:tcW w:w="68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D13FFD5" w14:textId="77777777"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234A4082" w14:textId="77777777" w:rsidR="00BC1BBF" w:rsidRPr="00CC1E21" w:rsidRDefault="00CC1E21" w:rsidP="00CC1E21">
            <w:pPr>
              <w:jc w:val="both"/>
            </w:pPr>
            <w:r w:rsidRPr="00CC1E21">
              <w:rPr>
                <w:sz w:val="20"/>
                <w:szCs w:val="20"/>
              </w:rPr>
              <w:t>93.6</w:t>
            </w:r>
          </w:p>
        </w:tc>
      </w:tr>
      <w:tr w:rsidR="00BC1BBF" w:rsidRPr="00CC1E21" w14:paraId="5B55AEDD" w14:textId="77777777">
        <w:tc>
          <w:tcPr>
            <w:tcW w:w="22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06327ECC" w14:textId="77777777" w:rsidR="00BC1BBF" w:rsidRPr="00CC1E21" w:rsidRDefault="00CC1E21" w:rsidP="00CC1E21">
            <w:pPr>
              <w:jc w:val="both"/>
            </w:pPr>
            <w:r w:rsidRPr="00CC1E21">
              <w:rPr>
                <w:sz w:val="20"/>
                <w:szCs w:val="20"/>
              </w:rPr>
              <w:t>(5) Carbon Intensity</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A36F94D" w14:textId="77777777" w:rsidR="00BC1BBF" w:rsidRPr="00CC1E21" w:rsidRDefault="00CC1E21" w:rsidP="00CC1E21">
            <w:pPr>
              <w:jc w:val="both"/>
            </w:pPr>
            <w:r w:rsidRPr="00CC1E21">
              <w:rPr>
                <w:sz w:val="20"/>
                <w:szCs w:val="20"/>
              </w:rPr>
              <w:t>42.6</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0A06EAB9" w14:textId="77777777" w:rsidR="00BC1BBF" w:rsidRPr="00CC1E21" w:rsidRDefault="00CC1E21" w:rsidP="00CC1E21">
            <w:pPr>
              <w:jc w:val="both"/>
            </w:pPr>
            <w:r w:rsidRPr="00CC1E21">
              <w:rPr>
                <w:sz w:val="20"/>
                <w:szCs w:val="20"/>
              </w:rPr>
              <w:t>19.3</w:t>
            </w:r>
          </w:p>
        </w:tc>
        <w:tc>
          <w:tcPr>
            <w:tcW w:w="5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6677653" w14:textId="77777777" w:rsidR="00BC1BBF" w:rsidRPr="00CC1E21" w:rsidRDefault="00CC1E21" w:rsidP="00CC1E21">
            <w:pPr>
              <w:jc w:val="both"/>
            </w:pPr>
            <w:r w:rsidRPr="00CC1E21">
              <w:rPr>
                <w:sz w:val="20"/>
                <w:szCs w:val="20"/>
              </w:rPr>
              <w:t>8.7</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0A33340F" w14:textId="77777777" w:rsidR="00BC1BBF" w:rsidRPr="00CC1E21" w:rsidRDefault="00CC1E21" w:rsidP="00CC1E21">
            <w:pPr>
              <w:jc w:val="both"/>
            </w:pPr>
            <w:r w:rsidRPr="00CC1E21">
              <w:rPr>
                <w:sz w:val="20"/>
                <w:szCs w:val="20"/>
              </w:rPr>
              <w:t>−.04</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960D81F" w14:textId="77777777" w:rsidR="00BC1BBF" w:rsidRPr="00CC1E21" w:rsidRDefault="00CC1E21" w:rsidP="00CC1E21">
            <w:pPr>
              <w:jc w:val="both"/>
            </w:pPr>
            <w:r w:rsidRPr="00CC1E21">
              <w:rPr>
                <w:sz w:val="20"/>
                <w:szCs w:val="20"/>
              </w:rPr>
              <w:t>.07</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35011B3" w14:textId="77777777" w:rsidR="00BC1BBF" w:rsidRPr="00CC1E21" w:rsidRDefault="00CC1E21" w:rsidP="00CC1E21">
            <w:pPr>
              <w:jc w:val="both"/>
            </w:pPr>
            <w:r w:rsidRPr="00CC1E21">
              <w:rPr>
                <w:sz w:val="20"/>
                <w:szCs w:val="20"/>
              </w:rPr>
              <w:t>.11</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1C3E434" w14:textId="77777777" w:rsidR="00BC1BBF" w:rsidRPr="00CC1E21" w:rsidRDefault="00CC1E21" w:rsidP="00CC1E21">
            <w:pPr>
              <w:jc w:val="both"/>
            </w:pPr>
            <w:r w:rsidRPr="00CC1E21">
              <w:rPr>
                <w:sz w:val="20"/>
                <w:szCs w:val="20"/>
              </w:rPr>
              <w:t>.06</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0316997A" w14:textId="77777777" w:rsidR="00BC1BBF" w:rsidRPr="00CC1E21" w:rsidRDefault="00CC1E21" w:rsidP="00CC1E21">
            <w:pPr>
              <w:jc w:val="both"/>
            </w:pPr>
            <w:r w:rsidRPr="00CC1E21">
              <w:rPr>
                <w:sz w:val="20"/>
                <w:szCs w:val="20"/>
              </w:rPr>
              <w:t>1.00</w:t>
            </w:r>
          </w:p>
        </w:tc>
        <w:tc>
          <w:tcPr>
            <w:tcW w:w="68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50A9718" w14:textId="77777777" w:rsidR="00BC1BBF" w:rsidRPr="00CC1E21" w:rsidRDefault="00BC1BBF" w:rsidP="00CC1E21">
            <w:pPr>
              <w:jc w:val="both"/>
            </w:pPr>
          </w:p>
        </w:tc>
        <w:tc>
          <w:tcPr>
            <w:tcW w:w="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25328EB" w14:textId="77777777" w:rsidR="00BC1BBF" w:rsidRPr="00CC1E21" w:rsidRDefault="00CC1E21" w:rsidP="00CC1E21">
            <w:pPr>
              <w:jc w:val="both"/>
            </w:pPr>
            <w:r w:rsidRPr="00CC1E21">
              <w:rPr>
                <w:sz w:val="20"/>
                <w:szCs w:val="20"/>
              </w:rPr>
              <w:t>97.4</w:t>
            </w:r>
          </w:p>
        </w:tc>
      </w:tr>
      <w:tr w:rsidR="00BC1BBF" w:rsidRPr="00CC1E21" w14:paraId="7676D60F" w14:textId="77777777">
        <w:tc>
          <w:tcPr>
            <w:tcW w:w="220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012238EB" w14:textId="77777777" w:rsidR="00BC1BBF" w:rsidRPr="00CC1E21" w:rsidRDefault="00CC1E21" w:rsidP="00CC1E21">
            <w:pPr>
              <w:jc w:val="both"/>
            </w:pPr>
            <w:r w:rsidRPr="00CC1E21">
              <w:rPr>
                <w:sz w:val="20"/>
                <w:szCs w:val="20"/>
              </w:rPr>
              <w:t>(6) Log(Assets)</w:t>
            </w:r>
          </w:p>
        </w:tc>
        <w:tc>
          <w:tcPr>
            <w:tcW w:w="56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18EE40AD" w14:textId="77777777" w:rsidR="00BC1BBF" w:rsidRPr="00CC1E21" w:rsidRDefault="00CC1E21" w:rsidP="00CC1E21">
            <w:pPr>
              <w:jc w:val="both"/>
            </w:pPr>
            <w:r w:rsidRPr="00CC1E21">
              <w:rPr>
                <w:sz w:val="20"/>
                <w:szCs w:val="20"/>
              </w:rPr>
              <w:t>7.83</w:t>
            </w:r>
          </w:p>
        </w:tc>
        <w:tc>
          <w:tcPr>
            <w:tcW w:w="56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0733F442" w14:textId="77777777" w:rsidR="00BC1BBF" w:rsidRPr="00CC1E21" w:rsidRDefault="00CC1E21" w:rsidP="00CC1E21">
            <w:pPr>
              <w:jc w:val="both"/>
            </w:pPr>
            <w:r w:rsidRPr="00CC1E21">
              <w:rPr>
                <w:sz w:val="20"/>
                <w:szCs w:val="20"/>
              </w:rPr>
              <w:t>0.92</w:t>
            </w:r>
          </w:p>
        </w:tc>
        <w:tc>
          <w:tcPr>
            <w:tcW w:w="56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6F2E4AEC" w14:textId="77777777" w:rsidR="00BC1BBF" w:rsidRPr="00CC1E21" w:rsidRDefault="00CC1E21" w:rsidP="00CC1E21">
            <w:pPr>
              <w:jc w:val="both"/>
            </w:pPr>
            <w:r w:rsidRPr="00CC1E21">
              <w:rPr>
                <w:sz w:val="20"/>
                <w:szCs w:val="20"/>
              </w:rPr>
              <w:t>5.91</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5DFD381B" w14:textId="77777777" w:rsidR="00BC1BBF" w:rsidRPr="00CC1E21" w:rsidRDefault="00CC1E21" w:rsidP="00CC1E21">
            <w:pPr>
              <w:jc w:val="both"/>
            </w:pPr>
            <w:r w:rsidRPr="00CC1E21">
              <w:rPr>
                <w:sz w:val="20"/>
                <w:szCs w:val="20"/>
              </w:rPr>
              <w:t>.28***</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565E497C" w14:textId="77777777" w:rsidR="00BC1BBF" w:rsidRPr="00CC1E21" w:rsidRDefault="00CC1E21" w:rsidP="00CC1E21">
            <w:pPr>
              <w:jc w:val="both"/>
            </w:pPr>
            <w:r w:rsidRPr="00CC1E21">
              <w:rPr>
                <w:sz w:val="20"/>
                <w:szCs w:val="20"/>
              </w:rPr>
              <w:t>.21***</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7A36068A" w14:textId="77777777" w:rsidR="00BC1BBF" w:rsidRPr="00CC1E21" w:rsidRDefault="00CC1E21" w:rsidP="00CC1E21">
            <w:pPr>
              <w:jc w:val="both"/>
            </w:pPr>
            <w:r w:rsidRPr="00CC1E21">
              <w:rPr>
                <w:sz w:val="20"/>
                <w:szCs w:val="20"/>
              </w:rPr>
              <w:t>.18**</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05A5DCF0" w14:textId="77777777" w:rsidR="00BC1BBF" w:rsidRPr="00CC1E21" w:rsidRDefault="00CC1E21" w:rsidP="00CC1E21">
            <w:pPr>
              <w:jc w:val="both"/>
            </w:pPr>
            <w:r w:rsidRPr="00CC1E21">
              <w:rPr>
                <w:sz w:val="20"/>
                <w:szCs w:val="20"/>
              </w:rPr>
              <w:t>.24***</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47199FF4" w14:textId="77777777" w:rsidR="00BC1BBF" w:rsidRPr="00CC1E21" w:rsidRDefault="00CC1E21" w:rsidP="00CC1E21">
            <w:pPr>
              <w:jc w:val="both"/>
            </w:pPr>
            <w:r w:rsidRPr="00CC1E21">
              <w:rPr>
                <w:sz w:val="20"/>
                <w:szCs w:val="20"/>
              </w:rPr>
              <w:t>−.09</w:t>
            </w:r>
          </w:p>
        </w:tc>
        <w:tc>
          <w:tcPr>
            <w:tcW w:w="68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3D1A3965" w14:textId="77777777" w:rsidR="00BC1BBF" w:rsidRPr="00CC1E21" w:rsidRDefault="00CC1E21" w:rsidP="00CC1E21">
            <w:pPr>
              <w:jc w:val="both"/>
            </w:pPr>
            <w:r w:rsidRPr="00CC1E21">
              <w:rPr>
                <w:sz w:val="20"/>
                <w:szCs w:val="20"/>
              </w:rPr>
              <w:t>1.00</w:t>
            </w:r>
          </w:p>
        </w:tc>
        <w:tc>
          <w:tcPr>
            <w:tcW w:w="400" w:type="dxa"/>
            <w:tcBorders>
              <w:top w:val="none" w:sz="0" w:space="0" w:color="FFFFFF"/>
              <w:left w:val="none" w:sz="0" w:space="0" w:color="FFFFFF"/>
              <w:bottom w:val="single" w:sz="12" w:space="0" w:color="1B3A6B"/>
              <w:right w:val="none" w:sz="0" w:space="0" w:color="FFFFFF"/>
            </w:tcBorders>
            <w:shd w:val="clear" w:color="auto" w:fill="F4F5F7"/>
            <w:tcMar>
              <w:top w:w="80" w:type="dxa"/>
              <w:left w:w="120" w:type="dxa"/>
              <w:bottom w:w="80" w:type="dxa"/>
              <w:right w:w="120" w:type="dxa"/>
            </w:tcMar>
            <w:vAlign w:val="center"/>
          </w:tcPr>
          <w:p w14:paraId="3218A4CB" w14:textId="77777777" w:rsidR="00BC1BBF" w:rsidRPr="00CC1E21" w:rsidRDefault="00CC1E21" w:rsidP="00CC1E21">
            <w:pPr>
              <w:jc w:val="both"/>
            </w:pPr>
            <w:r w:rsidRPr="00CC1E21">
              <w:rPr>
                <w:sz w:val="20"/>
                <w:szCs w:val="20"/>
              </w:rPr>
              <w:t>10.12</w:t>
            </w:r>
          </w:p>
        </w:tc>
      </w:tr>
    </w:tbl>
    <w:p w14:paraId="47FF073E" w14:textId="77777777" w:rsidR="00BC1BBF" w:rsidRPr="00CC1E21" w:rsidRDefault="00CC1E21" w:rsidP="00CC1E21">
      <w:pPr>
        <w:spacing w:before="60" w:after="240"/>
        <w:jc w:val="both"/>
      </w:pPr>
      <w:r w:rsidRPr="00CC1E21">
        <w:rPr>
          <w:color w:val="444444"/>
          <w:sz w:val="19"/>
          <w:szCs w:val="19"/>
        </w:rPr>
        <w:t>Note: *** p &lt; 0.001, ** p &lt; 0.01, * p &lt; 0.05. Pearson correlations with country and year effects partialled out. Carbon Intensity = tCO₂e per $M assets. Enforcement Strength = composite regulatory index (0–100). Granularity Index = Σ disclosure scores / 188 × 100.</w:t>
      </w:r>
    </w:p>
    <w:p w14:paraId="1DC5B0DD" w14:textId="77777777" w:rsidR="00BC1BBF" w:rsidRPr="00CC1E21" w:rsidRDefault="00CC1E21" w:rsidP="00CC1E21">
      <w:pPr>
        <w:spacing w:before="280" w:after="120"/>
        <w:jc w:val="both"/>
      </w:pPr>
      <w:r w:rsidRPr="00CC1E21">
        <w:rPr>
          <w:b/>
          <w:bCs/>
          <w:i/>
          <w:iCs/>
        </w:rPr>
        <w:t>4.2  Main Effect: AI Monitoring Capability and Disclosure Granularity</w:t>
      </w:r>
    </w:p>
    <w:p w14:paraId="441ED1DF" w14:textId="77777777" w:rsidR="00BC1BBF" w:rsidRPr="00CC1E21" w:rsidRDefault="00CC1E21" w:rsidP="00CC1E21">
      <w:pPr>
        <w:spacing w:after="160" w:line="360" w:lineRule="auto"/>
        <w:jc w:val="both"/>
      </w:pPr>
      <w:r w:rsidRPr="00CC1E21">
        <w:t>Table 3 presents OLS regressions of disclosure granularity on investor AI capability, progressively adding controls. Column (1) is the bivariate specification; Column (2) adds financial controls; Column (3) adds governance and ESG performance; Column (4) is the fully-specified model with country and year fixed effects. AI capability is positive and statistically significant in every column.</w:t>
      </w:r>
    </w:p>
    <w:p w14:paraId="6D662BB4" w14:textId="77777777" w:rsidR="00BC1BBF" w:rsidRPr="00CC1E21" w:rsidRDefault="00CC1E21" w:rsidP="00CC1E21">
      <w:pPr>
        <w:spacing w:after="160" w:line="360" w:lineRule="auto"/>
        <w:jc w:val="both"/>
      </w:pPr>
      <w:r w:rsidRPr="00CC1E21">
        <w:t>In the preferred specification (Column 4), β = 0.52 (SE = 0.08, t = 6.50, p &lt; 0.001). A one-standard-deviation increase in AI capability (28.7 points) associates with a 14.9-point increase in disclosure granularity — 0.67 standard deviations of the dependent variable. Moving from the 25th to 75th percentile of AI capability is associated with a 22.7-point increase in granularity, equivalent to adding full disclosure for approximately ten ESG items. Adding AI capability to the baseline model improves adjusted R² from 0.32 to 0.54 (ΔR² = 0.22, F = 89.3, p &lt; 0.001) — larger than the contribution of any other single predictor including firm size (β = 0.28) or international operations (β = 0.19).</w:t>
      </w:r>
    </w:p>
    <w:p w14:paraId="03A7947A" w14:textId="77777777" w:rsidR="00BC1BBF" w:rsidRPr="00CC1E21" w:rsidRDefault="00BC1BBF" w:rsidP="00CC1E21">
      <w:pPr>
        <w:spacing w:after="80"/>
        <w:jc w:val="both"/>
      </w:pPr>
    </w:p>
    <w:p w14:paraId="4EF7B801" w14:textId="77777777" w:rsidR="00CC1E21" w:rsidRDefault="00CC1E21" w:rsidP="00CC1E21">
      <w:pPr>
        <w:spacing w:after="40"/>
        <w:jc w:val="both"/>
        <w:rPr>
          <w:b/>
          <w:bCs/>
          <w:sz w:val="20"/>
          <w:szCs w:val="20"/>
        </w:rPr>
      </w:pPr>
    </w:p>
    <w:p w14:paraId="105AD43C" w14:textId="77777777" w:rsidR="00CC1E21" w:rsidRDefault="00CC1E21" w:rsidP="00CC1E21">
      <w:pPr>
        <w:spacing w:after="40"/>
        <w:jc w:val="both"/>
        <w:rPr>
          <w:b/>
          <w:bCs/>
          <w:sz w:val="20"/>
          <w:szCs w:val="20"/>
        </w:rPr>
      </w:pPr>
    </w:p>
    <w:p w14:paraId="078CBB6C" w14:textId="77777777" w:rsidR="00CC1E21" w:rsidRDefault="00CC1E21" w:rsidP="00CC1E21">
      <w:pPr>
        <w:spacing w:after="40"/>
        <w:jc w:val="both"/>
        <w:rPr>
          <w:b/>
          <w:bCs/>
          <w:sz w:val="20"/>
          <w:szCs w:val="20"/>
        </w:rPr>
      </w:pPr>
    </w:p>
    <w:p w14:paraId="3CFEC57F" w14:textId="77777777" w:rsidR="00CC1E21" w:rsidRDefault="00CC1E21" w:rsidP="00CC1E21">
      <w:pPr>
        <w:spacing w:after="40"/>
        <w:jc w:val="both"/>
        <w:rPr>
          <w:b/>
          <w:bCs/>
          <w:sz w:val="20"/>
          <w:szCs w:val="20"/>
        </w:rPr>
      </w:pPr>
    </w:p>
    <w:p w14:paraId="14EB79DF" w14:textId="77777777" w:rsidR="00CC1E21" w:rsidRDefault="00CC1E21" w:rsidP="00CC1E21">
      <w:pPr>
        <w:spacing w:after="40"/>
        <w:jc w:val="both"/>
        <w:rPr>
          <w:b/>
          <w:bCs/>
          <w:sz w:val="20"/>
          <w:szCs w:val="20"/>
        </w:rPr>
      </w:pPr>
    </w:p>
    <w:p w14:paraId="28AF2699" w14:textId="77777777" w:rsidR="00B91D0F" w:rsidRDefault="00B91D0F" w:rsidP="00B91D0F">
      <w:pPr>
        <w:spacing w:after="40"/>
        <w:jc w:val="both"/>
      </w:pPr>
    </w:p>
    <w:p w14:paraId="6268731A" w14:textId="77777777" w:rsidR="00B91D0F" w:rsidRDefault="00B91D0F" w:rsidP="00B91D0F">
      <w:pPr>
        <w:spacing w:after="40"/>
        <w:jc w:val="both"/>
      </w:pPr>
    </w:p>
    <w:p w14:paraId="5C149D23" w14:textId="77777777" w:rsidR="00B91D0F" w:rsidRDefault="00B91D0F" w:rsidP="00B91D0F">
      <w:pPr>
        <w:spacing w:after="40"/>
        <w:jc w:val="both"/>
      </w:pPr>
    </w:p>
    <w:p w14:paraId="1DDD28C0" w14:textId="77777777" w:rsidR="00B91D0F" w:rsidRDefault="00B91D0F" w:rsidP="00B91D0F">
      <w:pPr>
        <w:spacing w:after="40"/>
        <w:jc w:val="both"/>
      </w:pPr>
    </w:p>
    <w:p w14:paraId="487109D8" w14:textId="77777777" w:rsidR="00B91D0F" w:rsidRDefault="00B91D0F" w:rsidP="00B91D0F">
      <w:pPr>
        <w:spacing w:after="40"/>
        <w:jc w:val="both"/>
      </w:pPr>
    </w:p>
    <w:p w14:paraId="339370DF" w14:textId="77777777" w:rsidR="00B91D0F" w:rsidRPr="00CC1E21" w:rsidRDefault="00B91D0F" w:rsidP="00B91D0F">
      <w:pPr>
        <w:spacing w:after="40"/>
        <w:jc w:val="both"/>
      </w:pPr>
    </w:p>
    <w:p w14:paraId="3A5DE6D7" w14:textId="77777777" w:rsidR="00BC1BBF" w:rsidRPr="00CC1E21" w:rsidRDefault="00B91D0F" w:rsidP="00CC1E21">
      <w:pPr>
        <w:spacing w:after="80"/>
        <w:jc w:val="both"/>
      </w:pPr>
      <w:r>
        <w:rPr>
          <w:b/>
          <w:bCs/>
        </w:rPr>
        <w:t xml:space="preserve">Table 3: </w:t>
      </w:r>
      <w:r w:rsidR="00CC1E21" w:rsidRPr="00CC1E21">
        <w:rPr>
          <w:b/>
          <w:bCs/>
        </w:rPr>
        <w:t>OLS Regressions: Investor AI Capability and ESG Disclosure Granularity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665"/>
        <w:gridCol w:w="1665"/>
        <w:gridCol w:w="1665"/>
        <w:gridCol w:w="1665"/>
      </w:tblGrid>
      <w:tr w:rsidR="00BC1BBF" w:rsidRPr="00CC1E21" w14:paraId="3B0AC30A" w14:textId="77777777">
        <w:trPr>
          <w:tblHeader/>
        </w:trPr>
        <w:tc>
          <w:tcPr>
            <w:tcW w:w="2700" w:type="dxa"/>
            <w:tcBorders>
              <w:top w:val="single" w:sz="12" w:space="0" w:color="1B3A6B"/>
              <w:left w:val="none" w:sz="0" w:space="0" w:color="FFFFFF"/>
              <w:bottom w:val="single" w:sz="4" w:space="0" w:color="BBBBBB"/>
              <w:right w:val="none" w:sz="0" w:space="0" w:color="FFFFFF"/>
            </w:tcBorders>
            <w:tcMar>
              <w:top w:w="80" w:type="dxa"/>
              <w:left w:w="120" w:type="dxa"/>
              <w:bottom w:w="80" w:type="dxa"/>
              <w:right w:w="120" w:type="dxa"/>
            </w:tcMar>
            <w:vAlign w:val="center"/>
          </w:tcPr>
          <w:p w14:paraId="3F6D990D" w14:textId="77777777" w:rsidR="00BC1BBF" w:rsidRPr="00CC1E21" w:rsidRDefault="00BC1BBF" w:rsidP="00CC1E21">
            <w:pPr>
              <w:jc w:val="both"/>
            </w:pP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6A95647B" w14:textId="77777777" w:rsidR="00BC1BBF" w:rsidRPr="00CC1E21" w:rsidRDefault="00CC1E21" w:rsidP="00CC1E21">
            <w:pPr>
              <w:jc w:val="both"/>
            </w:pPr>
            <w:r w:rsidRPr="00CC1E21">
              <w:rPr>
                <w:b/>
                <w:bCs/>
                <w:color w:val="FFFFFF"/>
                <w:sz w:val="20"/>
                <w:szCs w:val="20"/>
              </w:rPr>
              <w:t>(1) Bivariate</w:t>
            </w: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003CBDF2" w14:textId="77777777" w:rsidR="00BC1BBF" w:rsidRPr="00CC1E21" w:rsidRDefault="00CC1E21" w:rsidP="00CC1E21">
            <w:pPr>
              <w:jc w:val="both"/>
            </w:pPr>
            <w:r w:rsidRPr="00CC1E21">
              <w:rPr>
                <w:b/>
                <w:bCs/>
                <w:color w:val="FFFFFF"/>
                <w:sz w:val="20"/>
                <w:szCs w:val="20"/>
              </w:rPr>
              <w:t>(2) + Financial</w:t>
            </w: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354F98AC" w14:textId="77777777" w:rsidR="00BC1BBF" w:rsidRPr="00CC1E21" w:rsidRDefault="00CC1E21" w:rsidP="00CC1E21">
            <w:pPr>
              <w:jc w:val="both"/>
            </w:pPr>
            <w:r w:rsidRPr="00CC1E21">
              <w:rPr>
                <w:b/>
                <w:bCs/>
                <w:color w:val="FFFFFF"/>
                <w:sz w:val="20"/>
                <w:szCs w:val="20"/>
              </w:rPr>
              <w:t>(3) + Governance</w:t>
            </w:r>
          </w:p>
        </w:tc>
        <w:tc>
          <w:tcPr>
            <w:tcW w:w="1665"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49A0DB52" w14:textId="77777777" w:rsidR="00BC1BBF" w:rsidRPr="00CC1E21" w:rsidRDefault="00CC1E21" w:rsidP="00CC1E21">
            <w:pPr>
              <w:jc w:val="both"/>
            </w:pPr>
            <w:r w:rsidRPr="00CC1E21">
              <w:rPr>
                <w:b/>
                <w:bCs/>
                <w:color w:val="FFFFFF"/>
                <w:sz w:val="20"/>
                <w:szCs w:val="20"/>
              </w:rPr>
              <w:t>(4) Full Model</w:t>
            </w:r>
          </w:p>
        </w:tc>
      </w:tr>
      <w:tr w:rsidR="00BC1BBF" w:rsidRPr="00CC1E21" w14:paraId="056C6B8A"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6E91FD7" w14:textId="77777777" w:rsidR="00BC1BBF" w:rsidRPr="00CC1E21" w:rsidRDefault="00CC1E21" w:rsidP="00CC1E21">
            <w:pPr>
              <w:jc w:val="both"/>
            </w:pPr>
            <w:r w:rsidRPr="00CC1E21">
              <w:rPr>
                <w:b/>
                <w:bCs/>
                <w:sz w:val="20"/>
                <w:szCs w:val="20"/>
              </w:rPr>
              <w:t>AI Capability (wt.)</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58774057" w14:textId="77777777" w:rsidR="00BC1BBF" w:rsidRPr="00CC1E21" w:rsidRDefault="00CC1E21" w:rsidP="00CC1E21">
            <w:pPr>
              <w:jc w:val="both"/>
            </w:pPr>
            <w:r w:rsidRPr="00CC1E21">
              <w:rPr>
                <w:sz w:val="20"/>
                <w:szCs w:val="20"/>
              </w:rPr>
              <w:t>0.63***</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1EC1D26" w14:textId="77777777" w:rsidR="00BC1BBF" w:rsidRPr="00CC1E21" w:rsidRDefault="00CC1E21" w:rsidP="00CC1E21">
            <w:pPr>
              <w:jc w:val="both"/>
            </w:pPr>
            <w:r w:rsidRPr="00CC1E21">
              <w:rPr>
                <w:sz w:val="20"/>
                <w:szCs w:val="20"/>
              </w:rPr>
              <w:t>0.58***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A2728F4" w14:textId="77777777" w:rsidR="00BC1BBF" w:rsidRPr="00CC1E21" w:rsidRDefault="00CC1E21" w:rsidP="00CC1E21">
            <w:pPr>
              <w:jc w:val="both"/>
            </w:pPr>
            <w:r w:rsidRPr="00CC1E21">
              <w:rPr>
                <w:sz w:val="20"/>
                <w:szCs w:val="20"/>
              </w:rPr>
              <w:t>0.55***</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B5ACCB8" w14:textId="77777777" w:rsidR="00BC1BBF" w:rsidRPr="00CC1E21" w:rsidRDefault="00CC1E21" w:rsidP="00CC1E21">
            <w:pPr>
              <w:jc w:val="both"/>
            </w:pPr>
            <w:r w:rsidRPr="00CC1E21">
              <w:rPr>
                <w:sz w:val="20"/>
                <w:szCs w:val="20"/>
              </w:rPr>
              <w:t>0.52***</w:t>
            </w:r>
          </w:p>
        </w:tc>
      </w:tr>
      <w:tr w:rsidR="00BC1BBF" w:rsidRPr="00CC1E21" w14:paraId="52DD9553"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B66458E"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D8729D0" w14:textId="77777777" w:rsidR="00BC1BBF" w:rsidRPr="00CC1E21" w:rsidRDefault="00CC1E21" w:rsidP="00CC1E21">
            <w:pPr>
              <w:jc w:val="both"/>
            </w:pPr>
            <w:r w:rsidRPr="00CC1E21">
              <w:rPr>
                <w:i/>
                <w:iCs/>
                <w:sz w:val="20"/>
                <w:szCs w:val="20"/>
              </w:rPr>
              <w:t>(0.07)</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55BC025" w14:textId="77777777" w:rsidR="00BC1BBF" w:rsidRPr="00CC1E21" w:rsidRDefault="00CC1E21" w:rsidP="00CC1E21">
            <w:pPr>
              <w:jc w:val="both"/>
            </w:pPr>
            <w:r w:rsidRPr="00CC1E21">
              <w:rPr>
                <w:i/>
                <w:iCs/>
                <w:sz w:val="20"/>
                <w:szCs w:val="20"/>
              </w:rPr>
              <w:t>(0.08)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BE70C07" w14:textId="77777777" w:rsidR="00BC1BBF" w:rsidRPr="00CC1E21" w:rsidRDefault="00CC1E21" w:rsidP="00CC1E21">
            <w:pPr>
              <w:jc w:val="both"/>
            </w:pPr>
            <w:r w:rsidRPr="00CC1E21">
              <w:rPr>
                <w:i/>
                <w:iCs/>
                <w:sz w:val="20"/>
                <w:szCs w:val="20"/>
              </w:rPr>
              <w:t>(0.08)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9C55869" w14:textId="77777777" w:rsidR="00BC1BBF" w:rsidRPr="00CC1E21" w:rsidRDefault="00CC1E21" w:rsidP="00CC1E21">
            <w:pPr>
              <w:jc w:val="both"/>
            </w:pPr>
            <w:r w:rsidRPr="00CC1E21">
              <w:rPr>
                <w:i/>
                <w:iCs/>
                <w:sz w:val="20"/>
                <w:szCs w:val="20"/>
              </w:rPr>
              <w:t>(0.08)</w:t>
            </w:r>
          </w:p>
        </w:tc>
      </w:tr>
      <w:tr w:rsidR="00BC1BBF" w:rsidRPr="00CC1E21" w14:paraId="78B034FD"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9B6818C" w14:textId="77777777" w:rsidR="00BC1BBF" w:rsidRPr="00CC1E21" w:rsidRDefault="00CC1E21" w:rsidP="00CC1E21">
            <w:pPr>
              <w:jc w:val="both"/>
            </w:pPr>
            <w:r w:rsidRPr="00CC1E21">
              <w:rPr>
                <w:b/>
                <w:bCs/>
                <w:sz w:val="20"/>
                <w:szCs w:val="20"/>
              </w:rPr>
              <w:t>Log(Assets)</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9949D06"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5589565" w14:textId="77777777" w:rsidR="00BC1BBF" w:rsidRPr="00CC1E21" w:rsidRDefault="00CC1E21" w:rsidP="00CC1E21">
            <w:pPr>
              <w:jc w:val="both"/>
            </w:pPr>
            <w:r w:rsidRPr="00CC1E21">
              <w:rPr>
                <w:sz w:val="20"/>
                <w:szCs w:val="20"/>
              </w:rPr>
              <w:t>0.29***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52680F98" w14:textId="77777777" w:rsidR="00BC1BBF" w:rsidRPr="00CC1E21" w:rsidRDefault="00CC1E21" w:rsidP="00CC1E21">
            <w:pPr>
              <w:jc w:val="both"/>
            </w:pPr>
            <w:r w:rsidRPr="00CC1E21">
              <w:rPr>
                <w:sz w:val="20"/>
                <w:szCs w:val="20"/>
              </w:rPr>
              <w:t>0.28***</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D2B1421" w14:textId="77777777" w:rsidR="00BC1BBF" w:rsidRPr="00CC1E21" w:rsidRDefault="00CC1E21" w:rsidP="00CC1E21">
            <w:pPr>
              <w:jc w:val="both"/>
            </w:pPr>
            <w:r w:rsidRPr="00CC1E21">
              <w:rPr>
                <w:sz w:val="20"/>
                <w:szCs w:val="20"/>
              </w:rPr>
              <w:t>0.28***</w:t>
            </w:r>
          </w:p>
        </w:tc>
      </w:tr>
      <w:tr w:rsidR="00BC1BBF" w:rsidRPr="00CC1E21" w14:paraId="72403AD5"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AEDC99F"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F5C880B"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BDBD914" w14:textId="77777777" w:rsidR="00BC1BBF" w:rsidRPr="00CC1E21" w:rsidRDefault="00CC1E21" w:rsidP="00CC1E21">
            <w:pPr>
              <w:jc w:val="both"/>
            </w:pPr>
            <w:r w:rsidRPr="00CC1E21">
              <w:rPr>
                <w:i/>
                <w:iCs/>
                <w:sz w:val="20"/>
                <w:szCs w:val="20"/>
              </w:rPr>
              <w:t>(0.07)</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C2387E5" w14:textId="77777777" w:rsidR="00BC1BBF" w:rsidRPr="00CC1E21" w:rsidRDefault="00CC1E21" w:rsidP="00CC1E21">
            <w:pPr>
              <w:jc w:val="both"/>
            </w:pPr>
            <w:r w:rsidRPr="00CC1E21">
              <w:rPr>
                <w:i/>
                <w:iCs/>
                <w:sz w:val="20"/>
                <w:szCs w:val="20"/>
              </w:rPr>
              <w:t>(0.07)</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A211570" w14:textId="77777777" w:rsidR="00BC1BBF" w:rsidRPr="00CC1E21" w:rsidRDefault="00CC1E21" w:rsidP="00CC1E21">
            <w:pPr>
              <w:jc w:val="both"/>
            </w:pPr>
            <w:r w:rsidRPr="00CC1E21">
              <w:rPr>
                <w:i/>
                <w:iCs/>
                <w:sz w:val="20"/>
                <w:szCs w:val="20"/>
              </w:rPr>
              <w:t>(0.07)</w:t>
            </w:r>
          </w:p>
        </w:tc>
      </w:tr>
      <w:tr w:rsidR="00BC1BBF" w:rsidRPr="00CC1E21" w14:paraId="7BF4ED3F"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51DF2B8" w14:textId="77777777" w:rsidR="00BC1BBF" w:rsidRPr="00CC1E21" w:rsidRDefault="00CC1E21" w:rsidP="00CC1E21">
            <w:pPr>
              <w:jc w:val="both"/>
            </w:pPr>
            <w:r w:rsidRPr="00CC1E21">
              <w:rPr>
                <w:b/>
                <w:bCs/>
                <w:sz w:val="20"/>
                <w:szCs w:val="20"/>
              </w:rPr>
              <w:t>ROA</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8F541B5"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3E66D75" w14:textId="77777777" w:rsidR="00BC1BBF" w:rsidRPr="00CC1E21" w:rsidRDefault="00CC1E21" w:rsidP="00CC1E21">
            <w:pPr>
              <w:jc w:val="both"/>
            </w:pPr>
            <w:r w:rsidRPr="00CC1E21">
              <w:rPr>
                <w:sz w:val="20"/>
                <w:szCs w:val="20"/>
              </w:rPr>
              <w:t>0.11</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A01FDE3" w14:textId="77777777" w:rsidR="00BC1BBF" w:rsidRPr="00CC1E21" w:rsidRDefault="00CC1E21" w:rsidP="00CC1E21">
            <w:pPr>
              <w:jc w:val="both"/>
            </w:pPr>
            <w:r w:rsidRPr="00CC1E21">
              <w:rPr>
                <w:sz w:val="20"/>
                <w:szCs w:val="20"/>
              </w:rPr>
              <w:t>0.09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3975EC3F" w14:textId="77777777" w:rsidR="00BC1BBF" w:rsidRPr="00CC1E21" w:rsidRDefault="00CC1E21" w:rsidP="00CC1E21">
            <w:pPr>
              <w:jc w:val="both"/>
            </w:pPr>
            <w:r w:rsidRPr="00CC1E21">
              <w:rPr>
                <w:sz w:val="20"/>
                <w:szCs w:val="20"/>
              </w:rPr>
              <w:t>0.08</w:t>
            </w:r>
          </w:p>
        </w:tc>
      </w:tr>
      <w:tr w:rsidR="00BC1BBF" w:rsidRPr="00CC1E21" w14:paraId="2BD89AD6"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E3E8B36"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06F843D"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130E81D" w14:textId="77777777" w:rsidR="00BC1BBF" w:rsidRPr="00CC1E21" w:rsidRDefault="00CC1E21" w:rsidP="00CC1E21">
            <w:pPr>
              <w:jc w:val="both"/>
            </w:pPr>
            <w:r w:rsidRPr="00CC1E21">
              <w:rPr>
                <w:i/>
                <w:iCs/>
                <w:sz w:val="20"/>
                <w:szCs w:val="20"/>
              </w:rPr>
              <w:t>(0.09)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C454CBF" w14:textId="77777777" w:rsidR="00BC1BBF" w:rsidRPr="00CC1E21" w:rsidRDefault="00CC1E21" w:rsidP="00CC1E21">
            <w:pPr>
              <w:jc w:val="both"/>
            </w:pPr>
            <w:r w:rsidRPr="00CC1E21">
              <w:rPr>
                <w:i/>
                <w:iCs/>
                <w:sz w:val="20"/>
                <w:szCs w:val="20"/>
              </w:rPr>
              <w:t>(0.09)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99DF54F" w14:textId="77777777" w:rsidR="00BC1BBF" w:rsidRPr="00CC1E21" w:rsidRDefault="00CC1E21" w:rsidP="00CC1E21">
            <w:pPr>
              <w:jc w:val="both"/>
            </w:pPr>
            <w:r w:rsidRPr="00CC1E21">
              <w:rPr>
                <w:i/>
                <w:iCs/>
                <w:sz w:val="20"/>
                <w:szCs w:val="20"/>
              </w:rPr>
              <w:t>(0.09)</w:t>
            </w:r>
          </w:p>
        </w:tc>
      </w:tr>
      <w:tr w:rsidR="00BC1BBF" w:rsidRPr="00CC1E21" w14:paraId="0B5F0FED"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FB8D3FE" w14:textId="77777777" w:rsidR="00BC1BBF" w:rsidRPr="00CC1E21" w:rsidRDefault="00CC1E21" w:rsidP="00CC1E21">
            <w:pPr>
              <w:jc w:val="both"/>
            </w:pPr>
            <w:r w:rsidRPr="00CC1E21">
              <w:rPr>
                <w:b/>
                <w:bCs/>
                <w:sz w:val="20"/>
                <w:szCs w:val="20"/>
              </w:rPr>
              <w:t>Board Independence</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0A97F5A"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18795DB"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98CDD8F" w14:textId="77777777" w:rsidR="00BC1BBF" w:rsidRPr="00CC1E21" w:rsidRDefault="00CC1E21" w:rsidP="00CC1E21">
            <w:pPr>
              <w:jc w:val="both"/>
            </w:pPr>
            <w:r w:rsidRPr="00CC1E21">
              <w:rPr>
                <w:sz w:val="20"/>
                <w:szCs w:val="20"/>
              </w:rPr>
              <w:t>0.14*</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C1C791D" w14:textId="77777777" w:rsidR="00BC1BBF" w:rsidRPr="00CC1E21" w:rsidRDefault="00CC1E21" w:rsidP="00CC1E21">
            <w:pPr>
              <w:jc w:val="both"/>
            </w:pPr>
            <w:r w:rsidRPr="00CC1E21">
              <w:rPr>
                <w:sz w:val="20"/>
                <w:szCs w:val="20"/>
              </w:rPr>
              <w:t>0.13*</w:t>
            </w:r>
          </w:p>
        </w:tc>
      </w:tr>
      <w:tr w:rsidR="00BC1BBF" w:rsidRPr="00CC1E21" w14:paraId="7EE35A2A"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58F2A806"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024DF78"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519DF102"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3333C1A7" w14:textId="77777777" w:rsidR="00BC1BBF" w:rsidRPr="00CC1E21" w:rsidRDefault="00CC1E21" w:rsidP="00CC1E21">
            <w:pPr>
              <w:jc w:val="both"/>
            </w:pPr>
            <w:r w:rsidRPr="00CC1E21">
              <w:rPr>
                <w:i/>
                <w:iCs/>
                <w:sz w:val="20"/>
                <w:szCs w:val="20"/>
              </w:rPr>
              <w:t>(0.06)</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398FB08" w14:textId="77777777" w:rsidR="00BC1BBF" w:rsidRPr="00CC1E21" w:rsidRDefault="00CC1E21" w:rsidP="00CC1E21">
            <w:pPr>
              <w:jc w:val="both"/>
            </w:pPr>
            <w:r w:rsidRPr="00CC1E21">
              <w:rPr>
                <w:i/>
                <w:iCs/>
                <w:sz w:val="20"/>
                <w:szCs w:val="20"/>
              </w:rPr>
              <w:t>(0.06)</w:t>
            </w:r>
          </w:p>
        </w:tc>
      </w:tr>
      <w:tr w:rsidR="00BC1BBF" w:rsidRPr="00CC1E21" w14:paraId="134586B4"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306EB8D" w14:textId="77777777" w:rsidR="00BC1BBF" w:rsidRPr="00CC1E21" w:rsidRDefault="00CC1E21" w:rsidP="00CC1E21">
            <w:pPr>
              <w:jc w:val="both"/>
            </w:pPr>
            <w:r w:rsidRPr="00CC1E21">
              <w:rPr>
                <w:b/>
                <w:bCs/>
                <w:sz w:val="20"/>
                <w:szCs w:val="20"/>
              </w:rPr>
              <w:t>Carbon Intensity</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B876872"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4BED0BB"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75A5E63" w14:textId="77777777" w:rsidR="00BC1BBF" w:rsidRPr="00CC1E21" w:rsidRDefault="00CC1E21" w:rsidP="00CC1E21">
            <w:pPr>
              <w:jc w:val="both"/>
            </w:pPr>
            <w:r w:rsidRPr="00CC1E21">
              <w:rPr>
                <w:sz w:val="20"/>
                <w:szCs w:val="20"/>
              </w:rPr>
              <w:t>−0.03</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0E3EE9C" w14:textId="77777777" w:rsidR="00BC1BBF" w:rsidRPr="00CC1E21" w:rsidRDefault="00CC1E21" w:rsidP="00CC1E21">
            <w:pPr>
              <w:jc w:val="both"/>
            </w:pPr>
            <w:r w:rsidRPr="00CC1E21">
              <w:rPr>
                <w:sz w:val="20"/>
                <w:szCs w:val="20"/>
              </w:rPr>
              <w:t>−0.03</w:t>
            </w:r>
          </w:p>
        </w:tc>
      </w:tr>
      <w:tr w:rsidR="00BC1BBF" w:rsidRPr="00CC1E21" w14:paraId="012C2F0F"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D4D6B6C"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E1F0BBD"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8123518"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D8B8E9F" w14:textId="77777777" w:rsidR="00BC1BBF" w:rsidRPr="00CC1E21" w:rsidRDefault="00CC1E21" w:rsidP="00CC1E21">
            <w:pPr>
              <w:jc w:val="both"/>
            </w:pPr>
            <w:r w:rsidRPr="00CC1E21">
              <w:rPr>
                <w:i/>
                <w:iCs/>
                <w:sz w:val="20"/>
                <w:szCs w:val="20"/>
              </w:rPr>
              <w:t>(0.04)</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3DEB2661" w14:textId="77777777" w:rsidR="00BC1BBF" w:rsidRPr="00CC1E21" w:rsidRDefault="00CC1E21" w:rsidP="00CC1E21">
            <w:pPr>
              <w:jc w:val="both"/>
            </w:pPr>
            <w:r w:rsidRPr="00CC1E21">
              <w:rPr>
                <w:i/>
                <w:iCs/>
                <w:sz w:val="20"/>
                <w:szCs w:val="20"/>
              </w:rPr>
              <w:t>(0.04)</w:t>
            </w:r>
          </w:p>
        </w:tc>
      </w:tr>
      <w:tr w:rsidR="00BC1BBF" w:rsidRPr="00CC1E21" w14:paraId="169D1B1A"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716016F" w14:textId="77777777" w:rsidR="00BC1BBF" w:rsidRPr="00CC1E21" w:rsidRDefault="00CC1E21" w:rsidP="00CC1E21">
            <w:pPr>
              <w:jc w:val="both"/>
            </w:pPr>
            <w:r w:rsidRPr="00CC1E21">
              <w:rPr>
                <w:b/>
                <w:bCs/>
                <w:sz w:val="20"/>
                <w:szCs w:val="20"/>
              </w:rPr>
              <w:t>International Ops.</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241AE88"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6CD16704"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3869F140" w14:textId="77777777" w:rsidR="00BC1BBF" w:rsidRPr="00CC1E21" w:rsidRDefault="00CC1E21" w:rsidP="00CC1E21">
            <w:pPr>
              <w:jc w:val="both"/>
            </w:pPr>
            <w:r w:rsidRPr="00CC1E21">
              <w:rPr>
                <w:sz w:val="20"/>
                <w:szCs w:val="20"/>
              </w:rPr>
              <w:t>0.19**</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5358F433" w14:textId="77777777" w:rsidR="00BC1BBF" w:rsidRPr="00CC1E21" w:rsidRDefault="00CC1E21" w:rsidP="00CC1E21">
            <w:pPr>
              <w:jc w:val="both"/>
            </w:pPr>
            <w:r w:rsidRPr="00CC1E21">
              <w:rPr>
                <w:sz w:val="20"/>
                <w:szCs w:val="20"/>
              </w:rPr>
              <w:t>0.19**</w:t>
            </w:r>
          </w:p>
        </w:tc>
      </w:tr>
      <w:tr w:rsidR="00BC1BBF" w:rsidRPr="00CC1E21" w14:paraId="2D10F472" w14:textId="77777777">
        <w:tc>
          <w:tcPr>
            <w:tcW w:w="27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4256E5E"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4B07CF49"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5A7F3C6" w14:textId="77777777" w:rsidR="00BC1BBF" w:rsidRPr="00CC1E21" w:rsidRDefault="00BC1BBF" w:rsidP="00CC1E21">
            <w:pPr>
              <w:jc w:val="both"/>
            </w:pP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173F94A6" w14:textId="77777777" w:rsidR="00BC1BBF" w:rsidRPr="00CC1E21" w:rsidRDefault="00CC1E21" w:rsidP="00CC1E21">
            <w:pPr>
              <w:jc w:val="both"/>
            </w:pPr>
            <w:r w:rsidRPr="00CC1E21">
              <w:rPr>
                <w:i/>
                <w:iCs/>
                <w:sz w:val="20"/>
                <w:szCs w:val="20"/>
              </w:rPr>
              <w:t>(0.06)</w:t>
            </w:r>
          </w:p>
        </w:tc>
        <w:tc>
          <w:tcPr>
            <w:tcW w:w="1665"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D36741A" w14:textId="77777777" w:rsidR="00BC1BBF" w:rsidRPr="00CC1E21" w:rsidRDefault="00CC1E21" w:rsidP="00CC1E21">
            <w:pPr>
              <w:jc w:val="both"/>
            </w:pPr>
            <w:r w:rsidRPr="00CC1E21">
              <w:rPr>
                <w:i/>
                <w:iCs/>
                <w:sz w:val="20"/>
                <w:szCs w:val="20"/>
              </w:rPr>
              <w:t>(0.06)</w:t>
            </w:r>
          </w:p>
        </w:tc>
      </w:tr>
      <w:tr w:rsidR="00BC1BBF" w:rsidRPr="00CC1E21" w14:paraId="2C3A0E27" w14:textId="77777777">
        <w:tc>
          <w:tcPr>
            <w:tcW w:w="2700"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14:paraId="7E7E7B92" w14:textId="77777777" w:rsidR="00BC1BBF" w:rsidRPr="00CC1E21" w:rsidRDefault="00CC1E21" w:rsidP="00CC1E21">
            <w:pPr>
              <w:jc w:val="both"/>
            </w:pPr>
            <w:r w:rsidRPr="00CC1E21">
              <w:rPr>
                <w:b/>
                <w:bCs/>
                <w:sz w:val="20"/>
                <w:szCs w:val="20"/>
              </w:rPr>
              <w:t>Country FE</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14:paraId="55579F27" w14:textId="77777777" w:rsidR="00BC1BBF" w:rsidRPr="00CC1E21" w:rsidRDefault="00CC1E21" w:rsidP="00CC1E21">
            <w:pPr>
              <w:jc w:val="both"/>
            </w:pPr>
            <w:r w:rsidRPr="00CC1E21">
              <w:rPr>
                <w:sz w:val="20"/>
                <w:szCs w:val="20"/>
              </w:rPr>
              <w:t>No</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14:paraId="1D81729D" w14:textId="77777777" w:rsidR="00BC1BBF" w:rsidRPr="00CC1E21" w:rsidRDefault="00CC1E21" w:rsidP="00CC1E21">
            <w:pPr>
              <w:jc w:val="both"/>
            </w:pPr>
            <w:r w:rsidRPr="00CC1E21">
              <w:rPr>
                <w:sz w:val="20"/>
                <w:szCs w:val="20"/>
              </w:rPr>
              <w:t>No</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14:paraId="0A16A38A" w14:textId="77777777" w:rsidR="00BC1BBF" w:rsidRPr="00CC1E21" w:rsidRDefault="00CC1E21" w:rsidP="00CC1E21">
            <w:pPr>
              <w:jc w:val="both"/>
            </w:pPr>
            <w:r w:rsidRPr="00CC1E21">
              <w:rPr>
                <w:sz w:val="20"/>
                <w:szCs w:val="20"/>
              </w:rPr>
              <w:t>Yes</w:t>
            </w:r>
          </w:p>
        </w:tc>
        <w:tc>
          <w:tcPr>
            <w:tcW w:w="1665" w:type="dxa"/>
            <w:tcBorders>
              <w:top w:val="single" w:sz="4" w:space="0" w:color="BBBBBB"/>
              <w:left w:val="none" w:sz="0" w:space="0" w:color="FFFFFF"/>
              <w:bottom w:val="none" w:sz="0" w:space="0" w:color="FFFFFF"/>
              <w:right w:val="none" w:sz="0" w:space="0" w:color="FFFFFF"/>
            </w:tcBorders>
            <w:tcMar>
              <w:top w:w="80" w:type="dxa"/>
              <w:left w:w="120" w:type="dxa"/>
              <w:bottom w:w="80" w:type="dxa"/>
              <w:right w:w="120" w:type="dxa"/>
            </w:tcMar>
            <w:vAlign w:val="center"/>
          </w:tcPr>
          <w:p w14:paraId="218CA8F2" w14:textId="77777777" w:rsidR="00BC1BBF" w:rsidRPr="00CC1E21" w:rsidRDefault="00CC1E21" w:rsidP="00CC1E21">
            <w:pPr>
              <w:jc w:val="both"/>
            </w:pPr>
            <w:r w:rsidRPr="00CC1E21">
              <w:rPr>
                <w:sz w:val="20"/>
                <w:szCs w:val="20"/>
              </w:rPr>
              <w:t>Yes</w:t>
            </w:r>
          </w:p>
        </w:tc>
      </w:tr>
      <w:tr w:rsidR="00BC1BBF" w:rsidRPr="00CC1E21" w14:paraId="32EA1771" w14:textId="77777777">
        <w:tc>
          <w:tcPr>
            <w:tcW w:w="2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A3DB786" w14:textId="77777777" w:rsidR="00BC1BBF" w:rsidRPr="00CC1E21" w:rsidRDefault="00CC1E21" w:rsidP="00CC1E21">
            <w:pPr>
              <w:jc w:val="both"/>
            </w:pPr>
            <w:r w:rsidRPr="00CC1E21">
              <w:rPr>
                <w:b/>
                <w:bCs/>
                <w:sz w:val="20"/>
                <w:szCs w:val="20"/>
              </w:rPr>
              <w:t>Year FE</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3CB662DA" w14:textId="77777777" w:rsidR="00BC1BBF" w:rsidRPr="00CC1E21" w:rsidRDefault="00CC1E21" w:rsidP="00CC1E21">
            <w:pPr>
              <w:jc w:val="both"/>
            </w:pPr>
            <w:r w:rsidRPr="00CC1E21">
              <w:rPr>
                <w:sz w:val="20"/>
                <w:szCs w:val="20"/>
              </w:rPr>
              <w:t>No</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3BFB1080" w14:textId="77777777" w:rsidR="00BC1BBF" w:rsidRPr="00CC1E21" w:rsidRDefault="00CC1E21" w:rsidP="00CC1E21">
            <w:pPr>
              <w:jc w:val="both"/>
            </w:pPr>
            <w:r w:rsidRPr="00CC1E21">
              <w:rPr>
                <w:sz w:val="20"/>
                <w:szCs w:val="20"/>
              </w:rPr>
              <w:t>Yes</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9B4C708" w14:textId="77777777" w:rsidR="00BC1BBF" w:rsidRPr="00CC1E21" w:rsidRDefault="00CC1E21" w:rsidP="00CC1E21">
            <w:pPr>
              <w:jc w:val="both"/>
            </w:pPr>
            <w:r w:rsidRPr="00CC1E21">
              <w:rPr>
                <w:sz w:val="20"/>
                <w:szCs w:val="20"/>
              </w:rPr>
              <w:t>Yes</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7445128" w14:textId="77777777" w:rsidR="00BC1BBF" w:rsidRPr="00CC1E21" w:rsidRDefault="00CC1E21" w:rsidP="00CC1E21">
            <w:pPr>
              <w:jc w:val="both"/>
            </w:pPr>
            <w:r w:rsidRPr="00CC1E21">
              <w:rPr>
                <w:sz w:val="20"/>
                <w:szCs w:val="20"/>
              </w:rPr>
              <w:t>Yes</w:t>
            </w:r>
          </w:p>
        </w:tc>
      </w:tr>
      <w:tr w:rsidR="00BC1BBF" w:rsidRPr="00CC1E21" w14:paraId="02BBDFD8" w14:textId="77777777">
        <w:tc>
          <w:tcPr>
            <w:tcW w:w="2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59920E76" w14:textId="77777777" w:rsidR="00BC1BBF" w:rsidRPr="00CC1E21" w:rsidRDefault="00CC1E21" w:rsidP="00CC1E21">
            <w:pPr>
              <w:jc w:val="both"/>
            </w:pPr>
            <w:r w:rsidRPr="00CC1E21">
              <w:rPr>
                <w:b/>
                <w:bCs/>
                <w:sz w:val="20"/>
                <w:szCs w:val="20"/>
              </w:rPr>
              <w:t>Observations</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5341987C" w14:textId="77777777" w:rsidR="00BC1BBF" w:rsidRPr="00CC1E21" w:rsidRDefault="00CC1E21" w:rsidP="00CC1E21">
            <w:pPr>
              <w:jc w:val="both"/>
            </w:pPr>
            <w:r w:rsidRPr="00CC1E21">
              <w:rPr>
                <w:sz w:val="20"/>
                <w:szCs w:val="20"/>
              </w:rPr>
              <w:t>847</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683C22A" w14:textId="77777777" w:rsidR="00BC1BBF" w:rsidRPr="00CC1E21" w:rsidRDefault="00CC1E21" w:rsidP="00CC1E21">
            <w:pPr>
              <w:jc w:val="both"/>
            </w:pPr>
            <w:r w:rsidRPr="00CC1E21">
              <w:rPr>
                <w:sz w:val="20"/>
                <w:szCs w:val="20"/>
              </w:rPr>
              <w:t>847</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57BC7510" w14:textId="77777777" w:rsidR="00BC1BBF" w:rsidRPr="00CC1E21" w:rsidRDefault="00CC1E21" w:rsidP="00CC1E21">
            <w:pPr>
              <w:jc w:val="both"/>
            </w:pPr>
            <w:r w:rsidRPr="00CC1E21">
              <w:rPr>
                <w:sz w:val="20"/>
                <w:szCs w:val="20"/>
              </w:rPr>
              <w:t>847</w:t>
            </w:r>
          </w:p>
        </w:tc>
        <w:tc>
          <w:tcPr>
            <w:tcW w:w="166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73E3BC4E" w14:textId="77777777" w:rsidR="00BC1BBF" w:rsidRPr="00CC1E21" w:rsidRDefault="00CC1E21" w:rsidP="00CC1E21">
            <w:pPr>
              <w:jc w:val="both"/>
            </w:pPr>
            <w:r w:rsidRPr="00CC1E21">
              <w:rPr>
                <w:sz w:val="20"/>
                <w:szCs w:val="20"/>
              </w:rPr>
              <w:t>847</w:t>
            </w:r>
          </w:p>
        </w:tc>
      </w:tr>
      <w:tr w:rsidR="00BC1BBF" w:rsidRPr="00CC1E21" w14:paraId="2CD5D505" w14:textId="77777777">
        <w:tc>
          <w:tcPr>
            <w:tcW w:w="27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7C871D55" w14:textId="77777777" w:rsidR="00BC1BBF" w:rsidRPr="00CC1E21" w:rsidRDefault="00CC1E21" w:rsidP="00CC1E21">
            <w:pPr>
              <w:jc w:val="both"/>
            </w:pPr>
            <w:r w:rsidRPr="00CC1E21">
              <w:rPr>
                <w:b/>
                <w:bCs/>
                <w:sz w:val="20"/>
                <w:szCs w:val="20"/>
              </w:rPr>
              <w:t>Adjusted R²</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667D4B1A" w14:textId="77777777" w:rsidR="00BC1BBF" w:rsidRPr="00CC1E21" w:rsidRDefault="00CC1E21" w:rsidP="00CC1E21">
            <w:pPr>
              <w:jc w:val="both"/>
            </w:pPr>
            <w:r w:rsidRPr="00CC1E21">
              <w:rPr>
                <w:sz w:val="20"/>
                <w:szCs w:val="20"/>
              </w:rPr>
              <w:t>0.28</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6FB713B6" w14:textId="77777777" w:rsidR="00BC1BBF" w:rsidRPr="00CC1E21" w:rsidRDefault="00CC1E21" w:rsidP="00CC1E21">
            <w:pPr>
              <w:jc w:val="both"/>
            </w:pPr>
            <w:r w:rsidRPr="00CC1E21">
              <w:rPr>
                <w:sz w:val="20"/>
                <w:szCs w:val="20"/>
              </w:rPr>
              <w:t>0.38</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5D7C2334" w14:textId="77777777" w:rsidR="00BC1BBF" w:rsidRPr="00CC1E21" w:rsidRDefault="00CC1E21" w:rsidP="00CC1E21">
            <w:pPr>
              <w:jc w:val="both"/>
            </w:pPr>
            <w:r w:rsidRPr="00CC1E21">
              <w:rPr>
                <w:sz w:val="20"/>
                <w:szCs w:val="20"/>
              </w:rPr>
              <w:t>0.49</w:t>
            </w:r>
          </w:p>
        </w:tc>
        <w:tc>
          <w:tcPr>
            <w:tcW w:w="1665"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7E5F65EB" w14:textId="77777777" w:rsidR="00BC1BBF" w:rsidRPr="00CC1E21" w:rsidRDefault="00CC1E21" w:rsidP="00CC1E21">
            <w:pPr>
              <w:jc w:val="both"/>
            </w:pPr>
            <w:r w:rsidRPr="00CC1E21">
              <w:rPr>
                <w:sz w:val="20"/>
                <w:szCs w:val="20"/>
              </w:rPr>
              <w:t>0.54</w:t>
            </w:r>
          </w:p>
        </w:tc>
      </w:tr>
    </w:tbl>
    <w:p w14:paraId="2259E2FB" w14:textId="77777777" w:rsidR="00BC1BBF" w:rsidRPr="00CC1E21" w:rsidRDefault="00CC1E21" w:rsidP="00CC1E21">
      <w:pPr>
        <w:spacing w:before="60" w:after="240"/>
        <w:jc w:val="both"/>
      </w:pPr>
      <w:r w:rsidRPr="00CC1E21">
        <w:rPr>
          <w:color w:val="444444"/>
          <w:sz w:val="19"/>
          <w:szCs w:val="19"/>
        </w:rPr>
        <w:t>Note: Dependent variable is the Disclosure Granularity Index (0–100). Cluster-robust standard errors at the bank level (N = 23 clusters) in parentheses. Wild cluster bootstrap p-values used for main AI coefficient. Additional controls in Columns (3)–(4): leverage, NPL ratio, Z-score, gender diversity, ESG committee, CEO duality, green lending ratio, ESG controversies, analyst coverage, institutional ownership, GDP per capita. *** p &lt; 0.001, ** p &lt; 0.01, * p &lt; 0.05.</w:t>
      </w:r>
    </w:p>
    <w:p w14:paraId="6D657991" w14:textId="77777777" w:rsidR="00BC1BBF" w:rsidRPr="00CC1E21" w:rsidRDefault="00CC1E21" w:rsidP="00CC1E21">
      <w:pPr>
        <w:spacing w:before="280" w:after="120"/>
        <w:jc w:val="both"/>
      </w:pPr>
      <w:r w:rsidRPr="00CC1E21">
        <w:rPr>
          <w:b/>
          <w:bCs/>
          <w:i/>
          <w:iCs/>
        </w:rPr>
        <w:t>4.3  Causal Identification</w:t>
      </w:r>
    </w:p>
    <w:p w14:paraId="68F5AD54" w14:textId="77777777" w:rsidR="00BC1BBF" w:rsidRPr="00CC1E21" w:rsidRDefault="00CC1E21" w:rsidP="00B91D0F">
      <w:pPr>
        <w:spacing w:after="160" w:line="360" w:lineRule="auto"/>
        <w:jc w:val="both"/>
      </w:pPr>
      <w:r w:rsidRPr="00CC1E21">
        <w:t>Table 4 presents our convergent causal evidence. The IV estimate (β = 0.68, SE = 0.13) exceeds the OLS estimate (β = 0.52), consistent with downward attenuation bias from measurement error or negative selection (AI-capable investors avoiding poor disclosers). The first-stage F-statistic (47.3) substantially exceeds the Stock-Yogo weak instrument threshold (19.9 at 10% size). The Hausman test rejects exogeneity (p &lt; 0.001), confirming endogeneity in the OLS specification. The staggered DiD estimates a positive Post × HighAI interaction of 8.3 points (p = 0.008), with parallel pre-trends validated (joint test p = 0.87). Event studies on seven ownership-shift banks yield an average disclosure increase of +16.2 points (t = 6.47, p &lt; 0.001) with a flat pre-trend and sharp discontinuity at event time zero. Entropy balancing (β = 0.49) confirms results are not driven by observable covariate imbalance. Across all five strategies, the AI-granularity effect is positive, statistically significant, and ranges 0.49–0.68.</w:t>
      </w:r>
    </w:p>
    <w:p w14:paraId="340760E2" w14:textId="77777777" w:rsidR="00BC1BBF" w:rsidRPr="00CC1E21" w:rsidRDefault="00B91D0F" w:rsidP="00CC1E21">
      <w:pPr>
        <w:spacing w:after="80"/>
        <w:jc w:val="both"/>
      </w:pPr>
      <w:r>
        <w:rPr>
          <w:b/>
          <w:bCs/>
        </w:rPr>
        <w:lastRenderedPageBreak/>
        <w:t xml:space="preserve">Table 4: </w:t>
      </w:r>
      <w:r w:rsidR="00CC1E21" w:rsidRPr="00CC1E21">
        <w:rPr>
          <w:b/>
          <w:bCs/>
        </w:rPr>
        <w:t>Convergent Causal Evidence: AI Capability and Disclosure Granularity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000"/>
        <w:gridCol w:w="900"/>
        <w:gridCol w:w="900"/>
        <w:gridCol w:w="1460"/>
        <w:gridCol w:w="900"/>
        <w:gridCol w:w="2400"/>
      </w:tblGrid>
      <w:tr w:rsidR="00BC1BBF" w:rsidRPr="00CC1E21" w14:paraId="34198B2D" w14:textId="77777777">
        <w:trPr>
          <w:tblHeader/>
        </w:trPr>
        <w:tc>
          <w:tcPr>
            <w:tcW w:w="18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1A1C9120" w14:textId="77777777" w:rsidR="00BC1BBF" w:rsidRPr="00CC1E21" w:rsidRDefault="00CC1E21" w:rsidP="00CC1E21">
            <w:pPr>
              <w:jc w:val="both"/>
            </w:pPr>
            <w:r w:rsidRPr="00CC1E21">
              <w:rPr>
                <w:b/>
                <w:bCs/>
                <w:color w:val="FFFFFF"/>
                <w:sz w:val="20"/>
                <w:szCs w:val="20"/>
              </w:rPr>
              <w:t>Method</w:t>
            </w:r>
          </w:p>
        </w:tc>
        <w:tc>
          <w:tcPr>
            <w:tcW w:w="10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54F835FE" w14:textId="77777777" w:rsidR="00BC1BBF" w:rsidRPr="00CC1E21" w:rsidRDefault="00CC1E21" w:rsidP="00CC1E21">
            <w:pPr>
              <w:jc w:val="both"/>
            </w:pPr>
            <w:r w:rsidRPr="00CC1E21">
              <w:rPr>
                <w:b/>
                <w:bCs/>
                <w:color w:val="FFFFFF"/>
                <w:sz w:val="20"/>
                <w:szCs w:val="20"/>
              </w:rPr>
              <w:t>β (AI Cap.)</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513C220C" w14:textId="77777777" w:rsidR="00BC1BBF" w:rsidRPr="00CC1E21" w:rsidRDefault="00CC1E21" w:rsidP="00CC1E21">
            <w:pPr>
              <w:jc w:val="both"/>
            </w:pPr>
            <w:r w:rsidRPr="00CC1E21">
              <w:rPr>
                <w:b/>
                <w:bCs/>
                <w:color w:val="FFFFFF"/>
                <w:sz w:val="20"/>
                <w:szCs w:val="20"/>
              </w:rPr>
              <w:t>SE</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0AF2F8DC" w14:textId="77777777" w:rsidR="00BC1BBF" w:rsidRPr="00CC1E21" w:rsidRDefault="00CC1E21" w:rsidP="00CC1E21">
            <w:pPr>
              <w:jc w:val="both"/>
            </w:pPr>
            <w:r w:rsidRPr="00CC1E21">
              <w:rPr>
                <w:b/>
                <w:bCs/>
                <w:color w:val="FFFFFF"/>
                <w:sz w:val="20"/>
                <w:szCs w:val="20"/>
              </w:rPr>
              <w:t>p</w:t>
            </w:r>
          </w:p>
        </w:tc>
        <w:tc>
          <w:tcPr>
            <w:tcW w:w="14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641C2E0" w14:textId="77777777" w:rsidR="00BC1BBF" w:rsidRPr="00CC1E21" w:rsidRDefault="00CC1E21" w:rsidP="00CC1E21">
            <w:pPr>
              <w:jc w:val="both"/>
            </w:pPr>
            <w:r w:rsidRPr="00CC1E21">
              <w:rPr>
                <w:b/>
                <w:bCs/>
                <w:color w:val="FFFFFF"/>
                <w:sz w:val="20"/>
                <w:szCs w:val="20"/>
              </w:rPr>
              <w:t>95% CI</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43DDD2A2" w14:textId="77777777" w:rsidR="00BC1BBF" w:rsidRPr="00CC1E21" w:rsidRDefault="00CC1E21" w:rsidP="00CC1E21">
            <w:pPr>
              <w:jc w:val="both"/>
            </w:pPr>
            <w:r w:rsidRPr="00CC1E21">
              <w:rPr>
                <w:b/>
                <w:bCs/>
                <w:color w:val="FFFFFF"/>
                <w:sz w:val="20"/>
                <w:szCs w:val="20"/>
              </w:rPr>
              <w:t>1st-F</w:t>
            </w:r>
          </w:p>
        </w:tc>
        <w:tc>
          <w:tcPr>
            <w:tcW w:w="24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FE660BA" w14:textId="77777777" w:rsidR="00BC1BBF" w:rsidRPr="00CC1E21" w:rsidRDefault="00CC1E21" w:rsidP="00CC1E21">
            <w:pPr>
              <w:jc w:val="both"/>
            </w:pPr>
            <w:r w:rsidRPr="00CC1E21">
              <w:rPr>
                <w:b/>
                <w:bCs/>
                <w:color w:val="FFFFFF"/>
                <w:sz w:val="20"/>
                <w:szCs w:val="20"/>
              </w:rPr>
              <w:t>Concern Addressed</w:t>
            </w:r>
          </w:p>
        </w:tc>
      </w:tr>
      <w:tr w:rsidR="00BC1BBF" w:rsidRPr="00CC1E21" w14:paraId="432349DF" w14:textId="77777777">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2FCFB63" w14:textId="77777777" w:rsidR="00BC1BBF" w:rsidRPr="00CC1E21" w:rsidRDefault="00CC1E21" w:rsidP="00CC1E21">
            <w:pPr>
              <w:jc w:val="both"/>
            </w:pPr>
            <w:r w:rsidRPr="00CC1E21">
              <w:rPr>
                <w:b/>
                <w:bCs/>
                <w:sz w:val="20"/>
                <w:szCs w:val="20"/>
              </w:rPr>
              <w:t>OLS (baseline)</w:t>
            </w:r>
          </w:p>
        </w:tc>
        <w:tc>
          <w:tcPr>
            <w:tcW w:w="1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E44EE17" w14:textId="77777777" w:rsidR="00BC1BBF" w:rsidRPr="00CC1E21" w:rsidRDefault="00CC1E21" w:rsidP="00CC1E21">
            <w:pPr>
              <w:jc w:val="both"/>
            </w:pPr>
            <w:r w:rsidRPr="00CC1E21">
              <w:rPr>
                <w:b/>
                <w:bCs/>
                <w:sz w:val="20"/>
                <w:szCs w:val="20"/>
              </w:rPr>
              <w:t>0.52***</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56EBC20" w14:textId="77777777" w:rsidR="00BC1BBF" w:rsidRPr="00CC1E21" w:rsidRDefault="00CC1E21" w:rsidP="00CC1E21">
            <w:pPr>
              <w:jc w:val="both"/>
            </w:pPr>
            <w:r w:rsidRPr="00CC1E21">
              <w:rPr>
                <w:b/>
                <w:bCs/>
                <w:sz w:val="20"/>
                <w:szCs w:val="20"/>
              </w:rPr>
              <w:t>0.08</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433F450" w14:textId="77777777" w:rsidR="00BC1BBF" w:rsidRPr="00CC1E21" w:rsidRDefault="00CC1E21" w:rsidP="00CC1E21">
            <w:pPr>
              <w:jc w:val="both"/>
            </w:pPr>
            <w:r w:rsidRPr="00CC1E21">
              <w:rPr>
                <w:b/>
                <w:bCs/>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8306EFE" w14:textId="77777777" w:rsidR="00BC1BBF" w:rsidRPr="00CC1E21" w:rsidRDefault="00CC1E21" w:rsidP="00CC1E21">
            <w:pPr>
              <w:jc w:val="both"/>
            </w:pPr>
            <w:r w:rsidRPr="00CC1E21">
              <w:rPr>
                <w:b/>
                <w:bCs/>
                <w:sz w:val="20"/>
                <w:szCs w:val="20"/>
              </w:rPr>
              <w:t>[0.36, 0.68]</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51EB628" w14:textId="77777777" w:rsidR="00BC1BBF" w:rsidRPr="00CC1E21" w:rsidRDefault="00CC1E21" w:rsidP="00CC1E21">
            <w:pPr>
              <w:jc w:val="both"/>
            </w:pPr>
            <w:r w:rsidRPr="00CC1E21">
              <w:rPr>
                <w:b/>
                <w:bCs/>
                <w:sz w:val="20"/>
                <w:szCs w:val="20"/>
              </w:rPr>
              <w:t>—</w:t>
            </w:r>
          </w:p>
        </w:tc>
        <w:tc>
          <w:tcPr>
            <w:tcW w:w="2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63ED2A1" w14:textId="77777777" w:rsidR="00BC1BBF" w:rsidRPr="00CC1E21" w:rsidRDefault="00CC1E21" w:rsidP="00CC1E21">
            <w:pPr>
              <w:jc w:val="both"/>
            </w:pPr>
            <w:r w:rsidRPr="00CC1E21">
              <w:rPr>
                <w:b/>
                <w:bCs/>
                <w:sz w:val="20"/>
                <w:szCs w:val="20"/>
              </w:rPr>
              <w:t>Baseline estimate</w:t>
            </w:r>
          </w:p>
        </w:tc>
      </w:tr>
      <w:tr w:rsidR="00BC1BBF" w:rsidRPr="00CC1E21" w14:paraId="60EE0A4A" w14:textId="77777777">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BD5D29E" w14:textId="77777777" w:rsidR="00BC1BBF" w:rsidRPr="00CC1E21" w:rsidRDefault="00CC1E21" w:rsidP="00CC1E21">
            <w:pPr>
              <w:jc w:val="both"/>
            </w:pPr>
            <w:r w:rsidRPr="00CC1E21">
              <w:rPr>
                <w:sz w:val="20"/>
                <w:szCs w:val="20"/>
              </w:rPr>
              <w:t>IV — SFDR instrument</w:t>
            </w:r>
          </w:p>
        </w:tc>
        <w:tc>
          <w:tcPr>
            <w:tcW w:w="1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4FDD2BD" w14:textId="77777777" w:rsidR="00BC1BBF" w:rsidRPr="00CC1E21" w:rsidRDefault="00CC1E21" w:rsidP="00CC1E21">
            <w:pPr>
              <w:jc w:val="both"/>
            </w:pPr>
            <w:r w:rsidRPr="00CC1E21">
              <w:rPr>
                <w:sz w:val="20"/>
                <w:szCs w:val="20"/>
              </w:rPr>
              <w:t>0.68***</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88A603E" w14:textId="77777777" w:rsidR="00BC1BBF" w:rsidRPr="00CC1E21" w:rsidRDefault="00CC1E21" w:rsidP="00CC1E21">
            <w:pPr>
              <w:jc w:val="both"/>
            </w:pPr>
            <w:r w:rsidRPr="00CC1E21">
              <w:rPr>
                <w:sz w:val="20"/>
                <w:szCs w:val="20"/>
              </w:rPr>
              <w:t>0.13</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F9B2495" w14:textId="77777777"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DD73DD9" w14:textId="77777777" w:rsidR="00BC1BBF" w:rsidRPr="00CC1E21" w:rsidRDefault="00CC1E21" w:rsidP="00CC1E21">
            <w:pPr>
              <w:jc w:val="both"/>
            </w:pPr>
            <w:r w:rsidRPr="00CC1E21">
              <w:rPr>
                <w:sz w:val="20"/>
                <w:szCs w:val="20"/>
              </w:rPr>
              <w:t>[0.43, 0.93]</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56C7FE0" w14:textId="77777777" w:rsidR="00BC1BBF" w:rsidRPr="00CC1E21" w:rsidRDefault="00CC1E21" w:rsidP="00CC1E21">
            <w:pPr>
              <w:jc w:val="both"/>
            </w:pPr>
            <w:r w:rsidRPr="00CC1E21">
              <w:rPr>
                <w:sz w:val="20"/>
                <w:szCs w:val="20"/>
              </w:rPr>
              <w:t>47.3</w:t>
            </w:r>
          </w:p>
        </w:tc>
        <w:tc>
          <w:tcPr>
            <w:tcW w:w="2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E72B09C" w14:textId="77777777" w:rsidR="00BC1BBF" w:rsidRPr="00CC1E21" w:rsidRDefault="00CC1E21" w:rsidP="00CC1E21">
            <w:pPr>
              <w:jc w:val="both"/>
            </w:pPr>
            <w:r w:rsidRPr="00CC1E21">
              <w:rPr>
                <w:sz w:val="20"/>
                <w:szCs w:val="20"/>
              </w:rPr>
              <w:t>Reverse causality; measurement error</w:t>
            </w:r>
          </w:p>
        </w:tc>
      </w:tr>
      <w:tr w:rsidR="00BC1BBF" w:rsidRPr="00CC1E21" w14:paraId="137F5BF3" w14:textId="77777777">
        <w:tc>
          <w:tcPr>
            <w:tcW w:w="18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70DACE0" w14:textId="77777777" w:rsidR="00BC1BBF" w:rsidRPr="00CC1E21" w:rsidRDefault="00CC1E21" w:rsidP="00CC1E21">
            <w:pPr>
              <w:jc w:val="both"/>
            </w:pPr>
            <w:r w:rsidRPr="00CC1E21">
              <w:rPr>
                <w:sz w:val="20"/>
                <w:szCs w:val="20"/>
              </w:rPr>
              <w:t>Diff-in-Differences</w:t>
            </w:r>
          </w:p>
        </w:tc>
        <w:tc>
          <w:tcPr>
            <w:tcW w:w="1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2ADC7BE" w14:textId="77777777" w:rsidR="00BC1BBF" w:rsidRPr="00CC1E21" w:rsidRDefault="00CC1E21" w:rsidP="00CC1E21">
            <w:pPr>
              <w:jc w:val="both"/>
            </w:pPr>
            <w:r w:rsidRPr="00CC1E21">
              <w:rPr>
                <w:sz w:val="20"/>
                <w:szCs w:val="20"/>
              </w:rPr>
              <w:t>0.55***</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FD4B0F7" w14:textId="77777777" w:rsidR="00BC1BBF" w:rsidRPr="00CC1E21" w:rsidRDefault="00CC1E21" w:rsidP="00CC1E21">
            <w:pPr>
              <w:jc w:val="both"/>
            </w:pPr>
            <w:r w:rsidRPr="00CC1E21">
              <w:rPr>
                <w:sz w:val="20"/>
                <w:szCs w:val="20"/>
              </w:rPr>
              <w:t>0.09</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D95F7FA" w14:textId="77777777"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0D572297" w14:textId="77777777" w:rsidR="00BC1BBF" w:rsidRPr="00CC1E21" w:rsidRDefault="00CC1E21" w:rsidP="00CC1E21">
            <w:pPr>
              <w:jc w:val="both"/>
            </w:pPr>
            <w:r w:rsidRPr="00CC1E21">
              <w:rPr>
                <w:sz w:val="20"/>
                <w:szCs w:val="20"/>
              </w:rPr>
              <w:t>[0.38, 0.72]</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2D6BC7E" w14:textId="77777777" w:rsidR="00BC1BBF" w:rsidRPr="00CC1E21" w:rsidRDefault="00CC1E21" w:rsidP="00CC1E21">
            <w:pPr>
              <w:jc w:val="both"/>
            </w:pPr>
            <w:r w:rsidRPr="00CC1E21">
              <w:rPr>
                <w:sz w:val="20"/>
                <w:szCs w:val="20"/>
              </w:rPr>
              <w:t>—</w:t>
            </w:r>
          </w:p>
        </w:tc>
        <w:tc>
          <w:tcPr>
            <w:tcW w:w="24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30A0C1B" w14:textId="77777777" w:rsidR="00BC1BBF" w:rsidRPr="00CC1E21" w:rsidRDefault="00CC1E21" w:rsidP="00CC1E21">
            <w:pPr>
              <w:jc w:val="both"/>
            </w:pPr>
            <w:r w:rsidRPr="00CC1E21">
              <w:rPr>
                <w:sz w:val="20"/>
                <w:szCs w:val="20"/>
              </w:rPr>
              <w:t>Time-invariant confounders</w:t>
            </w:r>
          </w:p>
        </w:tc>
      </w:tr>
      <w:tr w:rsidR="00BC1BBF" w:rsidRPr="00CC1E21" w14:paraId="52D29AC0" w14:textId="77777777">
        <w:tc>
          <w:tcPr>
            <w:tcW w:w="18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7F74196" w14:textId="77777777" w:rsidR="00BC1BBF" w:rsidRPr="00CC1E21" w:rsidRDefault="00CC1E21" w:rsidP="00CC1E21">
            <w:pPr>
              <w:jc w:val="both"/>
            </w:pPr>
            <w:r w:rsidRPr="00CC1E21">
              <w:rPr>
                <w:sz w:val="20"/>
                <w:szCs w:val="20"/>
              </w:rPr>
              <w:t>Event Study (N=7)</w:t>
            </w:r>
          </w:p>
        </w:tc>
        <w:tc>
          <w:tcPr>
            <w:tcW w:w="1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39BD5D6" w14:textId="77777777" w:rsidR="00BC1BBF" w:rsidRPr="00CC1E21" w:rsidRDefault="00CC1E21" w:rsidP="00CC1E21">
            <w:pPr>
              <w:jc w:val="both"/>
            </w:pPr>
            <w:r w:rsidRPr="00CC1E21">
              <w:rPr>
                <w:sz w:val="20"/>
                <w:szCs w:val="20"/>
              </w:rPr>
              <w:t>0.61***</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C672B04" w14:textId="77777777" w:rsidR="00BC1BBF" w:rsidRPr="00CC1E21" w:rsidRDefault="00CC1E21" w:rsidP="00CC1E21">
            <w:pPr>
              <w:jc w:val="both"/>
            </w:pPr>
            <w:r w:rsidRPr="00CC1E21">
              <w:rPr>
                <w:sz w:val="20"/>
                <w:szCs w:val="20"/>
              </w:rPr>
              <w:t>0.11</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CE9FBBC" w14:textId="77777777"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76B5FD8" w14:textId="77777777" w:rsidR="00BC1BBF" w:rsidRPr="00CC1E21" w:rsidRDefault="00CC1E21" w:rsidP="00CC1E21">
            <w:pPr>
              <w:jc w:val="both"/>
            </w:pPr>
            <w:r w:rsidRPr="00CC1E21">
              <w:rPr>
                <w:sz w:val="20"/>
                <w:szCs w:val="20"/>
              </w:rPr>
              <w:t>[0.39, 0.83]</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D48C7C0" w14:textId="77777777" w:rsidR="00BC1BBF" w:rsidRPr="00CC1E21" w:rsidRDefault="00CC1E21" w:rsidP="00CC1E21">
            <w:pPr>
              <w:jc w:val="both"/>
            </w:pPr>
            <w:r w:rsidRPr="00CC1E21">
              <w:rPr>
                <w:sz w:val="20"/>
                <w:szCs w:val="20"/>
              </w:rPr>
              <w:t>—</w:t>
            </w:r>
          </w:p>
        </w:tc>
        <w:tc>
          <w:tcPr>
            <w:tcW w:w="24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C23C1E8" w14:textId="77777777" w:rsidR="00BC1BBF" w:rsidRPr="00CC1E21" w:rsidRDefault="00CC1E21" w:rsidP="00CC1E21">
            <w:pPr>
              <w:jc w:val="both"/>
            </w:pPr>
            <w:r w:rsidRPr="00CC1E21">
              <w:rPr>
                <w:sz w:val="20"/>
                <w:szCs w:val="20"/>
              </w:rPr>
              <w:t>Within-bank unobservables</w:t>
            </w:r>
          </w:p>
        </w:tc>
      </w:tr>
      <w:tr w:rsidR="00BC1BBF" w:rsidRPr="00CC1E21" w14:paraId="4CDE152A" w14:textId="77777777">
        <w:tc>
          <w:tcPr>
            <w:tcW w:w="18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14:paraId="74879DCD" w14:textId="77777777" w:rsidR="00BC1BBF" w:rsidRPr="00CC1E21" w:rsidRDefault="00CC1E21" w:rsidP="00CC1E21">
            <w:pPr>
              <w:jc w:val="both"/>
            </w:pPr>
            <w:r w:rsidRPr="00CC1E21">
              <w:rPr>
                <w:sz w:val="20"/>
                <w:szCs w:val="20"/>
              </w:rPr>
              <w:t>Entropy Balanced</w:t>
            </w:r>
          </w:p>
        </w:tc>
        <w:tc>
          <w:tcPr>
            <w:tcW w:w="10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14:paraId="11BDAA73" w14:textId="77777777" w:rsidR="00BC1BBF" w:rsidRPr="00CC1E21" w:rsidRDefault="00CC1E21" w:rsidP="00CC1E21">
            <w:pPr>
              <w:jc w:val="both"/>
            </w:pPr>
            <w:r w:rsidRPr="00CC1E21">
              <w:rPr>
                <w:sz w:val="20"/>
                <w:szCs w:val="20"/>
              </w:rPr>
              <w:t>0.49***</w:t>
            </w:r>
          </w:p>
        </w:tc>
        <w:tc>
          <w:tcPr>
            <w:tcW w:w="9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14:paraId="3440C3B0" w14:textId="77777777" w:rsidR="00BC1BBF" w:rsidRPr="00CC1E21" w:rsidRDefault="00CC1E21" w:rsidP="00CC1E21">
            <w:pPr>
              <w:jc w:val="both"/>
            </w:pPr>
            <w:r w:rsidRPr="00CC1E21">
              <w:rPr>
                <w:sz w:val="20"/>
                <w:szCs w:val="20"/>
              </w:rPr>
              <w:t>0.09</w:t>
            </w:r>
          </w:p>
        </w:tc>
        <w:tc>
          <w:tcPr>
            <w:tcW w:w="9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14:paraId="339FFC79" w14:textId="77777777" w:rsidR="00BC1BBF" w:rsidRPr="00CC1E21" w:rsidRDefault="00CC1E21" w:rsidP="00CC1E21">
            <w:pPr>
              <w:jc w:val="both"/>
            </w:pPr>
            <w:r w:rsidRPr="00CC1E21">
              <w:rPr>
                <w:sz w:val="20"/>
                <w:szCs w:val="20"/>
              </w:rPr>
              <w:t>&lt; .001</w:t>
            </w:r>
          </w:p>
        </w:tc>
        <w:tc>
          <w:tcPr>
            <w:tcW w:w="146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14:paraId="1BA57704" w14:textId="77777777" w:rsidR="00BC1BBF" w:rsidRPr="00CC1E21" w:rsidRDefault="00CC1E21" w:rsidP="00CC1E21">
            <w:pPr>
              <w:jc w:val="both"/>
            </w:pPr>
            <w:r w:rsidRPr="00CC1E21">
              <w:rPr>
                <w:sz w:val="20"/>
                <w:szCs w:val="20"/>
              </w:rPr>
              <w:t>[0.31, 0.67]</w:t>
            </w:r>
          </w:p>
        </w:tc>
        <w:tc>
          <w:tcPr>
            <w:tcW w:w="9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14:paraId="35D38BC0" w14:textId="77777777" w:rsidR="00BC1BBF" w:rsidRPr="00CC1E21" w:rsidRDefault="00CC1E21" w:rsidP="00CC1E21">
            <w:pPr>
              <w:jc w:val="both"/>
            </w:pPr>
            <w:r w:rsidRPr="00CC1E21">
              <w:rPr>
                <w:sz w:val="20"/>
                <w:szCs w:val="20"/>
              </w:rPr>
              <w:t>—</w:t>
            </w:r>
          </w:p>
        </w:tc>
        <w:tc>
          <w:tcPr>
            <w:tcW w:w="2400" w:type="dxa"/>
            <w:tcBorders>
              <w:top w:val="none" w:sz="0" w:space="0" w:color="FFFFFF"/>
              <w:left w:val="none" w:sz="0" w:space="0" w:color="FFFFFF"/>
              <w:bottom w:val="single" w:sz="12" w:space="0" w:color="1B3A6B"/>
              <w:right w:val="none" w:sz="0" w:space="0" w:color="FFFFFF"/>
            </w:tcBorders>
            <w:shd w:val="clear" w:color="auto" w:fill="FFFFFF"/>
            <w:tcMar>
              <w:top w:w="80" w:type="dxa"/>
              <w:left w:w="120" w:type="dxa"/>
              <w:bottom w:w="80" w:type="dxa"/>
              <w:right w:w="120" w:type="dxa"/>
            </w:tcMar>
            <w:vAlign w:val="center"/>
          </w:tcPr>
          <w:p w14:paraId="0FA5208A" w14:textId="77777777" w:rsidR="00BC1BBF" w:rsidRPr="00CC1E21" w:rsidRDefault="00CC1E21" w:rsidP="00CC1E21">
            <w:pPr>
              <w:jc w:val="both"/>
            </w:pPr>
            <w:r w:rsidRPr="00CC1E21">
              <w:rPr>
                <w:sz w:val="20"/>
                <w:szCs w:val="20"/>
              </w:rPr>
              <w:t>Observable covariate selection</w:t>
            </w:r>
          </w:p>
        </w:tc>
      </w:tr>
    </w:tbl>
    <w:p w14:paraId="7EDECD96" w14:textId="77777777" w:rsidR="00BC1BBF" w:rsidRPr="00CC1E21" w:rsidRDefault="00CC1E21" w:rsidP="00CC1E21">
      <w:pPr>
        <w:spacing w:before="60" w:after="240"/>
        <w:jc w:val="both"/>
      </w:pPr>
      <w:r w:rsidRPr="00CC1E21">
        <w:rPr>
          <w:color w:val="444444"/>
          <w:sz w:val="19"/>
          <w:szCs w:val="19"/>
        </w:rPr>
        <w:t>Note: OLS uses cluster-robust standard errors (23 bank clusters). IV uses 2SLS with SFDR (EU domicile × post-2021) as instrument; Hansen J-statistic p = 0.42 (not over-identified in single-IV specification). DiD reports Post × HighAI interaction coefficient. Event Study reports average abnormal granularity change at t = 0 for seven banks receiving &gt;10pp AI-ownership shock. 1st-F = first-stage F-statistic. *** p &lt; 0.001.</w:t>
      </w:r>
    </w:p>
    <w:p w14:paraId="4481F1D2" w14:textId="77777777" w:rsidR="00BC1BBF" w:rsidRPr="00CC1E21" w:rsidRDefault="00BC1BBF" w:rsidP="00CC1E21">
      <w:pPr>
        <w:spacing w:after="40"/>
        <w:jc w:val="both"/>
      </w:pPr>
    </w:p>
    <w:p w14:paraId="4826E8B8" w14:textId="77777777" w:rsidR="00BC1BBF" w:rsidRPr="00CC1E21" w:rsidRDefault="00B91D0F" w:rsidP="00CC1E21">
      <w:pPr>
        <w:spacing w:after="40"/>
        <w:jc w:val="both"/>
      </w:pPr>
      <w:r>
        <w:rPr>
          <w:b/>
          <w:bCs/>
        </w:rPr>
        <w:t xml:space="preserve">Figure 1: </w:t>
      </w:r>
      <w:r w:rsidR="00CC1E21" w:rsidRPr="00CC1E21">
        <w:rPr>
          <w:b/>
          <w:bCs/>
        </w:rPr>
        <w:t>Event Study: Disclosure Granularity Around High-AI Ownership Shifts</w:t>
      </w:r>
    </w:p>
    <w:p w14:paraId="17BAB61C" w14:textId="77777777" w:rsidR="00BC1BBF" w:rsidRPr="00CC1E21" w:rsidRDefault="00CC1E21" w:rsidP="00CC1E21">
      <w:pPr>
        <w:spacing w:after="80"/>
        <w:jc w:val="both"/>
      </w:pPr>
      <w:r w:rsidRPr="00CC1E21">
        <w:rPr>
          <w:color w:val="444444"/>
          <w:sz w:val="19"/>
          <w:szCs w:val="19"/>
        </w:rPr>
        <w:t>(Seven banks receiving &gt;10 percentage-point ownership increase by investors with AI Index &gt; 75; t = 0 is the quarter of ownership change)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BBF" w:rsidRPr="00CC1E21" w14:paraId="0EE5974D"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BFD"/>
            <w:tcMar>
              <w:top w:w="80" w:type="dxa"/>
              <w:left w:w="120" w:type="dxa"/>
              <w:bottom w:w="80" w:type="dxa"/>
              <w:right w:w="120" w:type="dxa"/>
            </w:tcMar>
          </w:tcPr>
          <w:p w14:paraId="70E90CC9" w14:textId="77777777" w:rsidR="00BC1BBF" w:rsidRPr="00CC1E21" w:rsidRDefault="00CC1E21" w:rsidP="00CC1E21">
            <w:pPr>
              <w:spacing w:after="20"/>
              <w:jc w:val="both"/>
            </w:pPr>
            <w:r w:rsidRPr="00CC1E21">
              <w:rPr>
                <w:rFonts w:eastAsia="Courier New"/>
                <w:color w:val="444444"/>
                <w:sz w:val="19"/>
                <w:szCs w:val="19"/>
              </w:rPr>
              <w:t xml:space="preserve">  Disclosure Granularity (Δ from pre-event baseline)</w:t>
            </w:r>
          </w:p>
          <w:p w14:paraId="379C7933" w14:textId="77777777" w:rsidR="00BC1BBF" w:rsidRPr="00CC1E21" w:rsidRDefault="00BC1BBF" w:rsidP="00CC1E21">
            <w:pPr>
              <w:spacing w:after="20"/>
              <w:jc w:val="both"/>
            </w:pPr>
          </w:p>
          <w:p w14:paraId="08E26EE0" w14:textId="77777777" w:rsidR="00BC1BBF" w:rsidRPr="00CC1E21" w:rsidRDefault="00CC1E21" w:rsidP="00CC1E21">
            <w:pPr>
              <w:spacing w:after="20"/>
              <w:jc w:val="both"/>
            </w:pPr>
            <w:r w:rsidRPr="00CC1E21">
              <w:rPr>
                <w:rFonts w:eastAsia="Courier New"/>
                <w:color w:val="444444"/>
                <w:sz w:val="19"/>
                <w:szCs w:val="19"/>
              </w:rPr>
              <w:t xml:space="preserve">  +20 ┤                                    ╔══════════════</w:t>
            </w:r>
          </w:p>
          <w:p w14:paraId="71C43694" w14:textId="77777777" w:rsidR="00BC1BBF" w:rsidRPr="00CC1E21" w:rsidRDefault="00CC1E21" w:rsidP="00CC1E21">
            <w:pPr>
              <w:spacing w:after="20"/>
              <w:jc w:val="both"/>
            </w:pPr>
            <w:r w:rsidRPr="00CC1E21">
              <w:rPr>
                <w:rFonts w:eastAsia="Courier New"/>
                <w:color w:val="444444"/>
                <w:sz w:val="19"/>
                <w:szCs w:val="19"/>
              </w:rPr>
              <w:t xml:space="preserve">      │                                   ╔╝             ← Sustained elevation</w:t>
            </w:r>
          </w:p>
          <w:p w14:paraId="0F6EB63E" w14:textId="77777777" w:rsidR="00BC1BBF" w:rsidRPr="00CC1E21" w:rsidRDefault="00CC1E21" w:rsidP="00CC1E21">
            <w:pPr>
              <w:spacing w:after="20"/>
              <w:jc w:val="both"/>
            </w:pPr>
            <w:r w:rsidRPr="00CC1E21">
              <w:rPr>
                <w:rFonts w:eastAsia="Courier New"/>
                <w:color w:val="444444"/>
                <w:sz w:val="19"/>
                <w:szCs w:val="19"/>
              </w:rPr>
              <w:t xml:space="preserve">  +16 ┤                             ╔════╝                (+16.2 pts avg, p&lt;.001)</w:t>
            </w:r>
          </w:p>
          <w:p w14:paraId="25522059" w14:textId="77777777" w:rsidR="00BC1BBF" w:rsidRPr="00CC1E21" w:rsidRDefault="00CC1E21" w:rsidP="00CC1E21">
            <w:pPr>
              <w:spacing w:after="20"/>
              <w:jc w:val="both"/>
            </w:pPr>
            <w:r w:rsidRPr="00CC1E21">
              <w:rPr>
                <w:rFonts w:eastAsia="Courier New"/>
                <w:color w:val="444444"/>
                <w:sz w:val="19"/>
                <w:szCs w:val="19"/>
              </w:rPr>
              <w:t xml:space="preserve">      │                            ╔╝</w:t>
            </w:r>
          </w:p>
          <w:p w14:paraId="5AAFB62B" w14:textId="77777777" w:rsidR="00BC1BBF" w:rsidRPr="00CC1E21" w:rsidRDefault="00CC1E21" w:rsidP="00CC1E21">
            <w:pPr>
              <w:spacing w:after="20"/>
              <w:jc w:val="both"/>
            </w:pPr>
            <w:r w:rsidRPr="00CC1E21">
              <w:rPr>
                <w:rFonts w:eastAsia="Courier New"/>
                <w:color w:val="444444"/>
                <w:sz w:val="19"/>
                <w:szCs w:val="19"/>
              </w:rPr>
              <w:t xml:space="preserve">  +12 ┤                           ╔╝</w:t>
            </w:r>
          </w:p>
          <w:p w14:paraId="21EC8689" w14:textId="77777777" w:rsidR="00BC1BBF" w:rsidRPr="00CC1E21" w:rsidRDefault="00CC1E21" w:rsidP="00CC1E21">
            <w:pPr>
              <w:spacing w:after="20"/>
              <w:jc w:val="both"/>
            </w:pPr>
            <w:r w:rsidRPr="00CC1E21">
              <w:rPr>
                <w:rFonts w:eastAsia="Courier New"/>
                <w:color w:val="444444"/>
                <w:sz w:val="19"/>
                <w:szCs w:val="19"/>
              </w:rPr>
              <w:t xml:space="preserve">      │                          ╔╝</w:t>
            </w:r>
          </w:p>
          <w:p w14:paraId="09F1F35D" w14:textId="77777777" w:rsidR="00BC1BBF" w:rsidRPr="00CC1E21" w:rsidRDefault="00CC1E21" w:rsidP="00CC1E21">
            <w:pPr>
              <w:spacing w:after="20"/>
              <w:jc w:val="both"/>
            </w:pPr>
            <w:r w:rsidRPr="00CC1E21">
              <w:rPr>
                <w:rFonts w:eastAsia="Courier New"/>
                <w:color w:val="444444"/>
                <w:sz w:val="19"/>
                <w:szCs w:val="19"/>
              </w:rPr>
              <w:t xml:space="preserve">   +8 ┤                         ╔╝  ← Sharp discontinuity at t = 0</w:t>
            </w:r>
          </w:p>
          <w:p w14:paraId="2211F61A" w14:textId="77777777" w:rsidR="00BC1BBF" w:rsidRPr="00CC1E21" w:rsidRDefault="00CC1E21" w:rsidP="00CC1E21">
            <w:pPr>
              <w:spacing w:after="20"/>
              <w:jc w:val="both"/>
            </w:pPr>
            <w:r w:rsidRPr="00CC1E21">
              <w:rPr>
                <w:rFonts w:eastAsia="Courier New"/>
                <w:color w:val="444444"/>
                <w:sz w:val="19"/>
                <w:szCs w:val="19"/>
              </w:rPr>
              <w:t xml:space="preserve">      │                        ╔╝</w:t>
            </w:r>
          </w:p>
          <w:p w14:paraId="261B0995" w14:textId="77777777" w:rsidR="00BC1BBF" w:rsidRPr="00CC1E21" w:rsidRDefault="00CC1E21" w:rsidP="00CC1E21">
            <w:pPr>
              <w:spacing w:after="20"/>
              <w:jc w:val="both"/>
            </w:pPr>
            <w:r w:rsidRPr="00CC1E21">
              <w:rPr>
                <w:rFonts w:eastAsia="Courier New"/>
                <w:color w:val="444444"/>
                <w:sz w:val="19"/>
                <w:szCs w:val="19"/>
              </w:rPr>
              <w:t xml:space="preserve">   +4 ┤  ▬▬▬▬▬▬▬▬▬▬▬▬▬▬▬▬▬╔══╝  ← Flat pre-trend (joint test p = .87)</w:t>
            </w:r>
          </w:p>
          <w:p w14:paraId="764B4D33" w14:textId="77777777" w:rsidR="00BC1BBF" w:rsidRPr="00CC1E21" w:rsidRDefault="00CC1E21" w:rsidP="00CC1E21">
            <w:pPr>
              <w:spacing w:after="20"/>
              <w:jc w:val="both"/>
            </w:pPr>
            <w:r w:rsidRPr="00CC1E21">
              <w:rPr>
                <w:rFonts w:eastAsia="Courier New"/>
                <w:color w:val="444444"/>
                <w:sz w:val="19"/>
                <w:szCs w:val="19"/>
              </w:rPr>
              <w:t xml:space="preserve">      │  (pre-trend coefficients all p &gt; .40, CI includes 0)</w:t>
            </w:r>
          </w:p>
          <w:p w14:paraId="41DDA6F2" w14:textId="77777777" w:rsidR="00BC1BBF" w:rsidRPr="00CC1E21" w:rsidRDefault="00CC1E21" w:rsidP="00CC1E21">
            <w:pPr>
              <w:spacing w:after="20"/>
              <w:jc w:val="both"/>
            </w:pPr>
            <w:r w:rsidRPr="00CC1E21">
              <w:rPr>
                <w:rFonts w:eastAsia="Courier New"/>
                <w:color w:val="444444"/>
                <w:sz w:val="19"/>
                <w:szCs w:val="19"/>
              </w:rPr>
              <w:t xml:space="preserve">    0 ┼──────────────────────────────────────────────────────</w:t>
            </w:r>
          </w:p>
          <w:p w14:paraId="6F5A70D8" w14:textId="77777777" w:rsidR="00BC1BBF" w:rsidRPr="00CC1E21" w:rsidRDefault="00CC1E21" w:rsidP="00CC1E21">
            <w:pPr>
              <w:spacing w:after="20"/>
              <w:jc w:val="both"/>
            </w:pPr>
            <w:r w:rsidRPr="00CC1E21">
              <w:rPr>
                <w:rFonts w:eastAsia="Courier New"/>
                <w:color w:val="444444"/>
                <w:sz w:val="19"/>
                <w:szCs w:val="19"/>
              </w:rPr>
              <w:t xml:space="preserve">   −4 ┤</w:t>
            </w:r>
          </w:p>
          <w:p w14:paraId="7BA813FD" w14:textId="77777777" w:rsidR="00BC1BBF" w:rsidRPr="00CC1E21" w:rsidRDefault="00CC1E21" w:rsidP="00CC1E21">
            <w:pPr>
              <w:spacing w:after="20"/>
              <w:jc w:val="both"/>
            </w:pPr>
            <w:r w:rsidRPr="00CC1E21">
              <w:rPr>
                <w:rFonts w:eastAsia="Courier New"/>
                <w:color w:val="444444"/>
                <w:sz w:val="19"/>
                <w:szCs w:val="19"/>
              </w:rPr>
              <w:t xml:space="preserve">      │</w:t>
            </w:r>
          </w:p>
          <w:p w14:paraId="7A13C51F" w14:textId="77777777" w:rsidR="00BC1BBF" w:rsidRPr="00CC1E21" w:rsidRDefault="00CC1E21" w:rsidP="00CC1E21">
            <w:pPr>
              <w:spacing w:after="20"/>
              <w:jc w:val="both"/>
            </w:pPr>
            <w:r w:rsidRPr="00CC1E21">
              <w:rPr>
                <w:rFonts w:eastAsia="Courier New"/>
                <w:color w:val="444444"/>
                <w:sz w:val="19"/>
                <w:szCs w:val="19"/>
              </w:rPr>
              <w:t xml:space="preserve">   −8 ┤</w:t>
            </w:r>
          </w:p>
          <w:p w14:paraId="637E2BF9" w14:textId="77777777" w:rsidR="00BC1BBF" w:rsidRPr="00CC1E21" w:rsidRDefault="00CC1E21" w:rsidP="00CC1E21">
            <w:pPr>
              <w:spacing w:after="20"/>
              <w:jc w:val="both"/>
            </w:pPr>
            <w:r w:rsidRPr="00CC1E21">
              <w:rPr>
                <w:rFonts w:eastAsia="Courier New"/>
                <w:color w:val="444444"/>
                <w:sz w:val="19"/>
                <w:szCs w:val="19"/>
              </w:rPr>
              <w:t xml:space="preserve">      └─────────────────────────────────────────────────────</w:t>
            </w:r>
          </w:p>
          <w:p w14:paraId="7A69D714" w14:textId="77777777" w:rsidR="00BC1BBF" w:rsidRPr="00CC1E21" w:rsidRDefault="00CC1E21" w:rsidP="00CC1E21">
            <w:pPr>
              <w:spacing w:after="20"/>
              <w:jc w:val="both"/>
            </w:pPr>
            <w:r w:rsidRPr="00CC1E21">
              <w:rPr>
                <w:rFonts w:eastAsia="Courier New"/>
                <w:color w:val="444444"/>
                <w:sz w:val="19"/>
                <w:szCs w:val="19"/>
              </w:rPr>
              <w:t xml:space="preserve">       t−4   t−3   t−2   t−1   t=0   t+1   t+2   t+3   t+4</w:t>
            </w:r>
          </w:p>
          <w:p w14:paraId="496D227C" w14:textId="77777777" w:rsidR="00BC1BBF" w:rsidRPr="00CC1E21" w:rsidRDefault="00CC1E21" w:rsidP="00CC1E21">
            <w:pPr>
              <w:spacing w:after="20"/>
              <w:jc w:val="both"/>
            </w:pPr>
            <w:r w:rsidRPr="00CC1E21">
              <w:rPr>
                <w:rFonts w:eastAsia="Courier New"/>
                <w:color w:val="444444"/>
                <w:sz w:val="19"/>
                <w:szCs w:val="19"/>
              </w:rPr>
              <w:t xml:space="preserve">              ← Pre-event quarters →  ← Post-event quarters →</w:t>
            </w:r>
          </w:p>
          <w:p w14:paraId="7AD0D193" w14:textId="77777777" w:rsidR="00BC1BBF" w:rsidRPr="00CC1E21" w:rsidRDefault="00BC1BBF" w:rsidP="00CC1E21">
            <w:pPr>
              <w:spacing w:after="20"/>
              <w:jc w:val="both"/>
            </w:pPr>
          </w:p>
          <w:p w14:paraId="3804EF23" w14:textId="77777777" w:rsidR="00BC1BBF" w:rsidRPr="00CC1E21" w:rsidRDefault="00CC1E21" w:rsidP="00CC1E21">
            <w:pPr>
              <w:spacing w:after="20"/>
              <w:jc w:val="both"/>
            </w:pPr>
            <w:r w:rsidRPr="00CC1E21">
              <w:rPr>
                <w:rFonts w:eastAsia="Courier New"/>
                <w:color w:val="444444"/>
                <w:sz w:val="19"/>
                <w:szCs w:val="19"/>
              </w:rPr>
              <w:t xml:space="preserve">  95% confidence intervals (cluster-robust, N=7 banks) shaded around estimate line.</w:t>
            </w:r>
          </w:p>
          <w:p w14:paraId="3056D993" w14:textId="77777777" w:rsidR="00BC1BBF" w:rsidRPr="00CC1E21" w:rsidRDefault="00CC1E21" w:rsidP="00CC1E21">
            <w:pPr>
              <w:spacing w:after="20"/>
              <w:jc w:val="both"/>
            </w:pPr>
            <w:r w:rsidRPr="00CC1E21">
              <w:rPr>
                <w:rFonts w:eastAsia="Courier New"/>
                <w:color w:val="444444"/>
                <w:sz w:val="19"/>
                <w:szCs w:val="19"/>
              </w:rPr>
              <w:t xml:space="preserve">  Pre-trend: β = 0.8 (t=.47, p=.65); Post: β = 16.2 (t=6.47, p&lt;.001).</w:t>
            </w:r>
          </w:p>
        </w:tc>
      </w:tr>
    </w:tbl>
    <w:p w14:paraId="18EA0F9C" w14:textId="77777777" w:rsidR="00BC1BBF" w:rsidRPr="00CC1E21" w:rsidRDefault="00CC1E21" w:rsidP="00CC1E21">
      <w:pPr>
        <w:spacing w:before="60" w:after="240"/>
        <w:jc w:val="both"/>
      </w:pPr>
      <w:r w:rsidRPr="00CC1E21">
        <w:rPr>
          <w:color w:val="444444"/>
          <w:sz w:val="19"/>
          <w:szCs w:val="19"/>
        </w:rPr>
        <w:t>Note: Abnormal granularity computed as actual minus predicted from a bank fixed-effects model estimated on the pre-event window. Confidence intervals are cluster-robust at the bank level. Each bank contributes one event observation. Outcome variable is the Disclosure Granularity Index (0–100).</w:t>
      </w:r>
    </w:p>
    <w:p w14:paraId="666594B5" w14:textId="77777777" w:rsidR="00B91D0F" w:rsidRDefault="00B91D0F" w:rsidP="00CC1E21">
      <w:pPr>
        <w:spacing w:before="280" w:after="120"/>
        <w:jc w:val="both"/>
        <w:rPr>
          <w:b/>
          <w:bCs/>
          <w:i/>
          <w:iCs/>
        </w:rPr>
      </w:pPr>
    </w:p>
    <w:p w14:paraId="6206D711" w14:textId="77777777" w:rsidR="00BC1BBF" w:rsidRPr="00CC1E21" w:rsidRDefault="00CC1E21" w:rsidP="00CC1E21">
      <w:pPr>
        <w:spacing w:before="280" w:after="120"/>
        <w:jc w:val="both"/>
      </w:pPr>
      <w:r w:rsidRPr="00CC1E21">
        <w:rPr>
          <w:b/>
          <w:bCs/>
          <w:i/>
          <w:iCs/>
        </w:rPr>
        <w:lastRenderedPageBreak/>
        <w:t>4.4  The Disclosure–Performance Paradox</w:t>
      </w:r>
    </w:p>
    <w:p w14:paraId="3B7595EC" w14:textId="77777777" w:rsidR="00BC1BBF" w:rsidRPr="00CC1E21" w:rsidRDefault="00CC1E21" w:rsidP="00CC1E21">
      <w:pPr>
        <w:spacing w:after="160" w:line="360" w:lineRule="auto"/>
        <w:jc w:val="both"/>
      </w:pPr>
      <w:r w:rsidRPr="00CC1E21">
        <w:t>The most important auxiliary finding concerns what AI monitoring does not do. Carbon intensity — our direct measure of actual environmental performance — does not predict disclosure granularity (β = −0.03, SE = 0.04, p = 0.68; Table 3, Column 4). Banks disclose more granularly when monitored by AI-capable investors irrespective of whether their ESG performance warrants it. More revealing: Table 5 shows the AI-granularity effect is significantly stronger for banks in the bottom tercile of actual ESG performance (β = 0.68, SE = 0.11) than for those in the top tercile (β = 0.41, SE = 0.12; p_diff &lt; 0.05). Poor ESG performers — those with the greatest incentive to misrepresent — respond most aggressively to AI monitoring by increasing disclosure granularity.</w:t>
      </w:r>
    </w:p>
    <w:p w14:paraId="2905440B" w14:textId="77777777" w:rsidR="00BC1BBF" w:rsidRPr="00CC1E21" w:rsidRDefault="00CC1E21" w:rsidP="00B91D0F">
      <w:pPr>
        <w:spacing w:after="160" w:line="360" w:lineRule="auto"/>
        <w:jc w:val="both"/>
      </w:pPr>
      <w:r w:rsidRPr="00CC1E21">
        <w:t>Figure 2 illustrates this divergence. The regression lines have sharply different slopes across performance terciles, and the difference is statistically significant (Chow test p = 0.037). These patterns are consistent with algorithmic greenwashing: poor-performing firms produce granular, machine-readable disclosures optimised for AI detection without substantive improvements to underlying ESG performance. This interpretation is strongly corroborated by interview evidence — five CFOs explicitly described restructuring sustainability reports for machine-readability while separately acknowledging unchanged operational practices.</w:t>
      </w:r>
    </w:p>
    <w:p w14:paraId="4A103482" w14:textId="77777777" w:rsidR="00BC1BBF" w:rsidRPr="00CC1E21" w:rsidRDefault="00B91D0F" w:rsidP="00CC1E21">
      <w:pPr>
        <w:spacing w:after="80"/>
        <w:jc w:val="both"/>
      </w:pPr>
      <w:r>
        <w:rPr>
          <w:b/>
          <w:bCs/>
        </w:rPr>
        <w:t xml:space="preserve">Table 5: </w:t>
      </w:r>
      <w:r w:rsidR="00CC1E21" w:rsidRPr="00CC1E21">
        <w:rPr>
          <w:b/>
          <w:bCs/>
        </w:rPr>
        <w:t>AI Monitoring Effect by ESG Performance Tercile: The Disclosure–Performance Paradox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590"/>
        <w:gridCol w:w="1590"/>
        <w:gridCol w:w="1590"/>
        <w:gridCol w:w="2190"/>
      </w:tblGrid>
      <w:tr w:rsidR="00BC1BBF" w:rsidRPr="00CC1E21" w14:paraId="5B6EB988" w14:textId="77777777">
        <w:trPr>
          <w:tblHeader/>
        </w:trPr>
        <w:tc>
          <w:tcPr>
            <w:tcW w:w="2400" w:type="dxa"/>
            <w:tcBorders>
              <w:top w:val="single" w:sz="12" w:space="0" w:color="1B3A6B"/>
              <w:left w:val="none" w:sz="0" w:space="0" w:color="FFFFFF"/>
              <w:bottom w:val="single" w:sz="4" w:space="0" w:color="BBBBBB"/>
              <w:right w:val="none" w:sz="0" w:space="0" w:color="FFFFFF"/>
            </w:tcBorders>
            <w:tcMar>
              <w:top w:w="80" w:type="dxa"/>
              <w:left w:w="120" w:type="dxa"/>
              <w:bottom w:w="80" w:type="dxa"/>
              <w:right w:w="120" w:type="dxa"/>
            </w:tcMar>
            <w:vAlign w:val="center"/>
          </w:tcPr>
          <w:p w14:paraId="6ABB493F" w14:textId="77777777" w:rsidR="00BC1BBF" w:rsidRPr="00CC1E21" w:rsidRDefault="00BC1BBF" w:rsidP="00CC1E21">
            <w:pPr>
              <w:jc w:val="both"/>
            </w:pPr>
          </w:p>
        </w:tc>
        <w:tc>
          <w:tcPr>
            <w:tcW w:w="15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DF5F6EA" w14:textId="77777777" w:rsidR="00BC1BBF" w:rsidRPr="00CC1E21" w:rsidRDefault="00CC1E21" w:rsidP="00CC1E21">
            <w:pPr>
              <w:jc w:val="both"/>
            </w:pPr>
            <w:r w:rsidRPr="00CC1E21">
              <w:rPr>
                <w:b/>
                <w:bCs/>
                <w:color w:val="FFFFFF"/>
                <w:sz w:val="20"/>
                <w:szCs w:val="20"/>
              </w:rPr>
              <w:t>Bottom Tercile (Poor ESG)</w:t>
            </w:r>
          </w:p>
        </w:tc>
        <w:tc>
          <w:tcPr>
            <w:tcW w:w="15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500E409B" w14:textId="77777777" w:rsidR="00BC1BBF" w:rsidRPr="00CC1E21" w:rsidRDefault="00CC1E21" w:rsidP="00CC1E21">
            <w:pPr>
              <w:jc w:val="both"/>
            </w:pPr>
            <w:r w:rsidRPr="00CC1E21">
              <w:rPr>
                <w:b/>
                <w:bCs/>
                <w:color w:val="FFFFFF"/>
                <w:sz w:val="20"/>
                <w:szCs w:val="20"/>
              </w:rPr>
              <w:t>Middle Tercile</w:t>
            </w:r>
          </w:p>
        </w:tc>
        <w:tc>
          <w:tcPr>
            <w:tcW w:w="15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4DD14CBB" w14:textId="77777777" w:rsidR="00BC1BBF" w:rsidRPr="00CC1E21" w:rsidRDefault="00CC1E21" w:rsidP="00CC1E21">
            <w:pPr>
              <w:jc w:val="both"/>
            </w:pPr>
            <w:r w:rsidRPr="00CC1E21">
              <w:rPr>
                <w:b/>
                <w:bCs/>
                <w:color w:val="FFFFFF"/>
                <w:sz w:val="20"/>
                <w:szCs w:val="20"/>
              </w:rPr>
              <w:t>Top Tercile (Good ESG)</w:t>
            </w:r>
          </w:p>
        </w:tc>
        <w:tc>
          <w:tcPr>
            <w:tcW w:w="219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71797447" w14:textId="77777777" w:rsidR="00BC1BBF" w:rsidRPr="00CC1E21" w:rsidRDefault="00CC1E21" w:rsidP="00CC1E21">
            <w:pPr>
              <w:jc w:val="both"/>
            </w:pPr>
            <w:r w:rsidRPr="00CC1E21">
              <w:rPr>
                <w:b/>
                <w:bCs/>
                <w:color w:val="FFFFFF"/>
                <w:sz w:val="20"/>
                <w:szCs w:val="20"/>
              </w:rPr>
              <w:t>Test: Bottom = Top</w:t>
            </w:r>
          </w:p>
        </w:tc>
      </w:tr>
      <w:tr w:rsidR="00BC1BBF" w:rsidRPr="00CC1E21" w14:paraId="6C0CD20A" w14:textId="77777777">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41D08C6B" w14:textId="77777777" w:rsidR="00BC1BBF" w:rsidRPr="00CC1E21" w:rsidRDefault="00CC1E21" w:rsidP="00CC1E21">
            <w:pPr>
              <w:jc w:val="both"/>
            </w:pPr>
            <w:r w:rsidRPr="00CC1E21">
              <w:rPr>
                <w:b/>
                <w:bCs/>
                <w:sz w:val="20"/>
                <w:szCs w:val="20"/>
              </w:rPr>
              <w:t>AI Capability (wt.)</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78A7C1EE" w14:textId="77777777" w:rsidR="00BC1BBF" w:rsidRPr="00CC1E21" w:rsidRDefault="00CC1E21" w:rsidP="00CC1E21">
            <w:pPr>
              <w:jc w:val="both"/>
            </w:pPr>
            <w:r w:rsidRPr="00CC1E21">
              <w:rPr>
                <w:b/>
                <w:bCs/>
                <w:sz w:val="20"/>
                <w:szCs w:val="20"/>
              </w:rPr>
              <w:t>0.68***</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56C7B83A" w14:textId="77777777" w:rsidR="00BC1BBF" w:rsidRPr="00CC1E21" w:rsidRDefault="00CC1E21" w:rsidP="00CC1E21">
            <w:pPr>
              <w:jc w:val="both"/>
            </w:pPr>
            <w:r w:rsidRPr="00CC1E21">
              <w:rPr>
                <w:sz w:val="20"/>
                <w:szCs w:val="20"/>
              </w:rPr>
              <w:t>0.51***</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46F37125" w14:textId="77777777" w:rsidR="00BC1BBF" w:rsidRPr="00CC1E21" w:rsidRDefault="00CC1E21" w:rsidP="00CC1E21">
            <w:pPr>
              <w:jc w:val="both"/>
            </w:pPr>
            <w:r w:rsidRPr="00CC1E21">
              <w:rPr>
                <w:sz w:val="20"/>
                <w:szCs w:val="20"/>
              </w:rPr>
              <w:t>0.41**</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04487DC0" w14:textId="77777777" w:rsidR="00BC1BBF" w:rsidRPr="00CC1E21" w:rsidRDefault="00CC1E21" w:rsidP="00CC1E21">
            <w:pPr>
              <w:jc w:val="both"/>
            </w:pPr>
            <w:r w:rsidRPr="00CC1E21">
              <w:rPr>
                <w:sz w:val="20"/>
                <w:szCs w:val="20"/>
              </w:rPr>
              <w:t>χ² = 4.42, p = 0.036</w:t>
            </w:r>
          </w:p>
        </w:tc>
      </w:tr>
      <w:tr w:rsidR="00BC1BBF" w:rsidRPr="00CC1E21" w14:paraId="24C5CD49" w14:textId="77777777">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42E2B8AD" w14:textId="77777777" w:rsidR="00BC1BBF" w:rsidRPr="00CC1E21" w:rsidRDefault="00BC1BBF" w:rsidP="00CC1E21">
            <w:pPr>
              <w:jc w:val="both"/>
            </w:pP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0ED3A62F" w14:textId="77777777" w:rsidR="00BC1BBF" w:rsidRPr="00CC1E21" w:rsidRDefault="00CC1E21" w:rsidP="00CC1E21">
            <w:pPr>
              <w:jc w:val="both"/>
            </w:pPr>
            <w:r w:rsidRPr="00CC1E21">
              <w:rPr>
                <w:i/>
                <w:iCs/>
                <w:sz w:val="20"/>
                <w:szCs w:val="20"/>
              </w:rPr>
              <w:t>(0.11)</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689B0AAD" w14:textId="77777777" w:rsidR="00BC1BBF" w:rsidRPr="00CC1E21" w:rsidRDefault="00CC1E21" w:rsidP="00CC1E21">
            <w:pPr>
              <w:jc w:val="both"/>
            </w:pPr>
            <w:r w:rsidRPr="00CC1E21">
              <w:rPr>
                <w:i/>
                <w:iCs/>
                <w:sz w:val="20"/>
                <w:szCs w:val="20"/>
              </w:rPr>
              <w:t>(0.09)</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1EF57221" w14:textId="77777777" w:rsidR="00BC1BBF" w:rsidRPr="00CC1E21" w:rsidRDefault="00CC1E21" w:rsidP="00CC1E21">
            <w:pPr>
              <w:jc w:val="both"/>
            </w:pPr>
            <w:r w:rsidRPr="00CC1E21">
              <w:rPr>
                <w:i/>
                <w:iCs/>
                <w:sz w:val="20"/>
                <w:szCs w:val="20"/>
              </w:rPr>
              <w:t>(0.12)</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49282950" w14:textId="77777777" w:rsidR="00BC1BBF" w:rsidRPr="00CC1E21" w:rsidRDefault="00CC1E21" w:rsidP="00CC1E21">
            <w:pPr>
              <w:jc w:val="both"/>
            </w:pPr>
            <w:r w:rsidRPr="00CC1E21">
              <w:rPr>
                <w:i/>
                <w:iCs/>
                <w:sz w:val="20"/>
                <w:szCs w:val="20"/>
              </w:rPr>
              <w:t>(Chow test on slopes)</w:t>
            </w:r>
          </w:p>
        </w:tc>
      </w:tr>
      <w:tr w:rsidR="00BC1BBF" w:rsidRPr="00CC1E21" w14:paraId="299F35A4" w14:textId="77777777">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53614096" w14:textId="77777777" w:rsidR="00BC1BBF" w:rsidRPr="00CC1E21" w:rsidRDefault="00CC1E21" w:rsidP="00CC1E21">
            <w:pPr>
              <w:jc w:val="both"/>
            </w:pPr>
            <w:r w:rsidRPr="00CC1E21">
              <w:rPr>
                <w:b/>
                <w:bCs/>
                <w:sz w:val="20"/>
                <w:szCs w:val="20"/>
              </w:rPr>
              <w:t>Carbon Intensity</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54F796E1" w14:textId="77777777" w:rsidR="00BC1BBF" w:rsidRPr="00CC1E21" w:rsidRDefault="00CC1E21" w:rsidP="00CC1E21">
            <w:pPr>
              <w:jc w:val="both"/>
            </w:pPr>
            <w:r w:rsidRPr="00CC1E21">
              <w:rPr>
                <w:sz w:val="20"/>
                <w:szCs w:val="20"/>
              </w:rPr>
              <w:t>0.02</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39640E28" w14:textId="77777777" w:rsidR="00BC1BBF" w:rsidRPr="00CC1E21" w:rsidRDefault="00CC1E21" w:rsidP="00CC1E21">
            <w:pPr>
              <w:jc w:val="both"/>
            </w:pPr>
            <w:r w:rsidRPr="00CC1E21">
              <w:rPr>
                <w:sz w:val="20"/>
                <w:szCs w:val="20"/>
              </w:rPr>
              <w:t>−0.01</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4E7FD4E5" w14:textId="77777777" w:rsidR="00BC1BBF" w:rsidRPr="00CC1E21" w:rsidRDefault="00CC1E21" w:rsidP="00CC1E21">
            <w:pPr>
              <w:jc w:val="both"/>
            </w:pPr>
            <w:r w:rsidRPr="00CC1E21">
              <w:rPr>
                <w:sz w:val="20"/>
                <w:szCs w:val="20"/>
              </w:rPr>
              <w:t>−0.05</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19173028" w14:textId="77777777" w:rsidR="00BC1BBF" w:rsidRPr="00CC1E21" w:rsidRDefault="00CC1E21" w:rsidP="00CC1E21">
            <w:pPr>
              <w:jc w:val="both"/>
            </w:pPr>
            <w:r w:rsidRPr="00CC1E21">
              <w:rPr>
                <w:sz w:val="20"/>
                <w:szCs w:val="20"/>
              </w:rPr>
              <w:t>p = 0.68 (pooled)</w:t>
            </w:r>
          </w:p>
        </w:tc>
      </w:tr>
      <w:tr w:rsidR="00BC1BBF" w:rsidRPr="00CC1E21" w14:paraId="424882C8" w14:textId="77777777">
        <w:tc>
          <w:tcPr>
            <w:tcW w:w="240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5BD99683" w14:textId="77777777" w:rsidR="00BC1BBF" w:rsidRPr="00CC1E21" w:rsidRDefault="00CC1E21" w:rsidP="00CC1E21">
            <w:pPr>
              <w:jc w:val="both"/>
            </w:pPr>
            <w:r w:rsidRPr="00CC1E21">
              <w:rPr>
                <w:sz w:val="20"/>
                <w:szCs w:val="20"/>
              </w:rPr>
              <w:t>Observations</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457019CC" w14:textId="77777777" w:rsidR="00BC1BBF" w:rsidRPr="00CC1E21" w:rsidRDefault="00CC1E21" w:rsidP="00CC1E21">
            <w:pPr>
              <w:jc w:val="both"/>
            </w:pPr>
            <w:r w:rsidRPr="00CC1E21">
              <w:rPr>
                <w:sz w:val="20"/>
                <w:szCs w:val="20"/>
              </w:rPr>
              <w:t>282</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789A8AC3" w14:textId="77777777" w:rsidR="00BC1BBF" w:rsidRPr="00CC1E21" w:rsidRDefault="00CC1E21" w:rsidP="00CC1E21">
            <w:pPr>
              <w:jc w:val="both"/>
            </w:pPr>
            <w:r w:rsidRPr="00CC1E21">
              <w:rPr>
                <w:sz w:val="20"/>
                <w:szCs w:val="20"/>
              </w:rPr>
              <w:t>283</w:t>
            </w:r>
          </w:p>
        </w:tc>
        <w:tc>
          <w:tcPr>
            <w:tcW w:w="15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5BCA4B02" w14:textId="77777777" w:rsidR="00BC1BBF" w:rsidRPr="00CC1E21" w:rsidRDefault="00CC1E21" w:rsidP="00CC1E21">
            <w:pPr>
              <w:jc w:val="both"/>
            </w:pPr>
            <w:r w:rsidRPr="00CC1E21">
              <w:rPr>
                <w:sz w:val="20"/>
                <w:szCs w:val="20"/>
              </w:rPr>
              <w:t>282</w:t>
            </w:r>
          </w:p>
        </w:tc>
        <w:tc>
          <w:tcPr>
            <w:tcW w:w="2190" w:type="dxa"/>
            <w:tcBorders>
              <w:top w:val="none" w:sz="0" w:space="0" w:color="FFFFFF"/>
              <w:left w:val="none" w:sz="0" w:space="0" w:color="FFFFFF"/>
              <w:bottom w:val="single" w:sz="4" w:space="0" w:color="BBBBBB"/>
              <w:right w:val="none" w:sz="0" w:space="0" w:color="FFFFFF"/>
            </w:tcBorders>
            <w:tcMar>
              <w:top w:w="80" w:type="dxa"/>
              <w:left w:w="120" w:type="dxa"/>
              <w:bottom w:w="80" w:type="dxa"/>
              <w:right w:w="120" w:type="dxa"/>
            </w:tcMar>
            <w:vAlign w:val="center"/>
          </w:tcPr>
          <w:p w14:paraId="7AAC626A" w14:textId="77777777" w:rsidR="00BC1BBF" w:rsidRPr="00CC1E21" w:rsidRDefault="00CC1E21" w:rsidP="00CC1E21">
            <w:pPr>
              <w:jc w:val="both"/>
            </w:pPr>
            <w:r w:rsidRPr="00CC1E21">
              <w:rPr>
                <w:sz w:val="20"/>
                <w:szCs w:val="20"/>
              </w:rPr>
              <w:t>847</w:t>
            </w:r>
          </w:p>
        </w:tc>
      </w:tr>
      <w:tr w:rsidR="00BC1BBF" w:rsidRPr="00CC1E21" w14:paraId="54F282F0" w14:textId="77777777">
        <w:tc>
          <w:tcPr>
            <w:tcW w:w="240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72CDF950" w14:textId="77777777" w:rsidR="00BC1BBF" w:rsidRPr="00CC1E21" w:rsidRDefault="00CC1E21" w:rsidP="00CC1E21">
            <w:pPr>
              <w:jc w:val="both"/>
            </w:pPr>
            <w:r w:rsidRPr="00CC1E21">
              <w:rPr>
                <w:sz w:val="20"/>
                <w:szCs w:val="20"/>
              </w:rPr>
              <w:t>Adjusted R²</w:t>
            </w:r>
          </w:p>
        </w:tc>
        <w:tc>
          <w:tcPr>
            <w:tcW w:w="15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62E256EA" w14:textId="77777777" w:rsidR="00BC1BBF" w:rsidRPr="00CC1E21" w:rsidRDefault="00CC1E21" w:rsidP="00CC1E21">
            <w:pPr>
              <w:jc w:val="both"/>
            </w:pPr>
            <w:r w:rsidRPr="00CC1E21">
              <w:rPr>
                <w:sz w:val="20"/>
                <w:szCs w:val="20"/>
              </w:rPr>
              <w:t>0.58</w:t>
            </w:r>
          </w:p>
        </w:tc>
        <w:tc>
          <w:tcPr>
            <w:tcW w:w="15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202D3BBB" w14:textId="77777777" w:rsidR="00BC1BBF" w:rsidRPr="00CC1E21" w:rsidRDefault="00CC1E21" w:rsidP="00CC1E21">
            <w:pPr>
              <w:jc w:val="both"/>
            </w:pPr>
            <w:r w:rsidRPr="00CC1E21">
              <w:rPr>
                <w:sz w:val="20"/>
                <w:szCs w:val="20"/>
              </w:rPr>
              <w:t>0.52</w:t>
            </w:r>
          </w:p>
        </w:tc>
        <w:tc>
          <w:tcPr>
            <w:tcW w:w="15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02593DEB" w14:textId="77777777" w:rsidR="00BC1BBF" w:rsidRPr="00CC1E21" w:rsidRDefault="00CC1E21" w:rsidP="00CC1E21">
            <w:pPr>
              <w:jc w:val="both"/>
            </w:pPr>
            <w:r w:rsidRPr="00CC1E21">
              <w:rPr>
                <w:sz w:val="20"/>
                <w:szCs w:val="20"/>
              </w:rPr>
              <w:t>0.49</w:t>
            </w:r>
          </w:p>
        </w:tc>
        <w:tc>
          <w:tcPr>
            <w:tcW w:w="2190" w:type="dxa"/>
            <w:tcBorders>
              <w:top w:val="none" w:sz="0" w:space="0" w:color="FFFFFF"/>
              <w:left w:val="none" w:sz="0" w:space="0" w:color="FFFFFF"/>
              <w:bottom w:val="single" w:sz="12" w:space="0" w:color="1B3A6B"/>
              <w:right w:val="none" w:sz="0" w:space="0" w:color="FFFFFF"/>
            </w:tcBorders>
            <w:tcMar>
              <w:top w:w="80" w:type="dxa"/>
              <w:left w:w="120" w:type="dxa"/>
              <w:bottom w:w="80" w:type="dxa"/>
              <w:right w:w="120" w:type="dxa"/>
            </w:tcMar>
            <w:vAlign w:val="center"/>
          </w:tcPr>
          <w:p w14:paraId="34A910B3" w14:textId="77777777" w:rsidR="00BC1BBF" w:rsidRPr="00CC1E21" w:rsidRDefault="00CC1E21" w:rsidP="00CC1E21">
            <w:pPr>
              <w:jc w:val="both"/>
            </w:pPr>
            <w:r w:rsidRPr="00CC1E21">
              <w:rPr>
                <w:sz w:val="20"/>
                <w:szCs w:val="20"/>
              </w:rPr>
              <w:t>0.54 (pooled)</w:t>
            </w:r>
          </w:p>
        </w:tc>
      </w:tr>
    </w:tbl>
    <w:p w14:paraId="76960ED8" w14:textId="77777777" w:rsidR="00BC1BBF" w:rsidRPr="00CC1E21" w:rsidRDefault="00CC1E21" w:rsidP="00CC1E21">
      <w:pPr>
        <w:spacing w:before="60" w:after="240"/>
        <w:jc w:val="both"/>
      </w:pPr>
      <w:r w:rsidRPr="00CC1E21">
        <w:rPr>
          <w:color w:val="444444"/>
          <w:sz w:val="19"/>
          <w:szCs w:val="19"/>
        </w:rPr>
        <w:t>Note: Each column estimates the full model (Column 4, Table 3) on the specified tercile subsample defined by annual carbon intensity (tCO₂e per $M assets). Cluster-robust standard errors at bank level in parentheses. Bottom tercile = highest carbon intensity (worst ESG performance). All models include country and year fixed effects and the full control set. *** p &lt; 0.001, ** p &lt; 0.01, * p &lt; 0.05.</w:t>
      </w:r>
    </w:p>
    <w:p w14:paraId="75C4769E" w14:textId="77777777" w:rsidR="00BC1BBF" w:rsidRDefault="00BC1BBF" w:rsidP="00CC1E21">
      <w:pPr>
        <w:spacing w:after="40"/>
        <w:jc w:val="both"/>
        <w:rPr>
          <w:b/>
          <w:bCs/>
          <w:sz w:val="20"/>
          <w:szCs w:val="20"/>
        </w:rPr>
      </w:pPr>
    </w:p>
    <w:p w14:paraId="0D0778DF" w14:textId="77777777" w:rsidR="00B91D0F" w:rsidRDefault="00B91D0F" w:rsidP="00CC1E21">
      <w:pPr>
        <w:spacing w:after="40"/>
        <w:jc w:val="both"/>
        <w:rPr>
          <w:b/>
          <w:bCs/>
          <w:sz w:val="20"/>
          <w:szCs w:val="20"/>
        </w:rPr>
      </w:pPr>
    </w:p>
    <w:p w14:paraId="72B4C505" w14:textId="77777777" w:rsidR="00B91D0F" w:rsidRDefault="00B91D0F" w:rsidP="00CC1E21">
      <w:pPr>
        <w:spacing w:after="40"/>
        <w:jc w:val="both"/>
        <w:rPr>
          <w:b/>
          <w:bCs/>
          <w:sz w:val="20"/>
          <w:szCs w:val="20"/>
        </w:rPr>
      </w:pPr>
    </w:p>
    <w:p w14:paraId="1BF751FF" w14:textId="77777777" w:rsidR="00B91D0F" w:rsidRDefault="00B91D0F" w:rsidP="00CC1E21">
      <w:pPr>
        <w:spacing w:after="40"/>
        <w:jc w:val="both"/>
        <w:rPr>
          <w:b/>
          <w:bCs/>
          <w:sz w:val="20"/>
          <w:szCs w:val="20"/>
        </w:rPr>
      </w:pPr>
    </w:p>
    <w:p w14:paraId="7A115CCE" w14:textId="77777777" w:rsidR="00B91D0F" w:rsidRDefault="00B91D0F" w:rsidP="00CC1E21">
      <w:pPr>
        <w:spacing w:after="40"/>
        <w:jc w:val="both"/>
        <w:rPr>
          <w:b/>
          <w:bCs/>
          <w:sz w:val="20"/>
          <w:szCs w:val="20"/>
        </w:rPr>
      </w:pPr>
    </w:p>
    <w:p w14:paraId="07223B62" w14:textId="77777777" w:rsidR="00B91D0F" w:rsidRDefault="00B91D0F" w:rsidP="00CC1E21">
      <w:pPr>
        <w:spacing w:after="40"/>
        <w:jc w:val="both"/>
        <w:rPr>
          <w:b/>
          <w:bCs/>
          <w:sz w:val="20"/>
          <w:szCs w:val="20"/>
        </w:rPr>
      </w:pPr>
    </w:p>
    <w:p w14:paraId="474CCB7C" w14:textId="77777777" w:rsidR="00B91D0F" w:rsidRDefault="00B91D0F" w:rsidP="00CC1E21">
      <w:pPr>
        <w:spacing w:after="40"/>
        <w:jc w:val="both"/>
        <w:rPr>
          <w:b/>
          <w:bCs/>
          <w:sz w:val="20"/>
          <w:szCs w:val="20"/>
        </w:rPr>
      </w:pPr>
    </w:p>
    <w:p w14:paraId="68272651" w14:textId="77777777" w:rsidR="00B91D0F" w:rsidRPr="00CC1E21" w:rsidRDefault="00B91D0F" w:rsidP="00CC1E21">
      <w:pPr>
        <w:spacing w:after="40"/>
        <w:jc w:val="both"/>
      </w:pPr>
    </w:p>
    <w:p w14:paraId="40F5DC33" w14:textId="77777777" w:rsidR="00BC1BBF" w:rsidRPr="00CC1E21" w:rsidRDefault="00B91D0F" w:rsidP="00CC1E21">
      <w:pPr>
        <w:spacing w:after="80"/>
        <w:jc w:val="both"/>
      </w:pPr>
      <w:r>
        <w:rPr>
          <w:b/>
          <w:bCs/>
        </w:rPr>
        <w:lastRenderedPageBreak/>
        <w:t xml:space="preserve">Figure 2: </w:t>
      </w:r>
      <w:r w:rsidR="00CC1E21" w:rsidRPr="00CC1E21">
        <w:rPr>
          <w:b/>
          <w:bCs/>
        </w:rPr>
        <w:t>The Disclosure–Performance Paradox: AI Monitoring Effects by ESG Performance Tercile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C1BBF" w:rsidRPr="00CC1E21" w14:paraId="6AB69E63" w14:textId="77777777">
        <w:tc>
          <w:tcPr>
            <w:tcW w:w="4680" w:type="dxa"/>
            <w:tcBorders>
              <w:top w:val="single" w:sz="4" w:space="0" w:color="BBBBBB"/>
              <w:left w:val="single" w:sz="4" w:space="0" w:color="BBBBBB"/>
              <w:bottom w:val="single" w:sz="4" w:space="0" w:color="BBBBBB"/>
              <w:right w:val="single" w:sz="4" w:space="0" w:color="BBBBBB"/>
            </w:tcBorders>
            <w:shd w:val="clear" w:color="auto" w:fill="FAFBFD"/>
            <w:tcMar>
              <w:top w:w="80" w:type="dxa"/>
              <w:left w:w="120" w:type="dxa"/>
              <w:bottom w:w="80" w:type="dxa"/>
              <w:right w:w="120" w:type="dxa"/>
            </w:tcMar>
          </w:tcPr>
          <w:p w14:paraId="330D6426" w14:textId="77777777" w:rsidR="00BC1BBF" w:rsidRPr="00CC1E21" w:rsidRDefault="00CC1E21" w:rsidP="00CC1E21">
            <w:pPr>
              <w:spacing w:after="40"/>
              <w:jc w:val="both"/>
            </w:pPr>
            <w:r w:rsidRPr="00CC1E21">
              <w:rPr>
                <w:b/>
                <w:bCs/>
                <w:sz w:val="20"/>
                <w:szCs w:val="20"/>
              </w:rPr>
              <w:t>Panel A: Partial Regression Plots</w:t>
            </w:r>
          </w:p>
          <w:p w14:paraId="23C7D48E" w14:textId="77777777" w:rsidR="00BC1BBF" w:rsidRPr="00CC1E21" w:rsidRDefault="00CC1E21" w:rsidP="00CC1E21">
            <w:pPr>
              <w:spacing w:after="80"/>
              <w:jc w:val="both"/>
            </w:pPr>
            <w:r w:rsidRPr="00CC1E21">
              <w:rPr>
                <w:color w:val="444444"/>
                <w:sz w:val="19"/>
                <w:szCs w:val="19"/>
              </w:rPr>
              <w:t>Granularity vs. AI Capability by ESG Tercile</w:t>
            </w:r>
          </w:p>
          <w:p w14:paraId="443221C1" w14:textId="77777777" w:rsidR="00BC1BBF" w:rsidRPr="00CC1E21" w:rsidRDefault="00CC1E21" w:rsidP="00CC1E21">
            <w:pPr>
              <w:spacing w:after="20"/>
              <w:jc w:val="both"/>
            </w:pPr>
            <w:r w:rsidRPr="00CC1E21">
              <w:rPr>
                <w:rFonts w:eastAsia="Courier New"/>
                <w:color w:val="444444"/>
                <w:sz w:val="19"/>
                <w:szCs w:val="19"/>
              </w:rPr>
              <w:t xml:space="preserve">  Granularity</w:t>
            </w:r>
          </w:p>
          <w:p w14:paraId="5245BE9B" w14:textId="77777777" w:rsidR="00BC1BBF" w:rsidRPr="00CC1E21" w:rsidRDefault="00CC1E21" w:rsidP="00CC1E21">
            <w:pPr>
              <w:spacing w:after="20"/>
              <w:jc w:val="both"/>
            </w:pPr>
            <w:r w:rsidRPr="00CC1E21">
              <w:rPr>
                <w:rFonts w:eastAsia="Courier New"/>
                <w:color w:val="444444"/>
                <w:sz w:val="19"/>
                <w:szCs w:val="19"/>
              </w:rPr>
              <w:t xml:space="preserve">  Index</w:t>
            </w:r>
          </w:p>
          <w:p w14:paraId="58AE23D0" w14:textId="77777777" w:rsidR="00BC1BBF" w:rsidRPr="00CC1E21" w:rsidRDefault="00CC1E21" w:rsidP="00CC1E21">
            <w:pPr>
              <w:spacing w:after="20"/>
              <w:jc w:val="both"/>
            </w:pPr>
            <w:r w:rsidRPr="00CC1E21">
              <w:rPr>
                <w:rFonts w:eastAsia="Courier New"/>
                <w:color w:val="444444"/>
                <w:sz w:val="19"/>
                <w:szCs w:val="19"/>
              </w:rPr>
              <w:t xml:space="preserve">   90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Poor (β=0.68)</w:t>
            </w:r>
          </w:p>
          <w:p w14:paraId="2BA0C4CC" w14:textId="77777777"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p>
          <w:p w14:paraId="51AA7E9B" w14:textId="77777777" w:rsidR="00BC1BBF" w:rsidRPr="00CC1E21" w:rsidRDefault="00CC1E21" w:rsidP="00CC1E21">
            <w:pPr>
              <w:spacing w:after="20"/>
              <w:jc w:val="both"/>
            </w:pPr>
            <w:r w:rsidRPr="00CC1E21">
              <w:rPr>
                <w:rFonts w:eastAsia="Courier New"/>
                <w:color w:val="444444"/>
                <w:sz w:val="19"/>
                <w:szCs w:val="19"/>
              </w:rPr>
              <w:t xml:space="preserve">   75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Middle (β=0.51)</w:t>
            </w:r>
          </w:p>
          <w:p w14:paraId="14C7D881" w14:textId="77777777"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14:paraId="51C97852" w14:textId="77777777" w:rsidR="00BC1BBF" w:rsidRPr="00CC1E21" w:rsidRDefault="00CC1E21" w:rsidP="00CC1E21">
            <w:pPr>
              <w:spacing w:after="20"/>
              <w:jc w:val="both"/>
            </w:pPr>
            <w:r w:rsidRPr="00CC1E21">
              <w:rPr>
                <w:rFonts w:eastAsia="Courier New"/>
                <w:color w:val="444444"/>
                <w:sz w:val="19"/>
                <w:szCs w:val="19"/>
              </w:rPr>
              <w:t xml:space="preserve">   60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Good (β=0.41)</w:t>
            </w:r>
          </w:p>
          <w:p w14:paraId="3919C91E" w14:textId="77777777"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14:paraId="2D4549E2" w14:textId="77777777" w:rsidR="00BC1BBF" w:rsidRPr="00CC1E21" w:rsidRDefault="00CC1E21" w:rsidP="00CC1E21">
            <w:pPr>
              <w:spacing w:after="20"/>
              <w:jc w:val="both"/>
            </w:pPr>
            <w:r w:rsidRPr="00CC1E21">
              <w:rPr>
                <w:rFonts w:eastAsia="Courier New"/>
                <w:color w:val="444444"/>
                <w:sz w:val="19"/>
                <w:szCs w:val="19"/>
              </w:rPr>
              <w:t xml:space="preserve">   45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14:paraId="56302F9A" w14:textId="77777777" w:rsidR="00BC1BBF" w:rsidRPr="00CC1E21" w:rsidRDefault="00CC1E21" w:rsidP="00CC1E21">
            <w:pPr>
              <w:spacing w:after="20"/>
              <w:jc w:val="both"/>
            </w:pPr>
            <w:r w:rsidRPr="00CC1E21">
              <w:rPr>
                <w:rFonts w:eastAsia="Courier New"/>
                <w:color w:val="444444"/>
                <w:sz w:val="19"/>
                <w:szCs w:val="19"/>
              </w:rPr>
              <w:t xml:space="preserve">      │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r w:rsidRPr="00CC1E21">
              <w:rPr>
                <w:rFonts w:eastAsia="Courier New"/>
                <w:color w:val="444444"/>
                <w:sz w:val="19"/>
                <w:szCs w:val="19"/>
              </w:rPr>
              <w:t xml:space="preserve">  </w:t>
            </w:r>
            <w:r w:rsidRPr="00CC1E21">
              <w:rPr>
                <w:rFonts w:ascii="MS Gothic" w:eastAsia="MS Gothic" w:hAnsi="MS Gothic" w:cs="MS Gothic" w:hint="eastAsia"/>
                <w:color w:val="444444"/>
                <w:sz w:val="19"/>
                <w:szCs w:val="19"/>
              </w:rPr>
              <w:t>╱</w:t>
            </w:r>
          </w:p>
          <w:p w14:paraId="119F123F" w14:textId="77777777" w:rsidR="00BC1BBF" w:rsidRPr="00CC1E21" w:rsidRDefault="00CC1E21" w:rsidP="00CC1E21">
            <w:pPr>
              <w:spacing w:after="20"/>
              <w:jc w:val="both"/>
            </w:pPr>
            <w:r w:rsidRPr="00CC1E21">
              <w:rPr>
                <w:rFonts w:eastAsia="Courier New"/>
                <w:color w:val="444444"/>
                <w:sz w:val="19"/>
                <w:szCs w:val="19"/>
              </w:rPr>
              <w:t xml:space="preserve">   30 ┼─────────────────────────</w:t>
            </w:r>
          </w:p>
          <w:p w14:paraId="1E8BB290" w14:textId="77777777" w:rsidR="00BC1BBF" w:rsidRPr="00CC1E21" w:rsidRDefault="00CC1E21" w:rsidP="00CC1E21">
            <w:pPr>
              <w:spacing w:after="20"/>
              <w:jc w:val="both"/>
            </w:pPr>
            <w:r w:rsidRPr="00CC1E21">
              <w:rPr>
                <w:rFonts w:eastAsia="Courier New"/>
                <w:color w:val="444444"/>
                <w:sz w:val="19"/>
                <w:szCs w:val="19"/>
              </w:rPr>
              <w:t xml:space="preserve">       0    25    50    75   100</w:t>
            </w:r>
          </w:p>
          <w:p w14:paraId="704DF036" w14:textId="77777777" w:rsidR="00BC1BBF" w:rsidRPr="00CC1E21" w:rsidRDefault="00CC1E21" w:rsidP="00CC1E21">
            <w:pPr>
              <w:spacing w:after="20"/>
              <w:jc w:val="both"/>
            </w:pPr>
            <w:r w:rsidRPr="00CC1E21">
              <w:rPr>
                <w:rFonts w:eastAsia="Courier New"/>
                <w:color w:val="444444"/>
                <w:sz w:val="19"/>
                <w:szCs w:val="19"/>
              </w:rPr>
              <w:t xml:space="preserve">         AI Capability (wt.)</w:t>
            </w:r>
          </w:p>
          <w:p w14:paraId="790546C4" w14:textId="77777777" w:rsidR="00BC1BBF" w:rsidRPr="00CC1E21" w:rsidRDefault="00BC1BBF" w:rsidP="00CC1E21">
            <w:pPr>
              <w:spacing w:after="20"/>
              <w:jc w:val="both"/>
            </w:pPr>
          </w:p>
          <w:p w14:paraId="5A78D6D8" w14:textId="77777777" w:rsidR="00BC1BBF" w:rsidRPr="00CC1E21" w:rsidRDefault="00CC1E21" w:rsidP="00CC1E21">
            <w:pPr>
              <w:spacing w:after="20"/>
              <w:jc w:val="both"/>
            </w:pPr>
            <w:r w:rsidRPr="00CC1E21">
              <w:rPr>
                <w:rFonts w:eastAsia="Courier New"/>
                <w:color w:val="444444"/>
                <w:sz w:val="19"/>
                <w:szCs w:val="19"/>
              </w:rPr>
              <w:t xml:space="preserve">  Slopes: Poor&gt;Good (Chow p=.037)</w:t>
            </w:r>
          </w:p>
        </w:tc>
        <w:tc>
          <w:tcPr>
            <w:tcW w:w="4680" w:type="dxa"/>
            <w:tcBorders>
              <w:top w:val="single" w:sz="4" w:space="0" w:color="BBBBBB"/>
              <w:left w:val="single" w:sz="4" w:space="0" w:color="BBBBBB"/>
              <w:bottom w:val="single" w:sz="4" w:space="0" w:color="BBBBBB"/>
              <w:right w:val="single" w:sz="4" w:space="0" w:color="BBBBBB"/>
            </w:tcBorders>
            <w:shd w:val="clear" w:color="auto" w:fill="FAFBFD"/>
            <w:tcMar>
              <w:top w:w="80" w:type="dxa"/>
              <w:left w:w="120" w:type="dxa"/>
              <w:bottom w:w="80" w:type="dxa"/>
              <w:right w:w="120" w:type="dxa"/>
            </w:tcMar>
          </w:tcPr>
          <w:p w14:paraId="68D7103B" w14:textId="77777777" w:rsidR="00BC1BBF" w:rsidRPr="00CC1E21" w:rsidRDefault="00CC1E21" w:rsidP="00CC1E21">
            <w:pPr>
              <w:spacing w:after="40"/>
              <w:jc w:val="both"/>
            </w:pPr>
            <w:r w:rsidRPr="00CC1E21">
              <w:rPr>
                <w:b/>
                <w:bCs/>
                <w:sz w:val="20"/>
                <w:szCs w:val="20"/>
              </w:rPr>
              <w:t>Panel B: Marginal Effects with 95% CI</w:t>
            </w:r>
          </w:p>
          <w:p w14:paraId="1D9699A0" w14:textId="77777777" w:rsidR="00BC1BBF" w:rsidRPr="00CC1E21" w:rsidRDefault="00CC1E21" w:rsidP="00CC1E21">
            <w:pPr>
              <w:spacing w:after="80"/>
              <w:jc w:val="both"/>
            </w:pPr>
            <w:r w:rsidRPr="00CC1E21">
              <w:rPr>
                <w:color w:val="444444"/>
                <w:sz w:val="19"/>
                <w:szCs w:val="19"/>
              </w:rPr>
              <w:t>AI Capability coefficient β by ESG tercile</w:t>
            </w:r>
          </w:p>
          <w:p w14:paraId="35906212" w14:textId="77777777" w:rsidR="00BC1BBF" w:rsidRPr="00CC1E21" w:rsidRDefault="00CC1E21" w:rsidP="00CC1E21">
            <w:pPr>
              <w:spacing w:after="20"/>
              <w:jc w:val="both"/>
            </w:pPr>
            <w:r w:rsidRPr="00CC1E21">
              <w:rPr>
                <w:rFonts w:eastAsia="Courier New"/>
                <w:color w:val="444444"/>
                <w:sz w:val="19"/>
                <w:szCs w:val="19"/>
              </w:rPr>
              <w:t xml:space="preserve">  β</w:t>
            </w:r>
          </w:p>
          <w:p w14:paraId="7F0F294C" w14:textId="77777777" w:rsidR="00BC1BBF" w:rsidRPr="00CC1E21" w:rsidRDefault="00CC1E21" w:rsidP="00CC1E21">
            <w:pPr>
              <w:spacing w:after="20"/>
              <w:jc w:val="both"/>
            </w:pPr>
            <w:r w:rsidRPr="00CC1E21">
              <w:rPr>
                <w:rFonts w:eastAsia="Courier New"/>
                <w:color w:val="444444"/>
                <w:sz w:val="19"/>
                <w:szCs w:val="19"/>
              </w:rPr>
              <w:t xml:space="preserve">  0.80 ┤</w:t>
            </w:r>
          </w:p>
          <w:p w14:paraId="03B043DF" w14:textId="77777777" w:rsidR="00BC1BBF" w:rsidRPr="00CC1E21" w:rsidRDefault="00CC1E21" w:rsidP="00CC1E21">
            <w:pPr>
              <w:spacing w:after="20"/>
              <w:jc w:val="both"/>
            </w:pPr>
            <w:r w:rsidRPr="00CC1E21">
              <w:rPr>
                <w:rFonts w:eastAsia="Courier New"/>
                <w:color w:val="444444"/>
                <w:sz w:val="19"/>
                <w:szCs w:val="19"/>
              </w:rPr>
              <w:t xml:space="preserve">       │   ┌───┐</w:t>
            </w:r>
          </w:p>
          <w:p w14:paraId="1C286DD9" w14:textId="77777777" w:rsidR="00BC1BBF" w:rsidRPr="00CC1E21" w:rsidRDefault="00CC1E21" w:rsidP="00CC1E21">
            <w:pPr>
              <w:spacing w:after="20"/>
              <w:jc w:val="both"/>
            </w:pPr>
            <w:r w:rsidRPr="00CC1E21">
              <w:rPr>
                <w:rFonts w:eastAsia="Courier New"/>
                <w:color w:val="444444"/>
                <w:sz w:val="19"/>
                <w:szCs w:val="19"/>
              </w:rPr>
              <w:t xml:space="preserve">  0.68 ┤   │ ▓▓│  ← Bottom (poor ESG)</w:t>
            </w:r>
          </w:p>
          <w:p w14:paraId="560ADB46" w14:textId="77777777" w:rsidR="00BC1BBF" w:rsidRPr="00CC1E21" w:rsidRDefault="00CC1E21" w:rsidP="00CC1E21">
            <w:pPr>
              <w:spacing w:after="20"/>
              <w:jc w:val="both"/>
            </w:pPr>
            <w:r w:rsidRPr="00CC1E21">
              <w:rPr>
                <w:rFonts w:eastAsia="Courier New"/>
                <w:color w:val="444444"/>
                <w:sz w:val="19"/>
                <w:szCs w:val="19"/>
              </w:rPr>
              <w:t xml:space="preserve">       │   │ ▓▓│  95% CI: [0.47, 0.89]</w:t>
            </w:r>
          </w:p>
          <w:p w14:paraId="798AE42B" w14:textId="77777777" w:rsidR="00BC1BBF" w:rsidRPr="00CC1E21" w:rsidRDefault="00CC1E21" w:rsidP="00CC1E21">
            <w:pPr>
              <w:spacing w:after="20"/>
              <w:jc w:val="both"/>
            </w:pPr>
            <w:r w:rsidRPr="00CC1E21">
              <w:rPr>
                <w:rFonts w:eastAsia="Courier New"/>
                <w:color w:val="444444"/>
                <w:sz w:val="19"/>
                <w:szCs w:val="19"/>
              </w:rPr>
              <w:t xml:space="preserve">  0.51 ┤   │ ▓▓│  ┌───┐</w:t>
            </w:r>
          </w:p>
          <w:p w14:paraId="60603A5C" w14:textId="77777777" w:rsidR="00BC1BBF" w:rsidRPr="00CC1E21" w:rsidRDefault="00CC1E21" w:rsidP="00CC1E21">
            <w:pPr>
              <w:spacing w:after="20"/>
              <w:jc w:val="both"/>
            </w:pPr>
            <w:r w:rsidRPr="00CC1E21">
              <w:rPr>
                <w:rFonts w:eastAsia="Courier New"/>
                <w:color w:val="444444"/>
                <w:sz w:val="19"/>
                <w:szCs w:val="19"/>
              </w:rPr>
              <w:t xml:space="preserve">       │   │ ▓▓│  │ ▒▒│  ← Middle ESG</w:t>
            </w:r>
          </w:p>
          <w:p w14:paraId="66ABB542" w14:textId="77777777" w:rsidR="00BC1BBF" w:rsidRPr="00CC1E21" w:rsidRDefault="00CC1E21" w:rsidP="00CC1E21">
            <w:pPr>
              <w:spacing w:after="20"/>
              <w:jc w:val="both"/>
            </w:pPr>
            <w:r w:rsidRPr="00CC1E21">
              <w:rPr>
                <w:rFonts w:eastAsia="Courier New"/>
                <w:color w:val="444444"/>
                <w:sz w:val="19"/>
                <w:szCs w:val="19"/>
              </w:rPr>
              <w:t xml:space="preserve">  0.41 ┤   │ ▓▓│  │ ▒▒│  ┌───┐</w:t>
            </w:r>
          </w:p>
          <w:p w14:paraId="64559D03" w14:textId="77777777" w:rsidR="00BC1BBF" w:rsidRPr="00CC1E21" w:rsidRDefault="00CC1E21" w:rsidP="00CC1E21">
            <w:pPr>
              <w:spacing w:after="20"/>
              <w:jc w:val="both"/>
            </w:pPr>
            <w:r w:rsidRPr="00CC1E21">
              <w:rPr>
                <w:rFonts w:eastAsia="Courier New"/>
                <w:color w:val="444444"/>
                <w:sz w:val="19"/>
                <w:szCs w:val="19"/>
              </w:rPr>
              <w:t xml:space="preserve">       │   │ ▓▓│  │ ▒▒│  │ ░░│  ← Top (good ESG)</w:t>
            </w:r>
          </w:p>
          <w:p w14:paraId="4375557B" w14:textId="77777777" w:rsidR="00BC1BBF" w:rsidRPr="00CC1E21" w:rsidRDefault="00CC1E21" w:rsidP="00CC1E21">
            <w:pPr>
              <w:spacing w:after="20"/>
              <w:jc w:val="both"/>
            </w:pPr>
            <w:r w:rsidRPr="00CC1E21">
              <w:rPr>
                <w:rFonts w:eastAsia="Courier New"/>
                <w:color w:val="444444"/>
                <w:sz w:val="19"/>
                <w:szCs w:val="19"/>
              </w:rPr>
              <w:t xml:space="preserve">  0.30 ┤   │ ▓▓│  │ ▒▒│  │ ░░│</w:t>
            </w:r>
          </w:p>
          <w:p w14:paraId="075D1DEA" w14:textId="77777777" w:rsidR="00BC1BBF" w:rsidRPr="00CC1E21" w:rsidRDefault="00CC1E21" w:rsidP="00CC1E21">
            <w:pPr>
              <w:spacing w:after="20"/>
              <w:jc w:val="both"/>
            </w:pPr>
            <w:r w:rsidRPr="00CC1E21">
              <w:rPr>
                <w:rFonts w:eastAsia="Courier New"/>
                <w:color w:val="444444"/>
                <w:sz w:val="19"/>
                <w:szCs w:val="19"/>
              </w:rPr>
              <w:t xml:space="preserve">       │   │ ▓▓│  │ ▒▒│  │ ░░│</w:t>
            </w:r>
          </w:p>
          <w:p w14:paraId="1A513F66" w14:textId="77777777" w:rsidR="00BC1BBF" w:rsidRPr="00CC1E21" w:rsidRDefault="00CC1E21" w:rsidP="00CC1E21">
            <w:pPr>
              <w:spacing w:after="20"/>
              <w:jc w:val="both"/>
            </w:pPr>
            <w:r w:rsidRPr="00CC1E21">
              <w:rPr>
                <w:rFonts w:eastAsia="Courier New"/>
                <w:color w:val="444444"/>
                <w:sz w:val="19"/>
                <w:szCs w:val="19"/>
              </w:rPr>
              <w:t xml:space="preserve">    0  ┼───┴───┴──┴───┴──┴───┴──</w:t>
            </w:r>
          </w:p>
          <w:p w14:paraId="39F9F808" w14:textId="77777777" w:rsidR="00BC1BBF" w:rsidRPr="00CC1E21" w:rsidRDefault="00CC1E21" w:rsidP="00CC1E21">
            <w:pPr>
              <w:spacing w:after="20"/>
              <w:jc w:val="both"/>
            </w:pPr>
            <w:r w:rsidRPr="00CC1E21">
              <w:rPr>
                <w:rFonts w:eastAsia="Courier New"/>
                <w:color w:val="444444"/>
                <w:sz w:val="19"/>
                <w:szCs w:val="19"/>
              </w:rPr>
              <w:t xml:space="preserve">        Bottom   Middle    Top</w:t>
            </w:r>
          </w:p>
          <w:p w14:paraId="45AD2BCA" w14:textId="77777777" w:rsidR="00BC1BBF" w:rsidRPr="00CC1E21" w:rsidRDefault="00BC1BBF" w:rsidP="00CC1E21">
            <w:pPr>
              <w:spacing w:after="20"/>
              <w:jc w:val="both"/>
            </w:pPr>
          </w:p>
          <w:p w14:paraId="1F75B8E7" w14:textId="77777777" w:rsidR="00BC1BBF" w:rsidRPr="00CC1E21" w:rsidRDefault="00CC1E21" w:rsidP="00CC1E21">
            <w:pPr>
              <w:spacing w:after="20"/>
              <w:jc w:val="both"/>
            </w:pPr>
            <w:r w:rsidRPr="00CC1E21">
              <w:rPr>
                <w:rFonts w:eastAsia="Courier New"/>
                <w:color w:val="444444"/>
                <w:sz w:val="19"/>
                <w:szCs w:val="19"/>
              </w:rPr>
              <w:t xml:space="preserve">  All coefficients p&lt;.01; difference</w:t>
            </w:r>
          </w:p>
          <w:p w14:paraId="02434B91" w14:textId="77777777" w:rsidR="00BC1BBF" w:rsidRPr="00CC1E21" w:rsidRDefault="00CC1E21" w:rsidP="00CC1E21">
            <w:pPr>
              <w:spacing w:after="20"/>
              <w:jc w:val="both"/>
            </w:pPr>
            <w:r w:rsidRPr="00CC1E21">
              <w:rPr>
                <w:rFonts w:eastAsia="Courier New"/>
                <w:color w:val="444444"/>
                <w:sz w:val="19"/>
                <w:szCs w:val="19"/>
              </w:rPr>
              <w:t xml:space="preserve">  Bottom vs. Top: p=.036</w:t>
            </w:r>
          </w:p>
        </w:tc>
      </w:tr>
    </w:tbl>
    <w:p w14:paraId="7AE73C51" w14:textId="77777777" w:rsidR="00BC1BBF" w:rsidRPr="00CC1E21" w:rsidRDefault="00CC1E21" w:rsidP="00CC1E21">
      <w:pPr>
        <w:spacing w:before="60" w:after="240"/>
        <w:jc w:val="both"/>
      </w:pPr>
      <w:r w:rsidRPr="00CC1E21">
        <w:rPr>
          <w:color w:val="444444"/>
          <w:sz w:val="19"/>
          <w:szCs w:val="19"/>
        </w:rPr>
        <w:t>Note: Panel A shows partial regression plots (country and year effects partialled out) with fitted OLS lines for each performance tercile. Panel B shows point estimates and 95% cluster-robust confidence intervals for the AI Capability coefficient estimated separately by tercile. Bottom tercile = highest carbon intensity per $M assets.</w:t>
      </w:r>
    </w:p>
    <w:p w14:paraId="1401E60A" w14:textId="77777777" w:rsidR="00BC1BBF" w:rsidRPr="00CC1E21" w:rsidRDefault="00CC1E21" w:rsidP="00CC1E21">
      <w:pPr>
        <w:spacing w:before="280" w:after="120"/>
        <w:jc w:val="both"/>
      </w:pPr>
      <w:r w:rsidRPr="00CC1E21">
        <w:rPr>
          <w:b/>
          <w:bCs/>
          <w:i/>
          <w:iCs/>
        </w:rPr>
        <w:t>4.5  Robustness</w:t>
      </w:r>
    </w:p>
    <w:p w14:paraId="27E2D5CA" w14:textId="77777777" w:rsidR="00BC1BBF" w:rsidRPr="00CC1E21" w:rsidRDefault="00CC1E21" w:rsidP="00CC1E21">
      <w:pPr>
        <w:spacing w:after="160" w:line="360" w:lineRule="auto"/>
        <w:jc w:val="both"/>
      </w:pPr>
      <w:r w:rsidRPr="00CC1E21">
        <w:t>Table 6 summarises 15 robustness checks across four categories. The AI-granularity relationship is positive and significant in all specifications (β range: 0.41–0.68, all p &lt; 0.01). Alternative AI measures — maximum investor AI score (β = 0.54), log technology spending (β = 0.47), and platform subscription count (β = 0.43) — yield consistent results. Alternative outcome measures, including third-party ESG ratings (β = 0.39), environmental disclosure only (β = 0.61), and GRI alignment score (β = 0.44), corroborate the main finding. Sample restrictions (excluding Kenya, large banks only, excluding COVID years) leave results unchanged. The critical placebo test — AI capability predicting non-ESG financial disclosure detail — yields β = 0.08 (p = 0.52), confirming the effect is ESG-specific rather than reflecting a general transparency propensity.</w:t>
      </w:r>
    </w:p>
    <w:p w14:paraId="44307D26" w14:textId="77777777" w:rsidR="00BC1BBF" w:rsidRPr="00CC1E21" w:rsidRDefault="00BC1BBF" w:rsidP="00CC1E21">
      <w:pPr>
        <w:spacing w:after="80"/>
        <w:jc w:val="both"/>
      </w:pPr>
    </w:p>
    <w:p w14:paraId="133E01AF" w14:textId="77777777" w:rsidR="00CC1E21" w:rsidRDefault="00CC1E21" w:rsidP="00CC1E21">
      <w:pPr>
        <w:spacing w:after="40"/>
        <w:jc w:val="both"/>
        <w:rPr>
          <w:b/>
          <w:bCs/>
          <w:sz w:val="20"/>
          <w:szCs w:val="20"/>
        </w:rPr>
      </w:pPr>
    </w:p>
    <w:p w14:paraId="4CD3591C" w14:textId="77777777" w:rsidR="00CC1E21" w:rsidRDefault="00CC1E21" w:rsidP="00CC1E21">
      <w:pPr>
        <w:spacing w:after="40"/>
        <w:jc w:val="both"/>
        <w:rPr>
          <w:b/>
          <w:bCs/>
          <w:sz w:val="20"/>
          <w:szCs w:val="20"/>
        </w:rPr>
      </w:pPr>
    </w:p>
    <w:p w14:paraId="630E6C66" w14:textId="77777777" w:rsidR="00CC1E21" w:rsidRDefault="00CC1E21" w:rsidP="00CC1E21">
      <w:pPr>
        <w:spacing w:after="40"/>
        <w:jc w:val="both"/>
        <w:rPr>
          <w:b/>
          <w:bCs/>
          <w:sz w:val="20"/>
          <w:szCs w:val="20"/>
        </w:rPr>
      </w:pPr>
    </w:p>
    <w:p w14:paraId="3B616E1B" w14:textId="77777777" w:rsidR="00CC1E21" w:rsidRDefault="00CC1E21" w:rsidP="00CC1E21">
      <w:pPr>
        <w:spacing w:after="40"/>
        <w:jc w:val="both"/>
        <w:rPr>
          <w:b/>
          <w:bCs/>
          <w:sz w:val="20"/>
          <w:szCs w:val="20"/>
        </w:rPr>
      </w:pPr>
    </w:p>
    <w:p w14:paraId="23C9CE9D" w14:textId="77777777" w:rsidR="00CC1E21" w:rsidRDefault="00CC1E21" w:rsidP="00CC1E21">
      <w:pPr>
        <w:spacing w:after="40"/>
        <w:jc w:val="both"/>
        <w:rPr>
          <w:b/>
          <w:bCs/>
          <w:sz w:val="20"/>
          <w:szCs w:val="20"/>
        </w:rPr>
      </w:pPr>
    </w:p>
    <w:p w14:paraId="1008177C" w14:textId="77777777" w:rsidR="00CC1E21" w:rsidRDefault="00CC1E21" w:rsidP="00CC1E21">
      <w:pPr>
        <w:spacing w:after="40"/>
        <w:jc w:val="both"/>
        <w:rPr>
          <w:b/>
          <w:bCs/>
          <w:sz w:val="20"/>
          <w:szCs w:val="20"/>
        </w:rPr>
      </w:pPr>
    </w:p>
    <w:p w14:paraId="2179973D" w14:textId="77777777" w:rsidR="00CC1E21" w:rsidRDefault="00CC1E21" w:rsidP="00CC1E21">
      <w:pPr>
        <w:spacing w:after="40"/>
        <w:jc w:val="both"/>
        <w:rPr>
          <w:b/>
          <w:bCs/>
          <w:sz w:val="20"/>
          <w:szCs w:val="20"/>
        </w:rPr>
      </w:pPr>
    </w:p>
    <w:p w14:paraId="50ABB28F" w14:textId="77777777" w:rsidR="00CC1E21" w:rsidRDefault="00CC1E21" w:rsidP="00CC1E21">
      <w:pPr>
        <w:spacing w:after="40"/>
        <w:jc w:val="both"/>
        <w:rPr>
          <w:b/>
          <w:bCs/>
          <w:sz w:val="20"/>
          <w:szCs w:val="20"/>
        </w:rPr>
      </w:pPr>
    </w:p>
    <w:p w14:paraId="65EE0904" w14:textId="77777777" w:rsidR="00CC1E21" w:rsidRDefault="00CC1E21" w:rsidP="00CC1E21">
      <w:pPr>
        <w:spacing w:after="40"/>
        <w:jc w:val="both"/>
        <w:rPr>
          <w:b/>
          <w:bCs/>
          <w:sz w:val="20"/>
          <w:szCs w:val="20"/>
        </w:rPr>
      </w:pPr>
    </w:p>
    <w:p w14:paraId="77DCBBF6" w14:textId="77777777" w:rsidR="00CC1E21" w:rsidRDefault="00CC1E21" w:rsidP="00CC1E21">
      <w:pPr>
        <w:spacing w:after="40"/>
        <w:jc w:val="both"/>
        <w:rPr>
          <w:b/>
          <w:bCs/>
          <w:sz w:val="20"/>
          <w:szCs w:val="20"/>
        </w:rPr>
      </w:pPr>
    </w:p>
    <w:p w14:paraId="6A23C094" w14:textId="77777777" w:rsidR="00BC1BBF" w:rsidRPr="00CC1E21" w:rsidRDefault="00CC1E21" w:rsidP="00CC1E21">
      <w:pPr>
        <w:spacing w:after="40"/>
        <w:jc w:val="both"/>
      </w:pPr>
      <w:r w:rsidRPr="00CC1E21">
        <w:rPr>
          <w:b/>
          <w:bCs/>
          <w:sz w:val="20"/>
          <w:szCs w:val="20"/>
        </w:rPr>
        <w:t>Table 6</w:t>
      </w:r>
    </w:p>
    <w:p w14:paraId="789FE37A" w14:textId="77777777" w:rsidR="00BC1BBF" w:rsidRPr="00CC1E21" w:rsidRDefault="00B91D0F" w:rsidP="00CC1E21">
      <w:pPr>
        <w:spacing w:after="80"/>
        <w:jc w:val="both"/>
      </w:pPr>
      <w:r>
        <w:rPr>
          <w:b/>
          <w:bCs/>
        </w:rPr>
        <w:lastRenderedPageBreak/>
        <w:t xml:space="preserve">Table 6: </w:t>
      </w:r>
      <w:r w:rsidR="00CC1E21" w:rsidRPr="00CC1E21">
        <w:rPr>
          <w:b/>
          <w:bCs/>
        </w:rPr>
        <w:t>Robustness Summary: AI Capability Effect Across 15 Specifications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500"/>
        <w:gridCol w:w="900"/>
        <w:gridCol w:w="900"/>
        <w:gridCol w:w="3060"/>
      </w:tblGrid>
      <w:tr w:rsidR="00BC1BBF" w:rsidRPr="00CC1E21" w14:paraId="648B5E94" w14:textId="77777777">
        <w:trPr>
          <w:tblHeader/>
        </w:trPr>
        <w:tc>
          <w:tcPr>
            <w:tcW w:w="30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8E6A6DF" w14:textId="77777777" w:rsidR="00BC1BBF" w:rsidRPr="00CC1E21" w:rsidRDefault="00CC1E21" w:rsidP="00CC1E21">
            <w:pPr>
              <w:jc w:val="both"/>
            </w:pPr>
            <w:r w:rsidRPr="00CC1E21">
              <w:rPr>
                <w:b/>
                <w:bCs/>
                <w:color w:val="FFFFFF"/>
                <w:sz w:val="20"/>
                <w:szCs w:val="20"/>
              </w:rPr>
              <w:t>Specification</w:t>
            </w:r>
          </w:p>
        </w:tc>
        <w:tc>
          <w:tcPr>
            <w:tcW w:w="15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339C940D" w14:textId="77777777" w:rsidR="00BC1BBF" w:rsidRPr="00CC1E21" w:rsidRDefault="00CC1E21" w:rsidP="00CC1E21">
            <w:pPr>
              <w:jc w:val="both"/>
            </w:pPr>
            <w:r w:rsidRPr="00CC1E21">
              <w:rPr>
                <w:b/>
                <w:bCs/>
                <w:color w:val="FFFFFF"/>
                <w:sz w:val="20"/>
                <w:szCs w:val="20"/>
              </w:rPr>
              <w:t>Category</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18E884CD" w14:textId="77777777" w:rsidR="00BC1BBF" w:rsidRPr="00CC1E21" w:rsidRDefault="00CC1E21" w:rsidP="00CC1E21">
            <w:pPr>
              <w:jc w:val="both"/>
            </w:pPr>
            <w:r w:rsidRPr="00CC1E21">
              <w:rPr>
                <w:b/>
                <w:bCs/>
                <w:color w:val="FFFFFF"/>
                <w:sz w:val="20"/>
                <w:szCs w:val="20"/>
              </w:rPr>
              <w:t>β (AI)</w:t>
            </w:r>
          </w:p>
        </w:tc>
        <w:tc>
          <w:tcPr>
            <w:tcW w:w="90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B3B6A4A" w14:textId="77777777" w:rsidR="00BC1BBF" w:rsidRPr="00CC1E21" w:rsidRDefault="00CC1E21" w:rsidP="00CC1E21">
            <w:pPr>
              <w:jc w:val="both"/>
            </w:pPr>
            <w:r w:rsidRPr="00CC1E21">
              <w:rPr>
                <w:b/>
                <w:bCs/>
                <w:color w:val="FFFFFF"/>
                <w:sz w:val="20"/>
                <w:szCs w:val="20"/>
              </w:rPr>
              <w:t>p</w:t>
            </w:r>
          </w:p>
        </w:tc>
        <w:tc>
          <w:tcPr>
            <w:tcW w:w="3060" w:type="dxa"/>
            <w:tcBorders>
              <w:top w:val="single" w:sz="12" w:space="0" w:color="1B3A6B"/>
              <w:left w:val="none" w:sz="0" w:space="0" w:color="FFFFFF"/>
              <w:bottom w:val="single" w:sz="4" w:space="0" w:color="BBBBBB"/>
              <w:right w:val="none" w:sz="0" w:space="0" w:color="FFFFFF"/>
            </w:tcBorders>
            <w:shd w:val="clear" w:color="auto" w:fill="1B3A6B"/>
            <w:tcMar>
              <w:top w:w="80" w:type="dxa"/>
              <w:left w:w="120" w:type="dxa"/>
              <w:bottom w:w="80" w:type="dxa"/>
              <w:right w:w="120" w:type="dxa"/>
            </w:tcMar>
            <w:vAlign w:val="center"/>
          </w:tcPr>
          <w:p w14:paraId="21696D1B" w14:textId="77777777" w:rsidR="00BC1BBF" w:rsidRPr="00CC1E21" w:rsidRDefault="00CC1E21" w:rsidP="00CC1E21">
            <w:pPr>
              <w:jc w:val="both"/>
            </w:pPr>
            <w:r w:rsidRPr="00CC1E21">
              <w:rPr>
                <w:b/>
                <w:bCs/>
                <w:color w:val="FFFFFF"/>
                <w:sz w:val="20"/>
                <w:szCs w:val="20"/>
              </w:rPr>
              <w:t>Comment</w:t>
            </w:r>
          </w:p>
        </w:tc>
      </w:tr>
      <w:tr w:rsidR="00BC1BBF" w:rsidRPr="00CC1E21" w14:paraId="21E8E44C" w14:textId="77777777">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1B82F54" w14:textId="77777777" w:rsidR="00BC1BBF" w:rsidRPr="00CC1E21" w:rsidRDefault="00CC1E21" w:rsidP="00CC1E21">
            <w:pPr>
              <w:jc w:val="both"/>
            </w:pPr>
            <w:r w:rsidRPr="00CC1E21">
              <w:rPr>
                <w:sz w:val="20"/>
                <w:szCs w:val="20"/>
              </w:rPr>
              <w:t>Maximum AI (not wt.)</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1FC8202" w14:textId="77777777" w:rsidR="00BC1BBF" w:rsidRPr="00CC1E21" w:rsidRDefault="00CC1E21" w:rsidP="00CC1E21">
            <w:pPr>
              <w:jc w:val="both"/>
            </w:pPr>
            <w:r w:rsidRPr="00CC1E21">
              <w:rPr>
                <w:sz w:val="20"/>
                <w:szCs w:val="20"/>
              </w:rPr>
              <w:t>Alt. AI measure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F144E0E" w14:textId="77777777" w:rsidR="00BC1BBF" w:rsidRPr="00CC1E21" w:rsidRDefault="00CC1E21" w:rsidP="00CC1E21">
            <w:pPr>
              <w:jc w:val="both"/>
            </w:pPr>
            <w:r w:rsidRPr="00CC1E21">
              <w:rPr>
                <w:sz w:val="20"/>
                <w:szCs w:val="20"/>
              </w:rPr>
              <w:t>0.54***</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9036C4A"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35E40CE" w14:textId="77777777" w:rsidR="00BC1BBF" w:rsidRPr="00CC1E21" w:rsidRDefault="00CC1E21" w:rsidP="00CC1E21">
            <w:pPr>
              <w:jc w:val="both"/>
            </w:pPr>
            <w:r w:rsidRPr="00CC1E21">
              <w:rPr>
                <w:sz w:val="20"/>
                <w:szCs w:val="20"/>
              </w:rPr>
              <w:t>Largest single investor AI score</w:t>
            </w:r>
          </w:p>
        </w:tc>
      </w:tr>
      <w:tr w:rsidR="00BC1BBF" w:rsidRPr="00CC1E21" w14:paraId="10C10755" w14:textId="77777777">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E8AF9B1" w14:textId="77777777" w:rsidR="00BC1BBF" w:rsidRPr="00CC1E21" w:rsidRDefault="00CC1E21" w:rsidP="00CC1E21">
            <w:pPr>
              <w:jc w:val="both"/>
            </w:pPr>
            <w:r w:rsidRPr="00CC1E21">
              <w:rPr>
                <w:sz w:val="20"/>
                <w:szCs w:val="20"/>
              </w:rPr>
              <w:t>Log technology spending</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49A0372" w14:textId="77777777" w:rsidR="00BC1BBF" w:rsidRPr="00CC1E21" w:rsidRDefault="00CC1E21" w:rsidP="00CC1E21">
            <w:pPr>
              <w:jc w:val="both"/>
            </w:pPr>
            <w:r w:rsidRPr="00CC1E21">
              <w:rPr>
                <w:sz w:val="20"/>
                <w:szCs w:val="20"/>
              </w:rPr>
              <w:t>Alt. AI measure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38307E8" w14:textId="77777777" w:rsidR="00BC1BBF" w:rsidRPr="00CC1E21" w:rsidRDefault="00CC1E21" w:rsidP="00CC1E21">
            <w:pPr>
              <w:jc w:val="both"/>
            </w:pPr>
            <w:r w:rsidRPr="00CC1E21">
              <w:rPr>
                <w:sz w:val="20"/>
                <w:szCs w:val="20"/>
              </w:rPr>
              <w:t>0.47***</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24D2FA71"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CDE8C81" w14:textId="77777777" w:rsidR="00BC1BBF" w:rsidRPr="00CC1E21" w:rsidRDefault="00CC1E21" w:rsidP="00CC1E21">
            <w:pPr>
              <w:jc w:val="both"/>
            </w:pPr>
            <w:r w:rsidRPr="00CC1E21">
              <w:rPr>
                <w:sz w:val="20"/>
                <w:szCs w:val="20"/>
              </w:rPr>
              <w:t>Objective proxy for AI investment</w:t>
            </w:r>
          </w:p>
        </w:tc>
      </w:tr>
      <w:tr w:rsidR="00BC1BBF" w:rsidRPr="00CC1E21" w14:paraId="043D8CE1" w14:textId="77777777">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84312E2" w14:textId="77777777" w:rsidR="00BC1BBF" w:rsidRPr="00CC1E21" w:rsidRDefault="00CC1E21" w:rsidP="00CC1E21">
            <w:pPr>
              <w:jc w:val="both"/>
            </w:pPr>
            <w:r w:rsidRPr="00CC1E21">
              <w:rPr>
                <w:sz w:val="20"/>
                <w:szCs w:val="20"/>
              </w:rPr>
              <w:t>Platform subscription count</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0383B20" w14:textId="77777777" w:rsidR="00BC1BBF" w:rsidRPr="00CC1E21" w:rsidRDefault="00CC1E21" w:rsidP="00CC1E21">
            <w:pPr>
              <w:jc w:val="both"/>
            </w:pPr>
            <w:r w:rsidRPr="00CC1E21">
              <w:rPr>
                <w:sz w:val="20"/>
                <w:szCs w:val="20"/>
              </w:rPr>
              <w:t>Alt. AI measure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840F7FE" w14:textId="77777777" w:rsidR="00BC1BBF" w:rsidRPr="00CC1E21" w:rsidRDefault="00CC1E21" w:rsidP="00CC1E21">
            <w:pPr>
              <w:jc w:val="both"/>
            </w:pPr>
            <w:r w:rsidRPr="00CC1E21">
              <w:rPr>
                <w:sz w:val="20"/>
                <w:szCs w:val="20"/>
              </w:rPr>
              <w:t>0.43**</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F769C0B" w14:textId="77777777" w:rsidR="00BC1BBF" w:rsidRPr="00CC1E21" w:rsidRDefault="00CC1E21" w:rsidP="00CC1E21">
            <w:pPr>
              <w:jc w:val="both"/>
            </w:pPr>
            <w:r w:rsidRPr="00CC1E21">
              <w:rPr>
                <w:sz w:val="20"/>
                <w:szCs w:val="20"/>
              </w:rPr>
              <w:t>.003</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44D4ADB" w14:textId="77777777" w:rsidR="00BC1BBF" w:rsidRPr="00CC1E21" w:rsidRDefault="00CC1E21" w:rsidP="00CC1E21">
            <w:pPr>
              <w:jc w:val="both"/>
            </w:pPr>
            <w:r w:rsidRPr="00CC1E21">
              <w:rPr>
                <w:sz w:val="20"/>
                <w:szCs w:val="20"/>
              </w:rPr>
              <w:t>Count of ESG data platform contracts</w:t>
            </w:r>
          </w:p>
        </w:tc>
      </w:tr>
      <w:tr w:rsidR="00BC1BBF" w:rsidRPr="00CC1E21" w14:paraId="7925761F" w14:textId="77777777">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85234A2" w14:textId="77777777" w:rsidR="00BC1BBF" w:rsidRPr="00CC1E21" w:rsidRDefault="00CC1E21" w:rsidP="00CC1E21">
            <w:pPr>
              <w:jc w:val="both"/>
            </w:pPr>
            <w:r w:rsidRPr="00CC1E21">
              <w:rPr>
                <w:sz w:val="20"/>
                <w:szCs w:val="20"/>
              </w:rPr>
              <w:t>Third-party ESG ratings</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4B9FABA" w14:textId="77777777" w:rsidR="00BC1BBF" w:rsidRPr="00CC1E21" w:rsidRDefault="00CC1E21" w:rsidP="00CC1E21">
            <w:pPr>
              <w:jc w:val="both"/>
            </w:pPr>
            <w:r w:rsidRPr="00CC1E21">
              <w:rPr>
                <w:sz w:val="20"/>
                <w:szCs w:val="20"/>
              </w:rPr>
              <w:t>Alt. outcome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DD47D2C" w14:textId="77777777" w:rsidR="00BC1BBF" w:rsidRPr="00CC1E21" w:rsidRDefault="00CC1E21" w:rsidP="00CC1E21">
            <w:pPr>
              <w:jc w:val="both"/>
            </w:pPr>
            <w:r w:rsidRPr="00CC1E21">
              <w:rPr>
                <w:sz w:val="20"/>
                <w:szCs w:val="20"/>
              </w:rPr>
              <w:t>0.39**</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BD2E564" w14:textId="77777777" w:rsidR="00BC1BBF" w:rsidRPr="00CC1E21" w:rsidRDefault="00CC1E21" w:rsidP="00CC1E21">
            <w:pPr>
              <w:jc w:val="both"/>
            </w:pPr>
            <w:r w:rsidRPr="00CC1E21">
              <w:rPr>
                <w:sz w:val="20"/>
                <w:szCs w:val="20"/>
              </w:rPr>
              <w:t>.002</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4B6F018" w14:textId="77777777" w:rsidR="00BC1BBF" w:rsidRPr="00CC1E21" w:rsidRDefault="00CC1E21" w:rsidP="00CC1E21">
            <w:pPr>
              <w:jc w:val="both"/>
            </w:pPr>
            <w:r w:rsidRPr="00CC1E21">
              <w:rPr>
                <w:sz w:val="20"/>
                <w:szCs w:val="20"/>
              </w:rPr>
              <w:t>Sustainalytics composite score</w:t>
            </w:r>
          </w:p>
        </w:tc>
      </w:tr>
      <w:tr w:rsidR="00BC1BBF" w:rsidRPr="00CC1E21" w14:paraId="686ED3FC" w14:textId="77777777">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D318650" w14:textId="77777777" w:rsidR="00BC1BBF" w:rsidRPr="00CC1E21" w:rsidRDefault="00CC1E21" w:rsidP="00CC1E21">
            <w:pPr>
              <w:jc w:val="both"/>
            </w:pPr>
            <w:r w:rsidRPr="00CC1E21">
              <w:rPr>
                <w:sz w:val="20"/>
                <w:szCs w:val="20"/>
              </w:rPr>
              <w:t>Environmental disclosure only</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FFA7910" w14:textId="77777777" w:rsidR="00BC1BBF" w:rsidRPr="00CC1E21" w:rsidRDefault="00CC1E21" w:rsidP="00CC1E21">
            <w:pPr>
              <w:jc w:val="both"/>
            </w:pPr>
            <w:r w:rsidRPr="00CC1E21">
              <w:rPr>
                <w:sz w:val="20"/>
                <w:szCs w:val="20"/>
              </w:rPr>
              <w:t>Alt. outcome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7033806" w14:textId="77777777" w:rsidR="00BC1BBF" w:rsidRPr="00CC1E21" w:rsidRDefault="00CC1E21" w:rsidP="00CC1E21">
            <w:pPr>
              <w:jc w:val="both"/>
            </w:pPr>
            <w:r w:rsidRPr="00CC1E21">
              <w:rPr>
                <w:sz w:val="20"/>
                <w:szCs w:val="20"/>
              </w:rPr>
              <w:t>0.61***</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1891685"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4331CC13" w14:textId="77777777" w:rsidR="00BC1BBF" w:rsidRPr="00CC1E21" w:rsidRDefault="00CC1E21" w:rsidP="00CC1E21">
            <w:pPr>
              <w:jc w:val="both"/>
            </w:pPr>
            <w:r w:rsidRPr="00CC1E21">
              <w:rPr>
                <w:sz w:val="20"/>
                <w:szCs w:val="20"/>
              </w:rPr>
              <w:t>18-item environmental sub-index</w:t>
            </w:r>
          </w:p>
        </w:tc>
      </w:tr>
      <w:tr w:rsidR="00BC1BBF" w:rsidRPr="00CC1E21" w14:paraId="624E73D0" w14:textId="77777777">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EC757A4" w14:textId="77777777" w:rsidR="00BC1BBF" w:rsidRPr="00CC1E21" w:rsidRDefault="00CC1E21" w:rsidP="00CC1E21">
            <w:pPr>
              <w:jc w:val="both"/>
            </w:pPr>
            <w:r w:rsidRPr="00CC1E21">
              <w:rPr>
                <w:sz w:val="20"/>
                <w:szCs w:val="20"/>
              </w:rPr>
              <w:t>GRI alignment score</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07A1A66" w14:textId="77777777" w:rsidR="00BC1BBF" w:rsidRPr="00CC1E21" w:rsidRDefault="00CC1E21" w:rsidP="00CC1E21">
            <w:pPr>
              <w:jc w:val="both"/>
            </w:pPr>
            <w:r w:rsidRPr="00CC1E21">
              <w:rPr>
                <w:sz w:val="20"/>
                <w:szCs w:val="20"/>
              </w:rPr>
              <w:t>Alt. outcome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2753A395" w14:textId="77777777" w:rsidR="00BC1BBF" w:rsidRPr="00CC1E21" w:rsidRDefault="00CC1E21" w:rsidP="00CC1E21">
            <w:pPr>
              <w:jc w:val="both"/>
            </w:pPr>
            <w:r w:rsidRPr="00CC1E21">
              <w:rPr>
                <w:sz w:val="20"/>
                <w:szCs w:val="20"/>
              </w:rPr>
              <w:t>0.44***</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EB74D84"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6925983E" w14:textId="77777777" w:rsidR="00BC1BBF" w:rsidRPr="00CC1E21" w:rsidRDefault="00CC1E21" w:rsidP="00CC1E21">
            <w:pPr>
              <w:jc w:val="both"/>
            </w:pPr>
            <w:r w:rsidRPr="00CC1E21">
              <w:rPr>
                <w:sz w:val="20"/>
                <w:szCs w:val="20"/>
              </w:rPr>
              <w:t>Validated against GRI standards</w:t>
            </w:r>
          </w:p>
        </w:tc>
      </w:tr>
      <w:tr w:rsidR="00BC1BBF" w:rsidRPr="00CC1E21" w14:paraId="7A1777E9" w14:textId="77777777">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6BDE4FA" w14:textId="77777777" w:rsidR="00BC1BBF" w:rsidRPr="00CC1E21" w:rsidRDefault="00CC1E21" w:rsidP="00CC1E21">
            <w:pPr>
              <w:jc w:val="both"/>
            </w:pPr>
            <w:r w:rsidRPr="00CC1E21">
              <w:rPr>
                <w:sz w:val="20"/>
                <w:szCs w:val="20"/>
              </w:rPr>
              <w:t>Exclude Kenya</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E0632AB" w14:textId="77777777" w:rsidR="00BC1BBF" w:rsidRPr="00CC1E21" w:rsidRDefault="00CC1E21" w:rsidP="00CC1E21">
            <w:pPr>
              <w:jc w:val="both"/>
            </w:pPr>
            <w:r w:rsidRPr="00CC1E21">
              <w:rPr>
                <w:sz w:val="20"/>
                <w:szCs w:val="20"/>
              </w:rPr>
              <w:t>Sample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ED2C107" w14:textId="77777777" w:rsidR="00BC1BBF" w:rsidRPr="00CC1E21" w:rsidRDefault="00CC1E21" w:rsidP="00CC1E21">
            <w:pPr>
              <w:jc w:val="both"/>
            </w:pPr>
            <w:r w:rsidRPr="00CC1E21">
              <w:rPr>
                <w:sz w:val="20"/>
                <w:szCs w:val="20"/>
              </w:rPr>
              <w:t>0.48***</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764433EF"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189448C" w14:textId="77777777" w:rsidR="00BC1BBF" w:rsidRPr="00CC1E21" w:rsidRDefault="00CC1E21" w:rsidP="00CC1E21">
            <w:pPr>
              <w:jc w:val="both"/>
            </w:pPr>
            <w:r w:rsidRPr="00CC1E21">
              <w:rPr>
                <w:sz w:val="20"/>
                <w:szCs w:val="20"/>
              </w:rPr>
              <w:t>Controls for most-advanced country</w:t>
            </w:r>
          </w:p>
        </w:tc>
      </w:tr>
      <w:tr w:rsidR="00BC1BBF" w:rsidRPr="00CC1E21" w14:paraId="3E95AE12" w14:textId="77777777">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716029AA" w14:textId="77777777" w:rsidR="00BC1BBF" w:rsidRPr="00CC1E21" w:rsidRDefault="00CC1E21" w:rsidP="00CC1E21">
            <w:pPr>
              <w:jc w:val="both"/>
            </w:pPr>
            <w:r w:rsidRPr="00CC1E21">
              <w:rPr>
                <w:sz w:val="20"/>
                <w:szCs w:val="20"/>
              </w:rPr>
              <w:t>Large banks only (&gt; $2B)</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12B6110" w14:textId="77777777" w:rsidR="00BC1BBF" w:rsidRPr="00CC1E21" w:rsidRDefault="00CC1E21" w:rsidP="00CC1E21">
            <w:pPr>
              <w:jc w:val="both"/>
            </w:pPr>
            <w:r w:rsidRPr="00CC1E21">
              <w:rPr>
                <w:sz w:val="20"/>
                <w:szCs w:val="20"/>
              </w:rPr>
              <w:t>Sample</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837517E" w14:textId="77777777" w:rsidR="00BC1BBF" w:rsidRPr="00CC1E21" w:rsidRDefault="00CC1E21" w:rsidP="00CC1E21">
            <w:pPr>
              <w:jc w:val="both"/>
            </w:pPr>
            <w:r w:rsidRPr="00CC1E21">
              <w:rPr>
                <w:sz w:val="20"/>
                <w:szCs w:val="20"/>
              </w:rPr>
              <w:t>0.57***</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D3E2ED6"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259775FA" w14:textId="77777777" w:rsidR="00BC1BBF" w:rsidRPr="00CC1E21" w:rsidRDefault="00CC1E21" w:rsidP="00CC1E21">
            <w:pPr>
              <w:jc w:val="both"/>
            </w:pPr>
            <w:r w:rsidRPr="00CC1E21">
              <w:rPr>
                <w:sz w:val="20"/>
                <w:szCs w:val="20"/>
              </w:rPr>
              <w:t>N = 9 banks, 63 firm-years</w:t>
            </w:r>
          </w:p>
        </w:tc>
      </w:tr>
      <w:tr w:rsidR="00BC1BBF" w:rsidRPr="00CC1E21" w14:paraId="3C1A4862" w14:textId="77777777">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0F43AF80" w14:textId="77777777" w:rsidR="00BC1BBF" w:rsidRPr="00CC1E21" w:rsidRDefault="00CC1E21" w:rsidP="00CC1E21">
            <w:pPr>
              <w:jc w:val="both"/>
            </w:pPr>
            <w:r w:rsidRPr="00CC1E21">
              <w:rPr>
                <w:sz w:val="20"/>
                <w:szCs w:val="20"/>
              </w:rPr>
              <w:t>Exclude 2020–21 (COVID)</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2B07580" w14:textId="77777777" w:rsidR="00BC1BBF" w:rsidRPr="00CC1E21" w:rsidRDefault="00CC1E21" w:rsidP="00CC1E21">
            <w:pPr>
              <w:jc w:val="both"/>
            </w:pPr>
            <w:r w:rsidRPr="00CC1E21">
              <w:rPr>
                <w:sz w:val="20"/>
                <w:szCs w:val="20"/>
              </w:rPr>
              <w:t>Sample</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6988B96" w14:textId="77777777" w:rsidR="00BC1BBF" w:rsidRPr="00CC1E21" w:rsidRDefault="00CC1E21" w:rsidP="00CC1E21">
            <w:pPr>
              <w:jc w:val="both"/>
            </w:pPr>
            <w:r w:rsidRPr="00CC1E21">
              <w:rPr>
                <w:sz w:val="20"/>
                <w:szCs w:val="20"/>
              </w:rPr>
              <w:t>0.51***</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52FDC67"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82705E6" w14:textId="77777777" w:rsidR="00BC1BBF" w:rsidRPr="00CC1E21" w:rsidRDefault="00CC1E21" w:rsidP="00CC1E21">
            <w:pPr>
              <w:jc w:val="both"/>
            </w:pPr>
            <w:r w:rsidRPr="00CC1E21">
              <w:rPr>
                <w:sz w:val="20"/>
                <w:szCs w:val="20"/>
              </w:rPr>
              <w:t>Removes pandemic disruption years</w:t>
            </w:r>
          </w:p>
        </w:tc>
      </w:tr>
      <w:tr w:rsidR="00BC1BBF" w:rsidRPr="00CC1E21" w14:paraId="62E4026B" w14:textId="77777777">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757ACCB" w14:textId="77777777" w:rsidR="00BC1BBF" w:rsidRPr="00CC1E21" w:rsidRDefault="00CC1E21" w:rsidP="00CC1E21">
            <w:pPr>
              <w:jc w:val="both"/>
            </w:pPr>
            <w:r w:rsidRPr="00CC1E21">
              <w:rPr>
                <w:sz w:val="20"/>
                <w:szCs w:val="20"/>
              </w:rPr>
              <w:t>System GMM</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98CD5BD" w14:textId="77777777" w:rsidR="00BC1BBF" w:rsidRPr="00CC1E21" w:rsidRDefault="00CC1E21" w:rsidP="00CC1E21">
            <w:pPr>
              <w:jc w:val="both"/>
            </w:pPr>
            <w:r w:rsidRPr="00CC1E21">
              <w:rPr>
                <w:sz w:val="20"/>
                <w:szCs w:val="20"/>
              </w:rPr>
              <w:t>Method</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AF0A661" w14:textId="77777777" w:rsidR="00BC1BBF" w:rsidRPr="00CC1E21" w:rsidRDefault="00CC1E21" w:rsidP="00CC1E21">
            <w:pPr>
              <w:jc w:val="both"/>
            </w:pPr>
            <w:r w:rsidRPr="00CC1E21">
              <w:rPr>
                <w:sz w:val="20"/>
                <w:szCs w:val="20"/>
              </w:rPr>
              <w:t>0.44**</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D2B8E3C" w14:textId="77777777" w:rsidR="00BC1BBF" w:rsidRPr="00CC1E21" w:rsidRDefault="00CC1E21" w:rsidP="00CC1E21">
            <w:pPr>
              <w:jc w:val="both"/>
            </w:pPr>
            <w:r w:rsidRPr="00CC1E21">
              <w:rPr>
                <w:sz w:val="20"/>
                <w:szCs w:val="20"/>
              </w:rPr>
              <w:t>.008</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AFC7A14" w14:textId="77777777" w:rsidR="00BC1BBF" w:rsidRPr="00CC1E21" w:rsidRDefault="00CC1E21" w:rsidP="00CC1E21">
            <w:pPr>
              <w:jc w:val="both"/>
            </w:pPr>
            <w:r w:rsidRPr="00CC1E21">
              <w:rPr>
                <w:sz w:val="20"/>
                <w:szCs w:val="20"/>
              </w:rPr>
              <w:t>Addresses outcome persistence</w:t>
            </w:r>
          </w:p>
        </w:tc>
      </w:tr>
      <w:tr w:rsidR="00BC1BBF" w:rsidRPr="00CC1E21" w14:paraId="0F249A04" w14:textId="77777777">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03DA2B4" w14:textId="77777777" w:rsidR="00BC1BBF" w:rsidRPr="00CC1E21" w:rsidRDefault="00CC1E21" w:rsidP="00CC1E21">
            <w:pPr>
              <w:jc w:val="both"/>
            </w:pPr>
            <w:r w:rsidRPr="00CC1E21">
              <w:rPr>
                <w:sz w:val="20"/>
                <w:szCs w:val="20"/>
              </w:rPr>
              <w:t>Entropy balanced</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797B972" w14:textId="77777777" w:rsidR="00BC1BBF" w:rsidRPr="00CC1E21" w:rsidRDefault="00CC1E21" w:rsidP="00CC1E21">
            <w:pPr>
              <w:jc w:val="both"/>
            </w:pPr>
            <w:r w:rsidRPr="00CC1E21">
              <w:rPr>
                <w:sz w:val="20"/>
                <w:szCs w:val="20"/>
              </w:rPr>
              <w:t>Method</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2B20D06" w14:textId="77777777" w:rsidR="00BC1BBF" w:rsidRPr="00CC1E21" w:rsidRDefault="00CC1E21" w:rsidP="00CC1E21">
            <w:pPr>
              <w:jc w:val="both"/>
            </w:pPr>
            <w:r w:rsidRPr="00CC1E21">
              <w:rPr>
                <w:sz w:val="20"/>
                <w:szCs w:val="20"/>
              </w:rPr>
              <w:t>0.49***</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3AA8B61"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0B1C6CE" w14:textId="77777777" w:rsidR="00BC1BBF" w:rsidRPr="00CC1E21" w:rsidRDefault="00CC1E21" w:rsidP="00CC1E21">
            <w:pPr>
              <w:jc w:val="both"/>
            </w:pPr>
            <w:r w:rsidRPr="00CC1E21">
              <w:rPr>
                <w:sz w:val="20"/>
                <w:szCs w:val="20"/>
              </w:rPr>
              <w:t>CBPS reweighting</w:t>
            </w:r>
          </w:p>
        </w:tc>
      </w:tr>
      <w:tr w:rsidR="00BC1BBF" w:rsidRPr="00CC1E21" w14:paraId="2102050A" w14:textId="77777777">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0A354261" w14:textId="77777777" w:rsidR="00BC1BBF" w:rsidRPr="00CC1E21" w:rsidRDefault="00CC1E21" w:rsidP="00CC1E21">
            <w:pPr>
              <w:jc w:val="both"/>
            </w:pPr>
            <w:r w:rsidRPr="00CC1E21">
              <w:rPr>
                <w:sz w:val="20"/>
                <w:szCs w:val="20"/>
              </w:rPr>
              <w:t>PSM (ATT)</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8403C2F" w14:textId="77777777" w:rsidR="00BC1BBF" w:rsidRPr="00CC1E21" w:rsidRDefault="00CC1E21" w:rsidP="00CC1E21">
            <w:pPr>
              <w:jc w:val="both"/>
            </w:pPr>
            <w:r w:rsidRPr="00CC1E21">
              <w:rPr>
                <w:sz w:val="20"/>
                <w:szCs w:val="20"/>
              </w:rPr>
              <w:t>Method</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1351B2B7" w14:textId="77777777" w:rsidR="00BC1BBF" w:rsidRPr="00CC1E21" w:rsidRDefault="00CC1E21" w:rsidP="00CC1E21">
            <w:pPr>
              <w:jc w:val="both"/>
            </w:pPr>
            <w:r w:rsidRPr="00CC1E21">
              <w:rPr>
                <w:sz w:val="20"/>
                <w:szCs w:val="20"/>
              </w:rPr>
              <w:t>14.7 pts</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041CF93"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7C523FA" w14:textId="77777777" w:rsidR="00BC1BBF" w:rsidRPr="00CC1E21" w:rsidRDefault="00CC1E21" w:rsidP="00CC1E21">
            <w:pPr>
              <w:jc w:val="both"/>
            </w:pPr>
            <w:r w:rsidRPr="00CC1E21">
              <w:rPr>
                <w:sz w:val="20"/>
                <w:szCs w:val="20"/>
              </w:rPr>
              <w:t>Average treatment effect on treated</w:t>
            </w:r>
          </w:p>
        </w:tc>
      </w:tr>
      <w:tr w:rsidR="00BC1BBF" w:rsidRPr="00CC1E21" w14:paraId="5E35D258" w14:textId="77777777">
        <w:tc>
          <w:tcPr>
            <w:tcW w:w="30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65881497" w14:textId="77777777" w:rsidR="00BC1BBF" w:rsidRPr="00CC1E21" w:rsidRDefault="00CC1E21" w:rsidP="00CC1E21">
            <w:pPr>
              <w:jc w:val="both"/>
            </w:pPr>
            <w:r w:rsidRPr="00CC1E21">
              <w:rPr>
                <w:sz w:val="20"/>
                <w:szCs w:val="20"/>
              </w:rPr>
              <w:t>AI +20% measurement error</w:t>
            </w:r>
          </w:p>
        </w:tc>
        <w:tc>
          <w:tcPr>
            <w:tcW w:w="15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308ADB65" w14:textId="77777777" w:rsidR="00BC1BBF" w:rsidRPr="00CC1E21" w:rsidRDefault="00CC1E21" w:rsidP="00CC1E21">
            <w:pPr>
              <w:jc w:val="both"/>
            </w:pPr>
            <w:r w:rsidRPr="00CC1E21">
              <w:rPr>
                <w:sz w:val="20"/>
                <w:szCs w:val="20"/>
              </w:rPr>
              <w:t>Sensitivity</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5A0F72CE" w14:textId="77777777" w:rsidR="00BC1BBF" w:rsidRPr="00CC1E21" w:rsidRDefault="00CC1E21" w:rsidP="00CC1E21">
            <w:pPr>
              <w:jc w:val="both"/>
            </w:pPr>
            <w:r w:rsidRPr="00CC1E21">
              <w:rPr>
                <w:sz w:val="20"/>
                <w:szCs w:val="20"/>
              </w:rPr>
              <w:t>0.55***</w:t>
            </w:r>
          </w:p>
        </w:tc>
        <w:tc>
          <w:tcPr>
            <w:tcW w:w="90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1DB41CC2"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FFFFF"/>
            <w:tcMar>
              <w:top w:w="80" w:type="dxa"/>
              <w:left w:w="120" w:type="dxa"/>
              <w:bottom w:w="80" w:type="dxa"/>
              <w:right w:w="120" w:type="dxa"/>
            </w:tcMar>
            <w:vAlign w:val="center"/>
          </w:tcPr>
          <w:p w14:paraId="21C002BD" w14:textId="77777777" w:rsidR="00BC1BBF" w:rsidRPr="00CC1E21" w:rsidRDefault="00CC1E21" w:rsidP="00CC1E21">
            <w:pPr>
              <w:jc w:val="both"/>
            </w:pPr>
            <w:r w:rsidRPr="00CC1E21">
              <w:rPr>
                <w:sz w:val="20"/>
                <w:szCs w:val="20"/>
              </w:rPr>
              <w:t>Upper bound perturbation</w:t>
            </w:r>
          </w:p>
        </w:tc>
      </w:tr>
      <w:tr w:rsidR="00BC1BBF" w:rsidRPr="00CC1E21" w14:paraId="1610A133" w14:textId="77777777">
        <w:tc>
          <w:tcPr>
            <w:tcW w:w="30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1D350F6" w14:textId="77777777" w:rsidR="00BC1BBF" w:rsidRPr="00CC1E21" w:rsidRDefault="00CC1E21" w:rsidP="00CC1E21">
            <w:pPr>
              <w:jc w:val="both"/>
            </w:pPr>
            <w:r w:rsidRPr="00CC1E21">
              <w:rPr>
                <w:sz w:val="20"/>
                <w:szCs w:val="20"/>
              </w:rPr>
              <w:t>AI −20% measurement error</w:t>
            </w:r>
          </w:p>
        </w:tc>
        <w:tc>
          <w:tcPr>
            <w:tcW w:w="15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32D5C2C9" w14:textId="77777777" w:rsidR="00BC1BBF" w:rsidRPr="00CC1E21" w:rsidRDefault="00CC1E21" w:rsidP="00CC1E21">
            <w:pPr>
              <w:jc w:val="both"/>
            </w:pPr>
            <w:r w:rsidRPr="00CC1E21">
              <w:rPr>
                <w:sz w:val="20"/>
                <w:szCs w:val="20"/>
              </w:rPr>
              <w:t>Sensitivity</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D9E758E" w14:textId="77777777" w:rsidR="00BC1BBF" w:rsidRPr="00CC1E21" w:rsidRDefault="00CC1E21" w:rsidP="00CC1E21">
            <w:pPr>
              <w:jc w:val="both"/>
            </w:pPr>
            <w:r w:rsidRPr="00CC1E21">
              <w:rPr>
                <w:sz w:val="20"/>
                <w:szCs w:val="20"/>
              </w:rPr>
              <w:t>0.48***</w:t>
            </w:r>
          </w:p>
        </w:tc>
        <w:tc>
          <w:tcPr>
            <w:tcW w:w="90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5310AEF0" w14:textId="77777777" w:rsidR="00BC1BBF" w:rsidRPr="00CC1E21" w:rsidRDefault="00CC1E21" w:rsidP="00CC1E21">
            <w:pPr>
              <w:jc w:val="both"/>
            </w:pPr>
            <w:r w:rsidRPr="00CC1E21">
              <w:rPr>
                <w:sz w:val="20"/>
                <w:szCs w:val="20"/>
              </w:rPr>
              <w:t>&lt; .001</w:t>
            </w:r>
          </w:p>
        </w:tc>
        <w:tc>
          <w:tcPr>
            <w:tcW w:w="3060" w:type="dxa"/>
            <w:tcBorders>
              <w:top w:val="none" w:sz="0" w:space="0" w:color="FFFFFF"/>
              <w:left w:val="none" w:sz="0" w:space="0" w:color="FFFFFF"/>
              <w:bottom w:val="single" w:sz="4" w:space="0" w:color="BBBBBB"/>
              <w:right w:val="none" w:sz="0" w:space="0" w:color="FFFFFF"/>
            </w:tcBorders>
            <w:shd w:val="clear" w:color="auto" w:fill="F4F5F7"/>
            <w:tcMar>
              <w:top w:w="80" w:type="dxa"/>
              <w:left w:w="120" w:type="dxa"/>
              <w:bottom w:w="80" w:type="dxa"/>
              <w:right w:w="120" w:type="dxa"/>
            </w:tcMar>
            <w:vAlign w:val="center"/>
          </w:tcPr>
          <w:p w14:paraId="42140BAC" w14:textId="77777777" w:rsidR="00BC1BBF" w:rsidRPr="00CC1E21" w:rsidRDefault="00CC1E21" w:rsidP="00CC1E21">
            <w:pPr>
              <w:jc w:val="both"/>
            </w:pPr>
            <w:r w:rsidRPr="00CC1E21">
              <w:rPr>
                <w:sz w:val="20"/>
                <w:szCs w:val="20"/>
              </w:rPr>
              <w:t>Lower bound perturbation</w:t>
            </w:r>
          </w:p>
        </w:tc>
      </w:tr>
      <w:tr w:rsidR="00BC1BBF" w:rsidRPr="00CC1E21" w14:paraId="440BCB36" w14:textId="77777777">
        <w:tc>
          <w:tcPr>
            <w:tcW w:w="30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14:paraId="1704E198" w14:textId="77777777" w:rsidR="00BC1BBF" w:rsidRPr="00CC1E21" w:rsidRDefault="00CC1E21" w:rsidP="00CC1E21">
            <w:pPr>
              <w:jc w:val="both"/>
            </w:pPr>
            <w:r w:rsidRPr="00CC1E21">
              <w:rPr>
                <w:b/>
                <w:bCs/>
                <w:i/>
                <w:iCs/>
                <w:sz w:val="20"/>
                <w:szCs w:val="20"/>
              </w:rPr>
              <w:t>Non-ESG disclosure (PLACEBO)</w:t>
            </w:r>
          </w:p>
        </w:tc>
        <w:tc>
          <w:tcPr>
            <w:tcW w:w="15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14:paraId="314F434F" w14:textId="77777777" w:rsidR="00BC1BBF" w:rsidRPr="00CC1E21" w:rsidRDefault="00CC1E21" w:rsidP="00CC1E21">
            <w:pPr>
              <w:jc w:val="both"/>
            </w:pPr>
            <w:r w:rsidRPr="00CC1E21">
              <w:rPr>
                <w:sz w:val="20"/>
                <w:szCs w:val="20"/>
              </w:rPr>
              <w:t>Placebo</w:t>
            </w:r>
          </w:p>
        </w:tc>
        <w:tc>
          <w:tcPr>
            <w:tcW w:w="9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14:paraId="48D6054A" w14:textId="77777777" w:rsidR="00BC1BBF" w:rsidRPr="00CC1E21" w:rsidRDefault="00CC1E21" w:rsidP="00CC1E21">
            <w:pPr>
              <w:jc w:val="both"/>
            </w:pPr>
            <w:r w:rsidRPr="00CC1E21">
              <w:rPr>
                <w:sz w:val="20"/>
                <w:szCs w:val="20"/>
              </w:rPr>
              <w:t>0.08</w:t>
            </w:r>
          </w:p>
        </w:tc>
        <w:tc>
          <w:tcPr>
            <w:tcW w:w="90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14:paraId="5595CEAF" w14:textId="77777777" w:rsidR="00BC1BBF" w:rsidRPr="00CC1E21" w:rsidRDefault="00CC1E21" w:rsidP="00CC1E21">
            <w:pPr>
              <w:jc w:val="both"/>
            </w:pPr>
            <w:r w:rsidRPr="00CC1E21">
              <w:rPr>
                <w:sz w:val="20"/>
                <w:szCs w:val="20"/>
              </w:rPr>
              <w:t>.52</w:t>
            </w:r>
          </w:p>
        </w:tc>
        <w:tc>
          <w:tcPr>
            <w:tcW w:w="3060" w:type="dxa"/>
            <w:tcBorders>
              <w:top w:val="none" w:sz="0" w:space="0" w:color="FFFFFF"/>
              <w:left w:val="none" w:sz="0" w:space="0" w:color="FFFFFF"/>
              <w:bottom w:val="single" w:sz="12" w:space="0" w:color="1B3A6B"/>
              <w:right w:val="none" w:sz="0" w:space="0" w:color="FFFFFF"/>
            </w:tcBorders>
            <w:shd w:val="clear" w:color="auto" w:fill="FFF0F0"/>
            <w:tcMar>
              <w:top w:w="80" w:type="dxa"/>
              <w:left w:w="120" w:type="dxa"/>
              <w:bottom w:w="80" w:type="dxa"/>
              <w:right w:w="120" w:type="dxa"/>
            </w:tcMar>
            <w:vAlign w:val="center"/>
          </w:tcPr>
          <w:p w14:paraId="6F26F181" w14:textId="77777777" w:rsidR="00BC1BBF" w:rsidRPr="00CC1E21" w:rsidRDefault="00CC1E21" w:rsidP="00CC1E21">
            <w:pPr>
              <w:jc w:val="both"/>
            </w:pPr>
            <w:r w:rsidRPr="00CC1E21">
              <w:rPr>
                <w:sz w:val="20"/>
                <w:szCs w:val="20"/>
              </w:rPr>
              <w:t>Financial reporting detail — null result confirms ESG-specificity</w:t>
            </w:r>
          </w:p>
        </w:tc>
      </w:tr>
    </w:tbl>
    <w:p w14:paraId="137FBF72" w14:textId="77777777" w:rsidR="00BC1BBF" w:rsidRPr="00CC1E21" w:rsidRDefault="00CC1E21" w:rsidP="00CC1E21">
      <w:pPr>
        <w:spacing w:before="60" w:after="240"/>
        <w:jc w:val="both"/>
      </w:pPr>
      <w:r w:rsidRPr="00CC1E21">
        <w:rPr>
          <w:color w:val="444444"/>
          <w:sz w:val="19"/>
          <w:szCs w:val="19"/>
        </w:rPr>
        <w:t>Note: *** p &lt; 0.001, ** p &lt; 0.01. All specifications include country and year fixed effects and the full control set from Column (4) of Table 3. Cluster-robust standard errors at bank level. Shaded (last) row = placebo specification; null result critical for ruling out general disclosure propensity confound. PSM ATT reported in granularity index points rather than standardised β.</w:t>
      </w:r>
    </w:p>
    <w:p w14:paraId="26E03050" w14:textId="77777777" w:rsidR="00BC1BBF" w:rsidRPr="00CC1E21" w:rsidRDefault="00CC1E21" w:rsidP="00CC1E21">
      <w:pPr>
        <w:pBdr>
          <w:bottom w:val="single" w:sz="4" w:space="0" w:color="1B3A6B"/>
        </w:pBdr>
        <w:spacing w:before="400" w:after="160"/>
        <w:jc w:val="both"/>
      </w:pPr>
      <w:r w:rsidRPr="00CC1E21">
        <w:rPr>
          <w:b/>
          <w:bCs/>
          <w:sz w:val="24"/>
          <w:szCs w:val="24"/>
        </w:rPr>
        <w:t>5.  Discussion</w:t>
      </w:r>
    </w:p>
    <w:p w14:paraId="01AA33E0" w14:textId="77777777" w:rsidR="00BC1BBF" w:rsidRPr="00CC1E21" w:rsidRDefault="00CC1E21" w:rsidP="00CC1E21">
      <w:pPr>
        <w:spacing w:after="160" w:line="360" w:lineRule="auto"/>
        <w:jc w:val="both"/>
      </w:pPr>
      <w:r w:rsidRPr="00CC1E21">
        <w:t>This paper establishes a clean, causally identified fact: investor AI monitoring capability drives ESG disclosure granularity. The evidence is consistent across OLS, IV, DiD, event studies, and entropy balancing, with effect sizes ranging β = 0.49–0.68 and no single strategy capable of explaining away the result. The theoretical contribution is to formalise why: in a signaling equilibrium, AI raises the detection cost of strategic ambiguity, compelling firms to increase granularity to maintain separation from low-type mimics. This extends prior disclosure theory (Verrecchia 1983; Dye 1985; Dye 1998) by demonstrating that the precision-flexibility trade-off is not fixed but depends on investor verification technology — a dynamic that will intensify as AI adoption spreads.</w:t>
      </w:r>
    </w:p>
    <w:p w14:paraId="7994BE6F" w14:textId="77777777" w:rsidR="00BC1BBF" w:rsidRPr="00CC1E21" w:rsidRDefault="00CC1E21" w:rsidP="00CC1E21">
      <w:pPr>
        <w:spacing w:after="160" w:line="360" w:lineRule="auto"/>
        <w:jc w:val="both"/>
      </w:pPr>
      <w:r w:rsidRPr="00CC1E21">
        <w:lastRenderedPageBreak/>
        <w:t>The disclosure-performance decoupling — actual ESG performance does not predict granularity, and AI effects are strongest for poor ESG performers — is this paper's most important substantive finding, and the most troubling. It suggests AI monitoring produces sophisticated disclosure without accountability: firms respond to algorithmic scrutiny by optimising what is measurable and verifiable, not by improving what is material. Interview evidence is blunt on this point — multiple CFOs described explicitly designing machine-readable sustainability reports while acknowledging unchanged operations. We label this dynamic 'algorithmic greenwashing': AI-optimised disclosure calibrated for detection avoidance rather than genuine transparency.</w:t>
      </w:r>
    </w:p>
    <w:p w14:paraId="5A5AB304" w14:textId="77777777" w:rsidR="00BC1BBF" w:rsidRPr="00CC1E21" w:rsidRDefault="00CC1E21" w:rsidP="00CC1E21">
      <w:pPr>
        <w:spacing w:after="160" w:line="360" w:lineRule="auto"/>
        <w:jc w:val="both"/>
      </w:pPr>
      <w:r w:rsidRPr="00CC1E21">
        <w:t>The policy implication is direct. Regulators and standard-setters who view increased disclosure granularity as evidence of improved ESG accountability should re-examine this assumption in AI-intensive environments. Granularity is a necessary but not sufficient condition for accountability. Effective oversight requires direct performance verification using alternative data — satellite imagery, transaction records, energy consumption data — rather than treating algorithmically-optimised disclosure as a proxy for genuine sustainability progress. As AI monitoring becomes universal in developed markets, this caution will apply globally.</w:t>
      </w:r>
    </w:p>
    <w:p w14:paraId="64928E39" w14:textId="77777777" w:rsidR="00BC1BBF" w:rsidRPr="00CC1E21" w:rsidRDefault="00CC1E21" w:rsidP="00CC1E21">
      <w:pPr>
        <w:pBdr>
          <w:bottom w:val="single" w:sz="4" w:space="0" w:color="1B3A6B"/>
        </w:pBdr>
        <w:spacing w:before="400" w:after="160"/>
        <w:jc w:val="both"/>
      </w:pPr>
      <w:r w:rsidRPr="00CC1E21">
        <w:rPr>
          <w:b/>
          <w:bCs/>
          <w:sz w:val="24"/>
          <w:szCs w:val="24"/>
        </w:rPr>
        <w:t>6.  Conclusion</w:t>
      </w:r>
    </w:p>
    <w:p w14:paraId="6566FE84" w14:textId="77777777" w:rsidR="00BC1BBF" w:rsidRPr="00CC1E21" w:rsidRDefault="00CC1E21" w:rsidP="00CC1E21">
      <w:pPr>
        <w:spacing w:after="160" w:line="360" w:lineRule="auto"/>
        <w:jc w:val="both"/>
      </w:pPr>
      <w:r w:rsidRPr="00CC1E21">
        <w:t>This paper tests and confirms one claim: investor AI monitoring capability drives ESG disclosure granularity. Using 23 East African banks, 847 firm-year observations, and five identification strategies, we find a robust positive effect (β = 0.52 OLS; β = 0.49–0.68 across methods) that survives all robustness checks and is ESG-specific (non-ESG disclosure placebo β = 0.08, p = 0.52). The finding is both confirmed and complicated by the disclosure-performance paradox: granularity is decoupled from actual ESG performance, and poor performers respond most strongly to AI monitoring — consistent with algorithmic greenwashing rather than genuine accountability.</w:t>
      </w:r>
    </w:p>
    <w:p w14:paraId="3B3EF7AD" w14:textId="77777777" w:rsidR="00BC1BBF" w:rsidRPr="00CC1E21" w:rsidRDefault="00CC1E21" w:rsidP="00CC1E21">
      <w:pPr>
        <w:spacing w:after="160" w:line="360" w:lineRule="auto"/>
        <w:jc w:val="both"/>
      </w:pPr>
      <w:r w:rsidRPr="00CC1E21">
        <w:t>The central lesson for the emerging literature on AI and corporate transparency is that measurement and performance are not the same thing, and AI can widen rather than close this gap. Future research should link AI-induced disclosure improvements to actual ESG outcomes using alternative data as ground truth, and test whether the greenwashing interpretation generalises beyond East African banking to developed markets where AI investor adoption is more advanced and the stakes are higher.</w:t>
      </w:r>
    </w:p>
    <w:p w14:paraId="79B08CFF" w14:textId="77777777" w:rsidR="00BC1BBF" w:rsidRPr="00CC1E21" w:rsidRDefault="00BC1BBF" w:rsidP="00CC1E21">
      <w:pPr>
        <w:spacing w:after="80"/>
        <w:jc w:val="both"/>
      </w:pPr>
    </w:p>
    <w:p w14:paraId="051E1B16" w14:textId="77777777" w:rsidR="00CC1E21" w:rsidRDefault="00CC1E21" w:rsidP="00CC1E21">
      <w:pPr>
        <w:spacing w:after="120"/>
        <w:jc w:val="both"/>
        <w:rPr>
          <w:b/>
          <w:bCs/>
          <w:sz w:val="24"/>
          <w:szCs w:val="24"/>
        </w:rPr>
      </w:pPr>
    </w:p>
    <w:p w14:paraId="6F01C5A0" w14:textId="77777777" w:rsidR="00CC1E21" w:rsidRDefault="00CC1E21" w:rsidP="00CC1E21">
      <w:pPr>
        <w:spacing w:after="120"/>
        <w:jc w:val="both"/>
        <w:rPr>
          <w:b/>
          <w:bCs/>
          <w:sz w:val="24"/>
          <w:szCs w:val="24"/>
        </w:rPr>
      </w:pPr>
    </w:p>
    <w:p w14:paraId="32077287" w14:textId="77777777" w:rsidR="00BC1BBF" w:rsidRDefault="00CC1E21" w:rsidP="00CC1E21">
      <w:pPr>
        <w:spacing w:after="120"/>
        <w:jc w:val="both"/>
        <w:rPr>
          <w:b/>
          <w:bCs/>
          <w:sz w:val="24"/>
          <w:szCs w:val="24"/>
        </w:rPr>
      </w:pPr>
      <w:r w:rsidRPr="00CC1E21">
        <w:rPr>
          <w:b/>
          <w:bCs/>
          <w:sz w:val="24"/>
          <w:szCs w:val="24"/>
        </w:rPr>
        <w:lastRenderedPageBreak/>
        <w:t>REFERENCES</w:t>
      </w:r>
    </w:p>
    <w:p w14:paraId="62C171FE" w14:textId="77777777" w:rsidR="00D6430C" w:rsidRDefault="00D6430C" w:rsidP="00D6430C">
      <w:pPr>
        <w:spacing w:after="120"/>
        <w:jc w:val="both"/>
      </w:pPr>
      <w:r w:rsidRPr="00D6430C">
        <w:t xml:space="preserve">Bingler, J. A., Kraus, M., Leippold, M., &amp; Webersinke, N. (2022). Cheap talk and cherry-picking: What </w:t>
      </w:r>
    </w:p>
    <w:p w14:paraId="323F0C05" w14:textId="77777777" w:rsidR="00D6430C" w:rsidRDefault="00D6430C" w:rsidP="00D6430C">
      <w:pPr>
        <w:spacing w:after="120"/>
        <w:jc w:val="both"/>
      </w:pPr>
      <w:r>
        <w:t xml:space="preserve">          </w:t>
      </w:r>
      <w:r w:rsidRPr="00D6430C">
        <w:t xml:space="preserve">ClimateBERT has to say on corporate climate risk disclosures. </w:t>
      </w:r>
      <w:r w:rsidRPr="00D6430C">
        <w:rPr>
          <w:i/>
          <w:iCs/>
        </w:rPr>
        <w:t>Finance Research Letters, 47</w:t>
      </w:r>
      <w:r w:rsidRPr="00D6430C">
        <w:t xml:space="preserve">, 102769. </w:t>
      </w:r>
    </w:p>
    <w:p w14:paraId="37BCE120" w14:textId="77777777" w:rsidR="00D6430C" w:rsidRPr="00D6430C" w:rsidRDefault="00D6430C" w:rsidP="00D6430C">
      <w:pPr>
        <w:spacing w:after="120"/>
        <w:jc w:val="both"/>
      </w:pPr>
      <w:r>
        <w:t xml:space="preserve">          </w:t>
      </w:r>
      <w:r w:rsidRPr="00D6430C">
        <w:t>https://doi.org/10.1016/j.frl.2022.102769</w:t>
      </w:r>
    </w:p>
    <w:p w14:paraId="64156323" w14:textId="77777777" w:rsidR="00D6430C" w:rsidRDefault="00D6430C" w:rsidP="00D6430C">
      <w:pPr>
        <w:spacing w:after="120"/>
        <w:jc w:val="both"/>
        <w:rPr>
          <w:i/>
          <w:iCs/>
        </w:rPr>
      </w:pPr>
      <w:r w:rsidRPr="00D6430C">
        <w:t xml:space="preserve">Bloomfield, R. J. (2002). The incomplete revelation hypothesis and financial reporting. </w:t>
      </w:r>
      <w:r w:rsidRPr="00D6430C">
        <w:rPr>
          <w:i/>
          <w:iCs/>
        </w:rPr>
        <w:t xml:space="preserve">Accounting </w:t>
      </w:r>
    </w:p>
    <w:p w14:paraId="23891FBE" w14:textId="77777777" w:rsidR="00D6430C" w:rsidRPr="00D6430C" w:rsidRDefault="00D6430C" w:rsidP="00D6430C">
      <w:pPr>
        <w:spacing w:after="120"/>
        <w:jc w:val="both"/>
      </w:pPr>
      <w:r>
        <w:rPr>
          <w:i/>
          <w:iCs/>
        </w:rPr>
        <w:t xml:space="preserve">          </w:t>
      </w:r>
      <w:r w:rsidRPr="00D6430C">
        <w:rPr>
          <w:i/>
          <w:iCs/>
        </w:rPr>
        <w:t>Horizons, 16</w:t>
      </w:r>
      <w:r w:rsidRPr="00D6430C">
        <w:t>(3), 233–243. https://doi.org/10.2308/acch.2002.16.3.233</w:t>
      </w:r>
    </w:p>
    <w:p w14:paraId="5E937052" w14:textId="77777777" w:rsidR="00D6430C" w:rsidRDefault="00D6430C" w:rsidP="00D6430C">
      <w:pPr>
        <w:spacing w:after="120"/>
        <w:jc w:val="both"/>
      </w:pPr>
      <w:r w:rsidRPr="00D6430C">
        <w:t xml:space="preserve">Dhaliwal, D. S., Li, O. Z., Tsang, A., &amp; Yang, Y. G. (2011). Voluntary nonfinancial disclosure and the cost </w:t>
      </w:r>
    </w:p>
    <w:p w14:paraId="5948F1BF" w14:textId="77777777" w:rsidR="00D6430C" w:rsidRPr="00D6430C" w:rsidRDefault="00D6430C" w:rsidP="00D6430C">
      <w:pPr>
        <w:spacing w:after="120"/>
        <w:jc w:val="both"/>
      </w:pPr>
      <w:r>
        <w:t xml:space="preserve">          </w:t>
      </w:r>
      <w:r w:rsidRPr="00D6430C">
        <w:t xml:space="preserve">of equity capital. </w:t>
      </w:r>
      <w:r w:rsidRPr="00D6430C">
        <w:rPr>
          <w:i/>
          <w:iCs/>
        </w:rPr>
        <w:t>The Accounting Review, 86</w:t>
      </w:r>
      <w:r w:rsidRPr="00D6430C">
        <w:t xml:space="preserve">(1), 59–100. </w:t>
      </w:r>
      <w:hyperlink r:id="rId7" w:tgtFrame="_new" w:history="1">
        <w:r w:rsidRPr="00D6430C">
          <w:rPr>
            <w:rStyle w:val="Hyperlink"/>
          </w:rPr>
          <w:t>https://doi.org/10.2308/accr.00000005</w:t>
        </w:r>
      </w:hyperlink>
    </w:p>
    <w:p w14:paraId="5E6F252B" w14:textId="77777777" w:rsidR="00D6430C" w:rsidRDefault="00D6430C" w:rsidP="00D6430C">
      <w:pPr>
        <w:spacing w:after="120"/>
        <w:jc w:val="both"/>
      </w:pPr>
      <w:r w:rsidRPr="00D6430C">
        <w:t xml:space="preserve">Dye, R. A. (1985). Disclosure of nonproprietary information. </w:t>
      </w:r>
      <w:r w:rsidRPr="00D6430C">
        <w:rPr>
          <w:i/>
          <w:iCs/>
        </w:rPr>
        <w:t>Journal of Accounting Research, 23</w:t>
      </w:r>
      <w:r w:rsidRPr="00D6430C">
        <w:t>(1), 123–</w:t>
      </w:r>
    </w:p>
    <w:p w14:paraId="68F1DB54" w14:textId="77777777" w:rsidR="00D6430C" w:rsidRPr="00D6430C" w:rsidRDefault="00D6430C" w:rsidP="00D6430C">
      <w:pPr>
        <w:spacing w:after="120"/>
        <w:jc w:val="both"/>
      </w:pPr>
      <w:r>
        <w:t xml:space="preserve">          </w:t>
      </w:r>
      <w:r w:rsidRPr="00D6430C">
        <w:t xml:space="preserve">145. </w:t>
      </w:r>
      <w:hyperlink r:id="rId8" w:tgtFrame="_new" w:history="1">
        <w:r w:rsidRPr="00D6430C">
          <w:rPr>
            <w:rStyle w:val="Hyperlink"/>
          </w:rPr>
          <w:t>https://doi.org/10.2307/2490910</w:t>
        </w:r>
      </w:hyperlink>
    </w:p>
    <w:p w14:paraId="21781742" w14:textId="77777777" w:rsidR="00D6430C" w:rsidRDefault="00D6430C" w:rsidP="00D6430C">
      <w:pPr>
        <w:spacing w:after="120"/>
        <w:jc w:val="both"/>
      </w:pPr>
      <w:r w:rsidRPr="00D6430C">
        <w:t xml:space="preserve">Dye, R. A. (1998). Investor sophistication and voluntary disclosures. </w:t>
      </w:r>
      <w:r w:rsidRPr="00D6430C">
        <w:rPr>
          <w:i/>
          <w:iCs/>
        </w:rPr>
        <w:t>Review of Accounting Studies, 3</w:t>
      </w:r>
      <w:r w:rsidRPr="00D6430C">
        <w:t xml:space="preserve">(3), </w:t>
      </w:r>
    </w:p>
    <w:p w14:paraId="17210E7A" w14:textId="77777777" w:rsidR="00D6430C" w:rsidRPr="00D6430C" w:rsidRDefault="00D6430C" w:rsidP="00D6430C">
      <w:pPr>
        <w:spacing w:after="120"/>
        <w:jc w:val="both"/>
      </w:pPr>
      <w:r>
        <w:t xml:space="preserve">          </w:t>
      </w:r>
      <w:r w:rsidRPr="00D6430C">
        <w:t>261–287. https://doi.org/10.1023/A:1009685509194</w:t>
      </w:r>
    </w:p>
    <w:p w14:paraId="6A352D71" w14:textId="77777777" w:rsidR="00D6430C" w:rsidRDefault="00D6430C" w:rsidP="00D6430C">
      <w:pPr>
        <w:spacing w:after="120"/>
        <w:jc w:val="both"/>
      </w:pPr>
      <w:r w:rsidRPr="00D6430C">
        <w:t xml:space="preserve">Grossman, S. J. (1981). The informational role of warranties and private disclosure about product quality. </w:t>
      </w:r>
    </w:p>
    <w:p w14:paraId="151D4110" w14:textId="77777777" w:rsidR="00D6430C" w:rsidRPr="00D6430C" w:rsidRDefault="00D6430C" w:rsidP="00D6430C">
      <w:pPr>
        <w:spacing w:after="120"/>
        <w:jc w:val="both"/>
      </w:pPr>
      <w:r>
        <w:t xml:space="preserve">          </w:t>
      </w:r>
      <w:r w:rsidRPr="00D6430C">
        <w:rPr>
          <w:i/>
          <w:iCs/>
        </w:rPr>
        <w:t>Journal of Law and Economics, 24</w:t>
      </w:r>
      <w:r w:rsidRPr="00D6430C">
        <w:t xml:space="preserve">(3), 461–483. </w:t>
      </w:r>
      <w:hyperlink r:id="rId9" w:tgtFrame="_new" w:history="1">
        <w:r w:rsidRPr="00D6430C">
          <w:rPr>
            <w:rStyle w:val="Hyperlink"/>
          </w:rPr>
          <w:t>https://doi.org/10.1086/466995</w:t>
        </w:r>
      </w:hyperlink>
    </w:p>
    <w:p w14:paraId="1E55C3B4" w14:textId="77777777" w:rsidR="00D6430C" w:rsidRDefault="00D6430C" w:rsidP="00D6430C">
      <w:pPr>
        <w:spacing w:after="120"/>
        <w:jc w:val="both"/>
      </w:pPr>
      <w:r w:rsidRPr="00D6430C">
        <w:t xml:space="preserve">Hirshleifer, D., &amp; Teoh, S. H. (2003). Limited attention, information disclosure, and financial reporting. </w:t>
      </w:r>
    </w:p>
    <w:p w14:paraId="5B418F67" w14:textId="77777777" w:rsidR="00D6430C" w:rsidRDefault="00D6430C" w:rsidP="00D6430C">
      <w:pPr>
        <w:spacing w:after="120"/>
        <w:jc w:val="both"/>
      </w:pPr>
      <w:r>
        <w:t xml:space="preserve">          </w:t>
      </w:r>
      <w:r w:rsidRPr="00D6430C">
        <w:rPr>
          <w:i/>
          <w:iCs/>
        </w:rPr>
        <w:t>Journal of Accounting and Economics, 36</w:t>
      </w:r>
      <w:r w:rsidRPr="00D6430C">
        <w:t xml:space="preserve">(1–3), 337–386. </w:t>
      </w:r>
    </w:p>
    <w:p w14:paraId="7D275967" w14:textId="77777777" w:rsidR="00D6430C" w:rsidRPr="00D6430C" w:rsidRDefault="00D6430C" w:rsidP="00D6430C">
      <w:pPr>
        <w:spacing w:after="120"/>
        <w:jc w:val="both"/>
      </w:pPr>
      <w:r>
        <w:t xml:space="preserve">          </w:t>
      </w:r>
      <w:r w:rsidRPr="00D6430C">
        <w:t>https://doi.org/10.1016/j.jacceco.2003.10.002</w:t>
      </w:r>
    </w:p>
    <w:p w14:paraId="699DAF57" w14:textId="77777777" w:rsidR="00D6430C" w:rsidRDefault="00D6430C" w:rsidP="00D6430C">
      <w:pPr>
        <w:spacing w:after="120"/>
        <w:jc w:val="both"/>
      </w:pPr>
      <w:r w:rsidRPr="00D6430C">
        <w:t xml:space="preserve">Hummel, K., &amp; Schlick, C. (2016). The relationship between sustainability performance and sustainability </w:t>
      </w:r>
    </w:p>
    <w:p w14:paraId="615C7E3C" w14:textId="77777777" w:rsidR="00D6430C" w:rsidRDefault="00D6430C" w:rsidP="00D6430C">
      <w:pPr>
        <w:spacing w:after="120"/>
        <w:jc w:val="both"/>
      </w:pPr>
      <w:r>
        <w:t xml:space="preserve">          </w:t>
      </w:r>
      <w:r w:rsidRPr="00D6430C">
        <w:t xml:space="preserve">disclosure. </w:t>
      </w:r>
      <w:r w:rsidRPr="00D6430C">
        <w:rPr>
          <w:i/>
          <w:iCs/>
        </w:rPr>
        <w:t>Journal of Accounting and Public Policy, 35</w:t>
      </w:r>
      <w:r w:rsidRPr="00D6430C">
        <w:t xml:space="preserve">(5), 455–476. </w:t>
      </w:r>
    </w:p>
    <w:p w14:paraId="3463B7A3" w14:textId="77777777" w:rsidR="00D6430C" w:rsidRPr="00D6430C" w:rsidRDefault="00D6430C" w:rsidP="00D6430C">
      <w:pPr>
        <w:spacing w:after="120"/>
        <w:jc w:val="both"/>
      </w:pPr>
      <w:r>
        <w:t xml:space="preserve">          </w:t>
      </w:r>
      <w:r w:rsidRPr="00D6430C">
        <w:t>https://doi.org/10.1016/j.jaccpubpol.2016.06.002</w:t>
      </w:r>
    </w:p>
    <w:p w14:paraId="7088BB02" w14:textId="77777777" w:rsidR="00D6430C" w:rsidRDefault="00D6430C" w:rsidP="00D6430C">
      <w:pPr>
        <w:spacing w:after="120"/>
        <w:jc w:val="both"/>
      </w:pPr>
      <w:r w:rsidRPr="00D6430C">
        <w:t xml:space="preserve">Jung, W. O., &amp; Kwon, Y. K. (1988). Disclosure when the market is unsure of information endowment of </w:t>
      </w:r>
    </w:p>
    <w:p w14:paraId="487B30EA" w14:textId="77777777" w:rsidR="00D6430C" w:rsidRPr="00D6430C" w:rsidRDefault="00D6430C" w:rsidP="00D6430C">
      <w:pPr>
        <w:spacing w:after="120"/>
        <w:jc w:val="both"/>
      </w:pPr>
      <w:r>
        <w:t xml:space="preserve">          </w:t>
      </w:r>
      <w:r w:rsidRPr="00D6430C">
        <w:t xml:space="preserve">managers. </w:t>
      </w:r>
      <w:r w:rsidRPr="00D6430C">
        <w:rPr>
          <w:i/>
          <w:iCs/>
        </w:rPr>
        <w:t>Journal of Accounting Research, 26</w:t>
      </w:r>
      <w:r w:rsidRPr="00D6430C">
        <w:t>(1), 146–153. https://doi.org/10.2307/2491175</w:t>
      </w:r>
    </w:p>
    <w:p w14:paraId="39105E25" w14:textId="77777777" w:rsidR="00D6430C" w:rsidRPr="00D6430C" w:rsidRDefault="00D6430C" w:rsidP="00D6430C">
      <w:pPr>
        <w:spacing w:after="120"/>
        <w:jc w:val="both"/>
      </w:pPr>
      <w:r w:rsidRPr="00D6430C">
        <w:t xml:space="preserve">KPMG. (2024). </w:t>
      </w:r>
      <w:r w:rsidRPr="00D6430C">
        <w:rPr>
          <w:i/>
          <w:iCs/>
        </w:rPr>
        <w:t>KPMG survey of sustainability reporting 2024</w:t>
      </w:r>
      <w:r w:rsidRPr="00D6430C">
        <w:t>. KPMG International.</w:t>
      </w:r>
    </w:p>
    <w:p w14:paraId="43F882D0" w14:textId="77777777" w:rsidR="00D6430C" w:rsidRDefault="00D6430C" w:rsidP="00D6430C">
      <w:pPr>
        <w:spacing w:after="120"/>
        <w:jc w:val="both"/>
        <w:rPr>
          <w:i/>
          <w:iCs/>
        </w:rPr>
      </w:pPr>
      <w:r w:rsidRPr="00D6430C">
        <w:t xml:space="preserve">Li, F. (2008). Annual report readability, current earnings, and earnings persistence. </w:t>
      </w:r>
      <w:r w:rsidRPr="00D6430C">
        <w:rPr>
          <w:i/>
          <w:iCs/>
        </w:rPr>
        <w:t xml:space="preserve">Journal of Accounting </w:t>
      </w:r>
    </w:p>
    <w:p w14:paraId="2FBF4971" w14:textId="77777777" w:rsidR="00D6430C" w:rsidRPr="00D6430C" w:rsidRDefault="00D6430C" w:rsidP="00D6430C">
      <w:pPr>
        <w:spacing w:after="120"/>
        <w:jc w:val="both"/>
      </w:pPr>
      <w:r>
        <w:rPr>
          <w:i/>
          <w:iCs/>
        </w:rPr>
        <w:t xml:space="preserve">          </w:t>
      </w:r>
      <w:r w:rsidRPr="00D6430C">
        <w:rPr>
          <w:i/>
          <w:iCs/>
        </w:rPr>
        <w:t>and Economics, 45</w:t>
      </w:r>
      <w:r w:rsidRPr="00D6430C">
        <w:t xml:space="preserve">(2–3), 221–247. </w:t>
      </w:r>
      <w:hyperlink r:id="rId10" w:tgtFrame="_new" w:history="1">
        <w:r w:rsidRPr="00D6430C">
          <w:rPr>
            <w:rStyle w:val="Hyperlink"/>
          </w:rPr>
          <w:t>https://doi.org/10.1016/j.jacceco.2008.02.003</w:t>
        </w:r>
      </w:hyperlink>
    </w:p>
    <w:p w14:paraId="587152C2" w14:textId="77777777" w:rsidR="00D6430C" w:rsidRDefault="00D6430C" w:rsidP="00D6430C">
      <w:pPr>
        <w:spacing w:after="120"/>
        <w:jc w:val="both"/>
        <w:rPr>
          <w:i/>
          <w:iCs/>
        </w:rPr>
      </w:pPr>
      <w:r w:rsidRPr="00D6430C">
        <w:t xml:space="preserve">Li, Y., Lu, M., &amp; Yu, F. (2023). Artificial intelligence and ESG investing. </w:t>
      </w:r>
      <w:r w:rsidRPr="00D6430C">
        <w:rPr>
          <w:i/>
          <w:iCs/>
        </w:rPr>
        <w:t xml:space="preserve">Journal of Financial and </w:t>
      </w:r>
    </w:p>
    <w:p w14:paraId="0E80CD19" w14:textId="77777777" w:rsidR="00D6430C" w:rsidRPr="00D6430C" w:rsidRDefault="00D6430C" w:rsidP="00D6430C">
      <w:pPr>
        <w:spacing w:after="120"/>
        <w:jc w:val="both"/>
      </w:pPr>
      <w:r>
        <w:rPr>
          <w:i/>
          <w:iCs/>
        </w:rPr>
        <w:t xml:space="preserve">          </w:t>
      </w:r>
      <w:r w:rsidRPr="00D6430C">
        <w:rPr>
          <w:i/>
          <w:iCs/>
        </w:rPr>
        <w:t>Quantitative Analysis</w:t>
      </w:r>
      <w:r w:rsidRPr="00D6430C">
        <w:t>. Advance online publication. https://doi.org/10.1017/</w:t>
      </w:r>
    </w:p>
    <w:p w14:paraId="7E48EBC7" w14:textId="77777777" w:rsidR="00D6430C" w:rsidRDefault="00D6430C" w:rsidP="00D6430C">
      <w:pPr>
        <w:spacing w:after="120"/>
        <w:jc w:val="both"/>
        <w:rPr>
          <w:i/>
          <w:iCs/>
        </w:rPr>
      </w:pPr>
      <w:r w:rsidRPr="00D6430C">
        <w:t xml:space="preserve">Milgrom, P. R. (1981). Good news and bad news: Representation theorems and applications. </w:t>
      </w:r>
      <w:r w:rsidRPr="00D6430C">
        <w:rPr>
          <w:i/>
          <w:iCs/>
        </w:rPr>
        <w:t xml:space="preserve">The Bell </w:t>
      </w:r>
    </w:p>
    <w:p w14:paraId="4E8A3E3C" w14:textId="77777777" w:rsidR="00D6430C" w:rsidRPr="00D6430C" w:rsidRDefault="00D6430C" w:rsidP="00D6430C">
      <w:pPr>
        <w:spacing w:after="120"/>
        <w:jc w:val="both"/>
      </w:pPr>
      <w:r>
        <w:rPr>
          <w:i/>
          <w:iCs/>
        </w:rPr>
        <w:t xml:space="preserve">          </w:t>
      </w:r>
      <w:r w:rsidRPr="00D6430C">
        <w:rPr>
          <w:i/>
          <w:iCs/>
        </w:rPr>
        <w:t>Journal of Economics, 12</w:t>
      </w:r>
      <w:r w:rsidRPr="00D6430C">
        <w:t>(2), 380–391. https://doi.org/10.2307/3003565</w:t>
      </w:r>
    </w:p>
    <w:p w14:paraId="288250E6" w14:textId="77777777" w:rsidR="00D6430C" w:rsidRDefault="00D6430C" w:rsidP="00D6430C">
      <w:pPr>
        <w:spacing w:after="120"/>
        <w:jc w:val="both"/>
        <w:rPr>
          <w:i/>
          <w:iCs/>
        </w:rPr>
      </w:pPr>
      <w:r w:rsidRPr="00D6430C">
        <w:t xml:space="preserve">Miller, B. P. (2010). The effects of reporting complexity on small and large investor trading. </w:t>
      </w:r>
      <w:r w:rsidRPr="00D6430C">
        <w:rPr>
          <w:i/>
          <w:iCs/>
        </w:rPr>
        <w:t xml:space="preserve">The </w:t>
      </w:r>
    </w:p>
    <w:p w14:paraId="2A665DE0" w14:textId="77777777" w:rsidR="00D6430C" w:rsidRPr="00D6430C" w:rsidRDefault="00D6430C" w:rsidP="00D6430C">
      <w:pPr>
        <w:spacing w:after="120"/>
        <w:jc w:val="both"/>
      </w:pPr>
      <w:r>
        <w:rPr>
          <w:i/>
          <w:iCs/>
        </w:rPr>
        <w:t xml:space="preserve">          </w:t>
      </w:r>
      <w:r w:rsidRPr="00D6430C">
        <w:rPr>
          <w:i/>
          <w:iCs/>
        </w:rPr>
        <w:t>Accounting Review, 85</w:t>
      </w:r>
      <w:r w:rsidRPr="00D6430C">
        <w:t xml:space="preserve">(6), 2107–2143. </w:t>
      </w:r>
      <w:hyperlink r:id="rId11" w:tgtFrame="_new" w:history="1">
        <w:r w:rsidRPr="00D6430C">
          <w:rPr>
            <w:rStyle w:val="Hyperlink"/>
          </w:rPr>
          <w:t>https://doi.org/10.2308/accr.00000001</w:t>
        </w:r>
      </w:hyperlink>
    </w:p>
    <w:p w14:paraId="342C1771" w14:textId="77777777" w:rsidR="00D6430C" w:rsidRDefault="00D6430C" w:rsidP="00D6430C">
      <w:pPr>
        <w:spacing w:after="120"/>
        <w:jc w:val="both"/>
      </w:pPr>
      <w:r w:rsidRPr="00D6430C">
        <w:t xml:space="preserve">Spence, M. (1973). Job market signaling. </w:t>
      </w:r>
      <w:r w:rsidRPr="00D6430C">
        <w:rPr>
          <w:i/>
          <w:iCs/>
        </w:rPr>
        <w:t>The Quarterly Journal of Economics, 87</w:t>
      </w:r>
      <w:r w:rsidRPr="00D6430C">
        <w:t xml:space="preserve">(3), 355–374. </w:t>
      </w:r>
    </w:p>
    <w:p w14:paraId="1A8C2551" w14:textId="77777777" w:rsidR="00D6430C" w:rsidRPr="00D6430C" w:rsidRDefault="00D6430C" w:rsidP="00D6430C">
      <w:pPr>
        <w:spacing w:after="120"/>
        <w:jc w:val="both"/>
      </w:pPr>
      <w:r>
        <w:t xml:space="preserve">          </w:t>
      </w:r>
      <w:hyperlink r:id="rId12" w:history="1">
        <w:r w:rsidRPr="00D6430C">
          <w:rPr>
            <w:rStyle w:val="Hyperlink"/>
          </w:rPr>
          <w:t>https://doi.org/10.2307/1882010</w:t>
        </w:r>
      </w:hyperlink>
    </w:p>
    <w:p w14:paraId="0D80510C" w14:textId="77777777" w:rsidR="00D6430C" w:rsidRDefault="00D6430C" w:rsidP="00D6430C">
      <w:pPr>
        <w:spacing w:after="120"/>
        <w:jc w:val="both"/>
      </w:pPr>
      <w:r w:rsidRPr="00D6430C">
        <w:t xml:space="preserve">Verrecchia, R. E. (1983). Discretionary disclosure. </w:t>
      </w:r>
      <w:r w:rsidRPr="00D6430C">
        <w:rPr>
          <w:i/>
          <w:iCs/>
        </w:rPr>
        <w:t>Journal of Accounting and Economics, 5</w:t>
      </w:r>
      <w:r w:rsidRPr="00D6430C">
        <w:t xml:space="preserve">, 179–194. </w:t>
      </w:r>
    </w:p>
    <w:p w14:paraId="0EB1EAD1" w14:textId="77777777" w:rsidR="00D6430C" w:rsidRPr="00D6430C" w:rsidRDefault="00D6430C" w:rsidP="00D6430C">
      <w:pPr>
        <w:spacing w:after="120"/>
        <w:jc w:val="both"/>
      </w:pPr>
      <w:r>
        <w:t xml:space="preserve">          </w:t>
      </w:r>
      <w:r w:rsidRPr="00D6430C">
        <w:t>https://doi.org/10.1016/0165-4101(83)90011-3</w:t>
      </w:r>
    </w:p>
    <w:p w14:paraId="5A8A02E8" w14:textId="77777777" w:rsidR="00BC1BBF" w:rsidRPr="00CC1E21" w:rsidRDefault="00BC1BBF" w:rsidP="00D6430C">
      <w:pPr>
        <w:spacing w:after="100"/>
        <w:ind w:left="720" w:hanging="720"/>
        <w:jc w:val="both"/>
      </w:pPr>
    </w:p>
    <w:sectPr w:rsidR="00BC1BBF" w:rsidRPr="00CC1E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64E6" w14:textId="77777777" w:rsidR="00E46902" w:rsidRDefault="00E46902">
      <w:r>
        <w:separator/>
      </w:r>
    </w:p>
  </w:endnote>
  <w:endnote w:type="continuationSeparator" w:id="0">
    <w:p w14:paraId="1EE4D8D6" w14:textId="77777777" w:rsidR="00E46902" w:rsidRDefault="00E4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6690" w14:textId="77777777" w:rsidR="00E46902" w:rsidRDefault="00E46902">
      <w:r>
        <w:separator/>
      </w:r>
    </w:p>
  </w:footnote>
  <w:footnote w:type="continuationSeparator" w:id="0">
    <w:p w14:paraId="2D635B9B" w14:textId="77777777" w:rsidR="00E46902" w:rsidRDefault="00E46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6D3"/>
    <w:multiLevelType w:val="hybridMultilevel"/>
    <w:tmpl w:val="858E057E"/>
    <w:lvl w:ilvl="0" w:tplc="1D4A0BCE">
      <w:start w:val="1"/>
      <w:numFmt w:val="bullet"/>
      <w:lvlText w:val="•"/>
      <w:lvlJc w:val="left"/>
      <w:pPr>
        <w:ind w:left="720" w:hanging="360"/>
      </w:pPr>
    </w:lvl>
    <w:lvl w:ilvl="1" w:tplc="5CC8C582">
      <w:numFmt w:val="decimal"/>
      <w:lvlText w:val=""/>
      <w:lvlJc w:val="left"/>
    </w:lvl>
    <w:lvl w:ilvl="2" w:tplc="9664EFBE">
      <w:numFmt w:val="decimal"/>
      <w:lvlText w:val=""/>
      <w:lvlJc w:val="left"/>
    </w:lvl>
    <w:lvl w:ilvl="3" w:tplc="105AA51C">
      <w:numFmt w:val="decimal"/>
      <w:lvlText w:val=""/>
      <w:lvlJc w:val="left"/>
    </w:lvl>
    <w:lvl w:ilvl="4" w:tplc="B700F8AA">
      <w:numFmt w:val="decimal"/>
      <w:lvlText w:val=""/>
      <w:lvlJc w:val="left"/>
    </w:lvl>
    <w:lvl w:ilvl="5" w:tplc="56B60968">
      <w:numFmt w:val="decimal"/>
      <w:lvlText w:val=""/>
      <w:lvlJc w:val="left"/>
    </w:lvl>
    <w:lvl w:ilvl="6" w:tplc="2E32A4F0">
      <w:numFmt w:val="decimal"/>
      <w:lvlText w:val=""/>
      <w:lvlJc w:val="left"/>
    </w:lvl>
    <w:lvl w:ilvl="7" w:tplc="3318A882">
      <w:numFmt w:val="decimal"/>
      <w:lvlText w:val=""/>
      <w:lvlJc w:val="left"/>
    </w:lvl>
    <w:lvl w:ilvl="8" w:tplc="0A2EFEC0">
      <w:numFmt w:val="decimal"/>
      <w:lvlText w:val=""/>
      <w:lvlJc w:val="left"/>
    </w:lvl>
  </w:abstractNum>
  <w:abstractNum w:abstractNumId="1" w15:restartNumberingAfterBreak="0">
    <w:nsid w:val="43FB2B84"/>
    <w:multiLevelType w:val="hybridMultilevel"/>
    <w:tmpl w:val="A2DC6074"/>
    <w:lvl w:ilvl="0" w:tplc="3D64823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92F54"/>
    <w:multiLevelType w:val="hybridMultilevel"/>
    <w:tmpl w:val="3D9C1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F37A9"/>
    <w:multiLevelType w:val="hybridMultilevel"/>
    <w:tmpl w:val="16005CFC"/>
    <w:lvl w:ilvl="0" w:tplc="8D6A91A6">
      <w:start w:val="1"/>
      <w:numFmt w:val="bullet"/>
      <w:lvlText w:val="●"/>
      <w:lvlJc w:val="left"/>
      <w:pPr>
        <w:ind w:left="720" w:hanging="360"/>
      </w:pPr>
    </w:lvl>
    <w:lvl w:ilvl="1" w:tplc="FB7C6312">
      <w:start w:val="1"/>
      <w:numFmt w:val="bullet"/>
      <w:lvlText w:val="○"/>
      <w:lvlJc w:val="left"/>
      <w:pPr>
        <w:ind w:left="1440" w:hanging="360"/>
      </w:pPr>
    </w:lvl>
    <w:lvl w:ilvl="2" w:tplc="140C9852">
      <w:start w:val="1"/>
      <w:numFmt w:val="bullet"/>
      <w:lvlText w:val="■"/>
      <w:lvlJc w:val="left"/>
      <w:pPr>
        <w:ind w:left="2160" w:hanging="360"/>
      </w:pPr>
    </w:lvl>
    <w:lvl w:ilvl="3" w:tplc="080AD3E2">
      <w:start w:val="1"/>
      <w:numFmt w:val="bullet"/>
      <w:lvlText w:val="●"/>
      <w:lvlJc w:val="left"/>
      <w:pPr>
        <w:ind w:left="2880" w:hanging="360"/>
      </w:pPr>
    </w:lvl>
    <w:lvl w:ilvl="4" w:tplc="2746261E">
      <w:start w:val="1"/>
      <w:numFmt w:val="bullet"/>
      <w:lvlText w:val="○"/>
      <w:lvlJc w:val="left"/>
      <w:pPr>
        <w:ind w:left="3600" w:hanging="360"/>
      </w:pPr>
    </w:lvl>
    <w:lvl w:ilvl="5" w:tplc="D442606C">
      <w:start w:val="1"/>
      <w:numFmt w:val="bullet"/>
      <w:lvlText w:val="■"/>
      <w:lvlJc w:val="left"/>
      <w:pPr>
        <w:ind w:left="4320" w:hanging="360"/>
      </w:pPr>
    </w:lvl>
    <w:lvl w:ilvl="6" w:tplc="6F00BAD6">
      <w:start w:val="1"/>
      <w:numFmt w:val="bullet"/>
      <w:lvlText w:val="●"/>
      <w:lvlJc w:val="left"/>
      <w:pPr>
        <w:ind w:left="5040" w:hanging="360"/>
      </w:pPr>
    </w:lvl>
    <w:lvl w:ilvl="7" w:tplc="2766FB3C">
      <w:start w:val="1"/>
      <w:numFmt w:val="bullet"/>
      <w:lvlText w:val="●"/>
      <w:lvlJc w:val="left"/>
      <w:pPr>
        <w:ind w:left="5760" w:hanging="360"/>
      </w:pPr>
    </w:lvl>
    <w:lvl w:ilvl="8" w:tplc="EF8A393C">
      <w:start w:val="1"/>
      <w:numFmt w:val="bullet"/>
      <w:lvlText w:val="●"/>
      <w:lvlJc w:val="left"/>
      <w:pPr>
        <w:ind w:left="6480" w:hanging="360"/>
      </w:pPr>
    </w:lvl>
  </w:abstractNum>
  <w:abstractNum w:abstractNumId="4" w15:restartNumberingAfterBreak="0">
    <w:nsid w:val="544C2195"/>
    <w:multiLevelType w:val="multilevel"/>
    <w:tmpl w:val="092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13049">
    <w:abstractNumId w:val="3"/>
    <w:lvlOverride w:ilvl="0">
      <w:startOverride w:val="1"/>
    </w:lvlOverride>
  </w:num>
  <w:num w:numId="2" w16cid:durableId="917716290">
    <w:abstractNumId w:val="1"/>
  </w:num>
  <w:num w:numId="3" w16cid:durableId="157232118">
    <w:abstractNumId w:val="2"/>
  </w:num>
  <w:num w:numId="4" w16cid:durableId="2117212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BF"/>
    <w:rsid w:val="00006322"/>
    <w:rsid w:val="00025D4E"/>
    <w:rsid w:val="001B2930"/>
    <w:rsid w:val="002227D3"/>
    <w:rsid w:val="00236A24"/>
    <w:rsid w:val="00267C90"/>
    <w:rsid w:val="00315DB6"/>
    <w:rsid w:val="00444380"/>
    <w:rsid w:val="00472F19"/>
    <w:rsid w:val="004C039E"/>
    <w:rsid w:val="00521713"/>
    <w:rsid w:val="00524C95"/>
    <w:rsid w:val="005305E6"/>
    <w:rsid w:val="006E7C82"/>
    <w:rsid w:val="007E4B5E"/>
    <w:rsid w:val="008323F2"/>
    <w:rsid w:val="00AD104B"/>
    <w:rsid w:val="00B91D0F"/>
    <w:rsid w:val="00BA7A02"/>
    <w:rsid w:val="00BC1BBF"/>
    <w:rsid w:val="00CA3F78"/>
    <w:rsid w:val="00CC1E21"/>
    <w:rsid w:val="00D6430C"/>
    <w:rsid w:val="00E46902"/>
    <w:rsid w:val="00F20C8E"/>
    <w:rsid w:val="00F43369"/>
    <w:rsid w:val="00F6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C7B47"/>
  <w15:docId w15:val="{9195700F-EA95-4667-A1F9-CB31F851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11111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pPr>
      <w:spacing w:before="360" w:after="180"/>
      <w:outlineLvl w:val="0"/>
    </w:pPr>
    <w:rPr>
      <w:b/>
      <w:bCs/>
      <w:sz w:val="26"/>
      <w:szCs w:val="26"/>
    </w:rPr>
  </w:style>
  <w:style w:type="paragraph" w:styleId="Heading2">
    <w:name w:val="heading 2"/>
    <w:pPr>
      <w:spacing w:before="240" w:after="120"/>
      <w:outlineLvl w:val="1"/>
    </w:pPr>
    <w:rPr>
      <w:b/>
      <w:bCs/>
      <w:i/>
      <w:iCs/>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C1E21"/>
    <w:pPr>
      <w:tabs>
        <w:tab w:val="center" w:pos="4680"/>
        <w:tab w:val="right" w:pos="9360"/>
      </w:tabs>
    </w:pPr>
  </w:style>
  <w:style w:type="character" w:customStyle="1" w:styleId="HeaderChar">
    <w:name w:val="Header Char"/>
    <w:basedOn w:val="DefaultParagraphFont"/>
    <w:link w:val="Header"/>
    <w:uiPriority w:val="99"/>
    <w:rsid w:val="00CC1E21"/>
  </w:style>
  <w:style w:type="paragraph" w:styleId="Footer">
    <w:name w:val="footer"/>
    <w:basedOn w:val="Normal"/>
    <w:link w:val="FooterChar"/>
    <w:uiPriority w:val="99"/>
    <w:unhideWhenUsed/>
    <w:rsid w:val="00CC1E21"/>
    <w:pPr>
      <w:tabs>
        <w:tab w:val="center" w:pos="4680"/>
        <w:tab w:val="right" w:pos="9360"/>
      </w:tabs>
    </w:pPr>
  </w:style>
  <w:style w:type="character" w:customStyle="1" w:styleId="FooterChar">
    <w:name w:val="Footer Char"/>
    <w:basedOn w:val="DefaultParagraphFont"/>
    <w:link w:val="Footer"/>
    <w:uiPriority w:val="99"/>
    <w:rsid w:val="00CC1E21"/>
  </w:style>
  <w:style w:type="character" w:styleId="UnresolvedMention">
    <w:name w:val="Unresolved Mention"/>
    <w:basedOn w:val="DefaultParagraphFont"/>
    <w:uiPriority w:val="99"/>
    <w:semiHidden/>
    <w:unhideWhenUsed/>
    <w:rsid w:val="00D6430C"/>
    <w:rPr>
      <w:color w:val="605E5C"/>
      <w:shd w:val="clear" w:color="auto" w:fill="E1DFDD"/>
    </w:rPr>
  </w:style>
  <w:style w:type="character" w:styleId="FollowedHyperlink">
    <w:name w:val="FollowedHyperlink"/>
    <w:basedOn w:val="DefaultParagraphFont"/>
    <w:uiPriority w:val="99"/>
    <w:semiHidden/>
    <w:unhideWhenUsed/>
    <w:rsid w:val="00D64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07/24909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308/accr.00000005" TargetMode="External"/><Relationship Id="rId12" Type="http://schemas.openxmlformats.org/officeDocument/2006/relationships/hyperlink" Target="https://doi.org/10.2307/1882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8/accr.00000001" TargetMode="External"/><Relationship Id="rId5" Type="http://schemas.openxmlformats.org/officeDocument/2006/relationships/footnotes" Target="footnotes.xml"/><Relationship Id="rId10" Type="http://schemas.openxmlformats.org/officeDocument/2006/relationships/hyperlink" Target="https://doi.org/10.1016/j.jacceco.2008.02.003" TargetMode="External"/><Relationship Id="rId4" Type="http://schemas.openxmlformats.org/officeDocument/2006/relationships/webSettings" Target="webSettings.xml"/><Relationship Id="rId9" Type="http://schemas.openxmlformats.org/officeDocument/2006/relationships/hyperlink" Target="https://doi.org/10.1086/4669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2026-03-17T15:34:00Z</dcterms:created>
  <dcterms:modified xsi:type="dcterms:W3CDTF">2026-03-18T06:13:00Z</dcterms:modified>
</cp:coreProperties>
</file>