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BC832" w14:textId="40194A9D" w:rsidR="00021B36" w:rsidRDefault="006E711F" w:rsidP="00411EA9">
      <w:pPr>
        <w:spacing w:after="0" w:line="240" w:lineRule="auto"/>
        <w:jc w:val="center"/>
        <w:rPr>
          <w:rFonts w:ascii="Times New Roman" w:eastAsia="Times New Roman" w:hAnsi="Times New Roman" w:cs="Times New Roman"/>
          <w:b/>
          <w:bCs/>
          <w:color w:val="000000"/>
          <w:kern w:val="0"/>
          <w14:ligatures w14:val="none"/>
        </w:rPr>
      </w:pPr>
      <w:r w:rsidRPr="00411EA9">
        <w:rPr>
          <w:rFonts w:ascii="Times New Roman" w:eastAsia="Times New Roman" w:hAnsi="Times New Roman" w:cs="Times New Roman"/>
          <w:b/>
          <w:bCs/>
          <w:color w:val="000000"/>
          <w:kern w:val="0"/>
          <w14:ligatures w14:val="none"/>
        </w:rPr>
        <w:t>MAPPING THE LANDSCAPE OF ARTIFICIAL INTELLIGENCE IN</w:t>
      </w:r>
      <w:r w:rsidR="00021B36" w:rsidRPr="00411EA9">
        <w:rPr>
          <w:rFonts w:ascii="Times New Roman" w:eastAsia="Times New Roman" w:hAnsi="Times New Roman" w:cs="Times New Roman"/>
          <w:b/>
          <w:bCs/>
          <w:color w:val="000000"/>
          <w:kern w:val="0"/>
          <w14:ligatures w14:val="none"/>
        </w:rPr>
        <w:t xml:space="preserve"> </w:t>
      </w:r>
      <w:r w:rsidR="0094684E" w:rsidRPr="00411EA9">
        <w:rPr>
          <w:rFonts w:ascii="Times New Roman" w:eastAsia="Times New Roman" w:hAnsi="Times New Roman" w:cs="Times New Roman"/>
          <w:b/>
          <w:bCs/>
          <w:color w:val="000000"/>
          <w:kern w:val="0"/>
          <w14:ligatures w14:val="none"/>
        </w:rPr>
        <w:t>PHARMACY</w:t>
      </w:r>
      <w:r w:rsidR="00021B36" w:rsidRPr="00411EA9">
        <w:rPr>
          <w:rFonts w:ascii="Times New Roman" w:eastAsia="Times New Roman" w:hAnsi="Times New Roman" w:cs="Times New Roman"/>
          <w:b/>
          <w:bCs/>
          <w:color w:val="000000"/>
          <w:kern w:val="0"/>
          <w14:ligatures w14:val="none"/>
        </w:rPr>
        <w:t xml:space="preserve"> </w:t>
      </w:r>
      <w:r w:rsidRPr="00411EA9">
        <w:rPr>
          <w:rFonts w:ascii="Times New Roman" w:eastAsia="Times New Roman" w:hAnsi="Times New Roman" w:cs="Times New Roman"/>
          <w:b/>
          <w:bCs/>
          <w:color w:val="000000"/>
          <w:kern w:val="0"/>
          <w14:ligatures w14:val="none"/>
        </w:rPr>
        <w:t>PRACTICE: A BIBLIOMETRIC AND SCIENCE</w:t>
      </w:r>
      <w:r w:rsidR="00021B36" w:rsidRPr="00411EA9">
        <w:rPr>
          <w:rFonts w:ascii="Times New Roman" w:eastAsia="Times New Roman" w:hAnsi="Times New Roman" w:cs="Times New Roman"/>
          <w:b/>
          <w:bCs/>
          <w:color w:val="000000"/>
          <w:kern w:val="0"/>
          <w14:ligatures w14:val="none"/>
        </w:rPr>
        <w:t xml:space="preserve"> </w:t>
      </w:r>
      <w:r w:rsidRPr="00411EA9">
        <w:rPr>
          <w:rFonts w:ascii="Times New Roman" w:eastAsia="Times New Roman" w:hAnsi="Times New Roman" w:cs="Times New Roman"/>
          <w:b/>
          <w:bCs/>
          <w:color w:val="000000"/>
          <w:kern w:val="0"/>
          <w14:ligatures w14:val="none"/>
        </w:rPr>
        <w:t>MAPPING ANALYSIS</w:t>
      </w:r>
      <w:r w:rsidR="00021B36" w:rsidRPr="00411EA9">
        <w:rPr>
          <w:rFonts w:ascii="Times New Roman" w:eastAsia="Times New Roman" w:hAnsi="Times New Roman" w:cs="Times New Roman"/>
          <w:b/>
          <w:bCs/>
          <w:color w:val="000000"/>
          <w:kern w:val="0"/>
          <w14:ligatures w14:val="none"/>
        </w:rPr>
        <w:t xml:space="preserve"> </w:t>
      </w:r>
      <w:r w:rsidR="007C617B">
        <w:rPr>
          <w:rFonts w:ascii="Times New Roman" w:eastAsia="Times New Roman" w:hAnsi="Times New Roman" w:cs="Times New Roman"/>
          <w:b/>
          <w:bCs/>
          <w:color w:val="000000"/>
          <w:kern w:val="0"/>
          <w14:ligatures w14:val="none"/>
        </w:rPr>
        <w:t>(2020–2025)</w:t>
      </w:r>
    </w:p>
    <w:p w14:paraId="6301560F" w14:textId="77777777" w:rsidR="00411EA9" w:rsidRPr="00411EA9" w:rsidRDefault="00411EA9" w:rsidP="00411EA9">
      <w:pPr>
        <w:spacing w:after="0" w:line="240" w:lineRule="auto"/>
        <w:jc w:val="center"/>
        <w:rPr>
          <w:rFonts w:ascii="Times New Roman" w:eastAsia="Times New Roman" w:hAnsi="Times New Roman" w:cs="Times New Roman"/>
          <w:b/>
          <w:bCs/>
          <w:color w:val="000000"/>
          <w:kern w:val="0"/>
          <w14:ligatures w14:val="none"/>
        </w:rPr>
      </w:pPr>
    </w:p>
    <w:p w14:paraId="6ECC7754" w14:textId="2C646091" w:rsidR="00411EA9" w:rsidRDefault="00021B36" w:rsidP="00411EA9">
      <w:pPr>
        <w:spacing w:line="480" w:lineRule="auto"/>
        <w:jc w:val="both"/>
        <w:rPr>
          <w:rFonts w:ascii="Times New Roman" w:hAnsi="Times New Roman" w:cs="Times New Roman"/>
          <w:b/>
          <w:bCs/>
        </w:rPr>
      </w:pPr>
      <w:bookmarkStart w:id="0" w:name="_GoBack"/>
      <w:bookmarkEnd w:id="0"/>
      <w:r w:rsidRPr="00411EA9">
        <w:rPr>
          <w:rFonts w:ascii="Times New Roman" w:hAnsi="Times New Roman" w:cs="Times New Roman"/>
          <w:b/>
          <w:bCs/>
        </w:rPr>
        <w:t>Abstract</w:t>
      </w:r>
    </w:p>
    <w:p w14:paraId="2D8AF645" w14:textId="77777777" w:rsidR="00790D8B" w:rsidRDefault="00790D8B" w:rsidP="00790D8B">
      <w:pPr>
        <w:pStyle w:val="my-2"/>
        <w:ind w:firstLine="720"/>
        <w:jc w:val="both"/>
        <w:rPr>
          <w:color w:val="000000"/>
        </w:rPr>
      </w:pPr>
      <w:r>
        <w:rPr>
          <w:color w:val="000000"/>
        </w:rPr>
        <w:t>Artificial intelligence (AI) has emerged as a transformative force in pharmacy practice, with applications spanning clinical decision support, medication error detection, adverse drug reaction prediction, and patient adherence support. Despite a rapidly growing body of primary literature, no comprehensive bibliometric analysis has mapped the intellectual structure, publication trends, and research gaps of AI within pharmacy practice settings. This study characterized the growth trajectory of AI-pharmacy research from 2020 to 2025, identified the most productive countries, institutions, authors, and journals, and mapped thematic trends and regional disparities. A bibliometric and science mapping analysis was conducted using publications retrieved from Scopus and Web of Science Core Collection, analyzed through Bibliometrix and VOSviewer using co-authorship, co-citation, bibliographic coupling, and keyword co-occurrence analyses. Qualitative thematic analysis was also performed. A total of 1,609 publications were included. Annual output grew exponentially from 113 in 2020 to 582 in 2025, with 61.03% of publications concentrated in 2024–2025. The United States (28.17%) and China (23.90%) accounted for 52.07% of global output; no low- or middle-income country (LMIC) or Southeast Asian nation appeared among the top ten contributors. Frontiers in Pharmacology was the most productive journal (n = 143). Thematic analysis identified four themes: transformation of pharmacy practice through AI, external drivers and contextual pressures, evidence gaps and need for mapping, and inequities and underrepresentation. AI-pharmacy research is expanding rapidly but remains concentrated in high-income nations. The surge in generative AI publications since 2024 underscores the urgency of systematic mapping to guide research investment, policy, and pharmacy education — particularly in resource-constrained settings.</w:t>
      </w:r>
    </w:p>
    <w:p w14:paraId="44395133" w14:textId="77777777" w:rsidR="00790D8B" w:rsidRPr="00790D8B" w:rsidRDefault="00790D8B" w:rsidP="00790D8B">
      <w:pPr>
        <w:pStyle w:val="my-2"/>
        <w:jc w:val="both"/>
        <w:rPr>
          <w:i/>
          <w:iCs/>
          <w:color w:val="000000"/>
        </w:rPr>
      </w:pPr>
      <w:r>
        <w:rPr>
          <w:rStyle w:val="Strong"/>
          <w:color w:val="000000"/>
        </w:rPr>
        <w:t>Keywords:</w:t>
      </w:r>
      <w:r>
        <w:rPr>
          <w:rStyle w:val="apple-converted-space"/>
          <w:color w:val="000000"/>
        </w:rPr>
        <w:t> </w:t>
      </w:r>
      <w:r w:rsidRPr="00790D8B">
        <w:rPr>
          <w:i/>
          <w:iCs/>
          <w:color w:val="000000"/>
        </w:rPr>
        <w:t>artificial intelligence; pharmacy practice; bibliometric analysis; science mapping; large language models; medication safety; antimicrobial stewardship; VOSviewer; Bibliometrix; low- and middle-income countries</w:t>
      </w:r>
    </w:p>
    <w:p w14:paraId="2D63E9A1" w14:textId="77777777" w:rsidR="00790D8B" w:rsidRDefault="00790D8B" w:rsidP="00411EA9">
      <w:pPr>
        <w:spacing w:line="240" w:lineRule="auto"/>
        <w:jc w:val="both"/>
        <w:rPr>
          <w:rFonts w:ascii="Times New Roman" w:hAnsi="Times New Roman" w:cs="Times New Roman"/>
          <w:b/>
          <w:bCs/>
        </w:rPr>
      </w:pPr>
    </w:p>
    <w:p w14:paraId="2D7DC058" w14:textId="77777777" w:rsidR="00790D8B" w:rsidRDefault="00790D8B" w:rsidP="00411EA9">
      <w:pPr>
        <w:spacing w:line="240" w:lineRule="auto"/>
        <w:jc w:val="both"/>
        <w:rPr>
          <w:rFonts w:ascii="Times New Roman" w:hAnsi="Times New Roman" w:cs="Times New Roman"/>
          <w:b/>
          <w:bCs/>
        </w:rPr>
      </w:pPr>
    </w:p>
    <w:p w14:paraId="1A8214C7" w14:textId="77777777" w:rsidR="00790D8B" w:rsidRDefault="00790D8B" w:rsidP="00411EA9">
      <w:pPr>
        <w:spacing w:line="240" w:lineRule="auto"/>
        <w:jc w:val="both"/>
        <w:rPr>
          <w:rFonts w:ascii="Times New Roman" w:hAnsi="Times New Roman" w:cs="Times New Roman"/>
          <w:b/>
          <w:bCs/>
        </w:rPr>
      </w:pPr>
    </w:p>
    <w:p w14:paraId="0FB60B6E" w14:textId="77777777" w:rsidR="00790D8B" w:rsidRDefault="00790D8B" w:rsidP="00411EA9">
      <w:pPr>
        <w:spacing w:line="240" w:lineRule="auto"/>
        <w:jc w:val="both"/>
        <w:rPr>
          <w:rFonts w:ascii="Times New Roman" w:hAnsi="Times New Roman" w:cs="Times New Roman"/>
          <w:b/>
          <w:bCs/>
        </w:rPr>
      </w:pPr>
    </w:p>
    <w:p w14:paraId="3AE1CECF" w14:textId="77777777" w:rsidR="00790D8B" w:rsidRDefault="00790D8B" w:rsidP="00411EA9">
      <w:pPr>
        <w:spacing w:line="240" w:lineRule="auto"/>
        <w:jc w:val="both"/>
        <w:rPr>
          <w:rFonts w:ascii="Times New Roman" w:hAnsi="Times New Roman" w:cs="Times New Roman"/>
          <w:b/>
          <w:bCs/>
        </w:rPr>
      </w:pPr>
    </w:p>
    <w:p w14:paraId="1DBE6639" w14:textId="77777777" w:rsidR="00790D8B" w:rsidRDefault="00790D8B" w:rsidP="00411EA9">
      <w:pPr>
        <w:spacing w:line="240" w:lineRule="auto"/>
        <w:jc w:val="both"/>
        <w:rPr>
          <w:rFonts w:ascii="Times New Roman" w:hAnsi="Times New Roman" w:cs="Times New Roman"/>
          <w:b/>
          <w:bCs/>
        </w:rPr>
      </w:pPr>
    </w:p>
    <w:p w14:paraId="14092490" w14:textId="03C7A981" w:rsidR="003069F2" w:rsidRPr="00411EA9" w:rsidRDefault="00411EA9" w:rsidP="00411EA9">
      <w:pPr>
        <w:spacing w:line="240" w:lineRule="auto"/>
        <w:jc w:val="both"/>
        <w:rPr>
          <w:rFonts w:ascii="Times New Roman" w:hAnsi="Times New Roman" w:cs="Times New Roman"/>
          <w:b/>
          <w:bCs/>
        </w:rPr>
      </w:pPr>
      <w:r>
        <w:rPr>
          <w:rFonts w:ascii="Times New Roman" w:hAnsi="Times New Roman" w:cs="Times New Roman"/>
          <w:b/>
          <w:bCs/>
        </w:rPr>
        <w:t xml:space="preserve">1.0 </w:t>
      </w:r>
      <w:r w:rsidR="00D9459A" w:rsidRPr="00411EA9">
        <w:rPr>
          <w:rFonts w:ascii="Times New Roman" w:hAnsi="Times New Roman" w:cs="Times New Roman"/>
          <w:b/>
          <w:bCs/>
        </w:rPr>
        <w:t>Introduction</w:t>
      </w:r>
    </w:p>
    <w:p w14:paraId="06518DB7" w14:textId="2A081B39" w:rsidR="006E711F" w:rsidRPr="00411EA9" w:rsidRDefault="006E711F" w:rsidP="003069F2">
      <w:pPr>
        <w:spacing w:line="480" w:lineRule="auto"/>
        <w:ind w:firstLine="360"/>
        <w:jc w:val="both"/>
        <w:rPr>
          <w:rFonts w:ascii="Times New Roman" w:hAnsi="Times New Roman" w:cs="Times New Roman"/>
          <w:b/>
          <w:bCs/>
        </w:rPr>
      </w:pPr>
      <w:r w:rsidRPr="00411EA9">
        <w:rPr>
          <w:rFonts w:ascii="Times New Roman" w:hAnsi="Times New Roman" w:cs="Times New Roman"/>
          <w:color w:val="000000"/>
        </w:rPr>
        <w:lastRenderedPageBreak/>
        <w:t xml:space="preserve">Artificial Intelligence (AI) has become an innovative technology which impacts how </w:t>
      </w:r>
      <w:r w:rsidR="00DD5802" w:rsidRPr="00411EA9">
        <w:rPr>
          <w:rFonts w:ascii="Times New Roman" w:hAnsi="Times New Roman" w:cs="Times New Roman"/>
          <w:color w:val="000000"/>
        </w:rPr>
        <w:t>pharmacy practice</w:t>
      </w:r>
      <w:r w:rsidRPr="00411EA9">
        <w:rPr>
          <w:rFonts w:ascii="Times New Roman" w:hAnsi="Times New Roman" w:cs="Times New Roman"/>
          <w:color w:val="000000"/>
        </w:rPr>
        <w:t xml:space="preserve"> is done today. It will be used for clinical decision support, detecting errors, predicting adverse drug reactions, and managing patients’ medications based on their individual needs. Clinical Decision Support Systems (CDSSs) utilize machine learning and large amounts of data about healthcare to provide </w:t>
      </w:r>
      <w:r w:rsidR="00DD5802" w:rsidRPr="00411EA9">
        <w:rPr>
          <w:rFonts w:ascii="Times New Roman" w:hAnsi="Times New Roman" w:cs="Times New Roman"/>
          <w:color w:val="000000"/>
        </w:rPr>
        <w:t>pharmacists</w:t>
      </w:r>
      <w:r w:rsidRPr="00411EA9">
        <w:rPr>
          <w:rFonts w:ascii="Times New Roman" w:hAnsi="Times New Roman" w:cs="Times New Roman"/>
          <w:color w:val="000000"/>
        </w:rPr>
        <w:t xml:space="preserve"> with real-time information to help identify potential risks when writing a prescription, prevent drug-drug interaction issues and optimize patients’ medication regimens.</w:t>
      </w:r>
    </w:p>
    <w:p w14:paraId="01B66566" w14:textId="073EFB8B" w:rsidR="006E711F" w:rsidRPr="00411EA9" w:rsidRDefault="006E711F" w:rsidP="003069F2">
      <w:pPr>
        <w:pStyle w:val="NormalWeb"/>
        <w:spacing w:line="480" w:lineRule="auto"/>
        <w:ind w:firstLine="360"/>
        <w:jc w:val="both"/>
        <w:rPr>
          <w:color w:val="000000"/>
        </w:rPr>
      </w:pPr>
      <w:r w:rsidRPr="00411EA9">
        <w:rPr>
          <w:color w:val="000000"/>
        </w:rPr>
        <w:t xml:space="preserve">In addition to clinical </w:t>
      </w:r>
      <w:r w:rsidR="00DD5802" w:rsidRPr="00411EA9">
        <w:rPr>
          <w:color w:val="000000"/>
        </w:rPr>
        <w:t>pharmacy</w:t>
      </w:r>
      <w:r w:rsidRPr="00411EA9">
        <w:rPr>
          <w:color w:val="000000"/>
        </w:rPr>
        <w:t xml:space="preserve">, AI has also been used for other aspects of </w:t>
      </w:r>
      <w:r w:rsidR="00DD5802" w:rsidRPr="00411EA9">
        <w:rPr>
          <w:color w:val="000000"/>
        </w:rPr>
        <w:t>pharmacy practice</w:t>
      </w:r>
      <w:r w:rsidRPr="00411EA9">
        <w:rPr>
          <w:color w:val="000000"/>
        </w:rPr>
        <w:t xml:space="preserve"> such as identifying adverse drug reactions, verifying the accuracy of prescriptions, performing </w:t>
      </w:r>
      <w:r w:rsidR="00DD5802" w:rsidRPr="00411EA9">
        <w:rPr>
          <w:color w:val="000000"/>
        </w:rPr>
        <w:t>pharmacometrics</w:t>
      </w:r>
      <w:r w:rsidRPr="00411EA9">
        <w:rPr>
          <w:color w:val="000000"/>
        </w:rPr>
        <w:t xml:space="preserve"> modeling, and providing medication therapy management. For example, the ChatGPT 4.0 model demonstrated a 100% accuracy in identifying drug-drug interactions across 45 complex patient cases (Alqahtani et al., 2025). Outside of clinical </w:t>
      </w:r>
      <w:r w:rsidR="00DD5802" w:rsidRPr="00411EA9">
        <w:rPr>
          <w:color w:val="000000"/>
        </w:rPr>
        <w:t>pharmacy</w:t>
      </w:r>
      <w:r w:rsidRPr="00411EA9">
        <w:rPr>
          <w:color w:val="000000"/>
        </w:rPr>
        <w:t xml:space="preserve">, AI has been utilized in the form of chatbots and mobile apps to improve patients' medication adherence. One randomized study found that patients who were being monitored by an AI platform had a 67% higher level of drug adherence than those receiving traditional care (Reis et al., 2025; Babel et al., 2021). Since the late 2022 public release of Large Language Models (LLMs), this area of </w:t>
      </w:r>
      <w:r w:rsidR="00DD5802" w:rsidRPr="00411EA9">
        <w:rPr>
          <w:color w:val="000000"/>
        </w:rPr>
        <w:t>pharmacy practice</w:t>
      </w:r>
      <w:r w:rsidRPr="00411EA9">
        <w:rPr>
          <w:color w:val="000000"/>
        </w:rPr>
        <w:t xml:space="preserve"> has experienced a rapidly growing body of evidence (Wong et al., 2025).</w:t>
      </w:r>
    </w:p>
    <w:p w14:paraId="4D5CAB35" w14:textId="52EA94DE" w:rsidR="006E711F" w:rsidRPr="00411EA9" w:rsidRDefault="006E711F" w:rsidP="003069F2">
      <w:pPr>
        <w:pStyle w:val="NormalWeb"/>
        <w:spacing w:line="480" w:lineRule="auto"/>
        <w:ind w:firstLine="360"/>
        <w:jc w:val="both"/>
        <w:rPr>
          <w:color w:val="000000"/>
        </w:rPr>
      </w:pPr>
      <w:r w:rsidRPr="00411EA9">
        <w:rPr>
          <w:color w:val="000000"/>
        </w:rPr>
        <w:t xml:space="preserve">These advancements in the integration of AI into </w:t>
      </w:r>
      <w:r w:rsidR="00DD5802" w:rsidRPr="00411EA9">
        <w:rPr>
          <w:color w:val="000000"/>
        </w:rPr>
        <w:t>pharmacy practice</w:t>
      </w:r>
      <w:r w:rsidRPr="00411EA9">
        <w:rPr>
          <w:color w:val="000000"/>
        </w:rPr>
        <w:t xml:space="preserve"> occur within the context of a rapidly changing world of </w:t>
      </w:r>
      <w:r w:rsidR="00DD5802" w:rsidRPr="00411EA9">
        <w:rPr>
          <w:color w:val="000000"/>
        </w:rPr>
        <w:t>pharmacy practice</w:t>
      </w:r>
      <w:r w:rsidRPr="00411EA9">
        <w:rPr>
          <w:color w:val="000000"/>
        </w:rPr>
        <w:t xml:space="preserve">. One of the key factors driving the need for new innovations in </w:t>
      </w:r>
      <w:r w:rsidR="00DD5802" w:rsidRPr="00411EA9">
        <w:rPr>
          <w:color w:val="000000"/>
        </w:rPr>
        <w:t>pharmacy practice</w:t>
      </w:r>
      <w:r w:rsidRPr="00411EA9">
        <w:rPr>
          <w:color w:val="000000"/>
        </w:rPr>
        <w:t xml:space="preserve"> is the increasing prevalence of Antimicrobial Resistance (AMR). AMR was the direct cause of approximately 1.27 million deaths and contributed to 4.95 </w:t>
      </w:r>
      <w:r w:rsidRPr="00411EA9">
        <w:rPr>
          <w:color w:val="000000"/>
        </w:rPr>
        <w:lastRenderedPageBreak/>
        <w:t xml:space="preserve">million deaths in 2019 (Murray et al., 2022). Additionally, there has been an increase in antibiotic resistance in greater than 40% of monitored bacteria–drug combinations with average annual increases of 5–15% between 2018 and 2023 (WHO, 2025). Furthermore, the COVID-19 pandemic drove the widespread adoption of digital health services including </w:t>
      </w:r>
      <w:r w:rsidR="00DD5802" w:rsidRPr="00411EA9">
        <w:rPr>
          <w:color w:val="000000"/>
        </w:rPr>
        <w:t>telepharmacy</w:t>
      </w:r>
      <w:r w:rsidRPr="00411EA9">
        <w:rPr>
          <w:color w:val="000000"/>
        </w:rPr>
        <w:t xml:space="preserve">. During the pandemic, the number of patients using telehealth increased from 11% in 2019 to 46% in the United States (Alexander et al., 2022). The global AI in </w:t>
      </w:r>
      <w:r w:rsidR="00DD5802" w:rsidRPr="00411EA9">
        <w:rPr>
          <w:color w:val="000000"/>
        </w:rPr>
        <w:t>pharmaceutical</w:t>
      </w:r>
      <w:r w:rsidRPr="00411EA9">
        <w:rPr>
          <w:color w:val="000000"/>
        </w:rPr>
        <w:t xml:space="preserve"> market is expected to grow to $1.94–$3.80 billion in 2025 at a CAGR of 27–31.7%. The drivers of this growth include the increasing applications of AI in drug discovery, </w:t>
      </w:r>
      <w:r w:rsidR="00DD5802" w:rsidRPr="00411EA9">
        <w:rPr>
          <w:color w:val="000000"/>
        </w:rPr>
        <w:t>pharmacovigilance</w:t>
      </w:r>
      <w:r w:rsidRPr="00411EA9">
        <w:rPr>
          <w:color w:val="000000"/>
        </w:rPr>
        <w:t xml:space="preserve">, clinical decision support, and medication management (BCC Research, 2025; Precedence Research, 2025). This convergence of the urgency of addressing AMR, the expanding use of digital health services, and the rapid advancement of AI technologies has created a unique opportunity to develop new </w:t>
      </w:r>
      <w:r w:rsidR="00DD5802" w:rsidRPr="00411EA9">
        <w:rPr>
          <w:color w:val="000000"/>
        </w:rPr>
        <w:t>pharmacy practice</w:t>
      </w:r>
      <w:r w:rsidRPr="00411EA9">
        <w:rPr>
          <w:color w:val="000000"/>
        </w:rPr>
        <w:t xml:space="preserve"> models that incorporate intelligent automation with </w:t>
      </w:r>
      <w:r w:rsidR="00DD5802" w:rsidRPr="00411EA9">
        <w:rPr>
          <w:color w:val="000000"/>
        </w:rPr>
        <w:t>pharmaceutical</w:t>
      </w:r>
      <w:r w:rsidRPr="00411EA9">
        <w:rPr>
          <w:color w:val="000000"/>
        </w:rPr>
        <w:t xml:space="preserve"> care.</w:t>
      </w:r>
    </w:p>
    <w:p w14:paraId="7720F016" w14:textId="13E2F463" w:rsidR="006E711F" w:rsidRPr="00411EA9" w:rsidRDefault="006E711F" w:rsidP="003069F2">
      <w:pPr>
        <w:pStyle w:val="NormalWeb"/>
        <w:spacing w:line="480" w:lineRule="auto"/>
        <w:ind w:firstLine="360"/>
        <w:jc w:val="both"/>
        <w:rPr>
          <w:color w:val="000000"/>
        </w:rPr>
      </w:pPr>
      <w:r w:rsidRPr="00411EA9">
        <w:rPr>
          <w:color w:val="000000"/>
        </w:rPr>
        <w:t xml:space="preserve">Although numerous primary studies exist, there is a surprisingly small amount of scholarly work conducted through bibliometric and scientometric methods that maps the use of AI in </w:t>
      </w:r>
      <w:r w:rsidR="00DD5802" w:rsidRPr="00411EA9">
        <w:rPr>
          <w:color w:val="000000"/>
        </w:rPr>
        <w:t>pharmacy practice</w:t>
      </w:r>
      <w:r w:rsidRPr="00411EA9">
        <w:rPr>
          <w:color w:val="000000"/>
        </w:rPr>
        <w:t xml:space="preserve">. Bibliometrics is a quantitative method used to evaluate scientific literature to assess the frequency of publication in a certain field, the collaboration networks and research gaps between studies using techniques such as co-citation analysis, bibliographic coupling and keyword co-occurrence mapping (Ganti et al., 2025). Although there are few bibliometric analyses of other related fields, they include research related to </w:t>
      </w:r>
      <w:r w:rsidR="00DD5802" w:rsidRPr="00411EA9">
        <w:rPr>
          <w:color w:val="000000"/>
        </w:rPr>
        <w:t>telepharmacy</w:t>
      </w:r>
      <w:r w:rsidRPr="00411EA9">
        <w:rPr>
          <w:color w:val="000000"/>
        </w:rPr>
        <w:t xml:space="preserve">, AI in </w:t>
      </w:r>
      <w:r w:rsidR="00DD5802" w:rsidRPr="00411EA9">
        <w:rPr>
          <w:color w:val="000000"/>
        </w:rPr>
        <w:t>pharmacy</w:t>
      </w:r>
      <w:r w:rsidRPr="00411EA9">
        <w:rPr>
          <w:color w:val="000000"/>
        </w:rPr>
        <w:t xml:space="preserve">, and other fields. Saeed, Martini, and Scahill (2024) conducted a bibliometric analysis of 330 Scopus-indexed articles published between 1981 and 2023 regarding </w:t>
      </w:r>
      <w:r w:rsidR="00DD5802" w:rsidRPr="00411EA9">
        <w:rPr>
          <w:color w:val="000000"/>
        </w:rPr>
        <w:t>telepharmacy</w:t>
      </w:r>
      <w:r w:rsidRPr="00411EA9">
        <w:rPr>
          <w:color w:val="000000"/>
        </w:rPr>
        <w:t>. Their results indicated that tele</w:t>
      </w:r>
      <w:r w:rsidR="0094684E" w:rsidRPr="00411EA9">
        <w:rPr>
          <w:color w:val="000000"/>
        </w:rPr>
        <w:t>pharmacy</w:t>
      </w:r>
      <w:r w:rsidR="00DD5802" w:rsidRPr="00411EA9">
        <w:rPr>
          <w:color w:val="000000"/>
        </w:rPr>
        <w:t xml:space="preserve"> </w:t>
      </w:r>
      <w:r w:rsidRPr="00411EA9">
        <w:rPr>
          <w:color w:val="000000"/>
        </w:rPr>
        <w:t xml:space="preserve">research grew at an average annual rate of 8.07% and identified four </w:t>
      </w:r>
      <w:r w:rsidRPr="00411EA9">
        <w:rPr>
          <w:color w:val="000000"/>
        </w:rPr>
        <w:lastRenderedPageBreak/>
        <w:t xml:space="preserve">developmental phases of </w:t>
      </w:r>
      <w:r w:rsidR="00DD5802" w:rsidRPr="00411EA9">
        <w:rPr>
          <w:color w:val="000000"/>
        </w:rPr>
        <w:t>telepharmacy research</w:t>
      </w:r>
      <w:r w:rsidRPr="00411EA9">
        <w:rPr>
          <w:color w:val="000000"/>
        </w:rPr>
        <w:t xml:space="preserve"> output; and </w:t>
      </w:r>
      <w:proofErr w:type="spellStart"/>
      <w:r w:rsidRPr="00411EA9">
        <w:rPr>
          <w:color w:val="000000"/>
        </w:rPr>
        <w:t>Sulistyaningrum</w:t>
      </w:r>
      <w:proofErr w:type="spellEnd"/>
      <w:r w:rsidRPr="00411EA9">
        <w:rPr>
          <w:color w:val="000000"/>
        </w:rPr>
        <w:t xml:space="preserve">, </w:t>
      </w:r>
      <w:proofErr w:type="spellStart"/>
      <w:r w:rsidRPr="00411EA9">
        <w:rPr>
          <w:color w:val="000000"/>
        </w:rPr>
        <w:t>Arfianto</w:t>
      </w:r>
      <w:proofErr w:type="spellEnd"/>
      <w:r w:rsidRPr="00411EA9">
        <w:rPr>
          <w:color w:val="000000"/>
        </w:rPr>
        <w:t xml:space="preserve">, and </w:t>
      </w:r>
      <w:proofErr w:type="spellStart"/>
      <w:r w:rsidRPr="00411EA9">
        <w:rPr>
          <w:color w:val="000000"/>
        </w:rPr>
        <w:t>Pribadi</w:t>
      </w:r>
      <w:proofErr w:type="spellEnd"/>
      <w:r w:rsidRPr="00411EA9">
        <w:rPr>
          <w:color w:val="000000"/>
        </w:rPr>
        <w:t xml:space="preserve"> (2025) mapped 254 Scopus-indexed articles related to tele</w:t>
      </w:r>
      <w:r w:rsidR="0094684E" w:rsidRPr="00411EA9">
        <w:rPr>
          <w:color w:val="000000"/>
        </w:rPr>
        <w:t>pharmacy</w:t>
      </w:r>
      <w:r w:rsidR="00DD5802" w:rsidRPr="00411EA9">
        <w:rPr>
          <w:color w:val="000000"/>
        </w:rPr>
        <w:t xml:space="preserve"> </w:t>
      </w:r>
      <w:r w:rsidRPr="00411EA9">
        <w:rPr>
          <w:color w:val="000000"/>
        </w:rPr>
        <w:t xml:space="preserve">published from 1998 to 2022 utilizing VOSviewer to determine that </w:t>
      </w:r>
      <w:r w:rsidR="00DD5802" w:rsidRPr="00411EA9">
        <w:rPr>
          <w:color w:val="000000"/>
        </w:rPr>
        <w:t>telepharmacy research</w:t>
      </w:r>
      <w:r w:rsidRPr="00411EA9">
        <w:rPr>
          <w:color w:val="000000"/>
        </w:rPr>
        <w:t xml:space="preserve"> is still in its early stages. Biblio-metric analyses have mapped machine learning in </w:t>
      </w:r>
      <w:r w:rsidR="0094684E" w:rsidRPr="00411EA9">
        <w:rPr>
          <w:color w:val="000000"/>
        </w:rPr>
        <w:t>pharmacy</w:t>
      </w:r>
      <w:r w:rsidR="00DD5802" w:rsidRPr="00411EA9">
        <w:rPr>
          <w:color w:val="000000"/>
        </w:rPr>
        <w:t xml:space="preserve"> </w:t>
      </w:r>
      <w:r w:rsidRPr="00411EA9">
        <w:rPr>
          <w:color w:val="000000"/>
        </w:rPr>
        <w:t>through 2021, entirely before the emergence of Generative AI (</w:t>
      </w:r>
      <w:proofErr w:type="spellStart"/>
      <w:r w:rsidRPr="00411EA9">
        <w:rPr>
          <w:color w:val="000000"/>
        </w:rPr>
        <w:t>CiteSpace</w:t>
      </w:r>
      <w:proofErr w:type="spellEnd"/>
      <w:r w:rsidRPr="00411EA9">
        <w:rPr>
          <w:color w:val="000000"/>
        </w:rPr>
        <w:t xml:space="preserve"> Analysis, 2022); AI in drug discovery and development from 1990 to 2023 (</w:t>
      </w:r>
      <w:proofErr w:type="spellStart"/>
      <w:r w:rsidRPr="00411EA9">
        <w:rPr>
          <w:color w:val="000000"/>
        </w:rPr>
        <w:t>Koçak</w:t>
      </w:r>
      <w:proofErr w:type="spellEnd"/>
      <w:r w:rsidRPr="00411EA9">
        <w:rPr>
          <w:color w:val="000000"/>
        </w:rPr>
        <w:t xml:space="preserve"> &amp; </w:t>
      </w:r>
      <w:proofErr w:type="spellStart"/>
      <w:r w:rsidRPr="00411EA9">
        <w:rPr>
          <w:color w:val="000000"/>
        </w:rPr>
        <w:t>Akçalı</w:t>
      </w:r>
      <w:proofErr w:type="spellEnd"/>
      <w:r w:rsidRPr="00411EA9">
        <w:rPr>
          <w:color w:val="000000"/>
        </w:rPr>
        <w:t xml:space="preserve">, 2025); and AI in medicine broadly, excluding </w:t>
      </w:r>
      <w:r w:rsidR="00DD5802" w:rsidRPr="00411EA9">
        <w:rPr>
          <w:color w:val="000000"/>
        </w:rPr>
        <w:t>pharmacy as</w:t>
      </w:r>
      <w:r w:rsidRPr="00411EA9">
        <w:rPr>
          <w:color w:val="000000"/>
        </w:rPr>
        <w:t xml:space="preserve"> a separate discipline </w:t>
      </w:r>
      <w:r w:rsidR="007C617B">
        <w:rPr>
          <w:color w:val="000000"/>
        </w:rPr>
        <w:t>(2020–2025)</w:t>
      </w:r>
      <w:r w:rsidRPr="00411EA9">
        <w:rPr>
          <w:color w:val="000000"/>
        </w:rPr>
        <w:t xml:space="preserve">. However, there are no bibliometric analyses published that focus specifically on AI applications in </w:t>
      </w:r>
      <w:r w:rsidR="00DD5802" w:rsidRPr="00411EA9">
        <w:rPr>
          <w:color w:val="000000"/>
        </w:rPr>
        <w:t>pharmacy practice</w:t>
      </w:r>
      <w:r w:rsidRPr="00411EA9">
        <w:rPr>
          <w:color w:val="000000"/>
        </w:rPr>
        <w:t xml:space="preserve"> — encompassing community, clinical, and hospital </w:t>
      </w:r>
      <w:r w:rsidR="00DD5802" w:rsidRPr="00411EA9">
        <w:rPr>
          <w:color w:val="000000"/>
        </w:rPr>
        <w:t>pharmacy settings</w:t>
      </w:r>
      <w:r w:rsidRPr="00411EA9">
        <w:rPr>
          <w:color w:val="000000"/>
        </w:rPr>
        <w:t>.</w:t>
      </w:r>
    </w:p>
    <w:p w14:paraId="45A7790C" w14:textId="7E8C101D" w:rsidR="006E711F" w:rsidRPr="00411EA9" w:rsidRDefault="006E711F" w:rsidP="003069F2">
      <w:pPr>
        <w:pStyle w:val="NormalWeb"/>
        <w:spacing w:line="480" w:lineRule="auto"/>
        <w:ind w:firstLine="360"/>
        <w:jc w:val="both"/>
        <w:rPr>
          <w:color w:val="000000"/>
        </w:rPr>
      </w:pPr>
      <w:r w:rsidRPr="00411EA9">
        <w:rPr>
          <w:color w:val="000000"/>
        </w:rPr>
        <w:t xml:space="preserve">There are several reasons why this is a concern. First, although systematic and scoping reviews have characterized AI applications in clinical </w:t>
      </w:r>
      <w:r w:rsidR="0094684E" w:rsidRPr="00411EA9">
        <w:rPr>
          <w:color w:val="000000"/>
        </w:rPr>
        <w:t>pharmacy</w:t>
      </w:r>
      <w:r w:rsidRPr="00411EA9">
        <w:rPr>
          <w:color w:val="000000"/>
        </w:rPr>
        <w:t xml:space="preserve">(Alqahtani et al., 2025; 30 studies), community </w:t>
      </w:r>
      <w:r w:rsidR="0094684E" w:rsidRPr="00411EA9">
        <w:rPr>
          <w:color w:val="000000"/>
        </w:rPr>
        <w:t>pharmacy</w:t>
      </w:r>
      <w:r w:rsidRPr="00411EA9">
        <w:rPr>
          <w:color w:val="000000"/>
        </w:rPr>
        <w:t xml:space="preserve">(Ibrahim et al., 2024; 14 studies), current </w:t>
      </w:r>
      <w:r w:rsidR="00DD5802" w:rsidRPr="00411EA9">
        <w:rPr>
          <w:color w:val="000000"/>
        </w:rPr>
        <w:t>pharmacy practice</w:t>
      </w:r>
      <w:r w:rsidRPr="00411EA9">
        <w:rPr>
          <w:color w:val="000000"/>
        </w:rPr>
        <w:t xml:space="preserve"> (</w:t>
      </w:r>
      <w:proofErr w:type="spellStart"/>
      <w:r w:rsidRPr="00411EA9">
        <w:rPr>
          <w:color w:val="000000"/>
        </w:rPr>
        <w:t>Hatzimanolis</w:t>
      </w:r>
      <w:proofErr w:type="spellEnd"/>
      <w:r w:rsidRPr="00411EA9">
        <w:rPr>
          <w:color w:val="000000"/>
        </w:rPr>
        <w:t xml:space="preserve"> et al., 2025), and generative AI for medication safety (Liu et al., 2025), they do not provide the quantitative, network-based analysis of publication dynamics, intellectual structures, and thematic evolution that bibliometric methods can uniquely provide. Second, many rapidly developing subfields of </w:t>
      </w:r>
      <w:r w:rsidR="00DD5802" w:rsidRPr="00411EA9">
        <w:rPr>
          <w:color w:val="000000"/>
        </w:rPr>
        <w:t>pharmacy practice</w:t>
      </w:r>
      <w:r w:rsidRPr="00411EA9">
        <w:rPr>
          <w:color w:val="000000"/>
        </w:rPr>
        <w:t xml:space="preserve"> remain completely uncharted; the application of generative AI and LLMs (including ChatGPT, DeepSeek, Gemini, and Claude) in </w:t>
      </w:r>
      <w:r w:rsidR="00DD5802" w:rsidRPr="00411EA9">
        <w:rPr>
          <w:color w:val="000000"/>
        </w:rPr>
        <w:t>pharmacy scenarios</w:t>
      </w:r>
      <w:r w:rsidRPr="00411EA9">
        <w:rPr>
          <w:color w:val="000000"/>
        </w:rPr>
        <w:t xml:space="preserve"> has developed significantly since 2023 (Otsuki et al., 2025; Basil et al., 2025); AI enhanced </w:t>
      </w:r>
      <w:r w:rsidR="00DD5802" w:rsidRPr="00411EA9">
        <w:rPr>
          <w:color w:val="000000"/>
        </w:rPr>
        <w:t>telepharmacy</w:t>
      </w:r>
      <w:r w:rsidRPr="00411EA9">
        <w:rPr>
          <w:color w:val="000000"/>
        </w:rPr>
        <w:t xml:space="preserve"> </w:t>
      </w:r>
      <w:r w:rsidR="00DD5802" w:rsidRPr="00411EA9">
        <w:rPr>
          <w:color w:val="000000"/>
        </w:rPr>
        <w:t xml:space="preserve">and </w:t>
      </w:r>
      <w:r w:rsidRPr="00411EA9">
        <w:rPr>
          <w:color w:val="000000"/>
        </w:rPr>
        <w:t>telemedicine-based antimicrobial stewardship is becoming a scalable model for resource-poor environments (</w:t>
      </w:r>
      <w:proofErr w:type="spellStart"/>
      <w:r w:rsidRPr="00411EA9">
        <w:rPr>
          <w:color w:val="000000"/>
        </w:rPr>
        <w:t>Dirjayanto</w:t>
      </w:r>
      <w:proofErr w:type="spellEnd"/>
      <w:r w:rsidRPr="00411EA9">
        <w:rPr>
          <w:color w:val="000000"/>
        </w:rPr>
        <w:t xml:space="preserve"> et al., 2025); and AI-based medication error prediction and clinical decision support systems are rapidly evolving in hospital </w:t>
      </w:r>
      <w:r w:rsidR="0094684E" w:rsidRPr="00411EA9">
        <w:rPr>
          <w:color w:val="000000"/>
        </w:rPr>
        <w:t>pharmacy</w:t>
      </w:r>
      <w:r w:rsidR="00DD5802" w:rsidRPr="00411EA9">
        <w:rPr>
          <w:color w:val="000000"/>
        </w:rPr>
        <w:t xml:space="preserve"> </w:t>
      </w:r>
      <w:r w:rsidRPr="00411EA9">
        <w:rPr>
          <w:color w:val="000000"/>
        </w:rPr>
        <w:t>(</w:t>
      </w:r>
      <w:proofErr w:type="spellStart"/>
      <w:r w:rsidRPr="00411EA9">
        <w:rPr>
          <w:color w:val="000000"/>
        </w:rPr>
        <w:t>Zenodo</w:t>
      </w:r>
      <w:proofErr w:type="spellEnd"/>
      <w:r w:rsidRPr="00411EA9">
        <w:rPr>
          <w:color w:val="000000"/>
        </w:rPr>
        <w:t>, 2026). Lastly, the participation of low-and-middle income countries (LMICs) and Southeast Asian countries in AI-</w:t>
      </w:r>
      <w:r w:rsidR="00DD5802" w:rsidRPr="00411EA9">
        <w:rPr>
          <w:color w:val="000000"/>
        </w:rPr>
        <w:t>pharmacy research</w:t>
      </w:r>
      <w:r w:rsidRPr="00411EA9">
        <w:rPr>
          <w:color w:val="000000"/>
        </w:rPr>
        <w:t xml:space="preserve"> is very limited; even though these areas </w:t>
      </w:r>
      <w:r w:rsidRPr="00411EA9">
        <w:rPr>
          <w:color w:val="000000"/>
        </w:rPr>
        <w:lastRenderedPageBreak/>
        <w:t>experience some of the highest barriers to adopting digital health — i.e., lack of adequate technological infrastructure, non-existent regulatory frameworks, lack of funds, and low levels of AI literacy among healthcare professionals (</w:t>
      </w:r>
      <w:proofErr w:type="spellStart"/>
      <w:r w:rsidRPr="00411EA9">
        <w:rPr>
          <w:color w:val="000000"/>
        </w:rPr>
        <w:t>Alhammad</w:t>
      </w:r>
      <w:proofErr w:type="spellEnd"/>
      <w:r w:rsidRPr="00411EA9">
        <w:rPr>
          <w:color w:val="000000"/>
        </w:rPr>
        <w:t xml:space="preserve">, 2026; </w:t>
      </w:r>
      <w:proofErr w:type="spellStart"/>
      <w:r w:rsidRPr="00411EA9">
        <w:rPr>
          <w:color w:val="000000"/>
        </w:rPr>
        <w:t>Yemeke</w:t>
      </w:r>
      <w:proofErr w:type="spellEnd"/>
      <w:r w:rsidRPr="00411EA9">
        <w:rPr>
          <w:color w:val="000000"/>
        </w:rPr>
        <w:t xml:space="preserve"> et al., 2023). A comprehensive bibliometric analysis of AI-</w:t>
      </w:r>
      <w:r w:rsidR="00DD5802" w:rsidRPr="00411EA9">
        <w:rPr>
          <w:color w:val="000000"/>
        </w:rPr>
        <w:t>pharmacy research</w:t>
      </w:r>
      <w:r w:rsidRPr="00411EA9">
        <w:rPr>
          <w:color w:val="000000"/>
        </w:rPr>
        <w:t xml:space="preserve"> would identify and quantify these biases, and thus identify areas of needed capacity-building.</w:t>
      </w:r>
    </w:p>
    <w:p w14:paraId="44DBA158" w14:textId="52E55B3D" w:rsidR="006E711F" w:rsidRPr="00411EA9" w:rsidRDefault="006E711F" w:rsidP="003069F2">
      <w:pPr>
        <w:pStyle w:val="NormalWeb"/>
        <w:spacing w:line="480" w:lineRule="auto"/>
        <w:ind w:firstLine="360"/>
        <w:jc w:val="both"/>
        <w:rPr>
          <w:color w:val="000000"/>
        </w:rPr>
      </w:pPr>
      <w:r w:rsidRPr="00411EA9">
        <w:rPr>
          <w:color w:val="000000"/>
        </w:rPr>
        <w:t xml:space="preserve">Therefore, the purpose of this study is to conduct a comprehensive bibliometric analysis of AI in </w:t>
      </w:r>
      <w:r w:rsidR="00DD5802" w:rsidRPr="00411EA9">
        <w:rPr>
          <w:color w:val="000000"/>
        </w:rPr>
        <w:t>pharmacy practice</w:t>
      </w:r>
      <w:r w:rsidRPr="00411EA9">
        <w:rPr>
          <w:color w:val="000000"/>
        </w:rPr>
        <w:t xml:space="preserve"> using publications indexed in Scopus and Web of Science Core Collection from 2015–2025. Performance analysis and science mapping techniques, including co-authorship network analysis, co-citation analysis, bibliographic coupling, and keyword co-occurrence analysis using VOSviewer and Bibliometrix (R package) </w:t>
      </w:r>
      <w:r w:rsidR="00A372D7">
        <w:rPr>
          <w:color w:val="000000"/>
        </w:rPr>
        <w:t xml:space="preserve">were </w:t>
      </w:r>
      <w:r w:rsidRPr="00411EA9">
        <w:rPr>
          <w:color w:val="000000"/>
        </w:rPr>
        <w:t xml:space="preserve">utilized to answer five main objectives: (1) to describe the growth trajectory and current state of AI research in </w:t>
      </w:r>
      <w:r w:rsidR="00DD5802" w:rsidRPr="00411EA9">
        <w:rPr>
          <w:color w:val="000000"/>
        </w:rPr>
        <w:t>pharmacy practice</w:t>
      </w:r>
      <w:r w:rsidRPr="00411EA9">
        <w:rPr>
          <w:color w:val="000000"/>
        </w:rPr>
        <w:t>; (2) to identify the most productive countries, institutions, authors, and journals; (3) to identify collaboration networks and intellectual structures; (4) to identify emerging themes and research hotspots, especially concerning generative AI, tele</w:t>
      </w:r>
      <w:r w:rsidR="0094684E" w:rsidRPr="00411EA9">
        <w:rPr>
          <w:color w:val="000000"/>
        </w:rPr>
        <w:t>pharmacy</w:t>
      </w:r>
      <w:r w:rsidR="00DD5802" w:rsidRPr="00411EA9">
        <w:rPr>
          <w:color w:val="000000"/>
        </w:rPr>
        <w:t xml:space="preserve"> </w:t>
      </w:r>
      <w:r w:rsidRPr="00411EA9">
        <w:rPr>
          <w:color w:val="000000"/>
        </w:rPr>
        <w:t xml:space="preserve">integration, and antimicrobial stewardship; and (5) to identify underdeveloped areas of research and regional disparities that require additional exploration. The results of this study are expected to provide a quantitative evidence base for researchers, policymakers, and </w:t>
      </w:r>
      <w:r w:rsidR="0094684E" w:rsidRPr="00411EA9">
        <w:rPr>
          <w:color w:val="000000"/>
        </w:rPr>
        <w:t>pharmacy</w:t>
      </w:r>
      <w:r w:rsidR="00DD5802" w:rsidRPr="00411EA9">
        <w:rPr>
          <w:color w:val="000000"/>
        </w:rPr>
        <w:t xml:space="preserve"> </w:t>
      </w:r>
      <w:r w:rsidRPr="00411EA9">
        <w:rPr>
          <w:color w:val="000000"/>
        </w:rPr>
        <w:t xml:space="preserve">educators to advance AI-based innovation in </w:t>
      </w:r>
      <w:r w:rsidR="00DD5802" w:rsidRPr="00411EA9">
        <w:rPr>
          <w:color w:val="000000"/>
        </w:rPr>
        <w:t>pharmaceutical</w:t>
      </w:r>
      <w:r w:rsidRPr="00411EA9">
        <w:rPr>
          <w:color w:val="000000"/>
        </w:rPr>
        <w:t xml:space="preserve"> care, especially as it relates to developing relevant digital health interventions for resource-constrained environments.</w:t>
      </w:r>
    </w:p>
    <w:p w14:paraId="0CB03124" w14:textId="3732331D" w:rsidR="00033C51" w:rsidRPr="00411EA9" w:rsidRDefault="006E711F" w:rsidP="003069F2">
      <w:pPr>
        <w:spacing w:line="480" w:lineRule="auto"/>
        <w:jc w:val="both"/>
        <w:rPr>
          <w:rFonts w:ascii="Times New Roman" w:hAnsi="Times New Roman" w:cs="Times New Roman"/>
          <w:b/>
          <w:bCs/>
        </w:rPr>
      </w:pPr>
      <w:r w:rsidRPr="00411EA9">
        <w:rPr>
          <w:rFonts w:ascii="Times New Roman" w:hAnsi="Times New Roman" w:cs="Times New Roman"/>
          <w:b/>
          <w:bCs/>
        </w:rPr>
        <w:t>2.0 Methodology</w:t>
      </w:r>
    </w:p>
    <w:p w14:paraId="173A691F" w14:textId="5C1AA2A7" w:rsidR="0094684E" w:rsidRPr="00411EA9" w:rsidRDefault="0094684E" w:rsidP="003069F2">
      <w:pPr>
        <w:pStyle w:val="NormalWeb"/>
        <w:spacing w:line="480" w:lineRule="auto"/>
        <w:ind w:left="720"/>
        <w:jc w:val="both"/>
        <w:rPr>
          <w:b/>
          <w:bCs/>
          <w:color w:val="000000"/>
        </w:rPr>
      </w:pPr>
      <w:r w:rsidRPr="00411EA9">
        <w:rPr>
          <w:b/>
          <w:bCs/>
          <w:color w:val="000000"/>
        </w:rPr>
        <w:t>2.1 Research Design</w:t>
      </w:r>
    </w:p>
    <w:p w14:paraId="36DF8143" w14:textId="4FC5368B" w:rsidR="0094684E" w:rsidRPr="00411EA9" w:rsidRDefault="0094684E" w:rsidP="003069F2">
      <w:pPr>
        <w:pStyle w:val="NormalWeb"/>
        <w:spacing w:line="480" w:lineRule="auto"/>
        <w:ind w:left="720" w:firstLine="720"/>
        <w:jc w:val="both"/>
        <w:rPr>
          <w:color w:val="000000"/>
        </w:rPr>
      </w:pPr>
      <w:r w:rsidRPr="00411EA9">
        <w:rPr>
          <w:color w:val="000000"/>
        </w:rPr>
        <w:lastRenderedPageBreak/>
        <w:t xml:space="preserve">This study employed a bibliometric and science mapping approach to investigate the research landscape of artificial intelligence (AI) in </w:t>
      </w:r>
      <w:r w:rsidR="00DD5802" w:rsidRPr="00411EA9">
        <w:rPr>
          <w:color w:val="000000"/>
        </w:rPr>
        <w:t>pharmacy practice</w:t>
      </w:r>
      <w:r w:rsidRPr="00411EA9">
        <w:rPr>
          <w:color w:val="000000"/>
        </w:rPr>
        <w:t xml:space="preserve"> from 2015 to 2025. Bibliometric analysis is a quantitative method that applies statistical methods to analyze scientific literature, identify publication patterns, map collaborative networks, identify emerging research areas, and understand the intellectual structure of a particular discipline (</w:t>
      </w:r>
      <w:proofErr w:type="spellStart"/>
      <w:r w:rsidRPr="00411EA9">
        <w:rPr>
          <w:color w:val="000000"/>
        </w:rPr>
        <w:t>Donthu</w:t>
      </w:r>
      <w:proofErr w:type="spellEnd"/>
      <w:r w:rsidRPr="00411EA9">
        <w:rPr>
          <w:color w:val="000000"/>
        </w:rPr>
        <w:t xml:space="preserve"> et al., 2021; Aria &amp; Cuccurullo, 2017). This study followed the preliminary guidelines for reporting bibliometric reviews of the biomedical literature (BIBLIO checklist) to provide methodological clarity and reproducibility of results (Defined Checklist items in Supplementary Materials) (Defined by </w:t>
      </w:r>
      <w:proofErr w:type="spellStart"/>
      <w:r w:rsidRPr="00411EA9">
        <w:rPr>
          <w:color w:val="000000"/>
        </w:rPr>
        <w:t>Catalá-López</w:t>
      </w:r>
      <w:proofErr w:type="spellEnd"/>
      <w:r w:rsidRPr="00411EA9">
        <w:rPr>
          <w:color w:val="000000"/>
        </w:rPr>
        <w:t xml:space="preserve"> et al., 2023). As this study did not involve any human subjects and utilized only publicly available bibliographic information from academic databases, no ethical approvals were required.</w:t>
      </w:r>
    </w:p>
    <w:p w14:paraId="376EA741" w14:textId="4B7FFECB" w:rsidR="0094684E" w:rsidRPr="00411EA9" w:rsidRDefault="0094684E" w:rsidP="003069F2">
      <w:pPr>
        <w:pStyle w:val="NormalWeb"/>
        <w:spacing w:line="480" w:lineRule="auto"/>
        <w:ind w:left="720"/>
        <w:jc w:val="both"/>
        <w:rPr>
          <w:b/>
          <w:bCs/>
          <w:color w:val="000000"/>
        </w:rPr>
      </w:pPr>
      <w:r w:rsidRPr="00411EA9">
        <w:rPr>
          <w:b/>
          <w:bCs/>
          <w:color w:val="000000"/>
        </w:rPr>
        <w:t>2.2 Database Sources</w:t>
      </w:r>
    </w:p>
    <w:p w14:paraId="2B134022" w14:textId="541F0E23" w:rsidR="0094684E" w:rsidRPr="00411EA9" w:rsidRDefault="0094684E" w:rsidP="003069F2">
      <w:pPr>
        <w:pStyle w:val="NormalWeb"/>
        <w:spacing w:line="480" w:lineRule="auto"/>
        <w:ind w:left="720" w:firstLine="720"/>
        <w:jc w:val="both"/>
        <w:rPr>
          <w:color w:val="000000"/>
        </w:rPr>
      </w:pPr>
      <w:r w:rsidRPr="00411EA9">
        <w:rPr>
          <w:color w:val="000000"/>
        </w:rPr>
        <w:t xml:space="preserve">Data regarding bibliographic entries were obtained from two multidisciplinary databases: Scopus (Elsevier) and Web of Science Core Collection (WoSCC; Clarivate Analytics). Scopus was selected due to its broad coverage of peer-reviewed journal articles, conference proceedings, and book chapters across the health and life sciences (approximately 27,000 active titles indexed) (Baas et al., 2020). WoSCC was selected as an additional database to further enhance the breadth of the search and to increase the likelihood of retrieving relevant records, as it includes a high number of top-tier journals that have strict inclusion criteria and is commonly used in bibliometric analyses (Zhu &amp; Liu, 2020). The use of two databases also addresses a limitation of previous </w:t>
      </w:r>
      <w:r w:rsidR="00DD5802" w:rsidRPr="00411EA9">
        <w:rPr>
          <w:color w:val="000000"/>
        </w:rPr>
        <w:lastRenderedPageBreak/>
        <w:t>telepharmacy</w:t>
      </w:r>
      <w:r w:rsidRPr="00411EA9">
        <w:rPr>
          <w:color w:val="000000"/>
        </w:rPr>
        <w:t xml:space="preserve">-based bibliometric studies, which only utilized Scopus (Saeed et al., 2024; </w:t>
      </w:r>
      <w:proofErr w:type="spellStart"/>
      <w:r w:rsidRPr="00411EA9">
        <w:rPr>
          <w:color w:val="000000"/>
        </w:rPr>
        <w:t>Sulistyaningrum</w:t>
      </w:r>
      <w:proofErr w:type="spellEnd"/>
      <w:r w:rsidRPr="00411EA9">
        <w:rPr>
          <w:color w:val="000000"/>
        </w:rPr>
        <w:t xml:space="preserve"> et al., 2025).</w:t>
      </w:r>
    </w:p>
    <w:p w14:paraId="1C9011D3" w14:textId="085E9CE6" w:rsidR="0094684E" w:rsidRPr="00411EA9" w:rsidRDefault="0094684E" w:rsidP="003069F2">
      <w:pPr>
        <w:pStyle w:val="NormalWeb"/>
        <w:spacing w:line="480" w:lineRule="auto"/>
        <w:ind w:left="720"/>
        <w:jc w:val="both"/>
        <w:rPr>
          <w:b/>
          <w:bCs/>
          <w:color w:val="000000"/>
        </w:rPr>
      </w:pPr>
      <w:r w:rsidRPr="00411EA9">
        <w:rPr>
          <w:b/>
          <w:bCs/>
          <w:color w:val="000000"/>
        </w:rPr>
        <w:t>2.3 Search Strategy</w:t>
      </w:r>
    </w:p>
    <w:p w14:paraId="5E088B57" w14:textId="7BD1B66F" w:rsidR="0094684E" w:rsidRPr="00411EA9" w:rsidRDefault="0094684E" w:rsidP="003069F2">
      <w:pPr>
        <w:pStyle w:val="NormalWeb"/>
        <w:spacing w:line="480" w:lineRule="auto"/>
        <w:ind w:left="720" w:firstLine="720"/>
        <w:jc w:val="both"/>
        <w:rPr>
          <w:color w:val="000000"/>
        </w:rPr>
      </w:pPr>
      <w:r w:rsidRPr="00411EA9">
        <w:rPr>
          <w:color w:val="000000"/>
        </w:rPr>
        <w:t xml:space="preserve">A systematic search of the literature was performed on [DATE TO BE INSERTED] to obtain all potentially relevant publications. The search strategy consisted of combining two conceptually-related search strings using the Boolean operator AND: (1) search strings related to artificial intelligence (AI) and its various sub-disciplines, and (2) search strings related to </w:t>
      </w:r>
      <w:r w:rsidR="00DD5802" w:rsidRPr="00411EA9">
        <w:rPr>
          <w:color w:val="000000"/>
        </w:rPr>
        <w:t>pharmacy practice</w:t>
      </w:r>
      <w:r w:rsidRPr="00411EA9">
        <w:rPr>
          <w:color w:val="000000"/>
        </w:rPr>
        <w:t xml:space="preserve"> settings and activities.</w:t>
      </w:r>
    </w:p>
    <w:p w14:paraId="08D67195" w14:textId="77777777" w:rsidR="0094684E" w:rsidRPr="00411EA9" w:rsidRDefault="0094684E" w:rsidP="003069F2">
      <w:pPr>
        <w:pStyle w:val="NormalWeb"/>
        <w:spacing w:line="480" w:lineRule="auto"/>
        <w:ind w:left="720" w:firstLine="720"/>
        <w:jc w:val="both"/>
        <w:rPr>
          <w:color w:val="000000"/>
        </w:rPr>
      </w:pPr>
      <w:r w:rsidRPr="00411EA9">
        <w:rPr>
          <w:color w:val="000000"/>
        </w:rPr>
        <w:t>The following search string was used in the Title, Abstract, and Keywords fields of Scopus:</w:t>
      </w:r>
    </w:p>
    <w:p w14:paraId="25D026F7" w14:textId="120165E5" w:rsidR="0094684E" w:rsidRPr="00411EA9" w:rsidRDefault="0094684E" w:rsidP="003069F2">
      <w:pPr>
        <w:pStyle w:val="NormalWeb"/>
        <w:spacing w:line="480" w:lineRule="auto"/>
        <w:ind w:left="720" w:firstLine="720"/>
        <w:jc w:val="both"/>
        <w:rPr>
          <w:color w:val="000000"/>
        </w:rPr>
      </w:pPr>
      <w:r w:rsidRPr="00411EA9">
        <w:rPr>
          <w:color w:val="000000"/>
        </w:rPr>
        <w:t xml:space="preserve">&gt; TITLE-ABS-KEY ((("artificial intelligence" OR "machine learning" OR "deep learning" OR "natural language processing" OR "neural network*" OR "large language model*" OR "generative AI" OR "ChatGPT" OR "GPT-4" OR "chatbot*" OR "clinical decision support system*" OR "expert system*" OR "computer-aided" OR "reinforcement learning" OR "random forest" OR "support vector machine*" OR "convolutional neural network*" OR "recurrent neural network*" OR "transformer model*")) AND ("pharmacy practice" OR "community pharmacy*" OR "clinical pharmacy*" OR "hospital pharmacy*" OR "pharmaceutical care" OR "medication therapy management" OR "medication reconciliation" OR "drug interaction*" OR "adverse drug event*" OR "adverse drug reaction*" OR "medication error*" OR "medication safety" OR "medication adherence" OR "prescription review" OR </w:t>
      </w:r>
      <w:r w:rsidRPr="00411EA9">
        <w:rPr>
          <w:color w:val="000000"/>
        </w:rPr>
        <w:lastRenderedPageBreak/>
        <w:t>"pharmacist*" OR "dispensing" OR "antimicrobial stewardship" OR "pharmacovigilance" OR "tele pharmacy*" OR "drug utilization review"))</w:t>
      </w:r>
    </w:p>
    <w:p w14:paraId="3D73904C" w14:textId="77777777" w:rsidR="0094684E" w:rsidRPr="00411EA9" w:rsidRDefault="0094684E" w:rsidP="003069F2">
      <w:pPr>
        <w:pStyle w:val="NormalWeb"/>
        <w:spacing w:line="480" w:lineRule="auto"/>
        <w:ind w:left="720" w:firstLine="720"/>
        <w:jc w:val="both"/>
        <w:rPr>
          <w:color w:val="000000"/>
        </w:rPr>
      </w:pPr>
      <w:r w:rsidRPr="00411EA9">
        <w:rPr>
          <w:color w:val="000000"/>
        </w:rPr>
        <w:t>An equivalent search string was developed for WoSCC using its Topic (TS) field:</w:t>
      </w:r>
    </w:p>
    <w:p w14:paraId="157380CA" w14:textId="29177899" w:rsidR="0094684E" w:rsidRPr="00411EA9" w:rsidRDefault="0094684E" w:rsidP="003069F2">
      <w:pPr>
        <w:pStyle w:val="NormalWeb"/>
        <w:spacing w:line="480" w:lineRule="auto"/>
        <w:ind w:left="720" w:firstLine="720"/>
        <w:jc w:val="both"/>
        <w:rPr>
          <w:color w:val="000000"/>
        </w:rPr>
      </w:pPr>
      <w:r w:rsidRPr="00411EA9">
        <w:rPr>
          <w:color w:val="000000"/>
        </w:rPr>
        <w:t>&gt; TS= (("artificial intelligence" OR "machine learning" OR "deep learning" OR "natural language processing" OR "neural network*" OR "large language model*" OR "generative AI" OR "ChatGPT" OR "GPT-4" OR "chatbot*" OR "clinical decision support system*" OR "expert system*" OR "computer-aided" OR "reinforcement learning" OR "random forest" OR "support vector machine*" OR "convolutional neural network*" OR "recurrent neural network*" OR "transformer model*") AND ("pharmacy practice" OR "community pharmacy*" OR "clinical pharmacy*" OR "hospital pharmacy*" OR "pharmaceutical care" OR "medication therapy management" OR "medication reconciliation" OR "drug interaction*" OR "adverse drug event*" OR "adverse drug reaction*" OR "medication error*" OR "medication safety" OR "medication adherence" OR "prescription review" OR "pharmacist*" OR "dispensing" OR "antimicrobial stewardship" OR "pharmacovigilance" OR "tele pharmacy*" OR "drug utilization review"))</w:t>
      </w:r>
    </w:p>
    <w:p w14:paraId="0B207C4F" w14:textId="047A3FBB" w:rsidR="0094684E" w:rsidRPr="00411EA9" w:rsidRDefault="0094684E" w:rsidP="003069F2">
      <w:pPr>
        <w:pStyle w:val="NormalWeb"/>
        <w:spacing w:line="480" w:lineRule="auto"/>
        <w:ind w:left="720"/>
        <w:jc w:val="both"/>
        <w:rPr>
          <w:b/>
          <w:bCs/>
          <w:color w:val="000000"/>
        </w:rPr>
      </w:pPr>
      <w:r w:rsidRPr="00411EA9">
        <w:rPr>
          <w:b/>
          <w:bCs/>
          <w:color w:val="000000"/>
        </w:rPr>
        <w:t>2.4 Inclusion and Exclusion Criteria</w:t>
      </w:r>
    </w:p>
    <w:p w14:paraId="784D9BA4" w14:textId="77777777" w:rsidR="0094684E" w:rsidRPr="00411EA9" w:rsidRDefault="0094684E" w:rsidP="003069F2">
      <w:pPr>
        <w:pStyle w:val="NormalWeb"/>
        <w:spacing w:line="480" w:lineRule="auto"/>
        <w:ind w:left="720" w:firstLine="720"/>
        <w:jc w:val="both"/>
        <w:rPr>
          <w:color w:val="000000"/>
        </w:rPr>
      </w:pPr>
      <w:r w:rsidRPr="00411EA9">
        <w:rPr>
          <w:color w:val="000000"/>
        </w:rPr>
        <w:t>Below are the inclusion and exclusion criteria that were utilized during the screening process:</w:t>
      </w:r>
    </w:p>
    <w:p w14:paraId="5458E494" w14:textId="545CCCC9" w:rsidR="0094684E" w:rsidRPr="00411EA9" w:rsidRDefault="0094684E" w:rsidP="004070E8">
      <w:pPr>
        <w:pStyle w:val="NormalWeb"/>
        <w:spacing w:line="480" w:lineRule="auto"/>
        <w:ind w:left="1080"/>
        <w:jc w:val="both"/>
        <w:rPr>
          <w:b/>
          <w:bCs/>
          <w:color w:val="000000"/>
        </w:rPr>
      </w:pPr>
      <w:r w:rsidRPr="00411EA9">
        <w:rPr>
          <w:b/>
          <w:bCs/>
          <w:color w:val="000000"/>
        </w:rPr>
        <w:t>Inclusion criteria:</w:t>
      </w:r>
    </w:p>
    <w:p w14:paraId="70C7C8C0" w14:textId="77777777" w:rsidR="0094684E" w:rsidRPr="00411EA9" w:rsidRDefault="0094684E" w:rsidP="004070E8">
      <w:pPr>
        <w:pStyle w:val="NormalWeb"/>
        <w:numPr>
          <w:ilvl w:val="0"/>
          <w:numId w:val="4"/>
        </w:numPr>
        <w:spacing w:line="480" w:lineRule="auto"/>
        <w:ind w:left="1800"/>
        <w:rPr>
          <w:color w:val="000000"/>
        </w:rPr>
      </w:pPr>
      <w:bookmarkStart w:id="1" w:name="OLE_LINK1"/>
      <w:r w:rsidRPr="00411EA9">
        <w:rPr>
          <w:color w:val="000000"/>
        </w:rPr>
        <w:lastRenderedPageBreak/>
        <w:t>Publication date between 01 Jan 2015 and 31 Dec 2025</w:t>
      </w:r>
    </w:p>
    <w:p w14:paraId="0E221ADB" w14:textId="77777777" w:rsidR="0094684E" w:rsidRPr="00411EA9" w:rsidRDefault="0094684E" w:rsidP="004070E8">
      <w:pPr>
        <w:pStyle w:val="NormalWeb"/>
        <w:numPr>
          <w:ilvl w:val="0"/>
          <w:numId w:val="4"/>
        </w:numPr>
        <w:spacing w:line="480" w:lineRule="auto"/>
        <w:ind w:left="1800"/>
        <w:rPr>
          <w:color w:val="000000"/>
        </w:rPr>
      </w:pPr>
      <w:r w:rsidRPr="00411EA9">
        <w:rPr>
          <w:color w:val="000000"/>
        </w:rPr>
        <w:t>Original article, review article, conference paper, editorial, letter</w:t>
      </w:r>
    </w:p>
    <w:p w14:paraId="7F4B1E92" w14:textId="77777777" w:rsidR="0094684E" w:rsidRPr="00411EA9" w:rsidRDefault="0094684E" w:rsidP="004070E8">
      <w:pPr>
        <w:pStyle w:val="NormalWeb"/>
        <w:numPr>
          <w:ilvl w:val="0"/>
          <w:numId w:val="4"/>
        </w:numPr>
        <w:spacing w:line="480" w:lineRule="auto"/>
        <w:ind w:left="1800"/>
        <w:rPr>
          <w:color w:val="000000"/>
        </w:rPr>
      </w:pPr>
      <w:r w:rsidRPr="00411EA9">
        <w:rPr>
          <w:color w:val="000000"/>
        </w:rPr>
        <w:t>Language: English</w:t>
      </w:r>
    </w:p>
    <w:p w14:paraId="7145E14C" w14:textId="6AE8C7EF" w:rsidR="0094684E" w:rsidRPr="00411EA9" w:rsidRDefault="0094684E" w:rsidP="004070E8">
      <w:pPr>
        <w:pStyle w:val="NormalWeb"/>
        <w:numPr>
          <w:ilvl w:val="0"/>
          <w:numId w:val="4"/>
        </w:numPr>
        <w:spacing w:line="480" w:lineRule="auto"/>
        <w:ind w:left="1800"/>
        <w:rPr>
          <w:color w:val="000000"/>
        </w:rPr>
      </w:pPr>
      <w:r w:rsidRPr="00411EA9">
        <w:rPr>
          <w:color w:val="000000"/>
        </w:rPr>
        <w:t>Focuses on application, development, assessment or discussion of AI technology in the context of pharmacy practice (e.g., community, clinical, hospital pharmacy)</w:t>
      </w:r>
    </w:p>
    <w:bookmarkEnd w:id="1"/>
    <w:p w14:paraId="20E11127" w14:textId="421BFCA4" w:rsidR="0094684E" w:rsidRPr="00411EA9" w:rsidRDefault="0094684E" w:rsidP="004070E8">
      <w:pPr>
        <w:pStyle w:val="NormalWeb"/>
        <w:spacing w:line="480" w:lineRule="auto"/>
        <w:ind w:left="1080"/>
        <w:jc w:val="both"/>
        <w:rPr>
          <w:b/>
          <w:bCs/>
          <w:color w:val="000000"/>
        </w:rPr>
      </w:pPr>
      <w:r w:rsidRPr="00411EA9">
        <w:rPr>
          <w:b/>
          <w:bCs/>
          <w:color w:val="000000"/>
        </w:rPr>
        <w:t>Exclusion criteria:</w:t>
      </w:r>
    </w:p>
    <w:p w14:paraId="7C0C68D3" w14:textId="77777777" w:rsidR="0094684E" w:rsidRPr="00411EA9" w:rsidRDefault="0094684E" w:rsidP="004070E8">
      <w:pPr>
        <w:pStyle w:val="NormalWeb"/>
        <w:numPr>
          <w:ilvl w:val="0"/>
          <w:numId w:val="5"/>
        </w:numPr>
        <w:spacing w:line="480" w:lineRule="auto"/>
        <w:ind w:left="1800"/>
        <w:jc w:val="both"/>
        <w:rPr>
          <w:color w:val="000000"/>
        </w:rPr>
      </w:pPr>
      <w:r w:rsidRPr="00411EA9">
        <w:rPr>
          <w:color w:val="000000"/>
        </w:rPr>
        <w:t>Article focuses solely on AI in drug discovery, drug design, molecular modeling, or pharmaceutical manufacturing and does not relate to pharmacy practice or patient care.</w:t>
      </w:r>
    </w:p>
    <w:p w14:paraId="786D271B" w14:textId="77777777" w:rsidR="0094684E" w:rsidRPr="00411EA9" w:rsidRDefault="0094684E" w:rsidP="004070E8">
      <w:pPr>
        <w:pStyle w:val="NormalWeb"/>
        <w:numPr>
          <w:ilvl w:val="0"/>
          <w:numId w:val="5"/>
        </w:numPr>
        <w:spacing w:line="480" w:lineRule="auto"/>
        <w:ind w:left="1800"/>
        <w:jc w:val="both"/>
        <w:rPr>
          <w:color w:val="000000"/>
        </w:rPr>
      </w:pPr>
      <w:r w:rsidRPr="00411EA9">
        <w:rPr>
          <w:color w:val="000000"/>
        </w:rPr>
        <w:t>Article relates to AI in medical practice but does not include pharmacist(s) or pharmacy service(s).</w:t>
      </w:r>
    </w:p>
    <w:p w14:paraId="5E0CA928" w14:textId="77777777" w:rsidR="0094684E" w:rsidRPr="00411EA9" w:rsidRDefault="0094684E" w:rsidP="004070E8">
      <w:pPr>
        <w:pStyle w:val="NormalWeb"/>
        <w:numPr>
          <w:ilvl w:val="0"/>
          <w:numId w:val="5"/>
        </w:numPr>
        <w:spacing w:line="480" w:lineRule="auto"/>
        <w:ind w:left="1800"/>
        <w:jc w:val="both"/>
        <w:rPr>
          <w:color w:val="000000"/>
        </w:rPr>
      </w:pPr>
      <w:r w:rsidRPr="00411EA9">
        <w:rPr>
          <w:color w:val="000000"/>
        </w:rPr>
        <w:t>Duplicate records found in Scopus and/or WoSCC (removed during data integration).</w:t>
      </w:r>
    </w:p>
    <w:p w14:paraId="72946E26" w14:textId="77777777" w:rsidR="0094684E" w:rsidRPr="00411EA9" w:rsidRDefault="0094684E" w:rsidP="004070E8">
      <w:pPr>
        <w:pStyle w:val="NormalWeb"/>
        <w:numPr>
          <w:ilvl w:val="0"/>
          <w:numId w:val="5"/>
        </w:numPr>
        <w:spacing w:line="480" w:lineRule="auto"/>
        <w:ind w:left="1800"/>
        <w:jc w:val="both"/>
        <w:rPr>
          <w:color w:val="000000"/>
        </w:rPr>
      </w:pPr>
      <w:r w:rsidRPr="00411EA9">
        <w:rPr>
          <w:color w:val="000000"/>
        </w:rPr>
        <w:t>Articles written in non-English languages</w:t>
      </w:r>
    </w:p>
    <w:p w14:paraId="755BD843" w14:textId="40114BC4" w:rsidR="0094684E" w:rsidRPr="00411EA9" w:rsidRDefault="0094684E" w:rsidP="004070E8">
      <w:pPr>
        <w:pStyle w:val="NormalWeb"/>
        <w:numPr>
          <w:ilvl w:val="0"/>
          <w:numId w:val="5"/>
        </w:numPr>
        <w:spacing w:line="480" w:lineRule="auto"/>
        <w:ind w:left="1800"/>
        <w:jc w:val="both"/>
        <w:rPr>
          <w:color w:val="000000"/>
        </w:rPr>
      </w:pPr>
      <w:r w:rsidRPr="00411EA9">
        <w:rPr>
          <w:color w:val="000000"/>
        </w:rPr>
        <w:t>Erratum, corrigendum, withdrawn articles, and data papers</w:t>
      </w:r>
    </w:p>
    <w:p w14:paraId="5F846D09" w14:textId="4352A0BD" w:rsidR="0094684E" w:rsidRPr="00411EA9" w:rsidRDefault="0094684E" w:rsidP="003069F2">
      <w:pPr>
        <w:pStyle w:val="NormalWeb"/>
        <w:spacing w:line="480" w:lineRule="auto"/>
        <w:ind w:left="720"/>
        <w:jc w:val="both"/>
        <w:rPr>
          <w:b/>
          <w:bCs/>
          <w:color w:val="000000"/>
        </w:rPr>
      </w:pPr>
      <w:r w:rsidRPr="00411EA9">
        <w:rPr>
          <w:b/>
          <w:bCs/>
          <w:color w:val="000000"/>
        </w:rPr>
        <w:t>2.5 Data Extraction and Processing</w:t>
      </w:r>
    </w:p>
    <w:p w14:paraId="7657E548" w14:textId="43EA27AC" w:rsidR="0094684E" w:rsidRPr="00411EA9" w:rsidRDefault="0094684E" w:rsidP="003069F2">
      <w:pPr>
        <w:pStyle w:val="NormalWeb"/>
        <w:spacing w:line="480" w:lineRule="auto"/>
        <w:ind w:left="720" w:firstLine="720"/>
        <w:jc w:val="both"/>
        <w:rPr>
          <w:color w:val="000000"/>
        </w:rPr>
      </w:pPr>
      <w:r w:rsidRPr="00411EA9">
        <w:rPr>
          <w:color w:val="000000"/>
        </w:rPr>
        <w:t xml:space="preserve">Records were downloaded from Scopus and </w:t>
      </w:r>
      <w:proofErr w:type="spellStart"/>
      <w:r w:rsidRPr="00411EA9">
        <w:rPr>
          <w:color w:val="000000"/>
        </w:rPr>
        <w:t>WoSCC</w:t>
      </w:r>
      <w:proofErr w:type="spellEnd"/>
      <w:r w:rsidRPr="00411EA9">
        <w:rPr>
          <w:color w:val="000000"/>
        </w:rPr>
        <w:t xml:space="preserve"> in </w:t>
      </w:r>
      <w:proofErr w:type="spellStart"/>
      <w:r w:rsidRPr="00411EA9">
        <w:rPr>
          <w:color w:val="000000"/>
        </w:rPr>
        <w:t>BibTex</w:t>
      </w:r>
      <w:proofErr w:type="spellEnd"/>
      <w:r w:rsidRPr="00411EA9">
        <w:rPr>
          <w:color w:val="000000"/>
        </w:rPr>
        <w:t xml:space="preserve"> (.bib) format and plain text format, respectively. Records were identified as duplicates and removed using the Bibliometrix R package’s built-in duplicate record removal function, which identifies duplicate records based on digital object identifier (</w:t>
      </w:r>
      <w:r w:rsidR="00DD5802" w:rsidRPr="00411EA9">
        <w:rPr>
          <w:color w:val="000000"/>
        </w:rPr>
        <w:t>DOI</w:t>
      </w:r>
      <w:r w:rsidRPr="00411EA9">
        <w:rPr>
          <w:color w:val="000000"/>
        </w:rPr>
        <w:t xml:space="preserve">), title similarity, and author </w:t>
      </w:r>
      <w:r w:rsidRPr="00411EA9">
        <w:rPr>
          <w:color w:val="000000"/>
        </w:rPr>
        <w:lastRenderedPageBreak/>
        <w:t>fields (Aria &amp; Cuccurullo, 2017). Following the removal of duplicate records, the integrated dataset was reviewed by two independent reviewers (reviewers’ initials provided upon request) who read the titles and abstracts of the remaining records to verify their compliance with the inclusion/exclusion criteria. Any discrepancies that arose during this process were addressed through dialogue and consensus. A modified version of the PRISMA (Preferred Reporting Items for Systematic Reviews and Meta-Analyses) flow diagram (Page et al., 2021) was created to document the data selection process.</w:t>
      </w:r>
    </w:p>
    <w:p w14:paraId="2503F464" w14:textId="77777777" w:rsidR="0094684E" w:rsidRPr="00411EA9" w:rsidRDefault="0094684E" w:rsidP="004070E8">
      <w:pPr>
        <w:pStyle w:val="NormalWeb"/>
        <w:spacing w:line="480" w:lineRule="auto"/>
        <w:ind w:left="1080"/>
        <w:jc w:val="both"/>
        <w:rPr>
          <w:color w:val="000000"/>
        </w:rPr>
      </w:pPr>
      <w:r w:rsidRPr="00411EA9">
        <w:rPr>
          <w:color w:val="000000"/>
        </w:rPr>
        <w:t>For each included record, the following metadata were extracted:</w:t>
      </w:r>
    </w:p>
    <w:p w14:paraId="13BD3FAF"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Author(s)/authors</w:t>
      </w:r>
    </w:p>
    <w:p w14:paraId="254FD3E4"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Title</w:t>
      </w:r>
    </w:p>
    <w:p w14:paraId="511E4D09"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Source (Journal/Conference)</w:t>
      </w:r>
    </w:p>
    <w:p w14:paraId="0B83E1C7"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Year of publication</w:t>
      </w:r>
    </w:p>
    <w:p w14:paraId="75D8E009"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Document type</w:t>
      </w:r>
    </w:p>
    <w:p w14:paraId="0EE1C821"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Abstract</w:t>
      </w:r>
    </w:p>
    <w:p w14:paraId="7E8D5D28"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Author-defined keywords</w:t>
      </w:r>
    </w:p>
    <w:p w14:paraId="6A842CA7" w14:textId="77777777" w:rsidR="0094684E" w:rsidRPr="00411EA9" w:rsidRDefault="0094684E" w:rsidP="004070E8">
      <w:pPr>
        <w:pStyle w:val="NormalWeb"/>
        <w:numPr>
          <w:ilvl w:val="0"/>
          <w:numId w:val="6"/>
        </w:numPr>
        <w:spacing w:line="480" w:lineRule="auto"/>
        <w:ind w:left="1800"/>
        <w:rPr>
          <w:color w:val="000000"/>
        </w:rPr>
      </w:pPr>
      <w:proofErr w:type="spellStart"/>
      <w:r w:rsidRPr="00411EA9">
        <w:rPr>
          <w:color w:val="000000"/>
        </w:rPr>
        <w:t>KeywordsPlus</w:t>
      </w:r>
      <w:proofErr w:type="spellEnd"/>
      <w:r w:rsidRPr="00411EA9">
        <w:rPr>
          <w:color w:val="000000"/>
        </w:rPr>
        <w:t xml:space="preserve"> (</w:t>
      </w:r>
      <w:proofErr w:type="spellStart"/>
      <w:r w:rsidRPr="00411EA9">
        <w:rPr>
          <w:color w:val="000000"/>
        </w:rPr>
        <w:t>WoSCC</w:t>
      </w:r>
      <w:proofErr w:type="spellEnd"/>
      <w:r w:rsidRPr="00411EA9">
        <w:rPr>
          <w:color w:val="000000"/>
        </w:rPr>
        <w:t>)</w:t>
      </w:r>
    </w:p>
    <w:p w14:paraId="159459C5"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Institutional affiliations of author(s)</w:t>
      </w:r>
    </w:p>
    <w:p w14:paraId="05FFF99A"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Country/region of corresponding author</w:t>
      </w:r>
    </w:p>
    <w:p w14:paraId="5260BF86"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Funding information</w:t>
      </w:r>
    </w:p>
    <w:p w14:paraId="26BA4F8F" w14:textId="77777777" w:rsidR="0094684E" w:rsidRPr="00411EA9" w:rsidRDefault="0094684E" w:rsidP="004070E8">
      <w:pPr>
        <w:pStyle w:val="NormalWeb"/>
        <w:numPr>
          <w:ilvl w:val="0"/>
          <w:numId w:val="6"/>
        </w:numPr>
        <w:spacing w:line="480" w:lineRule="auto"/>
        <w:ind w:left="1800"/>
        <w:rPr>
          <w:color w:val="000000"/>
        </w:rPr>
      </w:pPr>
      <w:r w:rsidRPr="00411EA9">
        <w:rPr>
          <w:color w:val="000000"/>
        </w:rPr>
        <w:t>DOI</w:t>
      </w:r>
    </w:p>
    <w:p w14:paraId="23C37620" w14:textId="77021A5D" w:rsidR="0094684E" w:rsidRPr="00411EA9" w:rsidRDefault="0094684E" w:rsidP="004070E8">
      <w:pPr>
        <w:pStyle w:val="NormalWeb"/>
        <w:numPr>
          <w:ilvl w:val="0"/>
          <w:numId w:val="6"/>
        </w:numPr>
        <w:spacing w:line="480" w:lineRule="auto"/>
        <w:ind w:left="1800"/>
        <w:rPr>
          <w:color w:val="000000"/>
        </w:rPr>
      </w:pPr>
      <w:r w:rsidRPr="00411EA9">
        <w:rPr>
          <w:color w:val="000000"/>
        </w:rPr>
        <w:t>Citation count</w:t>
      </w:r>
    </w:p>
    <w:p w14:paraId="78B2FE22" w14:textId="77777777" w:rsidR="004070E8" w:rsidRPr="00411EA9" w:rsidRDefault="004070E8" w:rsidP="004070E8">
      <w:pPr>
        <w:pStyle w:val="NormalWeb"/>
        <w:spacing w:line="480" w:lineRule="auto"/>
        <w:rPr>
          <w:color w:val="000000"/>
        </w:rPr>
      </w:pPr>
    </w:p>
    <w:p w14:paraId="1C975C47" w14:textId="548AD878" w:rsidR="0094684E" w:rsidRPr="00411EA9" w:rsidRDefault="0094684E" w:rsidP="003069F2">
      <w:pPr>
        <w:pStyle w:val="NormalWeb"/>
        <w:spacing w:line="480" w:lineRule="auto"/>
        <w:ind w:left="720"/>
        <w:jc w:val="both"/>
        <w:rPr>
          <w:b/>
          <w:bCs/>
          <w:color w:val="000000"/>
        </w:rPr>
      </w:pPr>
      <w:r w:rsidRPr="00411EA9">
        <w:rPr>
          <w:b/>
          <w:bCs/>
          <w:color w:val="000000"/>
        </w:rPr>
        <w:lastRenderedPageBreak/>
        <w:t>2.6 Bibliometric Analysis</w:t>
      </w:r>
    </w:p>
    <w:p w14:paraId="75BBE189" w14:textId="77777777" w:rsidR="0094684E" w:rsidRPr="00411EA9" w:rsidRDefault="0094684E" w:rsidP="003069F2">
      <w:pPr>
        <w:pStyle w:val="NormalWeb"/>
        <w:spacing w:line="480" w:lineRule="auto"/>
        <w:ind w:left="720" w:firstLine="720"/>
        <w:jc w:val="both"/>
        <w:rPr>
          <w:color w:val="000000"/>
        </w:rPr>
      </w:pPr>
      <w:r w:rsidRPr="00411EA9">
        <w:rPr>
          <w:color w:val="000000"/>
        </w:rPr>
        <w:t>The bibliometric analysis involved two complementary approaches: performance analysis and science mapping (</w:t>
      </w:r>
      <w:proofErr w:type="spellStart"/>
      <w:r w:rsidRPr="00411EA9">
        <w:rPr>
          <w:color w:val="000000"/>
        </w:rPr>
        <w:t>Donthu</w:t>
      </w:r>
      <w:proofErr w:type="spellEnd"/>
      <w:r w:rsidRPr="00411EA9">
        <w:rPr>
          <w:color w:val="000000"/>
        </w:rPr>
        <w:t xml:space="preserve"> et al., 2021; Cobo et al., 2011).</w:t>
      </w:r>
    </w:p>
    <w:p w14:paraId="43C84B7E" w14:textId="6D9F6449" w:rsidR="0094684E" w:rsidRPr="00411EA9" w:rsidRDefault="0094684E" w:rsidP="003069F2">
      <w:pPr>
        <w:pStyle w:val="NormalWeb"/>
        <w:spacing w:line="480" w:lineRule="auto"/>
        <w:ind w:left="1440"/>
        <w:jc w:val="both"/>
        <w:rPr>
          <w:b/>
          <w:bCs/>
          <w:color w:val="000000"/>
        </w:rPr>
      </w:pPr>
      <w:r w:rsidRPr="00411EA9">
        <w:rPr>
          <w:b/>
          <w:bCs/>
          <w:color w:val="000000"/>
        </w:rPr>
        <w:t>2.6.1 Performance Analysis</w:t>
      </w:r>
    </w:p>
    <w:p w14:paraId="7604EAE0" w14:textId="77777777" w:rsidR="0094684E" w:rsidRPr="00411EA9" w:rsidRDefault="0094684E" w:rsidP="003069F2">
      <w:pPr>
        <w:pStyle w:val="NormalWeb"/>
        <w:spacing w:line="480" w:lineRule="auto"/>
        <w:ind w:left="1440" w:firstLine="720"/>
        <w:jc w:val="both"/>
        <w:rPr>
          <w:color w:val="000000"/>
        </w:rPr>
      </w:pPr>
      <w:r w:rsidRPr="00411EA9">
        <w:rPr>
          <w:color w:val="000000"/>
        </w:rPr>
        <w:t>Performance analysis examined the research productivity and impact of contributing units. The following metrics were analyzed:</w:t>
      </w:r>
    </w:p>
    <w:p w14:paraId="55EFFFBF" w14:textId="77777777" w:rsidR="00DD5802" w:rsidRPr="00411EA9" w:rsidRDefault="0094684E" w:rsidP="003069F2">
      <w:pPr>
        <w:pStyle w:val="NormalWeb"/>
        <w:numPr>
          <w:ilvl w:val="0"/>
          <w:numId w:val="7"/>
        </w:numPr>
        <w:spacing w:line="480" w:lineRule="auto"/>
        <w:jc w:val="both"/>
        <w:rPr>
          <w:color w:val="000000"/>
        </w:rPr>
      </w:pPr>
      <w:r w:rsidRPr="00411EA9">
        <w:rPr>
          <w:color w:val="000000"/>
        </w:rPr>
        <w:t>Annual publication trends: The total number of publications produced annually, and the growth rate of publications per annum from 2015 to 2025 (including the compound annual growth rate (CAGR) of publications).</w:t>
      </w:r>
    </w:p>
    <w:p w14:paraId="7280ECFF" w14:textId="77777777" w:rsidR="00DD5802" w:rsidRPr="00411EA9" w:rsidRDefault="0094684E" w:rsidP="003069F2">
      <w:pPr>
        <w:pStyle w:val="NormalWeb"/>
        <w:numPr>
          <w:ilvl w:val="0"/>
          <w:numId w:val="7"/>
        </w:numPr>
        <w:spacing w:line="480" w:lineRule="auto"/>
        <w:jc w:val="both"/>
        <w:rPr>
          <w:color w:val="000000"/>
        </w:rPr>
      </w:pPr>
      <w:r w:rsidRPr="00411EA9">
        <w:rPr>
          <w:color w:val="000000"/>
        </w:rPr>
        <w:t>Top producers by country/region: Based on the country/region where the corresponding author was affiliated, both single-country publications (SCP) and multi-country publications (MCP) were used to analyze international collaboration patterns.</w:t>
      </w:r>
    </w:p>
    <w:p w14:paraId="140F4E19" w14:textId="77777777" w:rsidR="00DD5802" w:rsidRPr="00411EA9" w:rsidRDefault="0094684E" w:rsidP="003069F2">
      <w:pPr>
        <w:pStyle w:val="NormalWeb"/>
        <w:numPr>
          <w:ilvl w:val="0"/>
          <w:numId w:val="7"/>
        </w:numPr>
        <w:spacing w:line="480" w:lineRule="auto"/>
        <w:jc w:val="both"/>
        <w:rPr>
          <w:color w:val="000000"/>
        </w:rPr>
      </w:pPr>
      <w:r w:rsidRPr="00411EA9">
        <w:rPr>
          <w:color w:val="000000"/>
        </w:rPr>
        <w:t>Top producers by institution:</w:t>
      </w:r>
      <w:r w:rsidR="00DD5802" w:rsidRPr="00411EA9">
        <w:rPr>
          <w:color w:val="000000"/>
        </w:rPr>
        <w:t xml:space="preserve"> </w:t>
      </w:r>
      <w:r w:rsidRPr="00411EA9">
        <w:rPr>
          <w:color w:val="000000"/>
        </w:rPr>
        <w:t>Ranked according to total number of publications and total citations received.</w:t>
      </w:r>
    </w:p>
    <w:p w14:paraId="31D9178C" w14:textId="77777777" w:rsidR="00DD5802" w:rsidRPr="00411EA9" w:rsidRDefault="0094684E" w:rsidP="003069F2">
      <w:pPr>
        <w:pStyle w:val="NormalWeb"/>
        <w:numPr>
          <w:ilvl w:val="0"/>
          <w:numId w:val="7"/>
        </w:numPr>
        <w:spacing w:line="480" w:lineRule="auto"/>
        <w:jc w:val="both"/>
        <w:rPr>
          <w:color w:val="000000"/>
        </w:rPr>
      </w:pPr>
      <w:r w:rsidRPr="00411EA9">
        <w:rPr>
          <w:color w:val="000000"/>
        </w:rPr>
        <w:t>Top producing authors:</w:t>
      </w:r>
      <w:r w:rsidR="00DD5802" w:rsidRPr="00411EA9">
        <w:rPr>
          <w:color w:val="000000"/>
        </w:rPr>
        <w:t xml:space="preserve"> </w:t>
      </w:r>
      <w:r w:rsidRPr="00411EA9">
        <w:rPr>
          <w:color w:val="000000"/>
        </w:rPr>
        <w:t>Authors' productivity assessed through total publications, total citations received, and h-index within the dataset.</w:t>
      </w:r>
    </w:p>
    <w:p w14:paraId="36CC59B4" w14:textId="77777777" w:rsidR="00DD5802" w:rsidRPr="00411EA9" w:rsidRDefault="0094684E" w:rsidP="003069F2">
      <w:pPr>
        <w:pStyle w:val="NormalWeb"/>
        <w:numPr>
          <w:ilvl w:val="0"/>
          <w:numId w:val="7"/>
        </w:numPr>
        <w:spacing w:line="480" w:lineRule="auto"/>
        <w:jc w:val="both"/>
        <w:rPr>
          <w:color w:val="000000"/>
        </w:rPr>
      </w:pPr>
      <w:r w:rsidRPr="00411EA9">
        <w:rPr>
          <w:color w:val="000000"/>
        </w:rPr>
        <w:t>Top publishing journals:</w:t>
      </w:r>
      <w:r w:rsidR="00DD5802" w:rsidRPr="00411EA9">
        <w:rPr>
          <w:color w:val="000000"/>
        </w:rPr>
        <w:t xml:space="preserve"> </w:t>
      </w:r>
      <w:r w:rsidRPr="00411EA9">
        <w:rPr>
          <w:color w:val="000000"/>
        </w:rPr>
        <w:t>Ranked by total number of publications, total citations received, and h-index; the law of scattering proposed by Bradford was tested to identify the core journals in the field (Bradford, 1934).</w:t>
      </w:r>
    </w:p>
    <w:p w14:paraId="23923F97" w14:textId="77777777" w:rsidR="00DD5802" w:rsidRPr="00411EA9" w:rsidRDefault="0094684E" w:rsidP="003069F2">
      <w:pPr>
        <w:pStyle w:val="NormalWeb"/>
        <w:numPr>
          <w:ilvl w:val="0"/>
          <w:numId w:val="7"/>
        </w:numPr>
        <w:spacing w:line="480" w:lineRule="auto"/>
        <w:jc w:val="both"/>
        <w:rPr>
          <w:color w:val="000000"/>
        </w:rPr>
      </w:pPr>
      <w:r w:rsidRPr="00411EA9">
        <w:rPr>
          <w:color w:val="000000"/>
        </w:rPr>
        <w:lastRenderedPageBreak/>
        <w:t>Most cited documents:</w:t>
      </w:r>
      <w:r w:rsidR="00DD5802" w:rsidRPr="00411EA9">
        <w:rPr>
          <w:color w:val="000000"/>
        </w:rPr>
        <w:t xml:space="preserve"> </w:t>
      </w:r>
      <w:r w:rsidRPr="00411EA9">
        <w:rPr>
          <w:color w:val="000000"/>
        </w:rPr>
        <w:t>The top cited documents were determined to identify the foundational and most influential publications in the area of AI-</w:t>
      </w:r>
      <w:r w:rsidR="00DD5802" w:rsidRPr="00411EA9">
        <w:rPr>
          <w:color w:val="000000"/>
        </w:rPr>
        <w:t>pharmacy practice</w:t>
      </w:r>
      <w:r w:rsidRPr="00411EA9">
        <w:rPr>
          <w:color w:val="000000"/>
        </w:rPr>
        <w:t xml:space="preserve"> research.</w:t>
      </w:r>
    </w:p>
    <w:p w14:paraId="35B385DE" w14:textId="1732CE25" w:rsidR="0094684E" w:rsidRPr="00411EA9" w:rsidRDefault="0094684E" w:rsidP="003069F2">
      <w:pPr>
        <w:pStyle w:val="NormalWeb"/>
        <w:numPr>
          <w:ilvl w:val="0"/>
          <w:numId w:val="7"/>
        </w:numPr>
        <w:spacing w:line="480" w:lineRule="auto"/>
        <w:jc w:val="both"/>
        <w:rPr>
          <w:color w:val="000000"/>
        </w:rPr>
      </w:pPr>
      <w:r w:rsidRPr="00411EA9">
        <w:rPr>
          <w:color w:val="000000"/>
        </w:rPr>
        <w:t>Distribution of author productivity:</w:t>
      </w:r>
      <w:r w:rsidR="00DD5802" w:rsidRPr="00411EA9">
        <w:rPr>
          <w:color w:val="000000"/>
        </w:rPr>
        <w:t xml:space="preserve"> </w:t>
      </w:r>
      <w:r w:rsidRPr="00411EA9">
        <w:rPr>
          <w:color w:val="000000"/>
        </w:rPr>
        <w:t>Lotka's Law of Author Productivity was tested to determine if the distribution of author contributions conforms to the predicted inverse square relationship (Lotka, 1926)</w:t>
      </w:r>
    </w:p>
    <w:p w14:paraId="18754667" w14:textId="26F01A38" w:rsidR="00DD5802" w:rsidRPr="00411EA9" w:rsidRDefault="00DD5802" w:rsidP="003069F2">
      <w:pPr>
        <w:pStyle w:val="NormalWeb"/>
        <w:spacing w:line="480" w:lineRule="auto"/>
        <w:ind w:left="720" w:firstLine="720"/>
        <w:rPr>
          <w:b/>
          <w:bCs/>
          <w:color w:val="000000"/>
        </w:rPr>
      </w:pPr>
      <w:r w:rsidRPr="00411EA9">
        <w:rPr>
          <w:b/>
          <w:bCs/>
          <w:color w:val="000000"/>
        </w:rPr>
        <w:t>2.6.2 Science Mapping</w:t>
      </w:r>
    </w:p>
    <w:p w14:paraId="661A971C" w14:textId="77777777" w:rsidR="00DD5802" w:rsidRPr="00411EA9" w:rsidRDefault="00DD5802" w:rsidP="003069F2">
      <w:pPr>
        <w:pStyle w:val="NormalWeb"/>
        <w:spacing w:line="480" w:lineRule="auto"/>
        <w:ind w:left="1440" w:firstLine="360"/>
        <w:jc w:val="both"/>
        <w:rPr>
          <w:color w:val="000000"/>
        </w:rPr>
      </w:pPr>
      <w:r w:rsidRPr="00411EA9">
        <w:rPr>
          <w:color w:val="000000"/>
        </w:rPr>
        <w:t>To illustrate the relational structure in the literature, science mapping was performed to demonstrate the collaborative connections among authors, institutions and countries. The following analyses were completed:</w:t>
      </w:r>
    </w:p>
    <w:p w14:paraId="11CAE07B" w14:textId="7D8E3FE0" w:rsidR="00DD5802" w:rsidRPr="00411EA9" w:rsidRDefault="00DD5802" w:rsidP="003069F2">
      <w:pPr>
        <w:pStyle w:val="NormalWeb"/>
        <w:numPr>
          <w:ilvl w:val="0"/>
          <w:numId w:val="8"/>
        </w:numPr>
        <w:spacing w:line="480" w:lineRule="auto"/>
        <w:ind w:left="2160"/>
        <w:jc w:val="both"/>
        <w:rPr>
          <w:color w:val="000000"/>
        </w:rPr>
      </w:pPr>
      <w:r w:rsidRPr="00411EA9">
        <w:rPr>
          <w:color w:val="000000"/>
        </w:rPr>
        <w:t>Co-authorship network analysis: The collaborative patterns among authors, institutions, and countries were examined through co-authorship networks. VOSviewer version 1.6.20 (Centre for Science and Technology Studies, Leiden University) was used to generate these networks using the full counting method. To limit spurious connections that can arise when visualizing networks of many entities, a threshold of [minimum number of publications required for each author, institution, and/or country; e.g., 3 publications per author, 5 publications per country] was imposed to enable meaningful network visualization (Van Eck &amp; Waltman, 2010).</w:t>
      </w:r>
    </w:p>
    <w:p w14:paraId="67836979" w14:textId="77777777" w:rsidR="00DD5802" w:rsidRPr="00411EA9" w:rsidRDefault="00DD5802" w:rsidP="003069F2">
      <w:pPr>
        <w:pStyle w:val="NormalWeb"/>
        <w:numPr>
          <w:ilvl w:val="0"/>
          <w:numId w:val="8"/>
        </w:numPr>
        <w:spacing w:line="480" w:lineRule="auto"/>
        <w:ind w:left="2160"/>
        <w:jc w:val="both"/>
        <w:rPr>
          <w:color w:val="000000"/>
        </w:rPr>
      </w:pPr>
      <w:r w:rsidRPr="00411EA9">
        <w:rPr>
          <w:color w:val="000000"/>
        </w:rPr>
        <w:t xml:space="preserve">Co-citation analysis: Clusters of frequently co-cited references were identified to show the intellectual foundations and knowledge base of AI in pharmacy practice research. Using VOSviewer, co-citation networks of </w:t>
      </w:r>
      <w:r w:rsidRPr="00411EA9">
        <w:rPr>
          <w:color w:val="000000"/>
        </w:rPr>
        <w:lastRenderedPageBreak/>
        <w:t>cited references and cited journals were created. Using the Louvain algorithm embedded in VOSviewer, cluster analysis was performed to identify communities of closely related references (Van Eck &amp; Waltman, 2010).</w:t>
      </w:r>
    </w:p>
    <w:p w14:paraId="335AC144" w14:textId="77777777" w:rsidR="00DD5802" w:rsidRPr="00411EA9" w:rsidRDefault="00DD5802" w:rsidP="003069F2">
      <w:pPr>
        <w:pStyle w:val="NormalWeb"/>
        <w:numPr>
          <w:ilvl w:val="0"/>
          <w:numId w:val="8"/>
        </w:numPr>
        <w:spacing w:line="480" w:lineRule="auto"/>
        <w:ind w:left="2160"/>
        <w:jc w:val="both"/>
        <w:rPr>
          <w:color w:val="000000"/>
        </w:rPr>
      </w:pPr>
      <w:r w:rsidRPr="00411EA9">
        <w:rPr>
          <w:color w:val="000000"/>
        </w:rPr>
        <w:t>Bibliographic coupling analysis: The similarity among citing documents based on shared citations was examined. Bibliographic coupling of documents, sources, and countries was used to determine the current research fronts and the parallel streams of inquiry (Kessler, 1963).</w:t>
      </w:r>
    </w:p>
    <w:p w14:paraId="47ED566F" w14:textId="77777777" w:rsidR="00DD5802" w:rsidRPr="00411EA9" w:rsidRDefault="00DD5802" w:rsidP="003069F2">
      <w:pPr>
        <w:pStyle w:val="NormalWeb"/>
        <w:numPr>
          <w:ilvl w:val="0"/>
          <w:numId w:val="8"/>
        </w:numPr>
        <w:spacing w:line="480" w:lineRule="auto"/>
        <w:ind w:left="2160"/>
        <w:jc w:val="both"/>
        <w:rPr>
          <w:color w:val="000000"/>
        </w:rPr>
      </w:pPr>
      <w:r w:rsidRPr="00411EA9">
        <w:rPr>
          <w:color w:val="000000"/>
        </w:rPr>
        <w:t xml:space="preserve">Keyword co-occurrence analysis: The major themes, research hotspots, and conceptual structure of the field were examined using author keywords and </w:t>
      </w:r>
      <w:proofErr w:type="spellStart"/>
      <w:r w:rsidRPr="00411EA9">
        <w:rPr>
          <w:color w:val="000000"/>
        </w:rPr>
        <w:t>KeyWords</w:t>
      </w:r>
      <w:proofErr w:type="spellEnd"/>
      <w:r w:rsidRPr="00411EA9">
        <w:rPr>
          <w:color w:val="000000"/>
        </w:rPr>
        <w:t xml:space="preserve"> Plus. Prior to analysis, all keywords were cleaned and standardized (e.g., merging synonymous terms such as "AI" and "artificial intelligence," "ML" and "machine learning"). A threshold of [minimum occurrence; e.g., 5 occurrences] was established. Network visualization, overlay visualization (temporal trends), and density visualization were generated using VOSviewer (Van Eck &amp; Waltman, 2010).</w:t>
      </w:r>
    </w:p>
    <w:p w14:paraId="5C0CC030" w14:textId="77777777" w:rsidR="00DD5802" w:rsidRPr="00411EA9" w:rsidRDefault="00DD5802" w:rsidP="003069F2">
      <w:pPr>
        <w:pStyle w:val="NormalWeb"/>
        <w:numPr>
          <w:ilvl w:val="0"/>
          <w:numId w:val="8"/>
        </w:numPr>
        <w:spacing w:line="480" w:lineRule="auto"/>
        <w:ind w:left="2160"/>
        <w:jc w:val="both"/>
        <w:rPr>
          <w:color w:val="000000"/>
        </w:rPr>
      </w:pPr>
      <w:r w:rsidRPr="00411EA9">
        <w:rPr>
          <w:color w:val="000000"/>
        </w:rPr>
        <w:t xml:space="preserve">Thematic mapping and evolution: Using </w:t>
      </w:r>
      <w:proofErr w:type="spellStart"/>
      <w:r w:rsidRPr="00411EA9">
        <w:rPr>
          <w:color w:val="000000"/>
        </w:rPr>
        <w:t>Bibliometrix’s</w:t>
      </w:r>
      <w:proofErr w:type="spellEnd"/>
      <w:r w:rsidRPr="00411EA9">
        <w:rPr>
          <w:color w:val="000000"/>
        </w:rPr>
        <w:t xml:space="preserve"> thematic map (strategic diagram), the research themes were classified into four quadrants according to Callon's centrality and density metrics: (Q1) Motor themes—high centrality, high density; (Q2) Basic/transversal themes—high centrality, low density; (Q3) Emerging or declining themes—low centrality, low density; and (Q4) Niche themes—low centrality, high </w:t>
      </w:r>
      <w:r w:rsidRPr="00411EA9">
        <w:rPr>
          <w:color w:val="000000"/>
        </w:rPr>
        <w:lastRenderedPageBreak/>
        <w:t>density (Callon et al., 1991; Cobo et al., 2011). Thematic evolution analysis was performed by dividing the study period into sub-periods [e.g., 2015–2019, 2020–2022, 2023–2025] to determine how research themes emerged, evolved, merged or declined over time.</w:t>
      </w:r>
    </w:p>
    <w:p w14:paraId="531EF552" w14:textId="5E78C9C9" w:rsidR="00DD5802" w:rsidRPr="00411EA9" w:rsidRDefault="00DD5802" w:rsidP="003069F2">
      <w:pPr>
        <w:pStyle w:val="NormalWeb"/>
        <w:numPr>
          <w:ilvl w:val="0"/>
          <w:numId w:val="8"/>
        </w:numPr>
        <w:spacing w:line="480" w:lineRule="auto"/>
        <w:ind w:left="2160"/>
        <w:jc w:val="both"/>
        <w:rPr>
          <w:color w:val="000000"/>
        </w:rPr>
      </w:pPr>
      <w:r w:rsidRPr="00411EA9">
        <w:rPr>
          <w:color w:val="000000"/>
        </w:rPr>
        <w:t xml:space="preserve">Three-field plot (Sankey diagram): A three-field plot was created using </w:t>
      </w:r>
      <w:proofErr w:type="spellStart"/>
      <w:r w:rsidRPr="00411EA9">
        <w:rPr>
          <w:color w:val="000000"/>
        </w:rPr>
        <w:t>Bibliometrix</w:t>
      </w:r>
      <w:proofErr w:type="spellEnd"/>
      <w:r w:rsidRPr="00411EA9">
        <w:rPr>
          <w:color w:val="000000"/>
        </w:rPr>
        <w:t>/</w:t>
      </w:r>
      <w:proofErr w:type="spellStart"/>
      <w:r w:rsidRPr="00411EA9">
        <w:rPr>
          <w:color w:val="000000"/>
        </w:rPr>
        <w:t>Biblioshiny</w:t>
      </w:r>
      <w:proofErr w:type="spellEnd"/>
      <w:r w:rsidRPr="00411EA9">
        <w:rPr>
          <w:color w:val="000000"/>
        </w:rPr>
        <w:t xml:space="preserve"> to illustrate relationships among selected metadata fields (e.g., countries–keywords–journals or authors–keywords–journals), illustrating the integrated view of the field's structure (Aria &amp; Cuccurullo, 2017).</w:t>
      </w:r>
    </w:p>
    <w:p w14:paraId="65B61C03" w14:textId="16103530" w:rsidR="00DD5802" w:rsidRPr="00411EA9" w:rsidRDefault="00DD5802" w:rsidP="003069F2">
      <w:pPr>
        <w:pStyle w:val="NormalWeb"/>
        <w:numPr>
          <w:ilvl w:val="1"/>
          <w:numId w:val="9"/>
        </w:numPr>
        <w:spacing w:line="480" w:lineRule="auto"/>
        <w:rPr>
          <w:b/>
          <w:bCs/>
          <w:color w:val="000000"/>
        </w:rPr>
      </w:pPr>
      <w:r w:rsidRPr="00411EA9">
        <w:rPr>
          <w:b/>
          <w:bCs/>
          <w:color w:val="000000"/>
        </w:rPr>
        <w:t>Software and Tools</w:t>
      </w:r>
    </w:p>
    <w:p w14:paraId="165D836C" w14:textId="77777777" w:rsidR="00DD5802" w:rsidRPr="00411EA9" w:rsidRDefault="00DD5802" w:rsidP="003069F2">
      <w:pPr>
        <w:pStyle w:val="NormalWeb"/>
        <w:spacing w:line="480" w:lineRule="auto"/>
        <w:ind w:left="720" w:firstLine="720"/>
        <w:rPr>
          <w:color w:val="000000"/>
        </w:rPr>
      </w:pPr>
      <w:r w:rsidRPr="00411EA9">
        <w:rPr>
          <w:color w:val="000000"/>
        </w:rPr>
        <w:t>The following software tools were used to analyze and visualize the data:</w:t>
      </w:r>
    </w:p>
    <w:p w14:paraId="1C878208" w14:textId="77777777" w:rsidR="00DD5802" w:rsidRPr="00411EA9" w:rsidRDefault="00DD5802" w:rsidP="003069F2">
      <w:pPr>
        <w:pStyle w:val="NormalWeb"/>
        <w:spacing w:line="480" w:lineRule="auto"/>
        <w:ind w:left="1800"/>
        <w:rPr>
          <w:color w:val="000000"/>
        </w:rPr>
      </w:pPr>
      <w:r w:rsidRPr="00411EA9">
        <w:rPr>
          <w:color w:val="000000"/>
        </w:rPr>
        <w:t>| Tool | Version | Functionality |</w:t>
      </w:r>
      <w:r w:rsidRPr="00411EA9">
        <w:rPr>
          <w:color w:val="000000"/>
        </w:rPr>
        <w:br/>
        <w:t>|------|---------|--------------|</w:t>
      </w:r>
      <w:r w:rsidRPr="00411EA9">
        <w:rPr>
          <w:color w:val="000000"/>
        </w:rPr>
        <w:br/>
        <w:t>| VOSviewer | 1.6.20 | Creating and Visualizing Network Maps (co-authorship, co-citation, bibliographic coupling, keyword co-occurrence); Overlay and Density Maps |</w:t>
      </w:r>
      <w:r w:rsidRPr="00411EA9">
        <w:rPr>
          <w:color w:val="000000"/>
        </w:rPr>
        <w:br/>
        <w:t>| Bibliometrix (R package) | 4.x | Evaluating performance, thematic mapping, thematic evolution, Bradford's Law, Lotka's Law, Three-Field Plots, Duplicate Removal |</w:t>
      </w:r>
      <w:r w:rsidRPr="00411EA9">
        <w:rPr>
          <w:color w:val="000000"/>
        </w:rPr>
        <w:br/>
        <w:t xml:space="preserve">| </w:t>
      </w:r>
      <w:proofErr w:type="spellStart"/>
      <w:r w:rsidRPr="00411EA9">
        <w:rPr>
          <w:color w:val="000000"/>
        </w:rPr>
        <w:t>Biblioshiny</w:t>
      </w:r>
      <w:proofErr w:type="spellEnd"/>
      <w:r w:rsidRPr="00411EA9">
        <w:rPr>
          <w:color w:val="000000"/>
        </w:rPr>
        <w:t xml:space="preserve"> | Web Interface of Bibliometrix | Exploring Bibliometric Results Interactively, Generating Thematic Maps |</w:t>
      </w:r>
      <w:r w:rsidRPr="00411EA9">
        <w:rPr>
          <w:color w:val="000000"/>
        </w:rPr>
        <w:br/>
        <w:t>| R | 4.x | Statistical Computing Environment for Running Bibliometrix |</w:t>
      </w:r>
      <w:r w:rsidRPr="00411EA9">
        <w:rPr>
          <w:color w:val="000000"/>
        </w:rPr>
        <w:br/>
      </w:r>
      <w:r w:rsidRPr="00411EA9">
        <w:rPr>
          <w:color w:val="000000"/>
        </w:rPr>
        <w:lastRenderedPageBreak/>
        <w:t>| Microsoft Excel | 2021/365 | Supplementing Data Organization, Cleaning, Tabulating |</w:t>
      </w:r>
    </w:p>
    <w:p w14:paraId="15941E70" w14:textId="39BEF974" w:rsidR="00DD5802" w:rsidRPr="00411EA9" w:rsidRDefault="00DD5802" w:rsidP="003069F2">
      <w:pPr>
        <w:pStyle w:val="NormalWeb"/>
        <w:spacing w:line="480" w:lineRule="auto"/>
        <w:ind w:firstLine="720"/>
        <w:jc w:val="both"/>
        <w:rPr>
          <w:b/>
          <w:bCs/>
          <w:color w:val="000000"/>
        </w:rPr>
      </w:pPr>
      <w:r w:rsidRPr="00411EA9">
        <w:rPr>
          <w:b/>
          <w:bCs/>
          <w:color w:val="000000"/>
        </w:rPr>
        <w:t>2.8 Ethical Considerations</w:t>
      </w:r>
    </w:p>
    <w:p w14:paraId="6E6064A2" w14:textId="77777777" w:rsidR="00DD5802" w:rsidRPr="00411EA9" w:rsidRDefault="00DD5802" w:rsidP="003069F2">
      <w:pPr>
        <w:pStyle w:val="NormalWeb"/>
        <w:spacing w:line="480" w:lineRule="auto"/>
        <w:ind w:left="720" w:firstLine="720"/>
        <w:jc w:val="both"/>
        <w:rPr>
          <w:color w:val="000000"/>
        </w:rPr>
      </w:pPr>
      <w:r w:rsidRPr="00411EA9">
        <w:rPr>
          <w:color w:val="000000"/>
        </w:rPr>
        <w:t>Since this study did not use human participants, patient data, surveys, or interviews and all data were extracted from publicly available bibliographic databases (Scopus and Web of Science), no ethical approval or informed consent was needed.</w:t>
      </w:r>
    </w:p>
    <w:p w14:paraId="030192AA" w14:textId="64BE9D78" w:rsidR="00DD5802" w:rsidRPr="00411EA9" w:rsidRDefault="00DD5802" w:rsidP="003069F2">
      <w:pPr>
        <w:pStyle w:val="NormalWeb"/>
        <w:numPr>
          <w:ilvl w:val="1"/>
          <w:numId w:val="9"/>
        </w:numPr>
        <w:spacing w:line="480" w:lineRule="auto"/>
        <w:rPr>
          <w:b/>
          <w:bCs/>
          <w:color w:val="000000"/>
        </w:rPr>
      </w:pPr>
      <w:r w:rsidRPr="00411EA9">
        <w:rPr>
          <w:b/>
          <w:bCs/>
          <w:color w:val="000000"/>
        </w:rPr>
        <w:t>Limitations of the Methodology</w:t>
      </w:r>
    </w:p>
    <w:p w14:paraId="6E644851" w14:textId="77777777" w:rsidR="00DD5802" w:rsidRPr="00411EA9" w:rsidRDefault="00DD5802" w:rsidP="003069F2">
      <w:pPr>
        <w:pStyle w:val="NormalWeb"/>
        <w:spacing w:line="480" w:lineRule="auto"/>
        <w:ind w:left="720" w:firstLine="720"/>
        <w:rPr>
          <w:color w:val="000000"/>
        </w:rPr>
      </w:pPr>
      <w:r w:rsidRPr="00411EA9">
        <w:rPr>
          <w:color w:val="000000"/>
        </w:rPr>
        <w:t>There are several methodological limitations to be considered:</w:t>
      </w:r>
    </w:p>
    <w:p w14:paraId="3F770952" w14:textId="7008004D" w:rsidR="00CA0281" w:rsidRPr="00411EA9" w:rsidRDefault="00DD5802" w:rsidP="003069F2">
      <w:pPr>
        <w:pStyle w:val="NormalWeb"/>
        <w:numPr>
          <w:ilvl w:val="0"/>
          <w:numId w:val="10"/>
        </w:numPr>
        <w:spacing w:line="480" w:lineRule="auto"/>
        <w:jc w:val="both"/>
        <w:rPr>
          <w:color w:val="000000"/>
        </w:rPr>
      </w:pPr>
      <w:r w:rsidRPr="00411EA9">
        <w:rPr>
          <w:color w:val="000000"/>
        </w:rPr>
        <w:t xml:space="preserve">Database Coverage Bias: In addition to excluding studies indexed solely in other databases (e.g., PubMed/MEDLINE, Google Scholar, Regional Databases), although the Scopus and WoSCC databases contain extensive coverage of the peer reviewed literature, there is a risk that some studies from Low- and Middle-Income Countries or non-English language journals </w:t>
      </w:r>
      <w:r w:rsidR="00A372D7">
        <w:rPr>
          <w:color w:val="000000"/>
        </w:rPr>
        <w:t>were</w:t>
      </w:r>
      <w:r w:rsidRPr="00411EA9">
        <w:rPr>
          <w:color w:val="000000"/>
        </w:rPr>
        <w:t xml:space="preserve"> underrepresented since they may not be indexed in Scopus or WoSCC.</w:t>
      </w:r>
    </w:p>
    <w:p w14:paraId="5D4DB8DE" w14:textId="77777777" w:rsidR="00CA0281" w:rsidRPr="00411EA9" w:rsidRDefault="00DD5802" w:rsidP="003069F2">
      <w:pPr>
        <w:pStyle w:val="NormalWeb"/>
        <w:numPr>
          <w:ilvl w:val="0"/>
          <w:numId w:val="10"/>
        </w:numPr>
        <w:spacing w:line="480" w:lineRule="auto"/>
        <w:jc w:val="both"/>
        <w:rPr>
          <w:color w:val="000000"/>
        </w:rPr>
      </w:pPr>
      <w:r w:rsidRPr="00411EA9">
        <w:rPr>
          <w:color w:val="000000"/>
        </w:rPr>
        <w:t>Language Restriction: Excluding non-English publications may create a language bias and underestimate contributions from non-English speaking regions, especially in Asia, Latin America, and the Middle East.</w:t>
      </w:r>
    </w:p>
    <w:p w14:paraId="52174225" w14:textId="77777777" w:rsidR="00CA0281" w:rsidRPr="00411EA9" w:rsidRDefault="00DD5802" w:rsidP="003069F2">
      <w:pPr>
        <w:pStyle w:val="NormalWeb"/>
        <w:numPr>
          <w:ilvl w:val="0"/>
          <w:numId w:val="10"/>
        </w:numPr>
        <w:spacing w:line="480" w:lineRule="auto"/>
        <w:jc w:val="both"/>
        <w:rPr>
          <w:color w:val="000000"/>
        </w:rPr>
      </w:pPr>
      <w:r w:rsidRPr="00411EA9">
        <w:rPr>
          <w:color w:val="000000"/>
        </w:rPr>
        <w:t xml:space="preserve">Keyword Dependency: The ability to retrieve relevant publications using the search string used can influence the inclusion/exclusion of relevant publications. Although a comprehensive set of AI and Pharmacy Practice </w:t>
      </w:r>
      <w:r w:rsidRPr="00411EA9">
        <w:rPr>
          <w:color w:val="000000"/>
        </w:rPr>
        <w:lastRenderedPageBreak/>
        <w:t>terms was utilized, it is possible to miss relevant publications that utilize novel or atypical terminology.</w:t>
      </w:r>
    </w:p>
    <w:p w14:paraId="12C33B5A" w14:textId="77777777" w:rsidR="00CA0281" w:rsidRPr="00411EA9" w:rsidRDefault="00DD5802" w:rsidP="003069F2">
      <w:pPr>
        <w:pStyle w:val="NormalWeb"/>
        <w:numPr>
          <w:ilvl w:val="0"/>
          <w:numId w:val="10"/>
        </w:numPr>
        <w:spacing w:line="480" w:lineRule="auto"/>
        <w:jc w:val="both"/>
        <w:rPr>
          <w:color w:val="000000"/>
        </w:rPr>
      </w:pPr>
      <w:r w:rsidRPr="00411EA9">
        <w:rPr>
          <w:color w:val="000000"/>
        </w:rPr>
        <w:t>Citation Bias: Citation counts can be influenced by the age of the publication, the visibility of the Journal, and the amount of self-citation included in the publication. For example, newer publications (2024–2025) may have lower citation counts than older publications (2020–2023) even though they may be equally relevant and of high quality.</w:t>
      </w:r>
    </w:p>
    <w:p w14:paraId="5EA206B2" w14:textId="77777777" w:rsidR="00CA0281" w:rsidRPr="00411EA9" w:rsidRDefault="00DD5802" w:rsidP="003069F2">
      <w:pPr>
        <w:pStyle w:val="NormalWeb"/>
        <w:numPr>
          <w:ilvl w:val="0"/>
          <w:numId w:val="10"/>
        </w:numPr>
        <w:spacing w:line="480" w:lineRule="auto"/>
        <w:jc w:val="both"/>
        <w:rPr>
          <w:color w:val="000000"/>
        </w:rPr>
      </w:pPr>
      <w:r w:rsidRPr="00411EA9">
        <w:rPr>
          <w:color w:val="000000"/>
        </w:rPr>
        <w:t>Boundary Classification Challenges: Since some publications may overlap two areas (i.e., Drug Discovery/Pharmaceutical Sciences and Pharmacy Practice), the manual screening process was utilized to minimize this challenge.</w:t>
      </w:r>
    </w:p>
    <w:p w14:paraId="6D65BF3B" w14:textId="3CA6092C" w:rsidR="00DD5802" w:rsidRPr="00411EA9" w:rsidRDefault="00DD5802" w:rsidP="003069F2">
      <w:pPr>
        <w:pStyle w:val="NormalWeb"/>
        <w:numPr>
          <w:ilvl w:val="0"/>
          <w:numId w:val="10"/>
        </w:numPr>
        <w:spacing w:line="480" w:lineRule="auto"/>
        <w:jc w:val="both"/>
        <w:rPr>
          <w:color w:val="000000"/>
        </w:rPr>
      </w:pPr>
      <w:r w:rsidRPr="00411EA9">
        <w:rPr>
          <w:color w:val="000000"/>
        </w:rPr>
        <w:t>Time Period Snapshot: As bibliographic data represent a snapshot of the database at the time of retrieval, publications added to the database subsequent to the date of retrieval are not included.</w:t>
      </w:r>
    </w:p>
    <w:p w14:paraId="6FFA1381" w14:textId="59DE6AC6" w:rsidR="006E711F" w:rsidRPr="00411EA9" w:rsidRDefault="00411EA9" w:rsidP="003069F2">
      <w:pPr>
        <w:spacing w:line="480" w:lineRule="auto"/>
        <w:jc w:val="both"/>
        <w:rPr>
          <w:rFonts w:ascii="Times New Roman" w:hAnsi="Times New Roman" w:cs="Times New Roman"/>
          <w:b/>
          <w:bCs/>
        </w:rPr>
      </w:pPr>
      <w:r w:rsidRPr="00411EA9">
        <w:rPr>
          <w:rFonts w:ascii="Times New Roman" w:hAnsi="Times New Roman" w:cs="Times New Roman"/>
          <w:b/>
          <w:bCs/>
        </w:rPr>
        <w:t>3.0 Results and Discussion</w:t>
      </w:r>
    </w:p>
    <w:tbl>
      <w:tblPr>
        <w:tblStyle w:val="PlainTable2"/>
        <w:tblpPr w:leftFromText="180" w:rightFromText="180" w:vertAnchor="page" w:horzAnchor="margin" w:tblpY="10739"/>
        <w:tblW w:w="9270" w:type="dxa"/>
        <w:tblLook w:val="04A0" w:firstRow="1" w:lastRow="0" w:firstColumn="1" w:lastColumn="0" w:noHBand="0" w:noVBand="1"/>
      </w:tblPr>
      <w:tblGrid>
        <w:gridCol w:w="936"/>
        <w:gridCol w:w="2900"/>
        <w:gridCol w:w="2399"/>
        <w:gridCol w:w="3035"/>
      </w:tblGrid>
      <w:tr w:rsidR="00411EA9" w:rsidRPr="00411EA9" w14:paraId="5C6E10A9" w14:textId="77777777" w:rsidTr="00411EA9">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0" w:type="auto"/>
            <w:hideMark/>
          </w:tcPr>
          <w:p w14:paraId="4A3B4183"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Year</w:t>
            </w:r>
          </w:p>
        </w:tc>
        <w:tc>
          <w:tcPr>
            <w:tcW w:w="0" w:type="auto"/>
            <w:hideMark/>
          </w:tcPr>
          <w:p w14:paraId="5E4D10A3" w14:textId="77777777" w:rsidR="00411EA9" w:rsidRPr="00411EA9" w:rsidRDefault="00411EA9" w:rsidP="00411E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No. of Publications</w:t>
            </w:r>
          </w:p>
        </w:tc>
        <w:tc>
          <w:tcPr>
            <w:tcW w:w="0" w:type="auto"/>
            <w:hideMark/>
          </w:tcPr>
          <w:p w14:paraId="4D841315" w14:textId="77777777" w:rsidR="00411EA9" w:rsidRPr="00411EA9" w:rsidRDefault="00411EA9" w:rsidP="00411E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Percent of total</w:t>
            </w:r>
          </w:p>
        </w:tc>
        <w:tc>
          <w:tcPr>
            <w:tcW w:w="0" w:type="auto"/>
            <w:hideMark/>
          </w:tcPr>
          <w:p w14:paraId="5EDCEC9C" w14:textId="77777777" w:rsidR="00411EA9" w:rsidRPr="00411EA9" w:rsidRDefault="00411EA9" w:rsidP="00411E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Cumulative Percent</w:t>
            </w:r>
          </w:p>
        </w:tc>
      </w:tr>
      <w:tr w:rsidR="00411EA9" w:rsidRPr="00411EA9" w14:paraId="33A496A2" w14:textId="77777777" w:rsidTr="00411EA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05820421"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2020</w:t>
            </w:r>
          </w:p>
        </w:tc>
        <w:tc>
          <w:tcPr>
            <w:tcW w:w="0" w:type="auto"/>
            <w:hideMark/>
          </w:tcPr>
          <w:p w14:paraId="67E52C92"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113</w:t>
            </w:r>
          </w:p>
        </w:tc>
        <w:tc>
          <w:tcPr>
            <w:tcW w:w="0" w:type="auto"/>
            <w:hideMark/>
          </w:tcPr>
          <w:p w14:paraId="5DEBBAEC"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7.02</w:t>
            </w:r>
          </w:p>
        </w:tc>
        <w:tc>
          <w:tcPr>
            <w:tcW w:w="0" w:type="auto"/>
            <w:hideMark/>
          </w:tcPr>
          <w:p w14:paraId="376EE06D"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7.02</w:t>
            </w:r>
          </w:p>
        </w:tc>
      </w:tr>
      <w:tr w:rsidR="00411EA9" w:rsidRPr="00411EA9" w14:paraId="1A8416B7" w14:textId="77777777" w:rsidTr="00411EA9">
        <w:trPr>
          <w:trHeight w:val="297"/>
        </w:trPr>
        <w:tc>
          <w:tcPr>
            <w:cnfStyle w:val="001000000000" w:firstRow="0" w:lastRow="0" w:firstColumn="1" w:lastColumn="0" w:oddVBand="0" w:evenVBand="0" w:oddHBand="0" w:evenHBand="0" w:firstRowFirstColumn="0" w:firstRowLastColumn="0" w:lastRowFirstColumn="0" w:lastRowLastColumn="0"/>
            <w:tcW w:w="0" w:type="auto"/>
            <w:hideMark/>
          </w:tcPr>
          <w:p w14:paraId="4C3380F2"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2021</w:t>
            </w:r>
          </w:p>
        </w:tc>
        <w:tc>
          <w:tcPr>
            <w:tcW w:w="0" w:type="auto"/>
            <w:hideMark/>
          </w:tcPr>
          <w:p w14:paraId="6EE69150"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152</w:t>
            </w:r>
          </w:p>
        </w:tc>
        <w:tc>
          <w:tcPr>
            <w:tcW w:w="0" w:type="auto"/>
            <w:hideMark/>
          </w:tcPr>
          <w:p w14:paraId="1E619C41"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9.45</w:t>
            </w:r>
          </w:p>
        </w:tc>
        <w:tc>
          <w:tcPr>
            <w:tcW w:w="0" w:type="auto"/>
            <w:hideMark/>
          </w:tcPr>
          <w:p w14:paraId="21B43C90"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16.47</w:t>
            </w:r>
          </w:p>
        </w:tc>
      </w:tr>
      <w:tr w:rsidR="00411EA9" w:rsidRPr="00411EA9" w14:paraId="2D0AD05D" w14:textId="77777777" w:rsidTr="00411EA9">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0" w:type="auto"/>
            <w:hideMark/>
          </w:tcPr>
          <w:p w14:paraId="58681903"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2022</w:t>
            </w:r>
          </w:p>
        </w:tc>
        <w:tc>
          <w:tcPr>
            <w:tcW w:w="0" w:type="auto"/>
            <w:hideMark/>
          </w:tcPr>
          <w:p w14:paraId="2C945A36"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175</w:t>
            </w:r>
          </w:p>
        </w:tc>
        <w:tc>
          <w:tcPr>
            <w:tcW w:w="0" w:type="auto"/>
            <w:hideMark/>
          </w:tcPr>
          <w:p w14:paraId="5255A674"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10.88</w:t>
            </w:r>
          </w:p>
        </w:tc>
        <w:tc>
          <w:tcPr>
            <w:tcW w:w="0" w:type="auto"/>
            <w:hideMark/>
          </w:tcPr>
          <w:p w14:paraId="3ADF8C01"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27.35</w:t>
            </w:r>
          </w:p>
        </w:tc>
      </w:tr>
      <w:tr w:rsidR="00411EA9" w:rsidRPr="00411EA9" w14:paraId="3A5AB5EE" w14:textId="77777777" w:rsidTr="00411EA9">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12E85D00"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2023</w:t>
            </w:r>
          </w:p>
        </w:tc>
        <w:tc>
          <w:tcPr>
            <w:tcW w:w="0" w:type="auto"/>
            <w:hideMark/>
          </w:tcPr>
          <w:p w14:paraId="77447AF9"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187</w:t>
            </w:r>
          </w:p>
        </w:tc>
        <w:tc>
          <w:tcPr>
            <w:tcW w:w="0" w:type="auto"/>
            <w:hideMark/>
          </w:tcPr>
          <w:p w14:paraId="192EA895"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11.62</w:t>
            </w:r>
          </w:p>
        </w:tc>
        <w:tc>
          <w:tcPr>
            <w:tcW w:w="0" w:type="auto"/>
            <w:hideMark/>
          </w:tcPr>
          <w:p w14:paraId="2E0614DA"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38.97</w:t>
            </w:r>
          </w:p>
        </w:tc>
      </w:tr>
      <w:tr w:rsidR="00411EA9" w:rsidRPr="00411EA9" w14:paraId="5E4C1794" w14:textId="77777777" w:rsidTr="00411EA9">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0" w:type="auto"/>
            <w:hideMark/>
          </w:tcPr>
          <w:p w14:paraId="450230EB"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2024</w:t>
            </w:r>
          </w:p>
        </w:tc>
        <w:tc>
          <w:tcPr>
            <w:tcW w:w="0" w:type="auto"/>
            <w:hideMark/>
          </w:tcPr>
          <w:p w14:paraId="001B8FD3"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400</w:t>
            </w:r>
          </w:p>
        </w:tc>
        <w:tc>
          <w:tcPr>
            <w:tcW w:w="0" w:type="auto"/>
            <w:hideMark/>
          </w:tcPr>
          <w:p w14:paraId="3C694D12"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24.86</w:t>
            </w:r>
          </w:p>
        </w:tc>
        <w:tc>
          <w:tcPr>
            <w:tcW w:w="0" w:type="auto"/>
            <w:hideMark/>
          </w:tcPr>
          <w:p w14:paraId="2EBE86F4" w14:textId="77777777" w:rsidR="00411EA9" w:rsidRPr="00411EA9" w:rsidRDefault="00411EA9" w:rsidP="00411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63.83</w:t>
            </w:r>
          </w:p>
        </w:tc>
      </w:tr>
      <w:tr w:rsidR="00411EA9" w:rsidRPr="00411EA9" w14:paraId="0597D001" w14:textId="77777777" w:rsidTr="00411EA9">
        <w:trPr>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283179E9" w14:textId="77777777" w:rsidR="00411EA9" w:rsidRPr="00411EA9" w:rsidRDefault="00411EA9" w:rsidP="00411EA9">
            <w:pPr>
              <w:rPr>
                <w:rFonts w:ascii="Times New Roman" w:hAnsi="Times New Roman" w:cs="Times New Roman"/>
              </w:rPr>
            </w:pPr>
            <w:r w:rsidRPr="00411EA9">
              <w:rPr>
                <w:rFonts w:ascii="Times New Roman" w:hAnsi="Times New Roman" w:cs="Times New Roman"/>
              </w:rPr>
              <w:t>2025</w:t>
            </w:r>
          </w:p>
        </w:tc>
        <w:tc>
          <w:tcPr>
            <w:tcW w:w="0" w:type="auto"/>
            <w:hideMark/>
          </w:tcPr>
          <w:p w14:paraId="0D1E9DC3"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582</w:t>
            </w:r>
          </w:p>
        </w:tc>
        <w:tc>
          <w:tcPr>
            <w:tcW w:w="0" w:type="auto"/>
            <w:hideMark/>
          </w:tcPr>
          <w:p w14:paraId="6A970B91"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36.17</w:t>
            </w:r>
          </w:p>
        </w:tc>
        <w:tc>
          <w:tcPr>
            <w:tcW w:w="0" w:type="auto"/>
            <w:hideMark/>
          </w:tcPr>
          <w:p w14:paraId="3FA3AFB0" w14:textId="77777777" w:rsidR="00411EA9" w:rsidRPr="00411EA9" w:rsidRDefault="00411EA9" w:rsidP="00411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100.0</w:t>
            </w:r>
          </w:p>
        </w:tc>
      </w:tr>
    </w:tbl>
    <w:p w14:paraId="67567350" w14:textId="77777777" w:rsidR="00411EA9" w:rsidRPr="00411EA9" w:rsidRDefault="00411EA9" w:rsidP="00411EA9">
      <w:pPr>
        <w:spacing w:before="100" w:beforeAutospacing="1" w:after="100" w:afterAutospacing="1"/>
        <w:rPr>
          <w:rFonts w:ascii="Times New Roman" w:hAnsi="Times New Roman" w:cs="Times New Roman"/>
          <w:color w:val="000000"/>
        </w:rPr>
      </w:pPr>
      <w:r w:rsidRPr="00411EA9">
        <w:rPr>
          <w:rFonts w:ascii="Times New Roman" w:hAnsi="Times New Roman" w:cs="Times New Roman"/>
          <w:b/>
          <w:bCs/>
          <w:color w:val="000000"/>
        </w:rPr>
        <w:t>Table 1 – Annual publications (2020–2025)</w:t>
      </w:r>
    </w:p>
    <w:p w14:paraId="2EA4527C" w14:textId="77777777" w:rsidR="00411EA9" w:rsidRDefault="00411EA9" w:rsidP="00411EA9">
      <w:pPr>
        <w:spacing w:before="100" w:beforeAutospacing="1" w:after="100" w:afterAutospacing="1" w:line="480" w:lineRule="auto"/>
        <w:ind w:firstLine="720"/>
        <w:jc w:val="both"/>
        <w:rPr>
          <w:rFonts w:ascii="Times New Roman" w:hAnsi="Times New Roman" w:cs="Times New Roman"/>
          <w:color w:val="000000"/>
        </w:rPr>
      </w:pPr>
      <w:r w:rsidRPr="00411EA9">
        <w:rPr>
          <w:rFonts w:ascii="Times New Roman" w:hAnsi="Times New Roman" w:cs="Times New Roman"/>
          <w:color w:val="000000"/>
        </w:rPr>
        <w:t xml:space="preserve">The annual distribution of publications on artificial intelligence (AI) in pharmacy practice revealed a pattern of accelerating growth across the study period (Table 1). Publications </w:t>
      </w:r>
      <w:r w:rsidRPr="00411EA9">
        <w:rPr>
          <w:rFonts w:ascii="Times New Roman" w:hAnsi="Times New Roman" w:cs="Times New Roman"/>
          <w:color w:val="000000"/>
        </w:rPr>
        <w:lastRenderedPageBreak/>
        <w:t>increased from 113 in 2020 (7.02% of total) to 152 in 2021 (9.45%), 175 in 2022 (10.88%), and 187 in 2023 (11.62%). A pronounced inflection point was observed in 2024, with output rising sharply to 400 publications (24.86%) — an increase of 113.9% from 2023. Growth was further amplified in 2025, which recorded 582 publications (36.17%), the highest annual output across the entire study period. Cumulatively, 2024 and 2025 together accounted for 61.03% of all publications in the dataset, indicating that the majority of scholarly output in this field was concentrated in the final two years of the study period.</w:t>
      </w:r>
    </w:p>
    <w:p w14:paraId="68B196B4" w14:textId="6EEDAA1F" w:rsidR="00411EA9" w:rsidRPr="00411EA9" w:rsidRDefault="00411EA9" w:rsidP="00411EA9">
      <w:pPr>
        <w:spacing w:before="100" w:beforeAutospacing="1" w:after="100" w:afterAutospacing="1" w:line="480" w:lineRule="auto"/>
        <w:jc w:val="both"/>
        <w:rPr>
          <w:rFonts w:ascii="Times New Roman" w:hAnsi="Times New Roman" w:cs="Times New Roman"/>
          <w:color w:val="000000"/>
        </w:rPr>
      </w:pPr>
      <w:r w:rsidRPr="00411EA9">
        <w:rPr>
          <w:rFonts w:ascii="Times New Roman" w:hAnsi="Times New Roman" w:cs="Times New Roman"/>
          <w:b/>
          <w:bCs/>
          <w:color w:val="000000"/>
        </w:rPr>
        <w:t>Table 2 – Top 10 countries by number of publications</w:t>
      </w:r>
    </w:p>
    <w:tbl>
      <w:tblPr>
        <w:tblStyle w:val="PlainTable2"/>
        <w:tblW w:w="9322" w:type="dxa"/>
        <w:tblLook w:val="04A0" w:firstRow="1" w:lastRow="0" w:firstColumn="1" w:lastColumn="0" w:noHBand="0" w:noVBand="1"/>
      </w:tblPr>
      <w:tblGrid>
        <w:gridCol w:w="3064"/>
        <w:gridCol w:w="3424"/>
        <w:gridCol w:w="2834"/>
      </w:tblGrid>
      <w:tr w:rsidR="00411EA9" w:rsidRPr="00411EA9" w14:paraId="15B8415A" w14:textId="77777777" w:rsidTr="00F81C36">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7FEF7198"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Country</w:t>
            </w:r>
          </w:p>
        </w:tc>
        <w:tc>
          <w:tcPr>
            <w:tcW w:w="0" w:type="auto"/>
            <w:hideMark/>
          </w:tcPr>
          <w:p w14:paraId="1FE5DE3D" w14:textId="77777777" w:rsidR="00411EA9" w:rsidRPr="00411EA9" w:rsidRDefault="00411EA9" w:rsidP="00F81C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No. of Publications</w:t>
            </w:r>
          </w:p>
        </w:tc>
        <w:tc>
          <w:tcPr>
            <w:tcW w:w="0" w:type="auto"/>
            <w:hideMark/>
          </w:tcPr>
          <w:p w14:paraId="508B93F7" w14:textId="77777777" w:rsidR="00411EA9" w:rsidRPr="00411EA9" w:rsidRDefault="00411EA9" w:rsidP="00F81C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Percent of total</w:t>
            </w:r>
          </w:p>
        </w:tc>
      </w:tr>
      <w:tr w:rsidR="00411EA9" w:rsidRPr="00411EA9" w14:paraId="6D96DB19" w14:textId="77777777" w:rsidTr="00F81C3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58AFCC45"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United States</w:t>
            </w:r>
          </w:p>
        </w:tc>
        <w:tc>
          <w:tcPr>
            <w:tcW w:w="0" w:type="auto"/>
            <w:hideMark/>
          </w:tcPr>
          <w:p w14:paraId="6B3C6435"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449</w:t>
            </w:r>
          </w:p>
        </w:tc>
        <w:tc>
          <w:tcPr>
            <w:tcW w:w="0" w:type="auto"/>
            <w:hideMark/>
          </w:tcPr>
          <w:p w14:paraId="06DD29BD"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28.17</w:t>
            </w:r>
          </w:p>
        </w:tc>
      </w:tr>
      <w:tr w:rsidR="00411EA9" w:rsidRPr="00411EA9" w14:paraId="04915250" w14:textId="77777777" w:rsidTr="00F81C36">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4F604B10"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China</w:t>
            </w:r>
          </w:p>
        </w:tc>
        <w:tc>
          <w:tcPr>
            <w:tcW w:w="0" w:type="auto"/>
            <w:hideMark/>
          </w:tcPr>
          <w:p w14:paraId="3C2C7DC1"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381</w:t>
            </w:r>
          </w:p>
        </w:tc>
        <w:tc>
          <w:tcPr>
            <w:tcW w:w="0" w:type="auto"/>
            <w:hideMark/>
          </w:tcPr>
          <w:p w14:paraId="11E11FE5"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23.9</w:t>
            </w:r>
          </w:p>
        </w:tc>
      </w:tr>
      <w:tr w:rsidR="00411EA9" w:rsidRPr="00411EA9" w14:paraId="4EDD14B3" w14:textId="77777777" w:rsidTr="00F81C3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560F6A6D"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United Kingdom</w:t>
            </w:r>
          </w:p>
        </w:tc>
        <w:tc>
          <w:tcPr>
            <w:tcW w:w="0" w:type="auto"/>
            <w:hideMark/>
          </w:tcPr>
          <w:p w14:paraId="2872CD9D"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77</w:t>
            </w:r>
          </w:p>
        </w:tc>
        <w:tc>
          <w:tcPr>
            <w:tcW w:w="0" w:type="auto"/>
            <w:hideMark/>
          </w:tcPr>
          <w:p w14:paraId="5746B6BB"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4.83</w:t>
            </w:r>
          </w:p>
        </w:tc>
      </w:tr>
      <w:tr w:rsidR="00411EA9" w:rsidRPr="00411EA9" w14:paraId="04DB9643" w14:textId="77777777" w:rsidTr="00F81C36">
        <w:trPr>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126FFF08"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Canada</w:t>
            </w:r>
          </w:p>
        </w:tc>
        <w:tc>
          <w:tcPr>
            <w:tcW w:w="0" w:type="auto"/>
            <w:hideMark/>
          </w:tcPr>
          <w:p w14:paraId="6D978DE0"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54</w:t>
            </w:r>
          </w:p>
        </w:tc>
        <w:tc>
          <w:tcPr>
            <w:tcW w:w="0" w:type="auto"/>
            <w:hideMark/>
          </w:tcPr>
          <w:p w14:paraId="6A2ABE83"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3.39</w:t>
            </w:r>
          </w:p>
        </w:tc>
      </w:tr>
      <w:tr w:rsidR="00411EA9" w:rsidRPr="00411EA9" w14:paraId="5008FBF4" w14:textId="77777777" w:rsidTr="00F81C3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772046AD"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Australia</w:t>
            </w:r>
          </w:p>
        </w:tc>
        <w:tc>
          <w:tcPr>
            <w:tcW w:w="0" w:type="auto"/>
            <w:hideMark/>
          </w:tcPr>
          <w:p w14:paraId="2C445FD9"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53</w:t>
            </w:r>
          </w:p>
        </w:tc>
        <w:tc>
          <w:tcPr>
            <w:tcW w:w="0" w:type="auto"/>
            <w:hideMark/>
          </w:tcPr>
          <w:p w14:paraId="561DCB31"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3.32</w:t>
            </w:r>
          </w:p>
        </w:tc>
      </w:tr>
      <w:tr w:rsidR="00411EA9" w:rsidRPr="00411EA9" w14:paraId="3FD1C94F" w14:textId="77777777" w:rsidTr="00F81C36">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03B6A1BA"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Netherlands</w:t>
            </w:r>
          </w:p>
        </w:tc>
        <w:tc>
          <w:tcPr>
            <w:tcW w:w="0" w:type="auto"/>
            <w:hideMark/>
          </w:tcPr>
          <w:p w14:paraId="10670722"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46</w:t>
            </w:r>
          </w:p>
        </w:tc>
        <w:tc>
          <w:tcPr>
            <w:tcW w:w="0" w:type="auto"/>
            <w:hideMark/>
          </w:tcPr>
          <w:p w14:paraId="5B895D6B"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2.89</w:t>
            </w:r>
          </w:p>
        </w:tc>
      </w:tr>
      <w:tr w:rsidR="00411EA9" w:rsidRPr="00411EA9" w14:paraId="3284070A" w14:textId="77777777" w:rsidTr="00F81C3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6E24A3B4"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France</w:t>
            </w:r>
          </w:p>
        </w:tc>
        <w:tc>
          <w:tcPr>
            <w:tcW w:w="0" w:type="auto"/>
            <w:hideMark/>
          </w:tcPr>
          <w:p w14:paraId="0EA91F96"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45</w:t>
            </w:r>
          </w:p>
        </w:tc>
        <w:tc>
          <w:tcPr>
            <w:tcW w:w="0" w:type="auto"/>
            <w:hideMark/>
          </w:tcPr>
          <w:p w14:paraId="092D8640"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2.82</w:t>
            </w:r>
          </w:p>
        </w:tc>
      </w:tr>
      <w:tr w:rsidR="00411EA9" w:rsidRPr="00411EA9" w14:paraId="4D65E407" w14:textId="77777777" w:rsidTr="00F81C36">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0E0ED08B"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Germany</w:t>
            </w:r>
          </w:p>
        </w:tc>
        <w:tc>
          <w:tcPr>
            <w:tcW w:w="0" w:type="auto"/>
            <w:hideMark/>
          </w:tcPr>
          <w:p w14:paraId="69632A07"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43</w:t>
            </w:r>
          </w:p>
        </w:tc>
        <w:tc>
          <w:tcPr>
            <w:tcW w:w="0" w:type="auto"/>
            <w:hideMark/>
          </w:tcPr>
          <w:p w14:paraId="1C503DF7"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2.7</w:t>
            </w:r>
          </w:p>
        </w:tc>
      </w:tr>
      <w:tr w:rsidR="00411EA9" w:rsidRPr="00411EA9" w14:paraId="38E094C9" w14:textId="77777777" w:rsidTr="00F81C3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58E9BC54"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Japan</w:t>
            </w:r>
          </w:p>
        </w:tc>
        <w:tc>
          <w:tcPr>
            <w:tcW w:w="0" w:type="auto"/>
            <w:hideMark/>
          </w:tcPr>
          <w:p w14:paraId="19EACFEA"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36</w:t>
            </w:r>
          </w:p>
        </w:tc>
        <w:tc>
          <w:tcPr>
            <w:tcW w:w="0" w:type="auto"/>
            <w:hideMark/>
          </w:tcPr>
          <w:p w14:paraId="6036FEFA"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2.26</w:t>
            </w:r>
          </w:p>
        </w:tc>
      </w:tr>
      <w:tr w:rsidR="00411EA9" w:rsidRPr="00411EA9" w14:paraId="48384572" w14:textId="77777777" w:rsidTr="00F81C36">
        <w:trPr>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1AB8C64D"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Spain</w:t>
            </w:r>
          </w:p>
        </w:tc>
        <w:tc>
          <w:tcPr>
            <w:tcW w:w="0" w:type="auto"/>
            <w:hideMark/>
          </w:tcPr>
          <w:p w14:paraId="3D9C454D"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32</w:t>
            </w:r>
          </w:p>
        </w:tc>
        <w:tc>
          <w:tcPr>
            <w:tcW w:w="0" w:type="auto"/>
            <w:hideMark/>
          </w:tcPr>
          <w:p w14:paraId="2F1B5FD5"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2.01</w:t>
            </w:r>
          </w:p>
        </w:tc>
      </w:tr>
    </w:tbl>
    <w:p w14:paraId="31CD02CD" w14:textId="77777777" w:rsidR="00411EA9" w:rsidRPr="00411EA9" w:rsidRDefault="00411EA9" w:rsidP="00411EA9">
      <w:pPr>
        <w:spacing w:before="100" w:beforeAutospacing="1" w:after="100" w:afterAutospacing="1" w:line="480" w:lineRule="auto"/>
        <w:ind w:firstLine="720"/>
        <w:jc w:val="both"/>
        <w:rPr>
          <w:rFonts w:ascii="Times New Roman" w:hAnsi="Times New Roman" w:cs="Times New Roman"/>
          <w:color w:val="000000"/>
        </w:rPr>
      </w:pPr>
      <w:r w:rsidRPr="00411EA9">
        <w:rPr>
          <w:rFonts w:ascii="Times New Roman" w:hAnsi="Times New Roman" w:cs="Times New Roman"/>
          <w:color w:val="000000"/>
        </w:rPr>
        <w:t>Geographic analysis of publication output identified the United States as the leading contributor with 449 publications (28.17%), followed by China with 381 publications (23.90%) (Table 2). Together, these two countries accounted for 52.07% of total global output. The United Kingdom (n = 77; 4.83%), Canada (n = 54; 3.39%), and Australia (n = 53; 3.32%) formed the next tier. The remaining top-ten countries — the Netherlands (n = 46; 2.89%), France (n = 45; 2.82%), Germany (n = 43; 2.70%), Japan (n = 36; 2.26%), and Spain (n = 32; 2.01%) — were all high-income nations. No low- or middle-income country (LMIC) and no Southeast Asian nation appeared among the top ten contributors.</w:t>
      </w:r>
    </w:p>
    <w:p w14:paraId="20F14AE4" w14:textId="77777777" w:rsidR="00411EA9" w:rsidRPr="00411EA9" w:rsidRDefault="00411EA9" w:rsidP="00411EA9">
      <w:pPr>
        <w:spacing w:before="100" w:beforeAutospacing="1" w:after="100" w:afterAutospacing="1"/>
        <w:rPr>
          <w:rFonts w:ascii="Times New Roman" w:hAnsi="Times New Roman" w:cs="Times New Roman"/>
          <w:color w:val="000000"/>
        </w:rPr>
      </w:pPr>
      <w:r w:rsidRPr="00411EA9">
        <w:rPr>
          <w:rFonts w:ascii="Times New Roman" w:hAnsi="Times New Roman" w:cs="Times New Roman"/>
          <w:b/>
          <w:bCs/>
          <w:color w:val="000000"/>
        </w:rPr>
        <w:lastRenderedPageBreak/>
        <w:t>Table 3 – Top 10 institutions</w:t>
      </w:r>
    </w:p>
    <w:tbl>
      <w:tblPr>
        <w:tblStyle w:val="PlainTable2"/>
        <w:tblW w:w="9563" w:type="dxa"/>
        <w:tblLook w:val="04A0" w:firstRow="1" w:lastRow="0" w:firstColumn="1" w:lastColumn="0" w:noHBand="0" w:noVBand="1"/>
      </w:tblPr>
      <w:tblGrid>
        <w:gridCol w:w="7773"/>
        <w:gridCol w:w="1790"/>
      </w:tblGrid>
      <w:tr w:rsidR="00411EA9" w:rsidRPr="00411EA9" w14:paraId="65C8454F" w14:textId="77777777" w:rsidTr="00F81C36">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0" w:type="auto"/>
            <w:hideMark/>
          </w:tcPr>
          <w:p w14:paraId="63D2CD31"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Institution</w:t>
            </w:r>
          </w:p>
        </w:tc>
        <w:tc>
          <w:tcPr>
            <w:tcW w:w="0" w:type="auto"/>
            <w:hideMark/>
          </w:tcPr>
          <w:p w14:paraId="2916ABC4" w14:textId="77777777" w:rsidR="00411EA9" w:rsidRPr="00411EA9" w:rsidRDefault="00411EA9" w:rsidP="00F81C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11EA9">
              <w:rPr>
                <w:rFonts w:ascii="Times New Roman" w:hAnsi="Times New Roman" w:cs="Times New Roman"/>
              </w:rPr>
              <w:t>No. of Publications</w:t>
            </w:r>
          </w:p>
        </w:tc>
      </w:tr>
      <w:tr w:rsidR="00411EA9" w:rsidRPr="00411EA9" w14:paraId="346A3920" w14:textId="77777777" w:rsidTr="00F81C36">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0" w:type="auto"/>
            <w:hideMark/>
          </w:tcPr>
          <w:p w14:paraId="4F17D000" w14:textId="77777777" w:rsidR="00411EA9" w:rsidRPr="00411EA9" w:rsidRDefault="00411EA9" w:rsidP="00F81C36">
            <w:pPr>
              <w:rPr>
                <w:rFonts w:ascii="Times New Roman" w:hAnsi="Times New Roman" w:cs="Times New Roman"/>
                <w:b w:val="0"/>
                <w:bCs w:val="0"/>
              </w:rPr>
            </w:pPr>
            <w:r w:rsidRPr="00411EA9">
              <w:rPr>
                <w:rFonts w:ascii="Times New Roman" w:hAnsi="Times New Roman" w:cs="Times New Roman"/>
              </w:rPr>
              <w:t>Department of Clinical Pharmacy, College of Pharmacy, University of Michigan, Ann Arbor, MI, United States</w:t>
            </w:r>
          </w:p>
        </w:tc>
        <w:tc>
          <w:tcPr>
            <w:tcW w:w="0" w:type="auto"/>
            <w:hideMark/>
          </w:tcPr>
          <w:p w14:paraId="5F9363D8"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5</w:t>
            </w:r>
          </w:p>
        </w:tc>
      </w:tr>
      <w:tr w:rsidR="00411EA9" w:rsidRPr="00411EA9" w14:paraId="335FEAB5" w14:textId="77777777" w:rsidTr="00F81C36">
        <w:trPr>
          <w:trHeight w:val="798"/>
        </w:trPr>
        <w:tc>
          <w:tcPr>
            <w:cnfStyle w:val="001000000000" w:firstRow="0" w:lastRow="0" w:firstColumn="1" w:lastColumn="0" w:oddVBand="0" w:evenVBand="0" w:oddHBand="0" w:evenHBand="0" w:firstRowFirstColumn="0" w:firstRowLastColumn="0" w:lastRowFirstColumn="0" w:lastRowLastColumn="0"/>
            <w:tcW w:w="0" w:type="auto"/>
            <w:hideMark/>
          </w:tcPr>
          <w:p w14:paraId="6A1E4A6D"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 xml:space="preserve">Department of Drug Design and Pharmacology, University of Copenhagen, </w:t>
            </w:r>
            <w:proofErr w:type="spellStart"/>
            <w:r w:rsidRPr="00411EA9">
              <w:rPr>
                <w:rFonts w:ascii="Times New Roman" w:hAnsi="Times New Roman" w:cs="Times New Roman"/>
              </w:rPr>
              <w:t>Jagtvej</w:t>
            </w:r>
            <w:proofErr w:type="spellEnd"/>
            <w:r w:rsidRPr="00411EA9">
              <w:rPr>
                <w:rFonts w:ascii="Times New Roman" w:hAnsi="Times New Roman" w:cs="Times New Roman"/>
              </w:rPr>
              <w:t xml:space="preserve"> 160, Copenhagen, 2100, Denmark</w:t>
            </w:r>
          </w:p>
        </w:tc>
        <w:tc>
          <w:tcPr>
            <w:tcW w:w="0" w:type="auto"/>
            <w:hideMark/>
          </w:tcPr>
          <w:p w14:paraId="271A3494"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w:t>
            </w:r>
          </w:p>
        </w:tc>
      </w:tr>
      <w:tr w:rsidR="00411EA9" w:rsidRPr="00411EA9" w14:paraId="144B2B33" w14:textId="77777777" w:rsidTr="00F81C3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0" w:type="auto"/>
            <w:hideMark/>
          </w:tcPr>
          <w:p w14:paraId="01BBEC89"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Uppsala Monitoring Centre, Uppsala, Sweden</w:t>
            </w:r>
          </w:p>
        </w:tc>
        <w:tc>
          <w:tcPr>
            <w:tcW w:w="0" w:type="auto"/>
            <w:hideMark/>
          </w:tcPr>
          <w:p w14:paraId="216E01E3"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w:t>
            </w:r>
          </w:p>
        </w:tc>
      </w:tr>
      <w:tr w:rsidR="00411EA9" w:rsidRPr="00411EA9" w14:paraId="049DF4F7" w14:textId="77777777" w:rsidTr="00F81C36">
        <w:trPr>
          <w:trHeight w:val="543"/>
        </w:trPr>
        <w:tc>
          <w:tcPr>
            <w:cnfStyle w:val="001000000000" w:firstRow="0" w:lastRow="0" w:firstColumn="1" w:lastColumn="0" w:oddVBand="0" w:evenVBand="0" w:oddHBand="0" w:evenHBand="0" w:firstRowFirstColumn="0" w:firstRowLastColumn="0" w:lastRowFirstColumn="0" w:lastRowLastColumn="0"/>
            <w:tcW w:w="0" w:type="auto"/>
            <w:hideMark/>
          </w:tcPr>
          <w:p w14:paraId="22C503D1"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 xml:space="preserve">Department of Pharmacy, </w:t>
            </w:r>
            <w:proofErr w:type="spellStart"/>
            <w:r w:rsidRPr="00411EA9">
              <w:rPr>
                <w:rFonts w:ascii="Times New Roman" w:hAnsi="Times New Roman" w:cs="Times New Roman"/>
              </w:rPr>
              <w:t>Daping</w:t>
            </w:r>
            <w:proofErr w:type="spellEnd"/>
            <w:r w:rsidRPr="00411EA9">
              <w:rPr>
                <w:rFonts w:ascii="Times New Roman" w:hAnsi="Times New Roman" w:cs="Times New Roman"/>
              </w:rPr>
              <w:t xml:space="preserve"> Hospital, Army Medical University, Chongqing, China</w:t>
            </w:r>
          </w:p>
        </w:tc>
        <w:tc>
          <w:tcPr>
            <w:tcW w:w="0" w:type="auto"/>
            <w:hideMark/>
          </w:tcPr>
          <w:p w14:paraId="7B303CEB"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r w:rsidR="00411EA9" w:rsidRPr="00411EA9" w14:paraId="33160DEF" w14:textId="77777777" w:rsidTr="00F81C36">
        <w:trPr>
          <w:cnfStyle w:val="000000100000" w:firstRow="0" w:lastRow="0" w:firstColumn="0" w:lastColumn="0" w:oddVBand="0" w:evenVBand="0" w:oddHBand="1" w:evenHBand="0"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0" w:type="auto"/>
            <w:hideMark/>
          </w:tcPr>
          <w:p w14:paraId="3ACB694B"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Institute of Experimental and Clinical Pharmacology and Toxicology, Friedrich-Alexander-Universität Erlangen-Nürnberg, Erlangen, Germany</w:t>
            </w:r>
          </w:p>
        </w:tc>
        <w:tc>
          <w:tcPr>
            <w:tcW w:w="0" w:type="auto"/>
            <w:hideMark/>
          </w:tcPr>
          <w:p w14:paraId="2893399D"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r w:rsidR="00411EA9" w:rsidRPr="00411EA9" w14:paraId="40B9738F" w14:textId="77777777" w:rsidTr="00F81C36">
        <w:trPr>
          <w:trHeight w:val="815"/>
        </w:trPr>
        <w:tc>
          <w:tcPr>
            <w:cnfStyle w:val="001000000000" w:firstRow="0" w:lastRow="0" w:firstColumn="1" w:lastColumn="0" w:oddVBand="0" w:evenVBand="0" w:oddHBand="0" w:evenHBand="0" w:firstRowFirstColumn="0" w:firstRowLastColumn="0" w:lastRowFirstColumn="0" w:lastRowLastColumn="0"/>
            <w:tcW w:w="0" w:type="auto"/>
            <w:hideMark/>
          </w:tcPr>
          <w:p w14:paraId="702151C1"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Department of Pharmacy, Union Hospital, Tongji Medical College, Huazhong University of Science and Technology, Wuhan, China</w:t>
            </w:r>
          </w:p>
        </w:tc>
        <w:tc>
          <w:tcPr>
            <w:tcW w:w="0" w:type="auto"/>
            <w:hideMark/>
          </w:tcPr>
          <w:p w14:paraId="494A4157"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r w:rsidR="00411EA9" w:rsidRPr="00411EA9" w14:paraId="04D5EAF4" w14:textId="77777777" w:rsidTr="00F81C36">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0" w:type="auto"/>
            <w:hideMark/>
          </w:tcPr>
          <w:p w14:paraId="2592FD55"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Department of Medicine, University of Otago, Christchurch, New Zealand</w:t>
            </w:r>
          </w:p>
        </w:tc>
        <w:tc>
          <w:tcPr>
            <w:tcW w:w="0" w:type="auto"/>
            <w:hideMark/>
          </w:tcPr>
          <w:p w14:paraId="130D6B31"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r w:rsidR="00411EA9" w:rsidRPr="00411EA9" w14:paraId="179618D1" w14:textId="77777777" w:rsidTr="00F81C36">
        <w:trPr>
          <w:trHeight w:val="815"/>
        </w:trPr>
        <w:tc>
          <w:tcPr>
            <w:cnfStyle w:val="001000000000" w:firstRow="0" w:lastRow="0" w:firstColumn="1" w:lastColumn="0" w:oddVBand="0" w:evenVBand="0" w:oddHBand="0" w:evenHBand="0" w:firstRowFirstColumn="0" w:firstRowLastColumn="0" w:lastRowFirstColumn="0" w:lastRowLastColumn="0"/>
            <w:tcW w:w="0" w:type="auto"/>
            <w:hideMark/>
          </w:tcPr>
          <w:p w14:paraId="1DA3564E"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 xml:space="preserve">Department of Pharmacy, Women and Children’s Hospital, School of Medicine, Xiamen University, 10# </w:t>
            </w:r>
            <w:proofErr w:type="spellStart"/>
            <w:r w:rsidRPr="00411EA9">
              <w:rPr>
                <w:rFonts w:ascii="Times New Roman" w:hAnsi="Times New Roman" w:cs="Times New Roman"/>
              </w:rPr>
              <w:t>Zhenhai</w:t>
            </w:r>
            <w:proofErr w:type="spellEnd"/>
            <w:r w:rsidRPr="00411EA9">
              <w:rPr>
                <w:rFonts w:ascii="Times New Roman" w:hAnsi="Times New Roman" w:cs="Times New Roman"/>
              </w:rPr>
              <w:t xml:space="preserve"> Road, Xiamen, China</w:t>
            </w:r>
          </w:p>
        </w:tc>
        <w:tc>
          <w:tcPr>
            <w:tcW w:w="0" w:type="auto"/>
            <w:hideMark/>
          </w:tcPr>
          <w:p w14:paraId="1E32A2A3"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r w:rsidR="00411EA9" w:rsidRPr="00411EA9" w14:paraId="11AE5AA6" w14:textId="77777777" w:rsidTr="00F81C36">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0" w:type="auto"/>
            <w:hideMark/>
          </w:tcPr>
          <w:p w14:paraId="7442B5FB"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 xml:space="preserve">Hospital Pharmacy, </w:t>
            </w:r>
            <w:proofErr w:type="spellStart"/>
            <w:r w:rsidRPr="00411EA9">
              <w:rPr>
                <w:rFonts w:ascii="Times New Roman" w:hAnsi="Times New Roman" w:cs="Times New Roman"/>
              </w:rPr>
              <w:t>Kantonsspital</w:t>
            </w:r>
            <w:proofErr w:type="spellEnd"/>
            <w:r w:rsidRPr="00411EA9">
              <w:rPr>
                <w:rFonts w:ascii="Times New Roman" w:hAnsi="Times New Roman" w:cs="Times New Roman"/>
              </w:rPr>
              <w:t xml:space="preserve"> </w:t>
            </w:r>
            <w:proofErr w:type="spellStart"/>
            <w:r w:rsidRPr="00411EA9">
              <w:rPr>
                <w:rFonts w:ascii="Times New Roman" w:hAnsi="Times New Roman" w:cs="Times New Roman"/>
              </w:rPr>
              <w:t>Aarau</w:t>
            </w:r>
            <w:proofErr w:type="spellEnd"/>
            <w:r w:rsidRPr="00411EA9">
              <w:rPr>
                <w:rFonts w:ascii="Times New Roman" w:hAnsi="Times New Roman" w:cs="Times New Roman"/>
              </w:rPr>
              <w:t xml:space="preserve">, </w:t>
            </w:r>
            <w:proofErr w:type="spellStart"/>
            <w:r w:rsidRPr="00411EA9">
              <w:rPr>
                <w:rFonts w:ascii="Times New Roman" w:hAnsi="Times New Roman" w:cs="Times New Roman"/>
              </w:rPr>
              <w:t>Aarau</w:t>
            </w:r>
            <w:proofErr w:type="spellEnd"/>
            <w:r w:rsidRPr="00411EA9">
              <w:rPr>
                <w:rFonts w:ascii="Times New Roman" w:hAnsi="Times New Roman" w:cs="Times New Roman"/>
              </w:rPr>
              <w:t>, 5000, Switzerland</w:t>
            </w:r>
          </w:p>
        </w:tc>
        <w:tc>
          <w:tcPr>
            <w:tcW w:w="0" w:type="auto"/>
            <w:hideMark/>
          </w:tcPr>
          <w:p w14:paraId="3E4C56E5"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r w:rsidR="00411EA9" w:rsidRPr="00411EA9" w14:paraId="68FF61D3" w14:textId="77777777" w:rsidTr="00F81C36">
        <w:trPr>
          <w:trHeight w:val="815"/>
        </w:trPr>
        <w:tc>
          <w:tcPr>
            <w:cnfStyle w:val="001000000000" w:firstRow="0" w:lastRow="0" w:firstColumn="1" w:lastColumn="0" w:oddVBand="0" w:evenVBand="0" w:oddHBand="0" w:evenHBand="0" w:firstRowFirstColumn="0" w:firstRowLastColumn="0" w:lastRowFirstColumn="0" w:lastRowLastColumn="0"/>
            <w:tcW w:w="0" w:type="auto"/>
            <w:hideMark/>
          </w:tcPr>
          <w:p w14:paraId="68D84268"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Department of Anesthesia, Critical Care and Pain Medicine, Massachusetts General Hospital, Boston, MA, United States</w:t>
            </w:r>
          </w:p>
        </w:tc>
        <w:tc>
          <w:tcPr>
            <w:tcW w:w="0" w:type="auto"/>
            <w:hideMark/>
          </w:tcPr>
          <w:p w14:paraId="4B788126"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w:t>
            </w:r>
          </w:p>
        </w:tc>
      </w:tr>
    </w:tbl>
    <w:p w14:paraId="2858BF62" w14:textId="77777777" w:rsidR="00411EA9" w:rsidRPr="00411EA9" w:rsidRDefault="00411EA9" w:rsidP="00411EA9">
      <w:pPr>
        <w:spacing w:before="100" w:beforeAutospacing="1" w:after="100" w:afterAutospacing="1" w:line="480" w:lineRule="auto"/>
        <w:ind w:firstLine="720"/>
        <w:jc w:val="both"/>
        <w:rPr>
          <w:rFonts w:ascii="Times New Roman" w:hAnsi="Times New Roman" w:cs="Times New Roman"/>
          <w:color w:val="000000"/>
        </w:rPr>
      </w:pPr>
      <w:r w:rsidRPr="00411EA9">
        <w:rPr>
          <w:rFonts w:ascii="Times New Roman" w:hAnsi="Times New Roman" w:cs="Times New Roman"/>
          <w:color w:val="000000"/>
        </w:rPr>
        <w:t>The Department of Clinical Pharmacy, College of Pharmacy, University of Michigan (United States) led institutional output with five publications (Table 3). The Department of Drug Design and Pharmacology, University of Copenhagen (Denmark) and Uppsala Monitoring Centre (Sweden) each contributed four publications. Seven institutions tied with three publications each, representing research groups from the United States, China, Germany, Switzerland, and New Zealand. The maximum institutional output of five publications and the uniformity of counts across the list indicate a broadly distributed research landscape with no single dominant institution.</w:t>
      </w:r>
    </w:p>
    <w:p w14:paraId="4E50A71D" w14:textId="77777777" w:rsidR="00411EA9" w:rsidRDefault="00411EA9" w:rsidP="00411EA9">
      <w:pPr>
        <w:spacing w:before="100" w:beforeAutospacing="1" w:after="100" w:afterAutospacing="1" w:line="480" w:lineRule="auto"/>
        <w:jc w:val="both"/>
        <w:rPr>
          <w:rFonts w:ascii="Times New Roman" w:hAnsi="Times New Roman" w:cs="Times New Roman"/>
          <w:b/>
          <w:bCs/>
          <w:color w:val="000000"/>
        </w:rPr>
      </w:pPr>
    </w:p>
    <w:p w14:paraId="6FB2E35F" w14:textId="56567844" w:rsidR="00411EA9" w:rsidRPr="00411EA9" w:rsidRDefault="00411EA9" w:rsidP="00411EA9">
      <w:pPr>
        <w:spacing w:before="100" w:beforeAutospacing="1" w:after="100" w:afterAutospacing="1" w:line="480" w:lineRule="auto"/>
        <w:jc w:val="both"/>
        <w:rPr>
          <w:rFonts w:ascii="Times New Roman" w:hAnsi="Times New Roman" w:cs="Times New Roman"/>
          <w:color w:val="000000"/>
        </w:rPr>
      </w:pPr>
      <w:r w:rsidRPr="00411EA9">
        <w:rPr>
          <w:rFonts w:ascii="Times New Roman" w:hAnsi="Times New Roman" w:cs="Times New Roman"/>
          <w:b/>
          <w:bCs/>
          <w:color w:val="000000"/>
        </w:rPr>
        <w:t>Table 4 – Top 10 authors</w:t>
      </w:r>
    </w:p>
    <w:tbl>
      <w:tblPr>
        <w:tblStyle w:val="PlainTable2"/>
        <w:tblW w:w="9391" w:type="dxa"/>
        <w:tblLook w:val="04A0" w:firstRow="1" w:lastRow="0" w:firstColumn="1" w:lastColumn="0" w:noHBand="0" w:noVBand="1"/>
      </w:tblPr>
      <w:tblGrid>
        <w:gridCol w:w="3315"/>
        <w:gridCol w:w="6076"/>
      </w:tblGrid>
      <w:tr w:rsidR="00411EA9" w:rsidRPr="00411EA9" w14:paraId="6B781924" w14:textId="77777777" w:rsidTr="00F81C36">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3CC9AC5F"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Author</w:t>
            </w:r>
          </w:p>
        </w:tc>
        <w:tc>
          <w:tcPr>
            <w:tcW w:w="0" w:type="auto"/>
            <w:hideMark/>
          </w:tcPr>
          <w:p w14:paraId="1FE691E7" w14:textId="77777777" w:rsidR="00411EA9" w:rsidRPr="00411EA9" w:rsidRDefault="00411EA9" w:rsidP="00F81C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11EA9">
              <w:rPr>
                <w:rFonts w:ascii="Times New Roman" w:hAnsi="Times New Roman" w:cs="Times New Roman"/>
              </w:rPr>
              <w:t>No. of Publications</w:t>
            </w:r>
          </w:p>
        </w:tc>
      </w:tr>
      <w:tr w:rsidR="00411EA9" w:rsidRPr="00411EA9" w14:paraId="30F1D3E8" w14:textId="77777777" w:rsidTr="00F81C3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79696C31" w14:textId="77777777" w:rsidR="00411EA9" w:rsidRPr="00411EA9" w:rsidRDefault="00411EA9" w:rsidP="00F81C36">
            <w:pPr>
              <w:rPr>
                <w:rFonts w:ascii="Times New Roman" w:hAnsi="Times New Roman" w:cs="Times New Roman"/>
                <w:b w:val="0"/>
                <w:bCs w:val="0"/>
              </w:rPr>
            </w:pPr>
            <w:r w:rsidRPr="00411EA9">
              <w:rPr>
                <w:rFonts w:ascii="Times New Roman" w:hAnsi="Times New Roman" w:cs="Times New Roman"/>
              </w:rPr>
              <w:t>Zhang Y.</w:t>
            </w:r>
          </w:p>
        </w:tc>
        <w:tc>
          <w:tcPr>
            <w:tcW w:w="0" w:type="auto"/>
            <w:hideMark/>
          </w:tcPr>
          <w:p w14:paraId="5C688637"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41</w:t>
            </w:r>
          </w:p>
        </w:tc>
      </w:tr>
      <w:tr w:rsidR="00411EA9" w:rsidRPr="00411EA9" w14:paraId="7D930ED1" w14:textId="77777777" w:rsidTr="00F81C36">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485B42A6"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Wang Y.</w:t>
            </w:r>
          </w:p>
        </w:tc>
        <w:tc>
          <w:tcPr>
            <w:tcW w:w="0" w:type="auto"/>
            <w:hideMark/>
          </w:tcPr>
          <w:p w14:paraId="7018AC33"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31</w:t>
            </w:r>
          </w:p>
        </w:tc>
      </w:tr>
      <w:tr w:rsidR="00411EA9" w:rsidRPr="00411EA9" w14:paraId="6583F6A9" w14:textId="77777777" w:rsidTr="00F81C3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0DAC7685"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Chen Y.</w:t>
            </w:r>
          </w:p>
        </w:tc>
        <w:tc>
          <w:tcPr>
            <w:tcW w:w="0" w:type="auto"/>
            <w:hideMark/>
          </w:tcPr>
          <w:p w14:paraId="2C4B72E8"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25</w:t>
            </w:r>
          </w:p>
        </w:tc>
      </w:tr>
      <w:tr w:rsidR="00411EA9" w:rsidRPr="00411EA9" w14:paraId="1D319CF7" w14:textId="77777777" w:rsidTr="00F81C36">
        <w:trPr>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129A9D12"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Li X.</w:t>
            </w:r>
          </w:p>
        </w:tc>
        <w:tc>
          <w:tcPr>
            <w:tcW w:w="0" w:type="auto"/>
            <w:hideMark/>
          </w:tcPr>
          <w:p w14:paraId="50886FB0"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25</w:t>
            </w:r>
          </w:p>
        </w:tc>
      </w:tr>
      <w:tr w:rsidR="00411EA9" w:rsidRPr="00411EA9" w14:paraId="42891F49" w14:textId="77777777" w:rsidTr="00F81C3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135F6409"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Liu Y.</w:t>
            </w:r>
          </w:p>
        </w:tc>
        <w:tc>
          <w:tcPr>
            <w:tcW w:w="0" w:type="auto"/>
            <w:hideMark/>
          </w:tcPr>
          <w:p w14:paraId="4D8D5881"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25</w:t>
            </w:r>
          </w:p>
        </w:tc>
      </w:tr>
      <w:tr w:rsidR="00411EA9" w:rsidRPr="00411EA9" w14:paraId="58F0990A" w14:textId="77777777" w:rsidTr="00F81C36">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218205DE"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Wang X.</w:t>
            </w:r>
          </w:p>
        </w:tc>
        <w:tc>
          <w:tcPr>
            <w:tcW w:w="0" w:type="auto"/>
            <w:hideMark/>
          </w:tcPr>
          <w:p w14:paraId="1427E108"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24</w:t>
            </w:r>
          </w:p>
        </w:tc>
      </w:tr>
      <w:tr w:rsidR="00411EA9" w:rsidRPr="00411EA9" w14:paraId="0D27C089" w14:textId="77777777" w:rsidTr="00F81C3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212C0A1F"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Li L.</w:t>
            </w:r>
          </w:p>
        </w:tc>
        <w:tc>
          <w:tcPr>
            <w:tcW w:w="0" w:type="auto"/>
            <w:hideMark/>
          </w:tcPr>
          <w:p w14:paraId="318D19E9"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23</w:t>
            </w:r>
          </w:p>
        </w:tc>
      </w:tr>
      <w:tr w:rsidR="00411EA9" w:rsidRPr="00411EA9" w14:paraId="00CD0781" w14:textId="77777777" w:rsidTr="00F81C36">
        <w:trPr>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491206C9"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Li Y.</w:t>
            </w:r>
          </w:p>
        </w:tc>
        <w:tc>
          <w:tcPr>
            <w:tcW w:w="0" w:type="auto"/>
            <w:hideMark/>
          </w:tcPr>
          <w:p w14:paraId="539B1DA4"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23</w:t>
            </w:r>
          </w:p>
        </w:tc>
      </w:tr>
      <w:tr w:rsidR="00411EA9" w:rsidRPr="00411EA9" w14:paraId="08DA1D63" w14:textId="77777777" w:rsidTr="00F81C36">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54A59B0E"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Zhang X.</w:t>
            </w:r>
          </w:p>
        </w:tc>
        <w:tc>
          <w:tcPr>
            <w:tcW w:w="0" w:type="auto"/>
            <w:hideMark/>
          </w:tcPr>
          <w:p w14:paraId="703A54F5"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20</w:t>
            </w:r>
          </w:p>
        </w:tc>
      </w:tr>
      <w:tr w:rsidR="00411EA9" w:rsidRPr="00411EA9" w14:paraId="170284D4" w14:textId="77777777" w:rsidTr="00F81C36">
        <w:trPr>
          <w:trHeight w:val="278"/>
        </w:trPr>
        <w:tc>
          <w:tcPr>
            <w:cnfStyle w:val="001000000000" w:firstRow="0" w:lastRow="0" w:firstColumn="1" w:lastColumn="0" w:oddVBand="0" w:evenVBand="0" w:oddHBand="0" w:evenHBand="0" w:firstRowFirstColumn="0" w:firstRowLastColumn="0" w:lastRowFirstColumn="0" w:lastRowLastColumn="0"/>
            <w:tcW w:w="0" w:type="auto"/>
            <w:hideMark/>
          </w:tcPr>
          <w:p w14:paraId="32A62579"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Wang J.</w:t>
            </w:r>
          </w:p>
        </w:tc>
        <w:tc>
          <w:tcPr>
            <w:tcW w:w="0" w:type="auto"/>
            <w:hideMark/>
          </w:tcPr>
          <w:p w14:paraId="2AF869E0"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20</w:t>
            </w:r>
          </w:p>
        </w:tc>
      </w:tr>
    </w:tbl>
    <w:p w14:paraId="56AE734F" w14:textId="77777777" w:rsidR="00411EA9" w:rsidRPr="00411EA9" w:rsidRDefault="00411EA9" w:rsidP="00411EA9">
      <w:pPr>
        <w:spacing w:before="100" w:beforeAutospacing="1" w:after="100" w:afterAutospacing="1" w:line="480" w:lineRule="auto"/>
        <w:ind w:firstLine="720"/>
        <w:jc w:val="both"/>
        <w:rPr>
          <w:rFonts w:ascii="Times New Roman" w:hAnsi="Times New Roman" w:cs="Times New Roman"/>
          <w:color w:val="000000"/>
        </w:rPr>
      </w:pPr>
      <w:r w:rsidRPr="00411EA9">
        <w:rPr>
          <w:rFonts w:ascii="Times New Roman" w:hAnsi="Times New Roman" w:cs="Times New Roman"/>
          <w:color w:val="000000"/>
        </w:rPr>
        <w:t>Zhang Y. was the most prolific author with 41 publications, followed by Wang Y. (n = 31), Chen Y. (n = 25), Li X. (n = 25), and Liu Y. (n = 25) (Table 4). Wang X. contributed 24 publications, while Li L., Li Y., Zhang X., and Wang J. each contributed 20–23 publications. Eight of the ten most productive authors carried surnames of Chinese origin (Zhang, Wang, Chen, Li, Liu), consistent with China's high national publication output (Table 2). Author name disambiguation should be applied cautiously when interpreting these figures, as common Chinese surnames may represent multiple distinct individuals sharing the same surname initial.</w:t>
      </w:r>
    </w:p>
    <w:p w14:paraId="4C524C83" w14:textId="77777777" w:rsidR="00411EA9" w:rsidRPr="00411EA9" w:rsidRDefault="00411EA9" w:rsidP="00411EA9">
      <w:pPr>
        <w:spacing w:before="100" w:beforeAutospacing="1" w:after="100" w:afterAutospacing="1"/>
        <w:rPr>
          <w:rFonts w:ascii="Times New Roman" w:hAnsi="Times New Roman" w:cs="Times New Roman"/>
          <w:color w:val="000000"/>
        </w:rPr>
      </w:pPr>
      <w:r w:rsidRPr="00411EA9">
        <w:rPr>
          <w:rFonts w:ascii="Times New Roman" w:hAnsi="Times New Roman" w:cs="Times New Roman"/>
          <w:b/>
          <w:bCs/>
          <w:color w:val="000000"/>
        </w:rPr>
        <w:t>Table 5 – Top 10 journals</w:t>
      </w:r>
    </w:p>
    <w:tbl>
      <w:tblPr>
        <w:tblStyle w:val="PlainTable2"/>
        <w:tblW w:w="9323" w:type="dxa"/>
        <w:tblLook w:val="04A0" w:firstRow="1" w:lastRow="0" w:firstColumn="1" w:lastColumn="0" w:noHBand="0" w:noVBand="1"/>
      </w:tblPr>
      <w:tblGrid>
        <w:gridCol w:w="6883"/>
        <w:gridCol w:w="2440"/>
      </w:tblGrid>
      <w:tr w:rsidR="00411EA9" w:rsidRPr="00411EA9" w14:paraId="60D84E9B" w14:textId="77777777" w:rsidTr="00F81C36">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0" w:type="auto"/>
            <w:hideMark/>
          </w:tcPr>
          <w:p w14:paraId="0C4E2226"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Source title</w:t>
            </w:r>
          </w:p>
        </w:tc>
        <w:tc>
          <w:tcPr>
            <w:tcW w:w="0" w:type="auto"/>
            <w:hideMark/>
          </w:tcPr>
          <w:p w14:paraId="2C80B624" w14:textId="77777777" w:rsidR="00411EA9" w:rsidRPr="00411EA9" w:rsidRDefault="00411EA9" w:rsidP="00F81C3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11EA9">
              <w:rPr>
                <w:rFonts w:ascii="Times New Roman" w:hAnsi="Times New Roman" w:cs="Times New Roman"/>
              </w:rPr>
              <w:t>No. of Publications</w:t>
            </w:r>
          </w:p>
        </w:tc>
      </w:tr>
      <w:tr w:rsidR="00411EA9" w:rsidRPr="00411EA9" w14:paraId="66BFCD76" w14:textId="77777777" w:rsidTr="00F81C3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654C6DBE" w14:textId="77777777" w:rsidR="00411EA9" w:rsidRPr="00411EA9" w:rsidRDefault="00411EA9" w:rsidP="00F81C36">
            <w:pPr>
              <w:rPr>
                <w:rFonts w:ascii="Times New Roman" w:hAnsi="Times New Roman" w:cs="Times New Roman"/>
                <w:b w:val="0"/>
                <w:bCs w:val="0"/>
              </w:rPr>
            </w:pPr>
            <w:r w:rsidRPr="00411EA9">
              <w:rPr>
                <w:rFonts w:ascii="Times New Roman" w:hAnsi="Times New Roman" w:cs="Times New Roman"/>
              </w:rPr>
              <w:t>Frontiers in Pharmacology</w:t>
            </w:r>
          </w:p>
        </w:tc>
        <w:tc>
          <w:tcPr>
            <w:tcW w:w="0" w:type="auto"/>
            <w:hideMark/>
          </w:tcPr>
          <w:p w14:paraId="401AFF45"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143</w:t>
            </w:r>
          </w:p>
        </w:tc>
      </w:tr>
      <w:tr w:rsidR="00411EA9" w:rsidRPr="00411EA9" w14:paraId="220EADB2" w14:textId="77777777" w:rsidTr="00F81C36">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673A0813"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Journal of Medical Internet Research</w:t>
            </w:r>
          </w:p>
        </w:tc>
        <w:tc>
          <w:tcPr>
            <w:tcW w:w="0" w:type="auto"/>
            <w:hideMark/>
          </w:tcPr>
          <w:p w14:paraId="3854A36F"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42</w:t>
            </w:r>
          </w:p>
        </w:tc>
      </w:tr>
      <w:tr w:rsidR="00411EA9" w:rsidRPr="00411EA9" w14:paraId="2F4AAC9F" w14:textId="77777777" w:rsidTr="00F81C3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282A4D5F"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BMC Medical Informatics and Decision Making</w:t>
            </w:r>
          </w:p>
        </w:tc>
        <w:tc>
          <w:tcPr>
            <w:tcW w:w="0" w:type="auto"/>
            <w:hideMark/>
          </w:tcPr>
          <w:p w14:paraId="79E708D4"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34</w:t>
            </w:r>
          </w:p>
        </w:tc>
      </w:tr>
      <w:tr w:rsidR="00411EA9" w:rsidRPr="00411EA9" w14:paraId="530245F6" w14:textId="77777777" w:rsidTr="00F81C36">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5ECD1020"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Drug Safety</w:t>
            </w:r>
          </w:p>
        </w:tc>
        <w:tc>
          <w:tcPr>
            <w:tcW w:w="0" w:type="auto"/>
            <w:hideMark/>
          </w:tcPr>
          <w:p w14:paraId="7BF07696"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31</w:t>
            </w:r>
          </w:p>
        </w:tc>
      </w:tr>
      <w:tr w:rsidR="00411EA9" w:rsidRPr="00411EA9" w14:paraId="72FA1E46" w14:textId="77777777" w:rsidTr="00F81C36">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0" w:type="auto"/>
            <w:hideMark/>
          </w:tcPr>
          <w:p w14:paraId="1942D6BF"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Journal of the American Medical Informatics Association</w:t>
            </w:r>
          </w:p>
        </w:tc>
        <w:tc>
          <w:tcPr>
            <w:tcW w:w="0" w:type="auto"/>
            <w:hideMark/>
          </w:tcPr>
          <w:p w14:paraId="343511D6"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30</w:t>
            </w:r>
          </w:p>
        </w:tc>
      </w:tr>
      <w:tr w:rsidR="00411EA9" w:rsidRPr="00411EA9" w14:paraId="31BAEDEC" w14:textId="77777777" w:rsidTr="00F81C36">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006853FA"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JMIR Medical Informatics</w:t>
            </w:r>
          </w:p>
        </w:tc>
        <w:tc>
          <w:tcPr>
            <w:tcW w:w="0" w:type="auto"/>
            <w:hideMark/>
          </w:tcPr>
          <w:p w14:paraId="3D6A4A8E"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22</w:t>
            </w:r>
          </w:p>
        </w:tc>
      </w:tr>
      <w:tr w:rsidR="00411EA9" w:rsidRPr="00411EA9" w14:paraId="5A99F58B" w14:textId="77777777" w:rsidTr="00F81C3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6B4651C5"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British Journal of Clinical Pharmacology</w:t>
            </w:r>
          </w:p>
        </w:tc>
        <w:tc>
          <w:tcPr>
            <w:tcW w:w="0" w:type="auto"/>
            <w:hideMark/>
          </w:tcPr>
          <w:p w14:paraId="03BBE702"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20</w:t>
            </w:r>
          </w:p>
        </w:tc>
      </w:tr>
      <w:tr w:rsidR="00411EA9" w:rsidRPr="00411EA9" w14:paraId="6DEEAF98" w14:textId="77777777" w:rsidTr="00F81C36">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5F6DA9B7"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lastRenderedPageBreak/>
              <w:t>Medicine (United States)</w:t>
            </w:r>
          </w:p>
        </w:tc>
        <w:tc>
          <w:tcPr>
            <w:tcW w:w="0" w:type="auto"/>
            <w:hideMark/>
          </w:tcPr>
          <w:p w14:paraId="0D14B19E"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20</w:t>
            </w:r>
          </w:p>
        </w:tc>
      </w:tr>
      <w:tr w:rsidR="00411EA9" w:rsidRPr="00411EA9" w14:paraId="0F2BB596" w14:textId="77777777" w:rsidTr="00F81C3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0" w:type="auto"/>
            <w:hideMark/>
          </w:tcPr>
          <w:p w14:paraId="78D35912"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Clinical Pharmacology and Therapeutics</w:t>
            </w:r>
          </w:p>
        </w:tc>
        <w:tc>
          <w:tcPr>
            <w:tcW w:w="0" w:type="auto"/>
            <w:hideMark/>
          </w:tcPr>
          <w:p w14:paraId="5F0CF54F" w14:textId="77777777" w:rsidR="00411EA9" w:rsidRPr="00411EA9" w:rsidRDefault="00411EA9" w:rsidP="00F81C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19</w:t>
            </w:r>
          </w:p>
        </w:tc>
      </w:tr>
      <w:tr w:rsidR="00411EA9" w:rsidRPr="00411EA9" w14:paraId="43926E3F" w14:textId="77777777" w:rsidTr="00F81C36">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14:paraId="1AE205D3" w14:textId="77777777" w:rsidR="00411EA9" w:rsidRPr="00411EA9" w:rsidRDefault="00411EA9" w:rsidP="00F81C36">
            <w:pPr>
              <w:rPr>
                <w:rFonts w:ascii="Times New Roman" w:hAnsi="Times New Roman" w:cs="Times New Roman"/>
              </w:rPr>
            </w:pPr>
            <w:r w:rsidRPr="00411EA9">
              <w:rPr>
                <w:rFonts w:ascii="Times New Roman" w:hAnsi="Times New Roman" w:cs="Times New Roman"/>
              </w:rPr>
              <w:t>BMJ Open</w:t>
            </w:r>
          </w:p>
        </w:tc>
        <w:tc>
          <w:tcPr>
            <w:tcW w:w="0" w:type="auto"/>
            <w:hideMark/>
          </w:tcPr>
          <w:p w14:paraId="6C062A52" w14:textId="77777777" w:rsidR="00411EA9" w:rsidRPr="00411EA9" w:rsidRDefault="00411EA9" w:rsidP="00F81C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1EA9">
              <w:rPr>
                <w:rFonts w:ascii="Times New Roman" w:hAnsi="Times New Roman" w:cs="Times New Roman"/>
              </w:rPr>
              <w:t>18</w:t>
            </w:r>
          </w:p>
        </w:tc>
      </w:tr>
    </w:tbl>
    <w:p w14:paraId="526A0710" w14:textId="78BD3D98"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Frontiers in Pharmacology was the most productive source with 143 publications, substantially more than the second-ranked Journal of Medical Internet Research (n = 42) (Table 5). BMC Medical Informatics and Decision Making (n = 34), Drug Safety (n = 31), and the Journal of the American Medical Informatics Association (n = 30) completed the top five. JMIR Medical Informatics (n = 22), British Journal of Clinical Pharmacology (n = 20), Medicine United States (n = 20), Clinical Pharmacology and Therapeutics (n = 19), and BMJ Open (n = 18) rounded out the top ten. The journals span pharmacology, clinical pharmacology, health informatics, and digital medicine, reflecting the multidisciplinary character of AI-pharmacy practice research.</w:t>
      </w:r>
    </w:p>
    <w:p w14:paraId="489DCDA6" w14:textId="77777777" w:rsidR="00411EA9" w:rsidRPr="00411EA9" w:rsidRDefault="00411EA9" w:rsidP="00411EA9">
      <w:pPr>
        <w:rPr>
          <w:rFonts w:ascii="Times New Roman" w:hAnsi="Times New Roman" w:cs="Times New Roman"/>
          <w:b/>
          <w:bCs/>
        </w:rPr>
      </w:pPr>
      <w:r w:rsidRPr="00411EA9">
        <w:rPr>
          <w:rFonts w:ascii="Times New Roman" w:hAnsi="Times New Roman" w:cs="Times New Roman"/>
          <w:b/>
          <w:bCs/>
        </w:rPr>
        <w:t xml:space="preserve">Table 6 </w:t>
      </w:r>
      <w:r w:rsidRPr="00411EA9">
        <w:rPr>
          <w:rFonts w:ascii="Times New Roman" w:hAnsi="Times New Roman" w:cs="Times New Roman"/>
          <w:b/>
          <w:bCs/>
          <w:color w:val="000000"/>
        </w:rPr>
        <w:t xml:space="preserve">– </w:t>
      </w:r>
      <w:r w:rsidRPr="00411EA9">
        <w:rPr>
          <w:rFonts w:ascii="Times New Roman" w:hAnsi="Times New Roman" w:cs="Times New Roman"/>
          <w:b/>
          <w:bCs/>
        </w:rPr>
        <w:t>Thematic Analysis</w:t>
      </w:r>
    </w:p>
    <w:p w14:paraId="68E7352A" w14:textId="77777777" w:rsidR="00411EA9" w:rsidRPr="00411EA9" w:rsidRDefault="00411EA9" w:rsidP="00411EA9">
      <w:pPr>
        <w:rPr>
          <w:rFonts w:ascii="Times New Roman" w:hAnsi="Times New Roman" w:cs="Times New Roman"/>
          <w:b/>
          <w:bCs/>
        </w:rPr>
      </w:pPr>
    </w:p>
    <w:p w14:paraId="672630F8" w14:textId="0EF0ECFA"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Qualitative thematic analysis of the included literature identified four overarching themes that characterize the current state of AI research in pharmacy practice: (1) transformation of pharmacy practice through AI, (2) external drivers and contextual pressures, (3) evidence gaps and need for mapping, and (4) inequities and underrepresentation. Each theme and its associated sub-themes are presented in Table 6 and described in detail below.</w:t>
      </w:r>
    </w:p>
    <w:tbl>
      <w:tblPr>
        <w:tblStyle w:val="PlainTable2"/>
        <w:tblW w:w="10016" w:type="dxa"/>
        <w:tblLook w:val="04A0" w:firstRow="1" w:lastRow="0" w:firstColumn="1" w:lastColumn="0" w:noHBand="0" w:noVBand="1"/>
      </w:tblPr>
      <w:tblGrid>
        <w:gridCol w:w="2702"/>
        <w:gridCol w:w="2169"/>
        <w:gridCol w:w="5145"/>
      </w:tblGrid>
      <w:tr w:rsidR="00411EA9" w:rsidRPr="00411EA9" w14:paraId="4D5E5B1B" w14:textId="77777777" w:rsidTr="00F81C36">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hideMark/>
          </w:tcPr>
          <w:p w14:paraId="3F3198CC" w14:textId="77777777" w:rsidR="00411EA9" w:rsidRPr="00411EA9" w:rsidRDefault="00411EA9" w:rsidP="00F81C36">
            <w:pPr>
              <w:jc w:val="center"/>
              <w:rPr>
                <w:rFonts w:ascii="Times New Roman" w:hAnsi="Times New Roman" w:cs="Times New Roman"/>
                <w:color w:val="000000"/>
              </w:rPr>
            </w:pPr>
            <w:r w:rsidRPr="00411EA9">
              <w:rPr>
                <w:rFonts w:ascii="Times New Roman" w:hAnsi="Times New Roman" w:cs="Times New Roman"/>
                <w:color w:val="000000"/>
              </w:rPr>
              <w:t>Theme</w:t>
            </w:r>
          </w:p>
        </w:tc>
        <w:tc>
          <w:tcPr>
            <w:tcW w:w="0" w:type="auto"/>
            <w:hideMark/>
          </w:tcPr>
          <w:p w14:paraId="6CBFA9DE" w14:textId="77777777" w:rsidR="00411EA9" w:rsidRPr="00411EA9" w:rsidRDefault="00411EA9" w:rsidP="00F81C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Subtheme</w:t>
            </w:r>
          </w:p>
        </w:tc>
        <w:tc>
          <w:tcPr>
            <w:tcW w:w="0" w:type="auto"/>
            <w:hideMark/>
          </w:tcPr>
          <w:p w14:paraId="0FE488BC" w14:textId="77777777" w:rsidR="00411EA9" w:rsidRPr="00411EA9" w:rsidRDefault="00411EA9" w:rsidP="00F81C3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Brief supporting excerpt</w:t>
            </w:r>
          </w:p>
        </w:tc>
      </w:tr>
      <w:tr w:rsidR="00411EA9" w:rsidRPr="00411EA9" w14:paraId="53069E8C" w14:textId="77777777" w:rsidTr="00F81C36">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0" w:type="auto"/>
            <w:hideMark/>
          </w:tcPr>
          <w:p w14:paraId="37D9E73C" w14:textId="77777777" w:rsidR="00411EA9" w:rsidRPr="00411EA9" w:rsidRDefault="00411EA9" w:rsidP="00F81C36">
            <w:pPr>
              <w:jc w:val="both"/>
              <w:rPr>
                <w:rFonts w:ascii="Times New Roman" w:hAnsi="Times New Roman" w:cs="Times New Roman"/>
                <w:b w:val="0"/>
                <w:bCs w:val="0"/>
                <w:color w:val="000000"/>
              </w:rPr>
            </w:pPr>
            <w:r w:rsidRPr="00411EA9">
              <w:rPr>
                <w:rFonts w:ascii="Times New Roman" w:hAnsi="Times New Roman" w:cs="Times New Roman"/>
                <w:color w:val="000000"/>
              </w:rPr>
              <w:t>Transformation of pharmacy practice through AI</w:t>
            </w:r>
          </w:p>
        </w:tc>
        <w:tc>
          <w:tcPr>
            <w:tcW w:w="0" w:type="auto"/>
            <w:hideMark/>
          </w:tcPr>
          <w:p w14:paraId="3D88CD20"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Expanded clinical roles of AI</w:t>
            </w:r>
          </w:p>
        </w:tc>
        <w:tc>
          <w:tcPr>
            <w:tcW w:w="0" w:type="auto"/>
            <w:hideMark/>
          </w:tcPr>
          <w:p w14:paraId="443226C8"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AI is used for clinical decision support, detecting errors, predicting adverse drug reactions, and managing medications based on individual needs.</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1E5A8FCA" w14:textId="77777777" w:rsidTr="00F81C36">
        <w:trPr>
          <w:trHeight w:val="1360"/>
        </w:trPr>
        <w:tc>
          <w:tcPr>
            <w:cnfStyle w:val="001000000000" w:firstRow="0" w:lastRow="0" w:firstColumn="1" w:lastColumn="0" w:oddVBand="0" w:evenVBand="0" w:oddHBand="0" w:evenHBand="0" w:firstRowFirstColumn="0" w:firstRowLastColumn="0" w:lastRowFirstColumn="0" w:lastRowLastColumn="0"/>
            <w:tcW w:w="0" w:type="auto"/>
            <w:hideMark/>
          </w:tcPr>
          <w:p w14:paraId="3FFD3D2C"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Transformation of pharmacy practice through AI</w:t>
            </w:r>
          </w:p>
        </w:tc>
        <w:tc>
          <w:tcPr>
            <w:tcW w:w="0" w:type="auto"/>
            <w:hideMark/>
          </w:tcPr>
          <w:p w14:paraId="7120926E"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AI beyond clinical pharmacy</w:t>
            </w:r>
          </w:p>
        </w:tc>
        <w:tc>
          <w:tcPr>
            <w:tcW w:w="0" w:type="auto"/>
            <w:hideMark/>
          </w:tcPr>
          <w:p w14:paraId="099E70D0"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AI supports prescription verification, pharmacometrics modelling, medication therapy management, and adherence via chatbots and mobile apps.</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7058858D" w14:textId="77777777" w:rsidTr="00F81C36">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0" w:type="auto"/>
            <w:hideMark/>
          </w:tcPr>
          <w:p w14:paraId="134B0304"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lastRenderedPageBreak/>
              <w:t>External drivers and contextual pressures</w:t>
            </w:r>
          </w:p>
        </w:tc>
        <w:tc>
          <w:tcPr>
            <w:tcW w:w="0" w:type="auto"/>
            <w:hideMark/>
          </w:tcPr>
          <w:p w14:paraId="3FBF60A2"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AMR and patient safety</w:t>
            </w:r>
          </w:p>
        </w:tc>
        <w:tc>
          <w:tcPr>
            <w:tcW w:w="0" w:type="auto"/>
            <w:hideMark/>
          </w:tcPr>
          <w:p w14:paraId="2BEAF8D3"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Increasing prevalence of antimicrobial resistance and rising resistance rates drive the need for new innovations in pharmacy practice.</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51CA23B1" w14:textId="77777777" w:rsidTr="00F81C36">
        <w:trPr>
          <w:trHeight w:val="1082"/>
        </w:trPr>
        <w:tc>
          <w:tcPr>
            <w:cnfStyle w:val="001000000000" w:firstRow="0" w:lastRow="0" w:firstColumn="1" w:lastColumn="0" w:oddVBand="0" w:evenVBand="0" w:oddHBand="0" w:evenHBand="0" w:firstRowFirstColumn="0" w:firstRowLastColumn="0" w:lastRowFirstColumn="0" w:lastRowLastColumn="0"/>
            <w:tcW w:w="0" w:type="auto"/>
            <w:hideMark/>
          </w:tcPr>
          <w:p w14:paraId="0F085655"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External drivers and contextual pressures</w:t>
            </w:r>
          </w:p>
        </w:tc>
        <w:tc>
          <w:tcPr>
            <w:tcW w:w="0" w:type="auto"/>
            <w:hideMark/>
          </w:tcPr>
          <w:p w14:paraId="4DE4A1C4"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Digital health and telepharmacy</w:t>
            </w:r>
          </w:p>
        </w:tc>
        <w:tc>
          <w:tcPr>
            <w:tcW w:w="0" w:type="auto"/>
            <w:hideMark/>
          </w:tcPr>
          <w:p w14:paraId="571EC075"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COVID</w:t>
            </w:r>
            <w:r w:rsidRPr="00411EA9">
              <w:rPr>
                <w:rFonts w:ascii="Times New Roman" w:hAnsi="Times New Roman" w:cs="Times New Roman"/>
                <w:color w:val="000000"/>
              </w:rPr>
              <w:noBreakHyphen/>
              <w:t>19 led to widespread adoption of digital health services, including telepharmacy, changing how care is delivered.</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687AE52E" w14:textId="77777777" w:rsidTr="00F81C36">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0" w:type="auto"/>
            <w:hideMark/>
          </w:tcPr>
          <w:p w14:paraId="52C81950"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Evidence gaps and need for mapping</w:t>
            </w:r>
          </w:p>
        </w:tc>
        <w:tc>
          <w:tcPr>
            <w:tcW w:w="0" w:type="auto"/>
            <w:hideMark/>
          </w:tcPr>
          <w:p w14:paraId="617FEDFF"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Lack of network-based overviews</w:t>
            </w:r>
          </w:p>
        </w:tc>
        <w:tc>
          <w:tcPr>
            <w:tcW w:w="0" w:type="auto"/>
            <w:hideMark/>
          </w:tcPr>
          <w:p w14:paraId="03DA4AF9"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Existing reviews do not provide the quantitative, network-based analysis of publication dynamics and intellectual structures that bibliometrics can offer.</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3A44C621" w14:textId="77777777" w:rsidTr="00F81C36">
        <w:trPr>
          <w:trHeight w:val="1095"/>
        </w:trPr>
        <w:tc>
          <w:tcPr>
            <w:cnfStyle w:val="001000000000" w:firstRow="0" w:lastRow="0" w:firstColumn="1" w:lastColumn="0" w:oddVBand="0" w:evenVBand="0" w:oddHBand="0" w:evenHBand="0" w:firstRowFirstColumn="0" w:firstRowLastColumn="0" w:lastRowFirstColumn="0" w:lastRowLastColumn="0"/>
            <w:tcW w:w="0" w:type="auto"/>
            <w:hideMark/>
          </w:tcPr>
          <w:p w14:paraId="4DB714CA"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Evidence gaps and need for mapping</w:t>
            </w:r>
          </w:p>
        </w:tc>
        <w:tc>
          <w:tcPr>
            <w:tcW w:w="0" w:type="auto"/>
            <w:hideMark/>
          </w:tcPr>
          <w:p w14:paraId="03A565A0"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Under charted emerging subfields</w:t>
            </w:r>
          </w:p>
        </w:tc>
        <w:tc>
          <w:tcPr>
            <w:tcW w:w="0" w:type="auto"/>
            <w:hideMark/>
          </w:tcPr>
          <w:p w14:paraId="7B384F3D"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Rapidly developing areas such as generative AI, AI</w:t>
            </w:r>
            <w:r w:rsidRPr="00411EA9">
              <w:rPr>
                <w:rFonts w:ascii="Times New Roman" w:hAnsi="Times New Roman" w:cs="Times New Roman"/>
                <w:color w:val="000000"/>
              </w:rPr>
              <w:noBreakHyphen/>
              <w:t>enhanced telepharmacy, and AI</w:t>
            </w:r>
            <w:r w:rsidRPr="00411EA9">
              <w:rPr>
                <w:rFonts w:ascii="Times New Roman" w:hAnsi="Times New Roman" w:cs="Times New Roman"/>
                <w:color w:val="000000"/>
              </w:rPr>
              <w:noBreakHyphen/>
              <w:t>based medication safety remain largely unmapped.</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46195DF5" w14:textId="77777777" w:rsidTr="00F81C36">
        <w:trPr>
          <w:cnfStyle w:val="000000100000" w:firstRow="0" w:lastRow="0" w:firstColumn="0" w:lastColumn="0" w:oddVBand="0" w:evenVBand="0" w:oddHBand="1" w:evenHBand="0" w:firstRowFirstColumn="0" w:firstRowLastColumn="0" w:lastRowFirstColumn="0" w:lastRowLastColumn="0"/>
          <w:trHeight w:val="1082"/>
        </w:trPr>
        <w:tc>
          <w:tcPr>
            <w:cnfStyle w:val="001000000000" w:firstRow="0" w:lastRow="0" w:firstColumn="1" w:lastColumn="0" w:oddVBand="0" w:evenVBand="0" w:oddHBand="0" w:evenHBand="0" w:firstRowFirstColumn="0" w:firstRowLastColumn="0" w:lastRowFirstColumn="0" w:lastRowLastColumn="0"/>
            <w:tcW w:w="0" w:type="auto"/>
            <w:hideMark/>
          </w:tcPr>
          <w:p w14:paraId="7B71BA46"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Inequities and underrepresentation</w:t>
            </w:r>
          </w:p>
        </w:tc>
        <w:tc>
          <w:tcPr>
            <w:tcW w:w="0" w:type="auto"/>
            <w:hideMark/>
          </w:tcPr>
          <w:p w14:paraId="55040AE9"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Limited LMIC and regional participation</w:t>
            </w:r>
          </w:p>
        </w:tc>
        <w:tc>
          <w:tcPr>
            <w:tcW w:w="0" w:type="auto"/>
            <w:hideMark/>
          </w:tcPr>
          <w:p w14:paraId="172373AC"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AI</w:t>
            </w:r>
            <w:r w:rsidRPr="00411EA9">
              <w:rPr>
                <w:rFonts w:ascii="Times New Roman" w:hAnsi="Times New Roman" w:cs="Times New Roman"/>
                <w:color w:val="000000"/>
              </w:rPr>
              <w:noBreakHyphen/>
              <w:t>pharmacy research from LMICs and Southeast Asia is limited due to infrastructure, regulatory, funding, and literacy barriers.</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32FAE569" w14:textId="77777777" w:rsidTr="00F81C36">
        <w:trPr>
          <w:trHeight w:val="1373"/>
        </w:trPr>
        <w:tc>
          <w:tcPr>
            <w:cnfStyle w:val="001000000000" w:firstRow="0" w:lastRow="0" w:firstColumn="1" w:lastColumn="0" w:oddVBand="0" w:evenVBand="0" w:oddHBand="0" w:evenHBand="0" w:firstRowFirstColumn="0" w:firstRowLastColumn="0" w:lastRowFirstColumn="0" w:lastRowLastColumn="0"/>
            <w:tcW w:w="0" w:type="auto"/>
            <w:hideMark/>
          </w:tcPr>
          <w:p w14:paraId="56365CFD"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Rationale and aims of the study</w:t>
            </w:r>
          </w:p>
        </w:tc>
        <w:tc>
          <w:tcPr>
            <w:tcW w:w="0" w:type="auto"/>
            <w:hideMark/>
          </w:tcPr>
          <w:p w14:paraId="7E9A3FB5"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Comprehensive bibliometric and science mapping</w:t>
            </w:r>
          </w:p>
        </w:tc>
        <w:tc>
          <w:tcPr>
            <w:tcW w:w="0" w:type="auto"/>
            <w:hideMark/>
          </w:tcPr>
          <w:p w14:paraId="7E8AEEDF" w14:textId="77777777" w:rsidR="00411EA9" w:rsidRPr="00411EA9" w:rsidRDefault="00411EA9" w:rsidP="00F81C3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The study will apply performance analysis and science</w:t>
            </w:r>
            <w:r w:rsidRPr="00411EA9">
              <w:rPr>
                <w:rFonts w:ascii="Times New Roman" w:hAnsi="Times New Roman" w:cs="Times New Roman"/>
                <w:color w:val="000000"/>
              </w:rPr>
              <w:noBreakHyphen/>
              <w:t>mapping (co</w:t>
            </w:r>
            <w:r w:rsidRPr="00411EA9">
              <w:rPr>
                <w:rFonts w:ascii="Times New Roman" w:hAnsi="Times New Roman" w:cs="Times New Roman"/>
                <w:color w:val="000000"/>
              </w:rPr>
              <w:noBreakHyphen/>
              <w:t>authorship, co</w:t>
            </w:r>
            <w:r w:rsidRPr="00411EA9">
              <w:rPr>
                <w:rFonts w:ascii="Times New Roman" w:hAnsi="Times New Roman" w:cs="Times New Roman"/>
                <w:color w:val="000000"/>
              </w:rPr>
              <w:noBreakHyphen/>
              <w:t>citation, bibliographic coupling, keyword co</w:t>
            </w:r>
            <w:r w:rsidRPr="00411EA9">
              <w:rPr>
                <w:rFonts w:ascii="Times New Roman" w:hAnsi="Times New Roman" w:cs="Times New Roman"/>
                <w:color w:val="000000"/>
              </w:rPr>
              <w:noBreakHyphen/>
              <w:t>occurrence) to AI in pharmacy practice from 2015–2025.</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r w:rsidR="00411EA9" w:rsidRPr="00411EA9" w14:paraId="109EBA78" w14:textId="77777777" w:rsidTr="00F81C36">
        <w:trPr>
          <w:cnfStyle w:val="000000100000" w:firstRow="0" w:lastRow="0" w:firstColumn="0" w:lastColumn="0" w:oddVBand="0" w:evenVBand="0" w:oddHBand="1"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0" w:type="auto"/>
            <w:hideMark/>
          </w:tcPr>
          <w:p w14:paraId="5E3FC57C" w14:textId="77777777" w:rsidR="00411EA9" w:rsidRPr="00411EA9" w:rsidRDefault="00411EA9" w:rsidP="00F81C36">
            <w:pPr>
              <w:jc w:val="both"/>
              <w:rPr>
                <w:rFonts w:ascii="Times New Roman" w:hAnsi="Times New Roman" w:cs="Times New Roman"/>
                <w:color w:val="000000"/>
              </w:rPr>
            </w:pPr>
            <w:r w:rsidRPr="00411EA9">
              <w:rPr>
                <w:rFonts w:ascii="Times New Roman" w:hAnsi="Times New Roman" w:cs="Times New Roman"/>
                <w:color w:val="000000"/>
              </w:rPr>
              <w:t>Rationale and aims of the study</w:t>
            </w:r>
          </w:p>
        </w:tc>
        <w:tc>
          <w:tcPr>
            <w:tcW w:w="0" w:type="auto"/>
            <w:hideMark/>
          </w:tcPr>
          <w:p w14:paraId="4F8805CE"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Action</w:t>
            </w:r>
            <w:r w:rsidRPr="00411EA9">
              <w:rPr>
                <w:rFonts w:ascii="Times New Roman" w:hAnsi="Times New Roman" w:cs="Times New Roman"/>
                <w:color w:val="000000"/>
              </w:rPr>
              <w:noBreakHyphen/>
              <w:t>oriented evidence for policy and education</w:t>
            </w:r>
          </w:p>
        </w:tc>
        <w:tc>
          <w:tcPr>
            <w:tcW w:w="0" w:type="auto"/>
            <w:hideMark/>
          </w:tcPr>
          <w:p w14:paraId="30538EEC" w14:textId="77777777" w:rsidR="00411EA9" w:rsidRPr="00411EA9" w:rsidRDefault="00411EA9" w:rsidP="00F81C3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11EA9">
              <w:rPr>
                <w:rFonts w:ascii="Times New Roman" w:hAnsi="Times New Roman" w:cs="Times New Roman"/>
                <w:color w:val="000000"/>
              </w:rPr>
              <w:t>Findings are intended to guide researchers, policymakers, and educators in advancing AI</w:t>
            </w:r>
            <w:r w:rsidRPr="00411EA9">
              <w:rPr>
                <w:rFonts w:ascii="Times New Roman" w:hAnsi="Times New Roman" w:cs="Times New Roman"/>
                <w:color w:val="000000"/>
              </w:rPr>
              <w:noBreakHyphen/>
              <w:t>based pharmaceutical care, especially in resource</w:t>
            </w:r>
            <w:r w:rsidRPr="00411EA9">
              <w:rPr>
                <w:rFonts w:ascii="Times New Roman" w:hAnsi="Times New Roman" w:cs="Times New Roman"/>
                <w:color w:val="000000"/>
              </w:rPr>
              <w:noBreakHyphen/>
              <w:t>constrained settings.</w:t>
            </w:r>
            <w:r w:rsidRPr="00411EA9">
              <w:rPr>
                <w:rStyle w:val="apple-converted-space"/>
                <w:rFonts w:ascii="Times New Roman" w:hAnsi="Times New Roman" w:cs="Times New Roman"/>
                <w:color w:val="000000"/>
              </w:rPr>
              <w:t> </w:t>
            </w:r>
            <w:r w:rsidRPr="00411EA9">
              <w:rPr>
                <w:rStyle w:val="inline-block"/>
                <w:rFonts w:ascii="Times New Roman" w:hAnsi="Times New Roman" w:cs="Times New Roman"/>
                <w:color w:val="000000"/>
              </w:rPr>
              <w:t>Global-research-trends-and-future-directions-in-telepharmacy.docx</w:t>
            </w:r>
            <w:r w:rsidRPr="00411EA9">
              <w:rPr>
                <w:rStyle w:val="inline-flex"/>
                <w:rFonts w:ascii="Times New Roman" w:hAnsi="Times New Roman" w:cs="Times New Roman"/>
                <w:color w:val="000000"/>
              </w:rPr>
              <w:t>​</w:t>
            </w:r>
          </w:p>
        </w:tc>
      </w:tr>
    </w:tbl>
    <w:p w14:paraId="3464530E"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The most prominent theme across the literature was the transformative impact of AI on pharmacy practice. Two distinct sub-themes emerged under this theme. The first sub-theme, expanded clinical roles of AI, captured the use of AI in high-stakes clinical functions including clinical decision support, medication error detection, adverse drug reaction (ADR) prediction, and individualized medication management. AI-powered clinical decision support systems were described as providing pharmacists with real-time insights to identify high-risk prescriptions, prevent drug-drug interactions, and optimize medication regimens for individual patients. The </w:t>
      </w:r>
      <w:r w:rsidRPr="00411EA9">
        <w:rPr>
          <w:rFonts w:ascii="Times New Roman" w:hAnsi="Times New Roman" w:cs="Times New Roman"/>
        </w:rPr>
        <w:lastRenderedPageBreak/>
        <w:t>second sub-theme, AI beyond clinical pharmacy, extended the scope of AI applications into non-clinical pharmacy settings, encompassing prescription verification, pharmacometrics modelling, medication therapy management, and the use of AI-driven chatbots and mobile applications to improve medication adherence. Together, these sub-themes indicate that AI is reshaping the entire spectrum of pharmacy practice — from hospital-based clinical services to community-level patient support.</w:t>
      </w:r>
    </w:p>
    <w:p w14:paraId="07D3022D"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The second theme identified the external forces accelerating the adoption of AI in pharmacy practice. The sub-theme of AMR and patient safety highlighted the escalating global burden of antimicrobial resistance as a primary driver, with rising resistance rates in over 40% of monitored bacteria-drug combinations necessitating more innovative and data-driven approaches to antimicrobial stewardship and pharmacy practice. The sub-theme of digital health and telepharmacy documented how the COVID-19 pandemic catalyzed a rapid and unprecedented shift toward digital health service delivery, including telepharmacy, fundamentally altering how pharmacists provide care. These contextual pressures established AI integration not merely as an academic innovation but as a practical and urgent response to real-world health system challenges.</w:t>
      </w:r>
    </w:p>
    <w:p w14:paraId="450733C4"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The third theme revealed a critical methodological gap in the existing literature. The sub-theme of lack of network-based overviews highlighted that, while systematic and scoping reviews have begun cataloguing AI applications in pharmacy, they do not provide the quantitative, network-based analysis of publication dynamics, intellectual structures, and thematic evolution that bibliometric methods uniquely offer. The sub-theme of under charted emerging subfields further identified specific areas — including generative AI and large language models (LLMs), AI-enhanced telepharmacy, and AI-based medication safety systems </w:t>
      </w:r>
      <w:r w:rsidRPr="00411EA9">
        <w:rPr>
          <w:rFonts w:ascii="Times New Roman" w:hAnsi="Times New Roman" w:cs="Times New Roman"/>
        </w:rPr>
        <w:lastRenderedPageBreak/>
        <w:t>— that have proliferated rapidly, particularly since 2023, but remain largely unmapped bibliometrically. These gaps collectively provide the direct methodological justification for the present study.</w:t>
      </w:r>
    </w:p>
    <w:p w14:paraId="4059C19E"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The fourth theme addressed systemic inequities in the global AI-pharmacy research landscape. Analysis identified a critical underrepresentation of low- and middle-income countries (LMICs) and Southeast Asian nations in AI-pharmacy research output, attributable to compounding structural barriers including inadequate digital infrastructure, absent regulatory frameworks, limited research funding, and low AI literacy among healthcare providers. This finding is consistent with and further substantiated by the geographic distribution data reported in Table 2, which showed no LMIC or ASEAN nation among the top ten contributing countries. The literature underscores that these are precisely the regions where AI-driven pharmacy innovations could have the greatest public health impact, creating a paradox between where research is conducted and where it is most needed.</w:t>
      </w:r>
    </w:p>
    <w:p w14:paraId="2A102437" w14:textId="3E4AC22D"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A final theme synthesized the rationale and aims emerging from the literature. The sub-theme of comprehensive bibliometric and science mapping confirmed the appropriateness of applying performance analysis and science mapping techniques — including co-authorship, co-citation, bibliographic coupling, and keyword co-occurrence analysis — to systematically characterize AI-pharmacy research from 2015 to 2025. The sub-theme of action-oriented evidence for policy and education emphasized that the intended contribution of this body of work is not merely descriptive but translational — providing a quantitative evidence base to guide researchers, policymakers, and pharmacy educators in advancing AI-based pharmaceutical care, with particular relevance to resource-constrained and underrepresented settings.</w:t>
      </w:r>
    </w:p>
    <w:p w14:paraId="04BA5C9B" w14:textId="77777777" w:rsidR="00411EA9" w:rsidRDefault="00411EA9" w:rsidP="00411EA9">
      <w:pPr>
        <w:jc w:val="both"/>
        <w:rPr>
          <w:rFonts w:ascii="Times New Roman" w:hAnsi="Times New Roman" w:cs="Times New Roman"/>
          <w:b/>
          <w:bCs/>
        </w:rPr>
      </w:pPr>
      <w:r w:rsidRPr="00411EA9">
        <w:rPr>
          <w:rFonts w:ascii="Times New Roman" w:hAnsi="Times New Roman" w:cs="Times New Roman"/>
          <w:b/>
          <w:bCs/>
          <w:color w:val="000000"/>
        </w:rPr>
        <w:t xml:space="preserve">4. 0 Conclusions and </w:t>
      </w:r>
      <w:r w:rsidRPr="00411EA9">
        <w:rPr>
          <w:rFonts w:ascii="Times New Roman" w:hAnsi="Times New Roman" w:cs="Times New Roman"/>
          <w:b/>
          <w:bCs/>
        </w:rPr>
        <w:t>Recommendations</w:t>
      </w:r>
    </w:p>
    <w:p w14:paraId="7F08718B" w14:textId="022E6386" w:rsidR="00411EA9" w:rsidRPr="00411EA9" w:rsidRDefault="00411EA9" w:rsidP="00411EA9">
      <w:pPr>
        <w:jc w:val="both"/>
        <w:rPr>
          <w:rFonts w:ascii="Times New Roman" w:hAnsi="Times New Roman" w:cs="Times New Roman"/>
          <w:b/>
          <w:bCs/>
        </w:rPr>
      </w:pPr>
      <w:r>
        <w:rPr>
          <w:rFonts w:ascii="Times New Roman" w:hAnsi="Times New Roman" w:cs="Times New Roman"/>
          <w:b/>
          <w:bCs/>
        </w:rPr>
        <w:lastRenderedPageBreak/>
        <w:t>Conclusion</w:t>
      </w:r>
    </w:p>
    <w:p w14:paraId="5FF02F6D"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This bibliometric and science mapping study provides the first comprehensive quantitative analysis of artificial intelligence (AI) in pharmacy practice research from 2020 to 2025, addressing a critical gap in the scholarly literature. The findings collectively demonstrate that AI-pharmacy research is in a phase of rapid and accelerating expansion, with 61.03% of all publications produced in the final two years of the study period (2024–2025), reflecting the transformative influence of generative AI and large language models on pharmacy scholarship and practice.</w:t>
      </w:r>
    </w:p>
    <w:p w14:paraId="1C58503A"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Performance analysis revealed that research output is heavily concentrated in a small number of high-income nations, with the United States and China together accounting for 52.07% of global publications. The United Kingdom, Canada, Australia, and other Western European nations formed a secondary cluster, while no low- or middle-income country (LMIC) or Southeast Asian nation appeared among the top ten contributing countries. At the institutional level, no single research center dominated the field, suggesting that AI-pharmacy research remains broadly distributed and is still consolidating — a characteristic of an emerging discipline with significant room for new contributors to establish productive research programs. Author-level analysis identified predominantly Chinese-origin surnames among the most prolific contributors, consistent with China's high national output, though name disambiguation remains an important methodological consideration. Frontiers in Pharmacology emerged as the most prolific publishing venue, followed by journals spanning health informatics, clinical pharmacology, and digital medicine, confirming the inherently cross-disciplinary nature of the field.</w:t>
      </w:r>
    </w:p>
    <w:p w14:paraId="030A7C91"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lastRenderedPageBreak/>
        <w:t>Qualitative thematic analysis further revealed that AI applications in pharmacy span expanded clinical roles — including clinical decision support, adverse drug reaction prediction, and medication error detection — as well as non-clinical functions such as medication therapy management, prescription verification, and adherence support through chatbots and mobile applications. These developments are driven by urgent contextual pressures, notably the global antimicrobial resistance crisis and the accelerated adoption of digital health services catalyzed by the COVID-19 pandemic. Despite this growth, the literature consistently highlights the absence of comprehensive bibliometric mapping of the field, the under charted nature of rapidly emerging subfields including generative AI, AI-enhanced telepharmacy, and AI-based medication safety, and the critical underrepresentation of LMICs and Southeast Asian nations — regions that face the greatest structural barriers to AI adoption yet stand to benefit most from AI-driven pharmacy innovations.</w:t>
      </w:r>
    </w:p>
    <w:p w14:paraId="445982B2"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These findings carry important implications for researchers, policymakers, and pharmacy educators. First, the concentration of research output in the United States and China signals a need for targeted capacity-building initiatives to support AI-pharmacy research in LMICs and underrepresented regions, including the Philippines and neighboring ASEAN nations. Second, the rapid growth of generative AI and LLM-related publications since 2023 calls for urgent bibliometric mapping, regulatory guidance, and evidence synthesis to support safe and effective integration of these technologies into pharmacy practice. Third, the cross-disciplinary publication landscape suggests that pharmacy researchers should actively engage with health informatics, digital medicine, and clinical pharmacology journals to maximize the reach and impact of their work. Fourth, the absence of dominant institutions in the field presents an opportunity for </w:t>
      </w:r>
      <w:r w:rsidRPr="00411EA9">
        <w:rPr>
          <w:rFonts w:ascii="Times New Roman" w:hAnsi="Times New Roman" w:cs="Times New Roman"/>
        </w:rPr>
        <w:lastRenderedPageBreak/>
        <w:t>emerging research groups — including those in low-resource settings — to contribute meaningfully to this growing body of evidence.</w:t>
      </w:r>
    </w:p>
    <w:p w14:paraId="38F7AD1A"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This study is not without limitations. The dataset covers only publications from 2020 onward as represented in the retrieved data, potentially missing foundational earlier work. The analysis is further limited by database coverage bias, language restrictions to English-language publications, and the keyword dependency inherent in any bibliometric search strategy. Citation bias may also affect comparisons between older and newer publications within the dataset. Future studies should extend the search period, apply broader keyword strategies, and incorporate additional databases to achieve more comprehensive coverage.</w:t>
      </w:r>
    </w:p>
    <w:p w14:paraId="10B87F09"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In conclusion, AI in pharmacy practice is a rapidly growing, geographically concentrated, and cross-disciplinary field that remains inadequately mapped at the bibliometric level. This study establishes a foundational evidence base for understanding the intellectual structure and development of the field, while simultaneously identifying the inequities and emerging subfields that require urgent scholarly attention. As AI technologies continue to reshape pharmaceutical care delivery globally, evidence-based bibliometric analyses of this nature are essential for guiding strategic research investments, informing educational curricula, and advancing equitable, AI-driven pharmacy practice worldwide.</w:t>
      </w:r>
    </w:p>
    <w:p w14:paraId="26545EAD" w14:textId="271FA858" w:rsidR="00411EA9" w:rsidRDefault="00411EA9" w:rsidP="003069F2">
      <w:pPr>
        <w:spacing w:line="480" w:lineRule="auto"/>
        <w:jc w:val="both"/>
        <w:rPr>
          <w:rFonts w:ascii="Times New Roman" w:hAnsi="Times New Roman" w:cs="Times New Roman"/>
          <w:b/>
          <w:bCs/>
        </w:rPr>
      </w:pPr>
      <w:r w:rsidRPr="00411EA9">
        <w:rPr>
          <w:rFonts w:ascii="Times New Roman" w:hAnsi="Times New Roman" w:cs="Times New Roman"/>
          <w:b/>
          <w:bCs/>
        </w:rPr>
        <w:t>Recommendations</w:t>
      </w:r>
    </w:p>
    <w:p w14:paraId="15DEE7E1"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Based on the findings of this bibliometric and science mapping analysis of artificial intelligence (AI) in pharmacy practice research from 2020 to 2025, the following recommendations are directed at four key stakeholder groups: researchers, policymakers and regulators, pharmacy educators, and future bibliometric scholars.</w:t>
      </w:r>
    </w:p>
    <w:p w14:paraId="6C755849" w14:textId="2A8C4D65" w:rsidR="00411EA9" w:rsidRPr="00411EA9" w:rsidRDefault="00411EA9" w:rsidP="00411EA9">
      <w:pPr>
        <w:pStyle w:val="ListParagraph"/>
        <w:numPr>
          <w:ilvl w:val="0"/>
          <w:numId w:val="11"/>
        </w:numPr>
        <w:spacing w:line="480" w:lineRule="auto"/>
        <w:jc w:val="both"/>
        <w:rPr>
          <w:rFonts w:ascii="Times New Roman" w:hAnsi="Times New Roman" w:cs="Times New Roman"/>
        </w:rPr>
      </w:pPr>
      <w:r w:rsidRPr="00411EA9">
        <w:rPr>
          <w:rFonts w:ascii="Times New Roman" w:hAnsi="Times New Roman" w:cs="Times New Roman"/>
        </w:rPr>
        <w:lastRenderedPageBreak/>
        <w:t>For Researchers</w:t>
      </w:r>
    </w:p>
    <w:p w14:paraId="6CC8E44C" w14:textId="048D2C43"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1.1 Prioritize research in underrepresented regions.</w:t>
      </w:r>
    </w:p>
    <w:p w14:paraId="71EB3A82"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The geographic concentration of AI-pharmacy research in the United States and China (52.07% of total output), with the complete absence of low- and middle-income countries (LMICs) and Southeast Asian nations from the top ten contributing countries, represents a critical equity gap. Researchers in the Philippines, other ASEAN nations, and LMICs broadly are encouraged to initiate and publish AI-pharmacy research that is grounded in their local health contexts, disease burden, and healthcare system realities. Such studies are not only publishable in international peer-reviewed journals but are urgently needed to address regionally specific challenges in pharmaceutical care delivery.</w:t>
      </w:r>
    </w:p>
    <w:p w14:paraId="25D1B333" w14:textId="754E7BE2" w:rsidR="00411EA9" w:rsidRPr="00411EA9" w:rsidRDefault="00411EA9" w:rsidP="00411EA9">
      <w:pPr>
        <w:pStyle w:val="ListParagraph"/>
        <w:numPr>
          <w:ilvl w:val="1"/>
          <w:numId w:val="11"/>
        </w:numPr>
        <w:spacing w:line="480" w:lineRule="auto"/>
        <w:jc w:val="both"/>
        <w:rPr>
          <w:rFonts w:ascii="Times New Roman" w:hAnsi="Times New Roman" w:cs="Times New Roman"/>
        </w:rPr>
      </w:pPr>
      <w:r w:rsidRPr="00411EA9">
        <w:rPr>
          <w:rFonts w:ascii="Times New Roman" w:hAnsi="Times New Roman" w:cs="Times New Roman"/>
        </w:rPr>
        <w:t xml:space="preserve"> Conduct research on generative AI and large language models in pharmacy practice.</w:t>
      </w:r>
    </w:p>
    <w:p w14:paraId="070292E4" w14:textId="298BB44A" w:rsidR="00411EA9" w:rsidRPr="00411EA9" w:rsidRDefault="00411EA9" w:rsidP="00411EA9">
      <w:pPr>
        <w:spacing w:line="480" w:lineRule="auto"/>
        <w:ind w:firstLine="360"/>
        <w:jc w:val="both"/>
        <w:rPr>
          <w:rFonts w:ascii="Times New Roman" w:hAnsi="Times New Roman" w:cs="Times New Roman"/>
        </w:rPr>
      </w:pPr>
      <w:r w:rsidRPr="00411EA9">
        <w:rPr>
          <w:rFonts w:ascii="Times New Roman" w:hAnsi="Times New Roman" w:cs="Times New Roman"/>
        </w:rPr>
        <w:t>The exponential growth in publications from 2024 to 2025 is largely attributable to the emergence of generative AI and large language models (LLMs) such as ChatGPT, DeepSeek, Gemini, and Claude. However, this body of work remains poorly characterized in terms of its intellectual structure, quality, and thematic coverage. Researchers are encouraged to contribute rigorous, methodologically sound studies evaluating the performance, safety, and utility of LLMs across specific pharmacy practice settings, including community pharmacy counseling, antimicrobial stewardship, medication therapy management, and pharmacovigilance.</w:t>
      </w:r>
    </w:p>
    <w:p w14:paraId="08C9F0D9" w14:textId="414FB1C6"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1.3 Explore the intersection of AI with antimicrobial stewardship and telepharmacy.</w:t>
      </w:r>
    </w:p>
    <w:p w14:paraId="406AAFA7" w14:textId="5BBEC0D8"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Despite growing evidence supporting telemedicine-based antimicrobial stewardship programs and AI-enhanced telepharmacy services, both subfields remain bibliometrically under charted. Researchers are encouraged to address this gap through primary studies, systematic </w:t>
      </w:r>
      <w:r w:rsidRPr="00411EA9">
        <w:rPr>
          <w:rFonts w:ascii="Times New Roman" w:hAnsi="Times New Roman" w:cs="Times New Roman"/>
        </w:rPr>
        <w:lastRenderedPageBreak/>
        <w:t>reviews, and bibliometric analyses specifically targeting these intersections, particularly in settings where antimicrobial resistance is high and pharmacist access is limited.</w:t>
      </w:r>
    </w:p>
    <w:p w14:paraId="57E16C3D" w14:textId="725AE69C"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1.4 Publish in cross-disciplinary journals.</w:t>
      </w:r>
    </w:p>
    <w:p w14:paraId="7E024071" w14:textId="77777777" w:rsidR="00411EA9" w:rsidRPr="00411EA9" w:rsidRDefault="00411EA9" w:rsidP="00411EA9">
      <w:pPr>
        <w:spacing w:line="480" w:lineRule="auto"/>
        <w:ind w:firstLine="360"/>
        <w:jc w:val="both"/>
        <w:rPr>
          <w:rFonts w:ascii="Times New Roman" w:hAnsi="Times New Roman" w:cs="Times New Roman"/>
        </w:rPr>
      </w:pPr>
      <w:r w:rsidRPr="00411EA9">
        <w:rPr>
          <w:rFonts w:ascii="Times New Roman" w:hAnsi="Times New Roman" w:cs="Times New Roman"/>
        </w:rPr>
        <w:t>Given that the top publishing venues span pharmacology, health informatics, digital medicine, and clinical pharmacology, researchers should consider targeting high-impact journals outside the traditional pharmacy literature — particularly those indexed in both Scopus and Web of Science — to maximize the reach, citations, and policy impact of their work.</w:t>
      </w:r>
    </w:p>
    <w:p w14:paraId="5F84026E" w14:textId="7A14A724" w:rsidR="00411EA9" w:rsidRPr="00411EA9" w:rsidRDefault="00411EA9" w:rsidP="00411EA9">
      <w:pPr>
        <w:pStyle w:val="ListParagraph"/>
        <w:numPr>
          <w:ilvl w:val="0"/>
          <w:numId w:val="11"/>
        </w:numPr>
        <w:spacing w:line="480" w:lineRule="auto"/>
        <w:jc w:val="both"/>
        <w:rPr>
          <w:rFonts w:ascii="Times New Roman" w:hAnsi="Times New Roman" w:cs="Times New Roman"/>
        </w:rPr>
      </w:pPr>
      <w:r w:rsidRPr="00411EA9">
        <w:rPr>
          <w:rFonts w:ascii="Times New Roman" w:hAnsi="Times New Roman" w:cs="Times New Roman"/>
        </w:rPr>
        <w:t>For Policymakers and Regulators</w:t>
      </w:r>
    </w:p>
    <w:p w14:paraId="44261F66" w14:textId="5D02B6D9"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2.1 Develop national and regional AI-pharmacy regulatory frameworks in LMICs.</w:t>
      </w:r>
    </w:p>
    <w:p w14:paraId="6AE2C13D" w14:textId="6F9038FF"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The absence of adequate regulatory frameworks was identified as a key structural barrier to AI adoption in LMICs and Southeast Asian countries. National health authorities, pharmacy councils, and regulatory agencies in these regions — including the Philippine Food and Drug Administration (FDA) and the Professional Regulation Commission (PRC) — are encouraged to develop clear, enforceable guidelines governing the use of AI tools in pharmacy practice, including standards for AI-powered clinical decision support, chatbot-assisted patient counseling, and automated prescription verification systems.</w:t>
      </w:r>
    </w:p>
    <w:p w14:paraId="181C2EEF" w14:textId="50461EBF"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2.2 Invest in digital health infrastructure to enable AI-pharmacy research and practice.</w:t>
      </w:r>
    </w:p>
    <w:p w14:paraId="0C413E59"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Policymakers should prioritize investment in foundational digital health infrastructure — including reliable internet connectivity, electronic health records, and interoperable pharmacy information systems — as prerequisites for AI adoption and research in pharmacy settings. </w:t>
      </w:r>
      <w:r w:rsidRPr="00411EA9">
        <w:rPr>
          <w:rFonts w:ascii="Times New Roman" w:hAnsi="Times New Roman" w:cs="Times New Roman"/>
        </w:rPr>
        <w:lastRenderedPageBreak/>
        <w:t>Without this foundation, the benefits of AI-pharmacy innovations identified in the global literature will remain inaccessible to healthcare systems in low-resource settings.</w:t>
      </w:r>
    </w:p>
    <w:p w14:paraId="6063826D" w14:textId="4EA641DD"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2.3 Support capacity-building programs for AI literacy among pharmacy professionals.</w:t>
      </w:r>
    </w:p>
    <w:p w14:paraId="648F720D"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Low AI literacy among healthcare providers was consistently identified as a barrier to adoption. Governments and professional organizations are encouraged to fund and implement continuing professional development (CPD) programs equipping pharmacists and pharmacy technicians with the knowledge and skills to evaluate, adopt, and critically appraise AI tools in their practice settings.</w:t>
      </w:r>
    </w:p>
    <w:p w14:paraId="6E17507C" w14:textId="77777777" w:rsidR="00411EA9" w:rsidRPr="00411EA9" w:rsidRDefault="00411EA9" w:rsidP="00411EA9">
      <w:pPr>
        <w:spacing w:line="480" w:lineRule="auto"/>
        <w:jc w:val="both"/>
        <w:rPr>
          <w:rFonts w:ascii="Times New Roman" w:hAnsi="Times New Roman" w:cs="Times New Roman"/>
        </w:rPr>
      </w:pPr>
    </w:p>
    <w:p w14:paraId="4D163292" w14:textId="5722E127" w:rsidR="00411EA9" w:rsidRPr="00411EA9" w:rsidRDefault="00411EA9" w:rsidP="00411EA9">
      <w:pPr>
        <w:pStyle w:val="ListParagraph"/>
        <w:numPr>
          <w:ilvl w:val="0"/>
          <w:numId w:val="11"/>
        </w:numPr>
        <w:spacing w:line="480" w:lineRule="auto"/>
        <w:jc w:val="both"/>
        <w:rPr>
          <w:rFonts w:ascii="Times New Roman" w:hAnsi="Times New Roman" w:cs="Times New Roman"/>
        </w:rPr>
      </w:pPr>
      <w:r w:rsidRPr="00411EA9">
        <w:rPr>
          <w:rFonts w:ascii="Times New Roman" w:hAnsi="Times New Roman" w:cs="Times New Roman"/>
        </w:rPr>
        <w:t>For Pharmacy Educators</w:t>
      </w:r>
    </w:p>
    <w:p w14:paraId="5501A5F2" w14:textId="49C1CDD1"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3.1 Integrate AI literacy into pharmacy curricula.</w:t>
      </w:r>
    </w:p>
    <w:p w14:paraId="3B4811C0"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Given the rapid and sustained growth of AI applications across all pharmacy practice settings, pharmacy schools should formally integrate AI literacy — including foundational concepts of machine learning, natural language processing, clinical decision support systems, and responsible AI use — into undergraduate and graduate pharmacy curricula. This will prepare the next generation of pharmacists to critically evaluate, safely implement, and contribute to the evidence base for AI-driven pharmacy practice.</w:t>
      </w:r>
    </w:p>
    <w:p w14:paraId="164C2B0A" w14:textId="78688CE4"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3.2 Encourage student and faculty research in AI-pharmacy topics.</w:t>
      </w:r>
    </w:p>
    <w:p w14:paraId="031BD57C"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Pharmacy faculty members and thesis advisers are encouraged to propose AI-pharmacy research topics — including bibliometric analyses, systematic reviews, and primary studies — as capstone, thesis, and research projects for pharmacy students. These topics are feasible using </w:t>
      </w:r>
      <w:r w:rsidRPr="00411EA9">
        <w:rPr>
          <w:rFonts w:ascii="Times New Roman" w:hAnsi="Times New Roman" w:cs="Times New Roman"/>
        </w:rPr>
        <w:lastRenderedPageBreak/>
        <w:t xml:space="preserve">online databases and free or low-cost tools (e.g., </w:t>
      </w:r>
      <w:proofErr w:type="spellStart"/>
      <w:r w:rsidRPr="00411EA9">
        <w:rPr>
          <w:rFonts w:ascii="Times New Roman" w:hAnsi="Times New Roman" w:cs="Times New Roman"/>
        </w:rPr>
        <w:t>VOSviewer</w:t>
      </w:r>
      <w:proofErr w:type="spellEnd"/>
      <w:r w:rsidRPr="00411EA9">
        <w:rPr>
          <w:rFonts w:ascii="Times New Roman" w:hAnsi="Times New Roman" w:cs="Times New Roman"/>
        </w:rPr>
        <w:t xml:space="preserve">, </w:t>
      </w:r>
      <w:proofErr w:type="spellStart"/>
      <w:r w:rsidRPr="00411EA9">
        <w:rPr>
          <w:rFonts w:ascii="Times New Roman" w:hAnsi="Times New Roman" w:cs="Times New Roman"/>
        </w:rPr>
        <w:t>Bibliometrix</w:t>
      </w:r>
      <w:proofErr w:type="spellEnd"/>
      <w:r w:rsidRPr="00411EA9">
        <w:rPr>
          <w:rFonts w:ascii="Times New Roman" w:hAnsi="Times New Roman" w:cs="Times New Roman"/>
        </w:rPr>
        <w:t xml:space="preserve">, </w:t>
      </w:r>
      <w:proofErr w:type="spellStart"/>
      <w:r w:rsidRPr="00411EA9">
        <w:rPr>
          <w:rFonts w:ascii="Times New Roman" w:hAnsi="Times New Roman" w:cs="Times New Roman"/>
        </w:rPr>
        <w:t>Biblioshiny</w:t>
      </w:r>
      <w:proofErr w:type="spellEnd"/>
      <w:r w:rsidRPr="00411EA9">
        <w:rPr>
          <w:rFonts w:ascii="Times New Roman" w:hAnsi="Times New Roman" w:cs="Times New Roman"/>
        </w:rPr>
        <w:t>), requiring no patient data, survey instruments, or laboratory access, making them particularly suitable for academic settings in LMICs with limited research infrastructure.</w:t>
      </w:r>
    </w:p>
    <w:p w14:paraId="020FCDF2" w14:textId="26FF26EF"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3.3 Develop contextualized AI-pharmacy training materials for LMIC settings.</w:t>
      </w:r>
    </w:p>
    <w:p w14:paraId="36098A35" w14:textId="77777777" w:rsid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Pharmacy educators in LMICs should develop teaching materials, case studies, and simulation exercises that contextualize AI-pharmacy applications within their local health systems, formularies, and patient populations. Generic AI tools and training materials developed in high-income countries may not directly translate to LMIC pharmacy practice contexts and require local adaptation.</w:t>
      </w:r>
    </w:p>
    <w:p w14:paraId="1E2695D5" w14:textId="11F5B09D" w:rsidR="00411EA9" w:rsidRPr="00411EA9" w:rsidRDefault="00411EA9" w:rsidP="00411EA9">
      <w:pPr>
        <w:pStyle w:val="ListParagraph"/>
        <w:numPr>
          <w:ilvl w:val="0"/>
          <w:numId w:val="11"/>
        </w:numPr>
        <w:spacing w:line="480" w:lineRule="auto"/>
        <w:jc w:val="both"/>
        <w:rPr>
          <w:rFonts w:ascii="Times New Roman" w:hAnsi="Times New Roman" w:cs="Times New Roman"/>
        </w:rPr>
      </w:pPr>
      <w:r w:rsidRPr="00411EA9">
        <w:rPr>
          <w:rFonts w:ascii="Times New Roman" w:hAnsi="Times New Roman" w:cs="Times New Roman"/>
        </w:rPr>
        <w:t xml:space="preserve"> For Future Bibliometric Researchers</w:t>
      </w:r>
    </w:p>
    <w:p w14:paraId="6D5C83A4" w14:textId="40B0AD5E"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4.1 Conduct updated and expanded bibliometric analyses as the field evolves.</w:t>
      </w:r>
    </w:p>
    <w:p w14:paraId="113324A4"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Given the rapid growth of AI-pharmacy publications — with 36.17% of all publications in the dataset produced in 2025 alone — bibliometric analyses of this field will require regular updating. Future bibliometric studies should extend the search period, include additional databases (e.g., PubMed/MEDLINE, </w:t>
      </w:r>
      <w:proofErr w:type="spellStart"/>
      <w:r w:rsidRPr="00411EA9">
        <w:rPr>
          <w:rFonts w:ascii="Times New Roman" w:hAnsi="Times New Roman" w:cs="Times New Roman"/>
        </w:rPr>
        <w:t>Embase</w:t>
      </w:r>
      <w:proofErr w:type="spellEnd"/>
      <w:r w:rsidRPr="00411EA9">
        <w:rPr>
          <w:rFonts w:ascii="Times New Roman" w:hAnsi="Times New Roman" w:cs="Times New Roman"/>
        </w:rPr>
        <w:t xml:space="preserve">, </w:t>
      </w:r>
      <w:proofErr w:type="spellStart"/>
      <w:r w:rsidRPr="00411EA9">
        <w:rPr>
          <w:rFonts w:ascii="Times New Roman" w:hAnsi="Times New Roman" w:cs="Times New Roman"/>
        </w:rPr>
        <w:t>OpenAlex</w:t>
      </w:r>
      <w:proofErr w:type="spellEnd"/>
      <w:r w:rsidRPr="00411EA9">
        <w:rPr>
          <w:rFonts w:ascii="Times New Roman" w:hAnsi="Times New Roman" w:cs="Times New Roman"/>
        </w:rPr>
        <w:t>), and apply broader keyword strategies to capture publications using emerging AI terminology.</w:t>
      </w:r>
    </w:p>
    <w:p w14:paraId="1E43C0BE" w14:textId="411D0120"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4.2 Conduct focused bibliometric analyses on specific AI-pharmacy subfields.</w:t>
      </w:r>
    </w:p>
    <w:p w14:paraId="28460AC6"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Future studies should conduct targeted bibliometric analyses on specific </w:t>
      </w:r>
      <w:proofErr w:type="spellStart"/>
      <w:r w:rsidRPr="00411EA9">
        <w:rPr>
          <w:rFonts w:ascii="Times New Roman" w:hAnsi="Times New Roman" w:cs="Times New Roman"/>
        </w:rPr>
        <w:t>undercharted</w:t>
      </w:r>
      <w:proofErr w:type="spellEnd"/>
      <w:r w:rsidRPr="00411EA9">
        <w:rPr>
          <w:rFonts w:ascii="Times New Roman" w:hAnsi="Times New Roman" w:cs="Times New Roman"/>
        </w:rPr>
        <w:t xml:space="preserve"> subfields identified in this study, including: (1) generative AI and LLMs in pharmacy practice, (2) AI-enhanced telepharmacy, (3) telemedicine-based antimicrobial stewardship, (4) AI in </w:t>
      </w:r>
      <w:r w:rsidRPr="00411EA9">
        <w:rPr>
          <w:rFonts w:ascii="Times New Roman" w:hAnsi="Times New Roman" w:cs="Times New Roman"/>
        </w:rPr>
        <w:lastRenderedPageBreak/>
        <w:t>community pharmacy in LMICs, and (5) AI in pharmacy education. Each of these subfields represents a distinct and publishable bibliometric study with high novelty value.</w:t>
      </w:r>
    </w:p>
    <w:p w14:paraId="0EF4D934" w14:textId="4275A9EB"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4.3 Apply author name disambiguation systematically.</w:t>
      </w:r>
    </w:p>
    <w:p w14:paraId="623D6C04" w14:textId="77777777" w:rsidR="00411EA9" w:rsidRP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 xml:space="preserve">Given the dominance of common Chinese surnames in the author productivity analysis, future bibliometric studies on AI-pharmacy topics should apply robust author name disambiguation procedures — using tools such as ORCID identifiers, institutional affiliations, and </w:t>
      </w:r>
      <w:proofErr w:type="spellStart"/>
      <w:r w:rsidRPr="00411EA9">
        <w:rPr>
          <w:rFonts w:ascii="Times New Roman" w:hAnsi="Times New Roman" w:cs="Times New Roman"/>
        </w:rPr>
        <w:t>VOSviewer's</w:t>
      </w:r>
      <w:proofErr w:type="spellEnd"/>
      <w:r w:rsidRPr="00411EA9">
        <w:rPr>
          <w:rFonts w:ascii="Times New Roman" w:hAnsi="Times New Roman" w:cs="Times New Roman"/>
        </w:rPr>
        <w:t xml:space="preserve"> disambiguation features — to ensure accurate attribution of publications to individual researchers.</w:t>
      </w:r>
    </w:p>
    <w:p w14:paraId="6965C445" w14:textId="77777777" w:rsidR="00411EA9" w:rsidRPr="00411EA9" w:rsidRDefault="00411EA9" w:rsidP="00411EA9">
      <w:pPr>
        <w:spacing w:line="480" w:lineRule="auto"/>
        <w:jc w:val="both"/>
        <w:rPr>
          <w:rFonts w:ascii="Times New Roman" w:hAnsi="Times New Roman" w:cs="Times New Roman"/>
        </w:rPr>
      </w:pPr>
    </w:p>
    <w:p w14:paraId="00277DB6" w14:textId="099BA427" w:rsidR="00411EA9" w:rsidRPr="00411EA9" w:rsidRDefault="00411EA9" w:rsidP="00411EA9">
      <w:pPr>
        <w:spacing w:line="480" w:lineRule="auto"/>
        <w:jc w:val="both"/>
        <w:rPr>
          <w:rFonts w:ascii="Times New Roman" w:hAnsi="Times New Roman" w:cs="Times New Roman"/>
        </w:rPr>
      </w:pPr>
      <w:r w:rsidRPr="00411EA9">
        <w:rPr>
          <w:rFonts w:ascii="Times New Roman" w:hAnsi="Times New Roman" w:cs="Times New Roman"/>
        </w:rPr>
        <w:t>4.4 Include qualitative thematic analysis alongside quantitative bibliometrics.</w:t>
      </w:r>
    </w:p>
    <w:p w14:paraId="1D4CD910" w14:textId="060E5F26" w:rsidR="00411EA9" w:rsidRDefault="00411EA9" w:rsidP="00411EA9">
      <w:pPr>
        <w:spacing w:line="480" w:lineRule="auto"/>
        <w:ind w:firstLine="720"/>
        <w:jc w:val="both"/>
        <w:rPr>
          <w:rFonts w:ascii="Times New Roman" w:hAnsi="Times New Roman" w:cs="Times New Roman"/>
        </w:rPr>
      </w:pPr>
      <w:r w:rsidRPr="00411EA9">
        <w:rPr>
          <w:rFonts w:ascii="Times New Roman" w:hAnsi="Times New Roman" w:cs="Times New Roman"/>
        </w:rPr>
        <w:t>This study demonstrated the value of combining quantitative bibliometric performance analysis with qualitative thematic analysis to provide a more complete picture of the field. Future bibliometric studies are encouraged to adopt mixed-methods approaches that triangulate quantitative network data with qualitative content analysis of high-impact publications, editorials, and policy documents to deepen the interpretive value of findings.</w:t>
      </w:r>
    </w:p>
    <w:p w14:paraId="48E322CF" w14:textId="77777777" w:rsidR="00411EA9" w:rsidRDefault="00411EA9" w:rsidP="00411EA9">
      <w:pPr>
        <w:spacing w:line="480" w:lineRule="auto"/>
        <w:jc w:val="both"/>
        <w:rPr>
          <w:rFonts w:ascii="Times New Roman" w:hAnsi="Times New Roman" w:cs="Times New Roman"/>
        </w:rPr>
      </w:pPr>
    </w:p>
    <w:p w14:paraId="44E42DAD" w14:textId="77777777" w:rsidR="00411EA9" w:rsidRDefault="00411EA9" w:rsidP="00411EA9">
      <w:pPr>
        <w:spacing w:line="480" w:lineRule="auto"/>
        <w:jc w:val="both"/>
        <w:rPr>
          <w:rFonts w:ascii="Times New Roman" w:hAnsi="Times New Roman" w:cs="Times New Roman"/>
        </w:rPr>
      </w:pPr>
    </w:p>
    <w:p w14:paraId="59A54D3D" w14:textId="77777777" w:rsidR="00411EA9" w:rsidRDefault="00411EA9" w:rsidP="00411EA9">
      <w:pPr>
        <w:spacing w:line="480" w:lineRule="auto"/>
        <w:jc w:val="both"/>
        <w:rPr>
          <w:rFonts w:ascii="Times New Roman" w:hAnsi="Times New Roman" w:cs="Times New Roman"/>
        </w:rPr>
      </w:pPr>
    </w:p>
    <w:p w14:paraId="149A4110" w14:textId="77777777" w:rsidR="00411EA9" w:rsidRDefault="00411EA9" w:rsidP="00411EA9">
      <w:pPr>
        <w:spacing w:line="480" w:lineRule="auto"/>
        <w:jc w:val="both"/>
        <w:rPr>
          <w:rFonts w:ascii="Times New Roman" w:hAnsi="Times New Roman" w:cs="Times New Roman"/>
        </w:rPr>
      </w:pPr>
    </w:p>
    <w:p w14:paraId="3C7DB9E2" w14:textId="77777777" w:rsidR="00411EA9" w:rsidRDefault="00411EA9" w:rsidP="00411EA9">
      <w:pPr>
        <w:spacing w:line="480" w:lineRule="auto"/>
        <w:jc w:val="both"/>
        <w:rPr>
          <w:rFonts w:ascii="Times New Roman" w:hAnsi="Times New Roman" w:cs="Times New Roman"/>
        </w:rPr>
      </w:pPr>
    </w:p>
    <w:p w14:paraId="3E854EEB" w14:textId="77777777" w:rsidR="00411EA9" w:rsidRDefault="00411EA9" w:rsidP="00411EA9">
      <w:pPr>
        <w:spacing w:line="480" w:lineRule="auto"/>
        <w:jc w:val="both"/>
        <w:rPr>
          <w:rFonts w:ascii="Times New Roman" w:hAnsi="Times New Roman" w:cs="Times New Roman"/>
        </w:rPr>
      </w:pPr>
    </w:p>
    <w:p w14:paraId="4F3AAC58" w14:textId="77777777" w:rsidR="00411EA9" w:rsidRDefault="00411EA9" w:rsidP="00411EA9">
      <w:pPr>
        <w:spacing w:line="480" w:lineRule="auto"/>
        <w:jc w:val="both"/>
        <w:rPr>
          <w:rFonts w:ascii="Times New Roman" w:hAnsi="Times New Roman" w:cs="Times New Roman"/>
        </w:rPr>
      </w:pPr>
    </w:p>
    <w:p w14:paraId="2AD629F1" w14:textId="77777777" w:rsidR="00411EA9" w:rsidRDefault="00411EA9" w:rsidP="00411EA9">
      <w:pPr>
        <w:spacing w:line="480" w:lineRule="auto"/>
        <w:jc w:val="both"/>
        <w:rPr>
          <w:rFonts w:ascii="Times New Roman" w:hAnsi="Times New Roman" w:cs="Times New Roman"/>
        </w:rPr>
      </w:pPr>
    </w:p>
    <w:p w14:paraId="144B8D67" w14:textId="77777777" w:rsidR="00411EA9" w:rsidRDefault="00411EA9" w:rsidP="00411EA9">
      <w:pPr>
        <w:spacing w:line="480" w:lineRule="auto"/>
        <w:jc w:val="both"/>
        <w:rPr>
          <w:rFonts w:ascii="Times New Roman" w:hAnsi="Times New Roman" w:cs="Times New Roman"/>
        </w:rPr>
      </w:pPr>
    </w:p>
    <w:p w14:paraId="0B73AB24" w14:textId="77777777" w:rsidR="00411EA9" w:rsidRDefault="00411EA9" w:rsidP="00411EA9">
      <w:pPr>
        <w:spacing w:line="480" w:lineRule="auto"/>
        <w:jc w:val="both"/>
        <w:rPr>
          <w:rFonts w:ascii="Times New Roman" w:hAnsi="Times New Roman" w:cs="Times New Roman"/>
        </w:rPr>
      </w:pPr>
    </w:p>
    <w:p w14:paraId="6DDEDD45" w14:textId="77777777" w:rsidR="00332367" w:rsidRDefault="00332367" w:rsidP="00411EA9">
      <w:pPr>
        <w:spacing w:line="480" w:lineRule="auto"/>
        <w:jc w:val="both"/>
        <w:rPr>
          <w:rFonts w:ascii="Times New Roman" w:hAnsi="Times New Roman" w:cs="Times New Roman"/>
        </w:rPr>
      </w:pPr>
    </w:p>
    <w:p w14:paraId="190ACF8A" w14:textId="77777777" w:rsidR="00332367" w:rsidRDefault="00332367" w:rsidP="00411EA9">
      <w:pPr>
        <w:spacing w:line="480" w:lineRule="auto"/>
        <w:jc w:val="both"/>
        <w:rPr>
          <w:rFonts w:ascii="Times New Roman" w:hAnsi="Times New Roman" w:cs="Times New Roman"/>
        </w:rPr>
      </w:pPr>
    </w:p>
    <w:p w14:paraId="0452644C" w14:textId="77777777" w:rsidR="00332367" w:rsidRDefault="00332367" w:rsidP="00411EA9">
      <w:pPr>
        <w:spacing w:line="480" w:lineRule="auto"/>
        <w:jc w:val="both"/>
        <w:rPr>
          <w:rFonts w:ascii="Times New Roman" w:hAnsi="Times New Roman" w:cs="Times New Roman"/>
        </w:rPr>
      </w:pPr>
    </w:p>
    <w:p w14:paraId="1EF31323" w14:textId="77777777" w:rsidR="00332367" w:rsidRDefault="00332367" w:rsidP="00332367">
      <w:pPr>
        <w:spacing w:line="480" w:lineRule="auto"/>
        <w:jc w:val="both"/>
        <w:rPr>
          <w:rFonts w:ascii="Times New Roman" w:hAnsi="Times New Roman" w:cs="Times New Roman"/>
          <w:b/>
          <w:bCs/>
        </w:rPr>
      </w:pPr>
      <w:r w:rsidRPr="00332367">
        <w:rPr>
          <w:rFonts w:ascii="Times New Roman" w:hAnsi="Times New Roman" w:cs="Times New Roman"/>
          <w:b/>
          <w:bCs/>
        </w:rPr>
        <w:t>Reference</w:t>
      </w:r>
      <w:r>
        <w:rPr>
          <w:rFonts w:ascii="Times New Roman" w:hAnsi="Times New Roman" w:cs="Times New Roman"/>
          <w:b/>
          <w:bCs/>
        </w:rPr>
        <w:t>s</w:t>
      </w:r>
    </w:p>
    <w:p w14:paraId="0360E46C" w14:textId="7ADD82E2" w:rsidR="00332367" w:rsidRPr="00332367" w:rsidRDefault="00332367" w:rsidP="00332367">
      <w:pPr>
        <w:spacing w:line="480" w:lineRule="auto"/>
        <w:jc w:val="both"/>
        <w:rPr>
          <w:rFonts w:ascii="Times New Roman" w:hAnsi="Times New Roman" w:cs="Times New Roman"/>
          <w:b/>
          <w:bCs/>
        </w:rPr>
      </w:pPr>
      <w:r w:rsidRPr="00332367">
        <w:rPr>
          <w:rFonts w:ascii="Times New Roman" w:eastAsia="Times New Roman" w:hAnsi="Times New Roman" w:cs="Times New Roman"/>
          <w:color w:val="000000"/>
          <w:kern w:val="0"/>
          <w14:ligatures w14:val="none"/>
        </w:rPr>
        <w:t xml:space="preserve">Alqahtani, F., </w:t>
      </w:r>
      <w:proofErr w:type="spellStart"/>
      <w:r w:rsidRPr="00332367">
        <w:rPr>
          <w:rFonts w:ascii="Times New Roman" w:eastAsia="Times New Roman" w:hAnsi="Times New Roman" w:cs="Times New Roman"/>
          <w:color w:val="000000"/>
          <w:kern w:val="0"/>
          <w14:ligatures w14:val="none"/>
        </w:rPr>
        <w:t>Menachery</w:t>
      </w:r>
      <w:proofErr w:type="spellEnd"/>
      <w:r w:rsidRPr="00332367">
        <w:rPr>
          <w:rFonts w:ascii="Times New Roman" w:eastAsia="Times New Roman" w:hAnsi="Times New Roman" w:cs="Times New Roman"/>
          <w:color w:val="000000"/>
          <w:kern w:val="0"/>
          <w14:ligatures w14:val="none"/>
        </w:rPr>
        <w:t xml:space="preserve">, S., &amp; </w:t>
      </w:r>
      <w:proofErr w:type="spellStart"/>
      <w:r w:rsidRPr="00332367">
        <w:rPr>
          <w:rFonts w:ascii="Times New Roman" w:eastAsia="Times New Roman" w:hAnsi="Times New Roman" w:cs="Times New Roman"/>
          <w:color w:val="000000"/>
          <w:kern w:val="0"/>
          <w14:ligatures w14:val="none"/>
        </w:rPr>
        <w:t>Alahmari</w:t>
      </w:r>
      <w:proofErr w:type="spellEnd"/>
      <w:r w:rsidRPr="00332367">
        <w:rPr>
          <w:rFonts w:ascii="Times New Roman" w:eastAsia="Times New Roman" w:hAnsi="Times New Roman" w:cs="Times New Roman"/>
          <w:color w:val="000000"/>
          <w:kern w:val="0"/>
          <w14:ligatures w14:val="none"/>
        </w:rPr>
        <w:t>, A. (2025). Artificial intelligence in clinical pharmacy — A systematic review of applications, benefits, and challenges. </w:t>
      </w:r>
      <w:r w:rsidRPr="00332367">
        <w:rPr>
          <w:rFonts w:ascii="Times New Roman" w:eastAsia="Times New Roman" w:hAnsi="Times New Roman" w:cs="Times New Roman"/>
          <w:i/>
          <w:iCs/>
          <w:color w:val="000000"/>
          <w:kern w:val="0"/>
          <w14:ligatures w14:val="none"/>
        </w:rPr>
        <w:t>Journal of Clinical Pharmacy and Therapeutics</w:t>
      </w:r>
      <w:r w:rsidRPr="00332367">
        <w:rPr>
          <w:rFonts w:ascii="Times New Roman" w:eastAsia="Times New Roman" w:hAnsi="Times New Roman" w:cs="Times New Roman"/>
          <w:color w:val="000000"/>
          <w:kern w:val="0"/>
          <w14:ligatures w14:val="none"/>
        </w:rPr>
        <w:t>. </w:t>
      </w:r>
      <w:hyperlink r:id="rId6" w:tgtFrame="_blank" w:history="1">
        <w:r w:rsidRPr="00332367">
          <w:rPr>
            <w:rFonts w:ascii="Times New Roman" w:eastAsia="Times New Roman" w:hAnsi="Times New Roman" w:cs="Times New Roman"/>
            <w:color w:val="0000FF"/>
            <w:kern w:val="0"/>
            <w:u w:val="single"/>
            <w14:ligatures w14:val="none"/>
          </w:rPr>
          <w:t>https://doi.org/10.1111/jcpt.14104</w:t>
        </w:r>
      </w:hyperlink>
      <w:r w:rsidRPr="00332367">
        <w:rPr>
          <w:rFonts w:ascii="Times New Roman" w:eastAsia="Times New Roman" w:hAnsi="Times New Roman" w:cs="Times New Roman"/>
          <w:color w:val="000000"/>
          <w:kern w:val="0"/>
          <w14:ligatures w14:val="none"/>
        </w:rPr>
        <w:t>pmc.ncbi.nlm.nih+1</w:t>
      </w:r>
    </w:p>
    <w:p w14:paraId="3727B2D1"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 xml:space="preserve">Aria, M., &amp; Cuccurullo, C. (2017). </w:t>
      </w:r>
      <w:proofErr w:type="spellStart"/>
      <w:r w:rsidRPr="00332367">
        <w:rPr>
          <w:rFonts w:ascii="Times New Roman" w:eastAsia="Times New Roman" w:hAnsi="Times New Roman" w:cs="Times New Roman"/>
          <w:color w:val="000000"/>
          <w:kern w:val="0"/>
          <w14:ligatures w14:val="none"/>
        </w:rPr>
        <w:t>bibliometrix</w:t>
      </w:r>
      <w:proofErr w:type="spellEnd"/>
      <w:r w:rsidRPr="00332367">
        <w:rPr>
          <w:rFonts w:ascii="Times New Roman" w:eastAsia="Times New Roman" w:hAnsi="Times New Roman" w:cs="Times New Roman"/>
          <w:color w:val="000000"/>
          <w:kern w:val="0"/>
          <w14:ligatures w14:val="none"/>
        </w:rPr>
        <w:t>: An R-tool for comprehensive science mapping analysis. </w:t>
      </w:r>
      <w:r w:rsidRPr="00332367">
        <w:rPr>
          <w:rFonts w:ascii="Times New Roman" w:eastAsia="Times New Roman" w:hAnsi="Times New Roman" w:cs="Times New Roman"/>
          <w:i/>
          <w:iCs/>
          <w:color w:val="000000"/>
          <w:kern w:val="0"/>
          <w14:ligatures w14:val="none"/>
        </w:rPr>
        <w:t xml:space="preserve">Journal of </w:t>
      </w:r>
      <w:proofErr w:type="spellStart"/>
      <w:r w:rsidRPr="00332367">
        <w:rPr>
          <w:rFonts w:ascii="Times New Roman" w:eastAsia="Times New Roman" w:hAnsi="Times New Roman" w:cs="Times New Roman"/>
          <w:i/>
          <w:iCs/>
          <w:color w:val="000000"/>
          <w:kern w:val="0"/>
          <w14:ligatures w14:val="none"/>
        </w:rPr>
        <w:t>Informetrics</w:t>
      </w:r>
      <w:proofErr w:type="spellEnd"/>
      <w:r w:rsidRPr="00332367">
        <w:rPr>
          <w:rFonts w:ascii="Times New Roman" w:eastAsia="Times New Roman" w:hAnsi="Times New Roman" w:cs="Times New Roman"/>
          <w:i/>
          <w:iCs/>
          <w:color w:val="000000"/>
          <w:kern w:val="0"/>
          <w14:ligatures w14:val="none"/>
        </w:rPr>
        <w:t>, 11</w:t>
      </w:r>
      <w:r w:rsidRPr="00332367">
        <w:rPr>
          <w:rFonts w:ascii="Times New Roman" w:eastAsia="Times New Roman" w:hAnsi="Times New Roman" w:cs="Times New Roman"/>
          <w:color w:val="000000"/>
          <w:kern w:val="0"/>
          <w14:ligatures w14:val="none"/>
        </w:rPr>
        <w:t>(4), 959–975. </w:t>
      </w:r>
      <w:hyperlink r:id="rId7" w:tgtFrame="_blank" w:history="1">
        <w:r w:rsidRPr="00332367">
          <w:rPr>
            <w:rFonts w:ascii="Times New Roman" w:eastAsia="Times New Roman" w:hAnsi="Times New Roman" w:cs="Times New Roman"/>
            <w:color w:val="0000FF"/>
            <w:kern w:val="0"/>
            <w:u w:val="single"/>
            <w14:ligatures w14:val="none"/>
          </w:rPr>
          <w:t>https://doi.org/10.1016/j.joi.2017.08.007</w:t>
        </w:r>
      </w:hyperlink>
      <w:r w:rsidRPr="00332367">
        <w:rPr>
          <w:rFonts w:ascii="Times New Roman" w:eastAsia="Times New Roman" w:hAnsi="Times New Roman" w:cs="Times New Roman"/>
          <w:color w:val="000000"/>
          <w:kern w:val="0"/>
          <w14:ligatures w14:val="none"/>
        </w:rPr>
        <w:t>[</w:t>
      </w:r>
      <w:hyperlink r:id="rId8" w:history="1">
        <w:r w:rsidRPr="00332367">
          <w:rPr>
            <w:rFonts w:ascii="Times New Roman" w:eastAsia="Times New Roman" w:hAnsi="Times New Roman" w:cs="Times New Roman"/>
            <w:color w:val="0000FF"/>
            <w:kern w:val="0"/>
            <w:u w:val="single"/>
            <w14:ligatures w14:val="none"/>
          </w:rPr>
          <w:t>ideas.repec</w:t>
        </w:r>
      </w:hyperlink>
      <w:r w:rsidRPr="00332367">
        <w:rPr>
          <w:rFonts w:ascii="Times New Roman" w:eastAsia="Times New Roman" w:hAnsi="Times New Roman" w:cs="Times New Roman"/>
          <w:color w:val="000000"/>
          <w:kern w:val="0"/>
          <w14:ligatures w14:val="none"/>
        </w:rPr>
        <w:t>]​</w:t>
      </w:r>
    </w:p>
    <w:p w14:paraId="0903BC85"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 xml:space="preserve">Baas, J., </w:t>
      </w:r>
      <w:proofErr w:type="spellStart"/>
      <w:r w:rsidRPr="00332367">
        <w:rPr>
          <w:rFonts w:ascii="Times New Roman" w:eastAsia="Times New Roman" w:hAnsi="Times New Roman" w:cs="Times New Roman"/>
          <w:color w:val="000000"/>
          <w:kern w:val="0"/>
          <w14:ligatures w14:val="none"/>
        </w:rPr>
        <w:t>Schotten</w:t>
      </w:r>
      <w:proofErr w:type="spellEnd"/>
      <w:r w:rsidRPr="00332367">
        <w:rPr>
          <w:rFonts w:ascii="Times New Roman" w:eastAsia="Times New Roman" w:hAnsi="Times New Roman" w:cs="Times New Roman"/>
          <w:color w:val="000000"/>
          <w:kern w:val="0"/>
          <w14:ligatures w14:val="none"/>
        </w:rPr>
        <w:t>, M., Plume, A., Côté, G., &amp; Karimi, R. (2020). Scopus as a curated, high-quality index of open access literature on COVID-19. </w:t>
      </w:r>
      <w:r w:rsidRPr="00332367">
        <w:rPr>
          <w:rFonts w:ascii="Times New Roman" w:eastAsia="Times New Roman" w:hAnsi="Times New Roman" w:cs="Times New Roman"/>
          <w:i/>
          <w:iCs/>
          <w:color w:val="000000"/>
          <w:kern w:val="0"/>
          <w14:ligatures w14:val="none"/>
        </w:rPr>
        <w:t xml:space="preserve">El </w:t>
      </w:r>
      <w:proofErr w:type="spellStart"/>
      <w:r w:rsidRPr="00332367">
        <w:rPr>
          <w:rFonts w:ascii="Times New Roman" w:eastAsia="Times New Roman" w:hAnsi="Times New Roman" w:cs="Times New Roman"/>
          <w:i/>
          <w:iCs/>
          <w:color w:val="000000"/>
          <w:kern w:val="0"/>
          <w14:ligatures w14:val="none"/>
        </w:rPr>
        <w:t>Profesional</w:t>
      </w:r>
      <w:proofErr w:type="spellEnd"/>
      <w:r w:rsidRPr="00332367">
        <w:rPr>
          <w:rFonts w:ascii="Times New Roman" w:eastAsia="Times New Roman" w:hAnsi="Times New Roman" w:cs="Times New Roman"/>
          <w:i/>
          <w:iCs/>
          <w:color w:val="000000"/>
          <w:kern w:val="0"/>
          <w14:ligatures w14:val="none"/>
        </w:rPr>
        <w:t xml:space="preserve"> de la </w:t>
      </w:r>
      <w:proofErr w:type="spellStart"/>
      <w:r w:rsidRPr="00332367">
        <w:rPr>
          <w:rFonts w:ascii="Times New Roman" w:eastAsia="Times New Roman" w:hAnsi="Times New Roman" w:cs="Times New Roman"/>
          <w:i/>
          <w:iCs/>
          <w:color w:val="000000"/>
          <w:kern w:val="0"/>
          <w14:ligatures w14:val="none"/>
        </w:rPr>
        <w:t>Información</w:t>
      </w:r>
      <w:proofErr w:type="spellEnd"/>
      <w:r w:rsidRPr="00332367">
        <w:rPr>
          <w:rFonts w:ascii="Times New Roman" w:eastAsia="Times New Roman" w:hAnsi="Times New Roman" w:cs="Times New Roman"/>
          <w:i/>
          <w:iCs/>
          <w:color w:val="000000"/>
          <w:kern w:val="0"/>
          <w14:ligatures w14:val="none"/>
        </w:rPr>
        <w:t>, 29</w:t>
      </w:r>
      <w:r w:rsidRPr="00332367">
        <w:rPr>
          <w:rFonts w:ascii="Times New Roman" w:eastAsia="Times New Roman" w:hAnsi="Times New Roman" w:cs="Times New Roman"/>
          <w:color w:val="000000"/>
          <w:kern w:val="0"/>
          <w14:ligatures w14:val="none"/>
        </w:rPr>
        <w:t>(2), e290203. </w:t>
      </w:r>
      <w:hyperlink r:id="rId9" w:tgtFrame="_blank" w:history="1">
        <w:r w:rsidRPr="00332367">
          <w:rPr>
            <w:rFonts w:ascii="Times New Roman" w:eastAsia="Times New Roman" w:hAnsi="Times New Roman" w:cs="Times New Roman"/>
            <w:color w:val="0000FF"/>
            <w:kern w:val="0"/>
            <w:u w:val="single"/>
            <w14:ligatures w14:val="none"/>
          </w:rPr>
          <w:t>https://doi.org/10.3145/epi.2020.mar.06</w:t>
        </w:r>
      </w:hyperlink>
      <w:r w:rsidRPr="00332367">
        <w:rPr>
          <w:rFonts w:ascii="Times New Roman" w:eastAsia="Times New Roman" w:hAnsi="Times New Roman" w:cs="Times New Roman"/>
          <w:color w:val="000000"/>
          <w:kern w:val="0"/>
          <w14:ligatures w14:val="none"/>
        </w:rPr>
        <w:t>[</w:t>
      </w:r>
      <w:hyperlink r:id="rId10" w:history="1">
        <w:r w:rsidRPr="00332367">
          <w:rPr>
            <w:rFonts w:ascii="Times New Roman" w:eastAsia="Times New Roman" w:hAnsi="Times New Roman" w:cs="Times New Roman"/>
            <w:color w:val="0000FF"/>
            <w:kern w:val="0"/>
            <w:u w:val="single"/>
            <w14:ligatures w14:val="none"/>
          </w:rPr>
          <w:t>pmc.ncbi.nlm.nih</w:t>
        </w:r>
      </w:hyperlink>
      <w:r w:rsidRPr="00332367">
        <w:rPr>
          <w:rFonts w:ascii="Times New Roman" w:eastAsia="Times New Roman" w:hAnsi="Times New Roman" w:cs="Times New Roman"/>
          <w:color w:val="000000"/>
          <w:kern w:val="0"/>
          <w14:ligatures w14:val="none"/>
        </w:rPr>
        <w:t>]​</w:t>
      </w:r>
    </w:p>
    <w:p w14:paraId="6F63DD75"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lastRenderedPageBreak/>
        <w:t>Bradford, S. C. (1934). Sources of information on specific subjects. </w:t>
      </w:r>
      <w:r w:rsidRPr="00332367">
        <w:rPr>
          <w:rFonts w:ascii="Times New Roman" w:eastAsia="Times New Roman" w:hAnsi="Times New Roman" w:cs="Times New Roman"/>
          <w:i/>
          <w:iCs/>
          <w:color w:val="000000"/>
          <w:kern w:val="0"/>
          <w14:ligatures w14:val="none"/>
        </w:rPr>
        <w:t>Engineering, 137</w:t>
      </w:r>
      <w:r w:rsidRPr="00332367">
        <w:rPr>
          <w:rFonts w:ascii="Times New Roman" w:eastAsia="Times New Roman" w:hAnsi="Times New Roman" w:cs="Times New Roman"/>
          <w:color w:val="000000"/>
          <w:kern w:val="0"/>
          <w14:ligatures w14:val="none"/>
        </w:rPr>
        <w:t>, 85–86</w:t>
      </w:r>
      <w:proofErr w:type="gramStart"/>
      <w:r w:rsidRPr="00332367">
        <w:rPr>
          <w:rFonts w:ascii="Times New Roman" w:eastAsia="Times New Roman" w:hAnsi="Times New Roman" w:cs="Times New Roman"/>
          <w:color w:val="000000"/>
          <w:kern w:val="0"/>
          <w14:ligatures w14:val="none"/>
        </w:rPr>
        <w:t>.[</w:t>
      </w:r>
      <w:proofErr w:type="spellStart"/>
      <w:proofErr w:type="gramEnd"/>
      <w:r w:rsidRPr="00332367">
        <w:rPr>
          <w:rFonts w:ascii="Times New Roman" w:eastAsia="Times New Roman" w:hAnsi="Times New Roman" w:cs="Times New Roman"/>
          <w:color w:val="000000"/>
          <w:kern w:val="0"/>
          <w14:ligatures w14:val="none"/>
        </w:rPr>
        <w:fldChar w:fldCharType="begin"/>
      </w:r>
      <w:r w:rsidRPr="00332367">
        <w:rPr>
          <w:rFonts w:ascii="Times New Roman" w:eastAsia="Times New Roman" w:hAnsi="Times New Roman" w:cs="Times New Roman"/>
          <w:color w:val="000000"/>
          <w:kern w:val="0"/>
          <w14:ligatures w14:val="none"/>
        </w:rPr>
        <w:instrText>HYPERLINK "https://historyofinformation.com/detail.php?id=614"</w:instrText>
      </w:r>
      <w:r w:rsidRPr="00332367">
        <w:rPr>
          <w:rFonts w:ascii="Times New Roman" w:eastAsia="Times New Roman" w:hAnsi="Times New Roman" w:cs="Times New Roman"/>
          <w:color w:val="000000"/>
          <w:kern w:val="0"/>
          <w14:ligatures w14:val="none"/>
        </w:rPr>
        <w:fldChar w:fldCharType="separate"/>
      </w:r>
      <w:r w:rsidRPr="00332367">
        <w:rPr>
          <w:rFonts w:ascii="Times New Roman" w:eastAsia="Times New Roman" w:hAnsi="Times New Roman" w:cs="Times New Roman"/>
          <w:color w:val="0000FF"/>
          <w:kern w:val="0"/>
          <w:u w:val="single"/>
          <w14:ligatures w14:val="none"/>
        </w:rPr>
        <w:t>historyofinformation</w:t>
      </w:r>
      <w:proofErr w:type="spellEnd"/>
      <w:r w:rsidRPr="00332367">
        <w:rPr>
          <w:rFonts w:ascii="Times New Roman" w:eastAsia="Times New Roman" w:hAnsi="Times New Roman" w:cs="Times New Roman"/>
          <w:color w:val="000000"/>
          <w:kern w:val="0"/>
          <w14:ligatures w14:val="none"/>
        </w:rPr>
        <w:fldChar w:fldCharType="end"/>
      </w:r>
      <w:r w:rsidRPr="00332367">
        <w:rPr>
          <w:rFonts w:ascii="Times New Roman" w:eastAsia="Times New Roman" w:hAnsi="Times New Roman" w:cs="Times New Roman"/>
          <w:color w:val="000000"/>
          <w:kern w:val="0"/>
          <w14:ligatures w14:val="none"/>
        </w:rPr>
        <w:t>]​</w:t>
      </w:r>
    </w:p>
    <w:p w14:paraId="6533B29C"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 xml:space="preserve">Callon, M., </w:t>
      </w:r>
      <w:proofErr w:type="spellStart"/>
      <w:r w:rsidRPr="00332367">
        <w:rPr>
          <w:rFonts w:ascii="Times New Roman" w:eastAsia="Times New Roman" w:hAnsi="Times New Roman" w:cs="Times New Roman"/>
          <w:color w:val="000000"/>
          <w:kern w:val="0"/>
          <w14:ligatures w14:val="none"/>
        </w:rPr>
        <w:t>Courtial</w:t>
      </w:r>
      <w:proofErr w:type="spellEnd"/>
      <w:r w:rsidRPr="00332367">
        <w:rPr>
          <w:rFonts w:ascii="Times New Roman" w:eastAsia="Times New Roman" w:hAnsi="Times New Roman" w:cs="Times New Roman"/>
          <w:color w:val="000000"/>
          <w:kern w:val="0"/>
          <w14:ligatures w14:val="none"/>
        </w:rPr>
        <w:t>, J. P., &amp; Laville, F. (1991). Co-word analysis as a tool for describing the network of interactions between basic and technological research: The case of polymer chemistry. </w:t>
      </w:r>
      <w:proofErr w:type="spellStart"/>
      <w:r w:rsidRPr="00332367">
        <w:rPr>
          <w:rFonts w:ascii="Times New Roman" w:eastAsia="Times New Roman" w:hAnsi="Times New Roman" w:cs="Times New Roman"/>
          <w:i/>
          <w:iCs/>
          <w:color w:val="000000"/>
          <w:kern w:val="0"/>
          <w14:ligatures w14:val="none"/>
        </w:rPr>
        <w:t>Scientometrics</w:t>
      </w:r>
      <w:proofErr w:type="spellEnd"/>
      <w:r w:rsidRPr="00332367">
        <w:rPr>
          <w:rFonts w:ascii="Times New Roman" w:eastAsia="Times New Roman" w:hAnsi="Times New Roman" w:cs="Times New Roman"/>
          <w:i/>
          <w:iCs/>
          <w:color w:val="000000"/>
          <w:kern w:val="0"/>
          <w14:ligatures w14:val="none"/>
        </w:rPr>
        <w:t>, 22</w:t>
      </w:r>
      <w:r w:rsidRPr="00332367">
        <w:rPr>
          <w:rFonts w:ascii="Times New Roman" w:eastAsia="Times New Roman" w:hAnsi="Times New Roman" w:cs="Times New Roman"/>
          <w:color w:val="000000"/>
          <w:kern w:val="0"/>
          <w14:ligatures w14:val="none"/>
        </w:rPr>
        <w:t>(1), 155–205. </w:t>
      </w:r>
      <w:hyperlink r:id="rId11" w:tgtFrame="_blank" w:history="1">
        <w:r w:rsidRPr="00332367">
          <w:rPr>
            <w:rFonts w:ascii="Times New Roman" w:eastAsia="Times New Roman" w:hAnsi="Times New Roman" w:cs="Times New Roman"/>
            <w:color w:val="0000FF"/>
            <w:kern w:val="0"/>
            <w:u w:val="single"/>
            <w14:ligatures w14:val="none"/>
          </w:rPr>
          <w:t>https://doi.org/10.1007/BF02019280</w:t>
        </w:r>
      </w:hyperlink>
      <w:r w:rsidRPr="00332367">
        <w:rPr>
          <w:rFonts w:ascii="Times New Roman" w:eastAsia="Times New Roman" w:hAnsi="Times New Roman" w:cs="Times New Roman"/>
          <w:color w:val="000000"/>
          <w:kern w:val="0"/>
          <w14:ligatures w14:val="none"/>
        </w:rPr>
        <w:t>ideals.illinois+1</w:t>
      </w:r>
    </w:p>
    <w:p w14:paraId="0B57F419"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proofErr w:type="spellStart"/>
      <w:r w:rsidRPr="00332367">
        <w:rPr>
          <w:rFonts w:ascii="Times New Roman" w:eastAsia="Times New Roman" w:hAnsi="Times New Roman" w:cs="Times New Roman"/>
          <w:color w:val="000000"/>
          <w:kern w:val="0"/>
          <w14:ligatures w14:val="none"/>
        </w:rPr>
        <w:t>Catalá-López</w:t>
      </w:r>
      <w:proofErr w:type="spellEnd"/>
      <w:r w:rsidRPr="00332367">
        <w:rPr>
          <w:rFonts w:ascii="Times New Roman" w:eastAsia="Times New Roman" w:hAnsi="Times New Roman" w:cs="Times New Roman"/>
          <w:color w:val="000000"/>
          <w:kern w:val="0"/>
          <w14:ligatures w14:val="none"/>
        </w:rPr>
        <w:t>, F., Alonso-Arroyo, A., Hutton, B., Aleixandre-</w:t>
      </w:r>
      <w:proofErr w:type="spellStart"/>
      <w:r w:rsidRPr="00332367">
        <w:rPr>
          <w:rFonts w:ascii="Times New Roman" w:eastAsia="Times New Roman" w:hAnsi="Times New Roman" w:cs="Times New Roman"/>
          <w:color w:val="000000"/>
          <w:kern w:val="0"/>
          <w14:ligatures w14:val="none"/>
        </w:rPr>
        <w:t>Benavent</w:t>
      </w:r>
      <w:proofErr w:type="spellEnd"/>
      <w:r w:rsidRPr="00332367">
        <w:rPr>
          <w:rFonts w:ascii="Times New Roman" w:eastAsia="Times New Roman" w:hAnsi="Times New Roman" w:cs="Times New Roman"/>
          <w:color w:val="000000"/>
          <w:kern w:val="0"/>
          <w14:ligatures w14:val="none"/>
        </w:rPr>
        <w:t>, R., &amp; Moher, D. (2023). Preliminary guideline for reporting bibliometric reviews of the biomedical literature (BIBLIO). </w:t>
      </w:r>
      <w:r w:rsidRPr="00332367">
        <w:rPr>
          <w:rFonts w:ascii="Times New Roman" w:eastAsia="Times New Roman" w:hAnsi="Times New Roman" w:cs="Times New Roman"/>
          <w:i/>
          <w:iCs/>
          <w:color w:val="000000"/>
          <w:kern w:val="0"/>
          <w14:ligatures w14:val="none"/>
        </w:rPr>
        <w:t>Journal of Clinical Epidemiology, 160</w:t>
      </w:r>
      <w:r w:rsidRPr="00332367">
        <w:rPr>
          <w:rFonts w:ascii="Times New Roman" w:eastAsia="Times New Roman" w:hAnsi="Times New Roman" w:cs="Times New Roman"/>
          <w:color w:val="000000"/>
          <w:kern w:val="0"/>
          <w14:ligatures w14:val="none"/>
        </w:rPr>
        <w:t>, 1–12. </w:t>
      </w:r>
      <w:hyperlink r:id="rId12" w:tgtFrame="_blank" w:history="1">
        <w:r w:rsidRPr="00332367">
          <w:rPr>
            <w:rFonts w:ascii="Times New Roman" w:eastAsia="Times New Roman" w:hAnsi="Times New Roman" w:cs="Times New Roman"/>
            <w:color w:val="0000FF"/>
            <w:kern w:val="0"/>
            <w:u w:val="single"/>
            <w14:ligatures w14:val="none"/>
          </w:rPr>
          <w:t>https://doi.org/10.1016/j.jclinepi.2023.07.011</w:t>
        </w:r>
      </w:hyperlink>
      <w:r w:rsidRPr="00332367">
        <w:rPr>
          <w:rFonts w:ascii="Times New Roman" w:eastAsia="Times New Roman" w:hAnsi="Times New Roman" w:cs="Times New Roman"/>
          <w:color w:val="000000"/>
          <w:kern w:val="0"/>
          <w14:ligatures w14:val="none"/>
        </w:rPr>
        <w:t>pmc.ncbi.nlm.nih+1</w:t>
      </w:r>
    </w:p>
    <w:p w14:paraId="483C2C5D"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Cobo, M. J., López-Herrera, A. G., Herrera-</w:t>
      </w:r>
      <w:proofErr w:type="spellStart"/>
      <w:r w:rsidRPr="00332367">
        <w:rPr>
          <w:rFonts w:ascii="Times New Roman" w:eastAsia="Times New Roman" w:hAnsi="Times New Roman" w:cs="Times New Roman"/>
          <w:color w:val="000000"/>
          <w:kern w:val="0"/>
          <w14:ligatures w14:val="none"/>
        </w:rPr>
        <w:t>Viedma</w:t>
      </w:r>
      <w:proofErr w:type="spellEnd"/>
      <w:r w:rsidRPr="00332367">
        <w:rPr>
          <w:rFonts w:ascii="Times New Roman" w:eastAsia="Times New Roman" w:hAnsi="Times New Roman" w:cs="Times New Roman"/>
          <w:color w:val="000000"/>
          <w:kern w:val="0"/>
          <w14:ligatures w14:val="none"/>
        </w:rPr>
        <w:t>, E., &amp; Herrera, F. (2011). Science mapping software tools: Review, analysis, and cooperative study among tools. </w:t>
      </w:r>
      <w:r w:rsidRPr="00332367">
        <w:rPr>
          <w:rFonts w:ascii="Times New Roman" w:eastAsia="Times New Roman" w:hAnsi="Times New Roman" w:cs="Times New Roman"/>
          <w:i/>
          <w:iCs/>
          <w:color w:val="000000"/>
          <w:kern w:val="0"/>
          <w14:ligatures w14:val="none"/>
        </w:rPr>
        <w:t>Journal of the American Society for Information Science and Technology, 62</w:t>
      </w:r>
      <w:r w:rsidRPr="00332367">
        <w:rPr>
          <w:rFonts w:ascii="Times New Roman" w:eastAsia="Times New Roman" w:hAnsi="Times New Roman" w:cs="Times New Roman"/>
          <w:color w:val="000000"/>
          <w:kern w:val="0"/>
          <w14:ligatures w14:val="none"/>
        </w:rPr>
        <w:t>(7), 1382–1402. </w:t>
      </w:r>
      <w:hyperlink r:id="rId13" w:tgtFrame="_blank" w:history="1">
        <w:r w:rsidRPr="00332367">
          <w:rPr>
            <w:rFonts w:ascii="Times New Roman" w:eastAsia="Times New Roman" w:hAnsi="Times New Roman" w:cs="Times New Roman"/>
            <w:color w:val="0000FF"/>
            <w:kern w:val="0"/>
            <w:u w:val="single"/>
            <w14:ligatures w14:val="none"/>
          </w:rPr>
          <w:t>https://doi.org/10.1002/asi.21525</w:t>
        </w:r>
      </w:hyperlink>
      <w:r w:rsidRPr="00332367">
        <w:rPr>
          <w:rFonts w:ascii="Times New Roman" w:eastAsia="Times New Roman" w:hAnsi="Times New Roman" w:cs="Times New Roman"/>
          <w:color w:val="000000"/>
          <w:kern w:val="0"/>
          <w14:ligatures w14:val="none"/>
        </w:rPr>
        <w:t>ideas.repec+1</w:t>
      </w:r>
    </w:p>
    <w:p w14:paraId="477EB7FD"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proofErr w:type="spellStart"/>
      <w:r w:rsidRPr="00332367">
        <w:rPr>
          <w:rFonts w:ascii="Times New Roman" w:eastAsia="Times New Roman" w:hAnsi="Times New Roman" w:cs="Times New Roman"/>
          <w:color w:val="000000"/>
          <w:kern w:val="0"/>
          <w14:ligatures w14:val="none"/>
        </w:rPr>
        <w:t>Dirjayanto</w:t>
      </w:r>
      <w:proofErr w:type="spellEnd"/>
      <w:r w:rsidRPr="00332367">
        <w:rPr>
          <w:rFonts w:ascii="Times New Roman" w:eastAsia="Times New Roman" w:hAnsi="Times New Roman" w:cs="Times New Roman"/>
          <w:color w:val="000000"/>
          <w:kern w:val="0"/>
          <w14:ligatures w14:val="none"/>
        </w:rPr>
        <w:t xml:space="preserve">, V. J., Lazarus, G., Geraldine, P., Dyson, N. G., </w:t>
      </w:r>
      <w:proofErr w:type="spellStart"/>
      <w:r w:rsidRPr="00332367">
        <w:rPr>
          <w:rFonts w:ascii="Times New Roman" w:eastAsia="Times New Roman" w:hAnsi="Times New Roman" w:cs="Times New Roman"/>
          <w:color w:val="000000"/>
          <w:kern w:val="0"/>
          <w14:ligatures w14:val="none"/>
        </w:rPr>
        <w:t>Triastari</w:t>
      </w:r>
      <w:proofErr w:type="spellEnd"/>
      <w:r w:rsidRPr="00332367">
        <w:rPr>
          <w:rFonts w:ascii="Times New Roman" w:eastAsia="Times New Roman" w:hAnsi="Times New Roman" w:cs="Times New Roman"/>
          <w:color w:val="000000"/>
          <w:kern w:val="0"/>
          <w14:ligatures w14:val="none"/>
        </w:rPr>
        <w:t xml:space="preserve">, S. K., Anjani, J. V., Wisnu, N. K. P., </w:t>
      </w:r>
      <w:proofErr w:type="spellStart"/>
      <w:r w:rsidRPr="00332367">
        <w:rPr>
          <w:rFonts w:ascii="Times New Roman" w:eastAsia="Times New Roman" w:hAnsi="Times New Roman" w:cs="Times New Roman"/>
          <w:color w:val="000000"/>
          <w:kern w:val="0"/>
          <w14:ligatures w14:val="none"/>
        </w:rPr>
        <w:t>Sugiharta</w:t>
      </w:r>
      <w:proofErr w:type="spellEnd"/>
      <w:r w:rsidRPr="00332367">
        <w:rPr>
          <w:rFonts w:ascii="Times New Roman" w:eastAsia="Times New Roman" w:hAnsi="Times New Roman" w:cs="Times New Roman"/>
          <w:color w:val="000000"/>
          <w:kern w:val="0"/>
          <w14:ligatures w14:val="none"/>
        </w:rPr>
        <w:t>, A. J., &amp; Ariel, A. (2025). Telemedicine interventions for improving antibiotic use: A systematic review and meta-analysis. </w:t>
      </w:r>
      <w:r w:rsidRPr="00332367">
        <w:rPr>
          <w:rFonts w:ascii="Times New Roman" w:eastAsia="Times New Roman" w:hAnsi="Times New Roman" w:cs="Times New Roman"/>
          <w:i/>
          <w:iCs/>
          <w:color w:val="000000"/>
          <w:kern w:val="0"/>
          <w14:ligatures w14:val="none"/>
        </w:rPr>
        <w:t>PLOS ONE.</w:t>
      </w:r>
      <w:r w:rsidRPr="00332367">
        <w:rPr>
          <w:rFonts w:ascii="Times New Roman" w:eastAsia="Times New Roman" w:hAnsi="Times New Roman" w:cs="Times New Roman"/>
          <w:color w:val="000000"/>
          <w:kern w:val="0"/>
          <w14:ligatures w14:val="none"/>
        </w:rPr>
        <w:t> </w:t>
      </w:r>
      <w:hyperlink r:id="rId14" w:tgtFrame="_blank" w:history="1">
        <w:r w:rsidRPr="00332367">
          <w:rPr>
            <w:rFonts w:ascii="Times New Roman" w:eastAsia="Times New Roman" w:hAnsi="Times New Roman" w:cs="Times New Roman"/>
            <w:color w:val="0000FF"/>
            <w:kern w:val="0"/>
            <w:u w:val="single"/>
            <w14:ligatures w14:val="none"/>
          </w:rPr>
          <w:t>https://doi.org/10.1371/journal.pone.0320840</w:t>
        </w:r>
      </w:hyperlink>
      <w:r w:rsidRPr="00332367">
        <w:rPr>
          <w:rFonts w:ascii="Times New Roman" w:eastAsia="Times New Roman" w:hAnsi="Times New Roman" w:cs="Times New Roman"/>
          <w:color w:val="000000"/>
          <w:kern w:val="0"/>
          <w14:ligatures w14:val="none"/>
        </w:rPr>
        <w:t>journals.plos+1</w:t>
      </w:r>
    </w:p>
    <w:p w14:paraId="63653455"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proofErr w:type="spellStart"/>
      <w:r w:rsidRPr="00332367">
        <w:rPr>
          <w:rFonts w:ascii="Times New Roman" w:eastAsia="Times New Roman" w:hAnsi="Times New Roman" w:cs="Times New Roman"/>
          <w:color w:val="000000"/>
          <w:kern w:val="0"/>
          <w14:ligatures w14:val="none"/>
        </w:rPr>
        <w:t>Donthu</w:t>
      </w:r>
      <w:proofErr w:type="spellEnd"/>
      <w:r w:rsidRPr="00332367">
        <w:rPr>
          <w:rFonts w:ascii="Times New Roman" w:eastAsia="Times New Roman" w:hAnsi="Times New Roman" w:cs="Times New Roman"/>
          <w:color w:val="000000"/>
          <w:kern w:val="0"/>
          <w14:ligatures w14:val="none"/>
        </w:rPr>
        <w:t>, N., Kumar, S., Mukherjee, D., Pandey, N., &amp; Lim, W. M. (2021). How to conduct a bibliometric analysis: An overview and guidelines. </w:t>
      </w:r>
      <w:r w:rsidRPr="00332367">
        <w:rPr>
          <w:rFonts w:ascii="Times New Roman" w:eastAsia="Times New Roman" w:hAnsi="Times New Roman" w:cs="Times New Roman"/>
          <w:i/>
          <w:iCs/>
          <w:color w:val="000000"/>
          <w:kern w:val="0"/>
          <w14:ligatures w14:val="none"/>
        </w:rPr>
        <w:t>Journal of Business Research, 133</w:t>
      </w:r>
      <w:r w:rsidRPr="00332367">
        <w:rPr>
          <w:rFonts w:ascii="Times New Roman" w:eastAsia="Times New Roman" w:hAnsi="Times New Roman" w:cs="Times New Roman"/>
          <w:color w:val="000000"/>
          <w:kern w:val="0"/>
          <w14:ligatures w14:val="none"/>
        </w:rPr>
        <w:t>, 285–296. </w:t>
      </w:r>
      <w:hyperlink r:id="rId15" w:tgtFrame="_blank" w:history="1">
        <w:r w:rsidRPr="00332367">
          <w:rPr>
            <w:rFonts w:ascii="Times New Roman" w:eastAsia="Times New Roman" w:hAnsi="Times New Roman" w:cs="Times New Roman"/>
            <w:color w:val="0000FF"/>
            <w:kern w:val="0"/>
            <w:u w:val="single"/>
            <w14:ligatures w14:val="none"/>
          </w:rPr>
          <w:t>https://doi.org/10.1016/j.jbusres.2021.04.070</w:t>
        </w:r>
      </w:hyperlink>
      <w:r w:rsidRPr="00332367">
        <w:rPr>
          <w:rFonts w:ascii="Times New Roman" w:eastAsia="Times New Roman" w:hAnsi="Times New Roman" w:cs="Times New Roman"/>
          <w:color w:val="000000"/>
          <w:kern w:val="0"/>
          <w14:ligatures w14:val="none"/>
        </w:rPr>
        <w:t>ideas.repec+1</w:t>
      </w:r>
    </w:p>
    <w:p w14:paraId="3C958F66"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proofErr w:type="spellStart"/>
      <w:r w:rsidRPr="00332367">
        <w:rPr>
          <w:rFonts w:ascii="Times New Roman" w:eastAsia="Times New Roman" w:hAnsi="Times New Roman" w:cs="Times New Roman"/>
          <w:color w:val="000000"/>
          <w:kern w:val="0"/>
          <w14:ligatures w14:val="none"/>
        </w:rPr>
        <w:lastRenderedPageBreak/>
        <w:t>Hatzimanolis</w:t>
      </w:r>
      <w:proofErr w:type="spellEnd"/>
      <w:r w:rsidRPr="00332367">
        <w:rPr>
          <w:rFonts w:ascii="Times New Roman" w:eastAsia="Times New Roman" w:hAnsi="Times New Roman" w:cs="Times New Roman"/>
          <w:color w:val="000000"/>
          <w:kern w:val="0"/>
          <w14:ligatures w14:val="none"/>
        </w:rPr>
        <w:t xml:space="preserve">, G., </w:t>
      </w:r>
      <w:proofErr w:type="spellStart"/>
      <w:r w:rsidRPr="00332367">
        <w:rPr>
          <w:rFonts w:ascii="Times New Roman" w:eastAsia="Times New Roman" w:hAnsi="Times New Roman" w:cs="Times New Roman"/>
          <w:color w:val="000000"/>
          <w:kern w:val="0"/>
          <w14:ligatures w14:val="none"/>
        </w:rPr>
        <w:t>Almohaimeed</w:t>
      </w:r>
      <w:proofErr w:type="spellEnd"/>
      <w:r w:rsidRPr="00332367">
        <w:rPr>
          <w:rFonts w:ascii="Times New Roman" w:eastAsia="Times New Roman" w:hAnsi="Times New Roman" w:cs="Times New Roman"/>
          <w:color w:val="000000"/>
          <w:kern w:val="0"/>
          <w14:ligatures w14:val="none"/>
        </w:rPr>
        <w:t xml:space="preserve">, B., </w:t>
      </w:r>
      <w:proofErr w:type="spellStart"/>
      <w:r w:rsidRPr="00332367">
        <w:rPr>
          <w:rFonts w:ascii="Times New Roman" w:eastAsia="Times New Roman" w:hAnsi="Times New Roman" w:cs="Times New Roman"/>
          <w:color w:val="000000"/>
          <w:kern w:val="0"/>
          <w14:ligatures w14:val="none"/>
        </w:rPr>
        <w:t>Almohaimeed</w:t>
      </w:r>
      <w:proofErr w:type="spellEnd"/>
      <w:r w:rsidRPr="00332367">
        <w:rPr>
          <w:rFonts w:ascii="Times New Roman" w:eastAsia="Times New Roman" w:hAnsi="Times New Roman" w:cs="Times New Roman"/>
          <w:color w:val="000000"/>
          <w:kern w:val="0"/>
          <w14:ligatures w14:val="none"/>
        </w:rPr>
        <w:t>, A., &amp; Alqahtani, N. (2025). Applications of artificial intelligence in current pharmacy practice: A scoping review. </w:t>
      </w:r>
      <w:r w:rsidRPr="00332367">
        <w:rPr>
          <w:rFonts w:ascii="Times New Roman" w:eastAsia="Times New Roman" w:hAnsi="Times New Roman" w:cs="Times New Roman"/>
          <w:i/>
          <w:iCs/>
          <w:color w:val="000000"/>
          <w:kern w:val="0"/>
          <w14:ligatures w14:val="none"/>
        </w:rPr>
        <w:t>Research in Social and Administrative Pharmacy</w:t>
      </w:r>
      <w:r w:rsidRPr="00332367">
        <w:rPr>
          <w:rFonts w:ascii="Times New Roman" w:eastAsia="Times New Roman" w:hAnsi="Times New Roman" w:cs="Times New Roman"/>
          <w:color w:val="000000"/>
          <w:kern w:val="0"/>
          <w14:ligatures w14:val="none"/>
        </w:rPr>
        <w:t>. </w:t>
      </w:r>
      <w:hyperlink r:id="rId16" w:tgtFrame="_blank" w:history="1">
        <w:r w:rsidRPr="00332367">
          <w:rPr>
            <w:rFonts w:ascii="Times New Roman" w:eastAsia="Times New Roman" w:hAnsi="Times New Roman" w:cs="Times New Roman"/>
            <w:color w:val="0000FF"/>
            <w:kern w:val="0"/>
            <w:u w:val="single"/>
            <w14:ligatures w14:val="none"/>
          </w:rPr>
          <w:t>https://doi.org/10.1016/j.sapharm.2024.12.002</w:t>
        </w:r>
      </w:hyperlink>
      <w:r w:rsidRPr="00332367">
        <w:rPr>
          <w:rFonts w:ascii="Times New Roman" w:eastAsia="Times New Roman" w:hAnsi="Times New Roman" w:cs="Times New Roman"/>
          <w:color w:val="000000"/>
          <w:kern w:val="0"/>
          <w14:ligatures w14:val="none"/>
        </w:rPr>
        <w:t>pubmed.ncbi.nlm.nih+1</w:t>
      </w:r>
    </w:p>
    <w:p w14:paraId="50AB12D2"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Ibrahim, M., Othman, H., Ahmad, A., Hamdan, N., &amp; Hamzah, N. H. (2024). The role of artificial intelligence in pharmacy practice: A systematic review. </w:t>
      </w:r>
      <w:r w:rsidRPr="00332367">
        <w:rPr>
          <w:rFonts w:ascii="Times New Roman" w:eastAsia="Times New Roman" w:hAnsi="Times New Roman" w:cs="Times New Roman"/>
          <w:i/>
          <w:iCs/>
          <w:color w:val="000000"/>
          <w:kern w:val="0"/>
          <w14:ligatures w14:val="none"/>
        </w:rPr>
        <w:t>Archives of Pharmacy Practice, 15</w:t>
      </w:r>
      <w:r w:rsidRPr="00332367">
        <w:rPr>
          <w:rFonts w:ascii="Times New Roman" w:eastAsia="Times New Roman" w:hAnsi="Times New Roman" w:cs="Times New Roman"/>
          <w:color w:val="000000"/>
          <w:kern w:val="0"/>
          <w14:ligatures w14:val="none"/>
        </w:rPr>
        <w:t>(1), 31–38. </w:t>
      </w:r>
      <w:hyperlink r:id="rId17" w:tgtFrame="_blank" w:history="1">
        <w:r w:rsidRPr="00332367">
          <w:rPr>
            <w:rFonts w:ascii="Times New Roman" w:eastAsia="Times New Roman" w:hAnsi="Times New Roman" w:cs="Times New Roman"/>
            <w:color w:val="0000FF"/>
            <w:kern w:val="0"/>
            <w:u w:val="single"/>
            <w14:ligatures w14:val="none"/>
          </w:rPr>
          <w:t>https://doi.org/10.51847/bfx2nwmh5v</w:t>
        </w:r>
      </w:hyperlink>
      <w:r w:rsidRPr="00332367">
        <w:rPr>
          <w:rFonts w:ascii="Times New Roman" w:eastAsia="Times New Roman" w:hAnsi="Times New Roman" w:cs="Times New Roman"/>
          <w:color w:val="000000"/>
          <w:kern w:val="0"/>
          <w14:ligatures w14:val="none"/>
        </w:rPr>
        <w:t>[</w:t>
      </w:r>
      <w:hyperlink r:id="rId18" w:history="1">
        <w:r w:rsidRPr="00332367">
          <w:rPr>
            <w:rFonts w:ascii="Times New Roman" w:eastAsia="Times New Roman" w:hAnsi="Times New Roman" w:cs="Times New Roman"/>
            <w:color w:val="0000FF"/>
            <w:kern w:val="0"/>
            <w:u w:val="single"/>
            <w14:ligatures w14:val="none"/>
          </w:rPr>
          <w:t>archivepp</w:t>
        </w:r>
      </w:hyperlink>
      <w:r w:rsidRPr="00332367">
        <w:rPr>
          <w:rFonts w:ascii="Times New Roman" w:eastAsia="Times New Roman" w:hAnsi="Times New Roman" w:cs="Times New Roman"/>
          <w:color w:val="000000"/>
          <w:kern w:val="0"/>
          <w14:ligatures w14:val="none"/>
        </w:rPr>
        <w:t>]​</w:t>
      </w:r>
    </w:p>
    <w:p w14:paraId="4DFDE92A"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Kessler, M. M. (1963). Bibliographic coupling between scientific papers. </w:t>
      </w:r>
      <w:r w:rsidRPr="00332367">
        <w:rPr>
          <w:rFonts w:ascii="Times New Roman" w:eastAsia="Times New Roman" w:hAnsi="Times New Roman" w:cs="Times New Roman"/>
          <w:i/>
          <w:iCs/>
          <w:color w:val="000000"/>
          <w:kern w:val="0"/>
          <w14:ligatures w14:val="none"/>
        </w:rPr>
        <w:t>American Documentation, 14</w:t>
      </w:r>
      <w:r w:rsidRPr="00332367">
        <w:rPr>
          <w:rFonts w:ascii="Times New Roman" w:eastAsia="Times New Roman" w:hAnsi="Times New Roman" w:cs="Times New Roman"/>
          <w:color w:val="000000"/>
          <w:kern w:val="0"/>
          <w14:ligatures w14:val="none"/>
        </w:rPr>
        <w:t>(1), 10–25. </w:t>
      </w:r>
      <w:hyperlink r:id="rId19" w:tgtFrame="_blank" w:history="1">
        <w:r w:rsidRPr="00332367">
          <w:rPr>
            <w:rFonts w:ascii="Times New Roman" w:eastAsia="Times New Roman" w:hAnsi="Times New Roman" w:cs="Times New Roman"/>
            <w:color w:val="0000FF"/>
            <w:kern w:val="0"/>
            <w:u w:val="single"/>
            <w14:ligatures w14:val="none"/>
          </w:rPr>
          <w:t>https://doi.org/10.1002/asi.5090140103</w:t>
        </w:r>
      </w:hyperlink>
      <w:r w:rsidRPr="00332367">
        <w:rPr>
          <w:rFonts w:ascii="Times New Roman" w:eastAsia="Times New Roman" w:hAnsi="Times New Roman" w:cs="Times New Roman"/>
          <w:color w:val="000000"/>
          <w:kern w:val="0"/>
          <w14:ligatures w14:val="none"/>
        </w:rPr>
        <w:t>wikipedia+1</w:t>
      </w:r>
    </w:p>
    <w:p w14:paraId="20E6D929"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Liu, S., Wong, C., &amp; Bates, D. W. (2025). A scoping review on generative AI and large language models in mitigating medication-related harm. </w:t>
      </w:r>
      <w:proofErr w:type="spellStart"/>
      <w:r w:rsidRPr="00332367">
        <w:rPr>
          <w:rFonts w:ascii="Times New Roman" w:eastAsia="Times New Roman" w:hAnsi="Times New Roman" w:cs="Times New Roman"/>
          <w:i/>
          <w:iCs/>
          <w:color w:val="000000"/>
          <w:kern w:val="0"/>
          <w14:ligatures w14:val="none"/>
        </w:rPr>
        <w:t>npj</w:t>
      </w:r>
      <w:proofErr w:type="spellEnd"/>
      <w:r w:rsidRPr="00332367">
        <w:rPr>
          <w:rFonts w:ascii="Times New Roman" w:eastAsia="Times New Roman" w:hAnsi="Times New Roman" w:cs="Times New Roman"/>
          <w:i/>
          <w:iCs/>
          <w:color w:val="000000"/>
          <w:kern w:val="0"/>
          <w14:ligatures w14:val="none"/>
        </w:rPr>
        <w:t xml:space="preserve"> Digital Medicine, 8</w:t>
      </w:r>
      <w:r w:rsidRPr="00332367">
        <w:rPr>
          <w:rFonts w:ascii="Times New Roman" w:eastAsia="Times New Roman" w:hAnsi="Times New Roman" w:cs="Times New Roman"/>
          <w:color w:val="000000"/>
          <w:kern w:val="0"/>
          <w14:ligatures w14:val="none"/>
        </w:rPr>
        <w:t>, 156. </w:t>
      </w:r>
      <w:hyperlink r:id="rId20" w:tgtFrame="_blank" w:history="1">
        <w:r w:rsidRPr="00332367">
          <w:rPr>
            <w:rFonts w:ascii="Times New Roman" w:eastAsia="Times New Roman" w:hAnsi="Times New Roman" w:cs="Times New Roman"/>
            <w:color w:val="0000FF"/>
            <w:kern w:val="0"/>
            <w:u w:val="single"/>
            <w14:ligatures w14:val="none"/>
          </w:rPr>
          <w:t>https://doi.org/10.1038/s41746-025-01565-7</w:t>
        </w:r>
      </w:hyperlink>
      <w:r w:rsidRPr="00332367">
        <w:rPr>
          <w:rFonts w:ascii="Times New Roman" w:eastAsia="Times New Roman" w:hAnsi="Times New Roman" w:cs="Times New Roman"/>
          <w:color w:val="000000"/>
          <w:kern w:val="0"/>
          <w14:ligatures w14:val="none"/>
        </w:rPr>
        <w:t>nature+1</w:t>
      </w:r>
    </w:p>
    <w:p w14:paraId="5325B8C2"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Lotka, A. J. (1926). The frequency distribution of scientific productivity. </w:t>
      </w:r>
      <w:r w:rsidRPr="00332367">
        <w:rPr>
          <w:rFonts w:ascii="Times New Roman" w:eastAsia="Times New Roman" w:hAnsi="Times New Roman" w:cs="Times New Roman"/>
          <w:i/>
          <w:iCs/>
          <w:color w:val="000000"/>
          <w:kern w:val="0"/>
          <w14:ligatures w14:val="none"/>
        </w:rPr>
        <w:t>Journal of the Washington Academy of Sciences, 16</w:t>
      </w:r>
      <w:r w:rsidRPr="00332367">
        <w:rPr>
          <w:rFonts w:ascii="Times New Roman" w:eastAsia="Times New Roman" w:hAnsi="Times New Roman" w:cs="Times New Roman"/>
          <w:color w:val="000000"/>
          <w:kern w:val="0"/>
          <w14:ligatures w14:val="none"/>
        </w:rPr>
        <w:t>(12), 317–323.scirp+1</w:t>
      </w:r>
    </w:p>
    <w:p w14:paraId="692DD386"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 xml:space="preserve">Murray, C. J. L., Ikuta, K. S., Sharara, F., </w:t>
      </w:r>
      <w:proofErr w:type="spellStart"/>
      <w:r w:rsidRPr="00332367">
        <w:rPr>
          <w:rFonts w:ascii="Times New Roman" w:eastAsia="Times New Roman" w:hAnsi="Times New Roman" w:cs="Times New Roman"/>
          <w:color w:val="000000"/>
          <w:kern w:val="0"/>
          <w14:ligatures w14:val="none"/>
        </w:rPr>
        <w:t>Swetschinski</w:t>
      </w:r>
      <w:proofErr w:type="spellEnd"/>
      <w:r w:rsidRPr="00332367">
        <w:rPr>
          <w:rFonts w:ascii="Times New Roman" w:eastAsia="Times New Roman" w:hAnsi="Times New Roman" w:cs="Times New Roman"/>
          <w:color w:val="000000"/>
          <w:kern w:val="0"/>
          <w14:ligatures w14:val="none"/>
        </w:rPr>
        <w:t xml:space="preserve">, L., Aguilar, G. R., Gray, A., Han, C., Bisignano, C., Rao, P., Wool, E., &amp; </w:t>
      </w:r>
      <w:proofErr w:type="spellStart"/>
      <w:r w:rsidRPr="00332367">
        <w:rPr>
          <w:rFonts w:ascii="Times New Roman" w:eastAsia="Times New Roman" w:hAnsi="Times New Roman" w:cs="Times New Roman"/>
          <w:color w:val="000000"/>
          <w:kern w:val="0"/>
          <w14:ligatures w14:val="none"/>
        </w:rPr>
        <w:t>Naghavi</w:t>
      </w:r>
      <w:proofErr w:type="spellEnd"/>
      <w:r w:rsidRPr="00332367">
        <w:rPr>
          <w:rFonts w:ascii="Times New Roman" w:eastAsia="Times New Roman" w:hAnsi="Times New Roman" w:cs="Times New Roman"/>
          <w:color w:val="000000"/>
          <w:kern w:val="0"/>
          <w14:ligatures w14:val="none"/>
        </w:rPr>
        <w:t>, M. (2022). Global burden of bacterial antimicrobial resistance in 2019: A systematic analysis. </w:t>
      </w:r>
      <w:r w:rsidRPr="00332367">
        <w:rPr>
          <w:rFonts w:ascii="Times New Roman" w:eastAsia="Times New Roman" w:hAnsi="Times New Roman" w:cs="Times New Roman"/>
          <w:i/>
          <w:iCs/>
          <w:color w:val="000000"/>
          <w:kern w:val="0"/>
          <w14:ligatures w14:val="none"/>
        </w:rPr>
        <w:t>The Lancet, 399</w:t>
      </w:r>
      <w:r w:rsidRPr="00332367">
        <w:rPr>
          <w:rFonts w:ascii="Times New Roman" w:eastAsia="Times New Roman" w:hAnsi="Times New Roman" w:cs="Times New Roman"/>
          <w:color w:val="000000"/>
          <w:kern w:val="0"/>
          <w14:ligatures w14:val="none"/>
        </w:rPr>
        <w:t>(10325), 629–655. </w:t>
      </w:r>
      <w:hyperlink r:id="rId21" w:tgtFrame="_blank" w:history="1">
        <w:r w:rsidRPr="00332367">
          <w:rPr>
            <w:rFonts w:ascii="Times New Roman" w:eastAsia="Times New Roman" w:hAnsi="Times New Roman" w:cs="Times New Roman"/>
            <w:color w:val="0000FF"/>
            <w:kern w:val="0"/>
            <w:u w:val="single"/>
            <w14:ligatures w14:val="none"/>
          </w:rPr>
          <w:t>https://doi.org/10.1016/S0140-6736(21)02724-0[25</w:t>
        </w:r>
      </w:hyperlink>
      <w:r w:rsidRPr="00332367">
        <w:rPr>
          <w:rFonts w:ascii="Times New Roman" w:eastAsia="Times New Roman" w:hAnsi="Times New Roman" w:cs="Times New Roman"/>
          <w:color w:val="000000"/>
          <w:kern w:val="0"/>
          <w14:ligatures w14:val="none"/>
        </w:rPr>
        <w:t>][</w:t>
      </w:r>
      <w:hyperlink r:id="rId22" w:history="1">
        <w:r w:rsidRPr="00332367">
          <w:rPr>
            <w:rFonts w:ascii="Times New Roman" w:eastAsia="Times New Roman" w:hAnsi="Times New Roman" w:cs="Times New Roman"/>
            <w:color w:val="0000FF"/>
            <w:kern w:val="0"/>
            <w:u w:val="single"/>
            <w14:ligatures w14:val="none"/>
          </w:rPr>
          <w:t>thelancet</w:t>
        </w:r>
      </w:hyperlink>
      <w:r w:rsidRPr="00332367">
        <w:rPr>
          <w:rFonts w:ascii="Times New Roman" w:eastAsia="Times New Roman" w:hAnsi="Times New Roman" w:cs="Times New Roman"/>
          <w:color w:val="000000"/>
          <w:kern w:val="0"/>
          <w14:ligatures w14:val="none"/>
        </w:rPr>
        <w:t>]​</w:t>
      </w:r>
    </w:p>
    <w:p w14:paraId="1E18AED9"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 xml:space="preserve">Page, M. J., McKenzie, J. E., Bossuyt, P. M., </w:t>
      </w:r>
      <w:proofErr w:type="spellStart"/>
      <w:r w:rsidRPr="00332367">
        <w:rPr>
          <w:rFonts w:ascii="Times New Roman" w:eastAsia="Times New Roman" w:hAnsi="Times New Roman" w:cs="Times New Roman"/>
          <w:color w:val="000000"/>
          <w:kern w:val="0"/>
          <w14:ligatures w14:val="none"/>
        </w:rPr>
        <w:t>Boutron</w:t>
      </w:r>
      <w:proofErr w:type="spellEnd"/>
      <w:r w:rsidRPr="00332367">
        <w:rPr>
          <w:rFonts w:ascii="Times New Roman" w:eastAsia="Times New Roman" w:hAnsi="Times New Roman" w:cs="Times New Roman"/>
          <w:color w:val="000000"/>
          <w:kern w:val="0"/>
          <w14:ligatures w14:val="none"/>
        </w:rPr>
        <w:t xml:space="preserve">, I., Hoffmann, T. C., Mulrow, C. D., </w:t>
      </w:r>
      <w:proofErr w:type="spellStart"/>
      <w:r w:rsidRPr="00332367">
        <w:rPr>
          <w:rFonts w:ascii="Times New Roman" w:eastAsia="Times New Roman" w:hAnsi="Times New Roman" w:cs="Times New Roman"/>
          <w:color w:val="000000"/>
          <w:kern w:val="0"/>
          <w14:ligatures w14:val="none"/>
        </w:rPr>
        <w:t>Shamseer</w:t>
      </w:r>
      <w:proofErr w:type="spellEnd"/>
      <w:r w:rsidRPr="00332367">
        <w:rPr>
          <w:rFonts w:ascii="Times New Roman" w:eastAsia="Times New Roman" w:hAnsi="Times New Roman" w:cs="Times New Roman"/>
          <w:color w:val="000000"/>
          <w:kern w:val="0"/>
          <w14:ligatures w14:val="none"/>
        </w:rPr>
        <w:t xml:space="preserve">, L., Tetzlaff, J. M., Akl, E. A., Brennan, S. E., Chou, R., Glanville, J., Grimshaw, J. M., Hróbjartsson, A., Lalu, M. M., Li, T., Loder, E. W., Mayo-Wilson, E., McDonald, S., ... </w:t>
      </w:r>
      <w:r w:rsidRPr="00332367">
        <w:rPr>
          <w:rFonts w:ascii="Times New Roman" w:eastAsia="Times New Roman" w:hAnsi="Times New Roman" w:cs="Times New Roman"/>
          <w:color w:val="000000"/>
          <w:kern w:val="0"/>
          <w14:ligatures w14:val="none"/>
        </w:rPr>
        <w:lastRenderedPageBreak/>
        <w:t>Moher, D. (2021). The PRISMA 2020 statement: An updated guideline for reporting systematic reviews. </w:t>
      </w:r>
      <w:r w:rsidRPr="00332367">
        <w:rPr>
          <w:rFonts w:ascii="Times New Roman" w:eastAsia="Times New Roman" w:hAnsi="Times New Roman" w:cs="Times New Roman"/>
          <w:i/>
          <w:iCs/>
          <w:color w:val="000000"/>
          <w:kern w:val="0"/>
          <w14:ligatures w14:val="none"/>
        </w:rPr>
        <w:t>BMJ, 372</w:t>
      </w:r>
      <w:r w:rsidRPr="00332367">
        <w:rPr>
          <w:rFonts w:ascii="Times New Roman" w:eastAsia="Times New Roman" w:hAnsi="Times New Roman" w:cs="Times New Roman"/>
          <w:color w:val="000000"/>
          <w:kern w:val="0"/>
          <w14:ligatures w14:val="none"/>
        </w:rPr>
        <w:t>, n71. </w:t>
      </w:r>
      <w:hyperlink r:id="rId23" w:tgtFrame="_blank" w:history="1">
        <w:r w:rsidRPr="00332367">
          <w:rPr>
            <w:rFonts w:ascii="Times New Roman" w:eastAsia="Times New Roman" w:hAnsi="Times New Roman" w:cs="Times New Roman"/>
            <w:color w:val="0000FF"/>
            <w:kern w:val="0"/>
            <w:u w:val="single"/>
            <w14:ligatures w14:val="none"/>
          </w:rPr>
          <w:t>https://doi.org/10.1136/bmj.n71</w:t>
        </w:r>
      </w:hyperlink>
      <w:r w:rsidRPr="00332367">
        <w:rPr>
          <w:rFonts w:ascii="Times New Roman" w:eastAsia="Times New Roman" w:hAnsi="Times New Roman" w:cs="Times New Roman"/>
          <w:color w:val="000000"/>
          <w:kern w:val="0"/>
          <w14:ligatures w14:val="none"/>
        </w:rPr>
        <w:t>pubmed.ncbi.nlm.nih+1</w:t>
      </w:r>
    </w:p>
    <w:p w14:paraId="33F87547"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Saeed, M., Martini, N., &amp; Scahill, S. (2024). Exploring telepharmacy: A bibliometric analysis of past research and future directions. </w:t>
      </w:r>
      <w:r w:rsidRPr="00332367">
        <w:rPr>
          <w:rFonts w:ascii="Times New Roman" w:eastAsia="Times New Roman" w:hAnsi="Times New Roman" w:cs="Times New Roman"/>
          <w:i/>
          <w:iCs/>
          <w:color w:val="000000"/>
          <w:kern w:val="0"/>
          <w14:ligatures w14:val="none"/>
        </w:rPr>
        <w:t>Research in Social and Administrative Pharmacy, 20</w:t>
      </w:r>
      <w:r w:rsidRPr="00332367">
        <w:rPr>
          <w:rFonts w:ascii="Times New Roman" w:eastAsia="Times New Roman" w:hAnsi="Times New Roman" w:cs="Times New Roman"/>
          <w:color w:val="000000"/>
          <w:kern w:val="0"/>
          <w14:ligatures w14:val="none"/>
        </w:rPr>
        <w:t>(9), 862–870. </w:t>
      </w:r>
      <w:hyperlink r:id="rId24" w:tgtFrame="_blank" w:history="1">
        <w:r w:rsidRPr="00332367">
          <w:rPr>
            <w:rFonts w:ascii="Times New Roman" w:eastAsia="Times New Roman" w:hAnsi="Times New Roman" w:cs="Times New Roman"/>
            <w:color w:val="0000FF"/>
            <w:kern w:val="0"/>
            <w:u w:val="single"/>
            <w14:ligatures w14:val="none"/>
          </w:rPr>
          <w:t>https://doi.org/10.1016/j.sapharm.2024.04.009</w:t>
        </w:r>
      </w:hyperlink>
      <w:r w:rsidRPr="00332367">
        <w:rPr>
          <w:rFonts w:ascii="Times New Roman" w:eastAsia="Times New Roman" w:hAnsi="Times New Roman" w:cs="Times New Roman"/>
          <w:color w:val="000000"/>
          <w:kern w:val="0"/>
          <w14:ligatures w14:val="none"/>
        </w:rPr>
        <w:t>[</w:t>
      </w:r>
      <w:hyperlink r:id="rId25" w:history="1">
        <w:r w:rsidRPr="00332367">
          <w:rPr>
            <w:rFonts w:ascii="Times New Roman" w:eastAsia="Times New Roman" w:hAnsi="Times New Roman" w:cs="Times New Roman"/>
            <w:color w:val="0000FF"/>
            <w:kern w:val="0"/>
            <w:u w:val="single"/>
            <w14:ligatures w14:val="none"/>
          </w:rPr>
          <w:t>pubmed.ncbi.nlm.nih</w:t>
        </w:r>
      </w:hyperlink>
      <w:r w:rsidRPr="00332367">
        <w:rPr>
          <w:rFonts w:ascii="Times New Roman" w:eastAsia="Times New Roman" w:hAnsi="Times New Roman" w:cs="Times New Roman"/>
          <w:color w:val="000000"/>
          <w:kern w:val="0"/>
          <w14:ligatures w14:val="none"/>
        </w:rPr>
        <w:t>]​</w:t>
      </w:r>
    </w:p>
    <w:p w14:paraId="5DB7F258"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Sato, T., Ogasawara, K., Nakamura, M., Fujii, Y., &amp; Nakamura, K. (2025). Performance evaluation of 18 generative AI models (ChatGPT, Gemini, Claude, DeepSeek, and others) on Japan's national pharmacist licensing examination. </w:t>
      </w:r>
      <w:r w:rsidRPr="00332367">
        <w:rPr>
          <w:rFonts w:ascii="Times New Roman" w:eastAsia="Times New Roman" w:hAnsi="Times New Roman" w:cs="Times New Roman"/>
          <w:i/>
          <w:iCs/>
          <w:color w:val="000000"/>
          <w:kern w:val="0"/>
          <w14:ligatures w14:val="none"/>
        </w:rPr>
        <w:t>JMIR Medical Education, 11</w:t>
      </w:r>
      <w:r w:rsidRPr="00332367">
        <w:rPr>
          <w:rFonts w:ascii="Times New Roman" w:eastAsia="Times New Roman" w:hAnsi="Times New Roman" w:cs="Times New Roman"/>
          <w:color w:val="000000"/>
          <w:kern w:val="0"/>
          <w14:ligatures w14:val="none"/>
        </w:rPr>
        <w:t>, e76925. </w:t>
      </w:r>
      <w:hyperlink r:id="rId26" w:tgtFrame="_blank" w:history="1">
        <w:r w:rsidRPr="00332367">
          <w:rPr>
            <w:rFonts w:ascii="Times New Roman" w:eastAsia="Times New Roman" w:hAnsi="Times New Roman" w:cs="Times New Roman"/>
            <w:color w:val="0000FF"/>
            <w:kern w:val="0"/>
            <w:u w:val="single"/>
            <w14:ligatures w14:val="none"/>
          </w:rPr>
          <w:t>https://doi.org/10.2196/76925</w:t>
        </w:r>
      </w:hyperlink>
      <w:r w:rsidRPr="00332367">
        <w:rPr>
          <w:rFonts w:ascii="Times New Roman" w:eastAsia="Times New Roman" w:hAnsi="Times New Roman" w:cs="Times New Roman"/>
          <w:color w:val="000000"/>
          <w:kern w:val="0"/>
          <w14:ligatures w14:val="none"/>
        </w:rPr>
        <w:t>mededu.jmir+1</w:t>
      </w:r>
    </w:p>
    <w:p w14:paraId="74D8F3BB"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proofErr w:type="spellStart"/>
      <w:r w:rsidRPr="00332367">
        <w:rPr>
          <w:rFonts w:ascii="Times New Roman" w:eastAsia="Times New Roman" w:hAnsi="Times New Roman" w:cs="Times New Roman"/>
          <w:color w:val="000000"/>
          <w:kern w:val="0"/>
          <w14:ligatures w14:val="none"/>
        </w:rPr>
        <w:t>Sulistyaningrum</w:t>
      </w:r>
      <w:proofErr w:type="spellEnd"/>
      <w:r w:rsidRPr="00332367">
        <w:rPr>
          <w:rFonts w:ascii="Times New Roman" w:eastAsia="Times New Roman" w:hAnsi="Times New Roman" w:cs="Times New Roman"/>
          <w:color w:val="000000"/>
          <w:kern w:val="0"/>
          <w14:ligatures w14:val="none"/>
        </w:rPr>
        <w:t xml:space="preserve">, Y., </w:t>
      </w:r>
      <w:proofErr w:type="spellStart"/>
      <w:r w:rsidRPr="00332367">
        <w:rPr>
          <w:rFonts w:ascii="Times New Roman" w:eastAsia="Times New Roman" w:hAnsi="Times New Roman" w:cs="Times New Roman"/>
          <w:color w:val="000000"/>
          <w:kern w:val="0"/>
          <w14:ligatures w14:val="none"/>
        </w:rPr>
        <w:t>Arfianto</w:t>
      </w:r>
      <w:proofErr w:type="spellEnd"/>
      <w:r w:rsidRPr="00332367">
        <w:rPr>
          <w:rFonts w:ascii="Times New Roman" w:eastAsia="Times New Roman" w:hAnsi="Times New Roman" w:cs="Times New Roman"/>
          <w:color w:val="000000"/>
          <w:kern w:val="0"/>
          <w14:ligatures w14:val="none"/>
        </w:rPr>
        <w:t xml:space="preserve">, R. F., &amp; </w:t>
      </w:r>
      <w:proofErr w:type="spellStart"/>
      <w:r w:rsidRPr="00332367">
        <w:rPr>
          <w:rFonts w:ascii="Times New Roman" w:eastAsia="Times New Roman" w:hAnsi="Times New Roman" w:cs="Times New Roman"/>
          <w:color w:val="000000"/>
          <w:kern w:val="0"/>
          <w14:ligatures w14:val="none"/>
        </w:rPr>
        <w:t>Pribadi</w:t>
      </w:r>
      <w:proofErr w:type="spellEnd"/>
      <w:r w:rsidRPr="00332367">
        <w:rPr>
          <w:rFonts w:ascii="Times New Roman" w:eastAsia="Times New Roman" w:hAnsi="Times New Roman" w:cs="Times New Roman"/>
          <w:color w:val="000000"/>
          <w:kern w:val="0"/>
          <w14:ligatures w14:val="none"/>
        </w:rPr>
        <w:t>, H. (2025). Bibliometric analysis of global telepharmacy research development: Trends, productivity, and future opportunities. In </w:t>
      </w:r>
      <w:r w:rsidRPr="00332367">
        <w:rPr>
          <w:rFonts w:ascii="Times New Roman" w:eastAsia="Times New Roman" w:hAnsi="Times New Roman" w:cs="Times New Roman"/>
          <w:i/>
          <w:iCs/>
          <w:color w:val="000000"/>
          <w:kern w:val="0"/>
          <w14:ligatures w14:val="none"/>
        </w:rPr>
        <w:t>Proceedings of the 6th BIS-STE 2024 — 2nd INTERCONNECTS 2024 (Virtual Conference, December 11, 2024)</w:t>
      </w:r>
      <w:r w:rsidRPr="00332367">
        <w:rPr>
          <w:rFonts w:ascii="Times New Roman" w:eastAsia="Times New Roman" w:hAnsi="Times New Roman" w:cs="Times New Roman"/>
          <w:color w:val="000000"/>
          <w:kern w:val="0"/>
          <w14:ligatures w14:val="none"/>
        </w:rPr>
        <w:t xml:space="preserve">. </w:t>
      </w:r>
      <w:proofErr w:type="spellStart"/>
      <w:r w:rsidRPr="00332367">
        <w:rPr>
          <w:rFonts w:ascii="Times New Roman" w:eastAsia="Times New Roman" w:hAnsi="Times New Roman" w:cs="Times New Roman"/>
          <w:color w:val="000000"/>
          <w:kern w:val="0"/>
          <w14:ligatures w14:val="none"/>
        </w:rPr>
        <w:t>Universitas</w:t>
      </w:r>
      <w:proofErr w:type="spellEnd"/>
      <w:r w:rsidRPr="00332367">
        <w:rPr>
          <w:rFonts w:ascii="Times New Roman" w:eastAsia="Times New Roman" w:hAnsi="Times New Roman" w:cs="Times New Roman"/>
          <w:color w:val="000000"/>
          <w:kern w:val="0"/>
          <w14:ligatures w14:val="none"/>
        </w:rPr>
        <w:t xml:space="preserve"> </w:t>
      </w:r>
      <w:proofErr w:type="spellStart"/>
      <w:r w:rsidRPr="00332367">
        <w:rPr>
          <w:rFonts w:ascii="Times New Roman" w:eastAsia="Times New Roman" w:hAnsi="Times New Roman" w:cs="Times New Roman"/>
          <w:color w:val="000000"/>
          <w:kern w:val="0"/>
          <w14:ligatures w14:val="none"/>
        </w:rPr>
        <w:t>Muhammadiyah</w:t>
      </w:r>
      <w:proofErr w:type="spellEnd"/>
      <w:r w:rsidRPr="00332367">
        <w:rPr>
          <w:rFonts w:ascii="Times New Roman" w:eastAsia="Times New Roman" w:hAnsi="Times New Roman" w:cs="Times New Roman"/>
          <w:color w:val="000000"/>
          <w:kern w:val="0"/>
          <w14:ligatures w14:val="none"/>
        </w:rPr>
        <w:t xml:space="preserve"> </w:t>
      </w:r>
      <w:proofErr w:type="spellStart"/>
      <w:r w:rsidRPr="00332367">
        <w:rPr>
          <w:rFonts w:ascii="Times New Roman" w:eastAsia="Times New Roman" w:hAnsi="Times New Roman" w:cs="Times New Roman"/>
          <w:color w:val="000000"/>
          <w:kern w:val="0"/>
          <w14:ligatures w14:val="none"/>
        </w:rPr>
        <w:t>Magelang</w:t>
      </w:r>
      <w:proofErr w:type="spellEnd"/>
      <w:r w:rsidRPr="00332367">
        <w:rPr>
          <w:rFonts w:ascii="Times New Roman" w:eastAsia="Times New Roman" w:hAnsi="Times New Roman" w:cs="Times New Roman"/>
          <w:color w:val="000000"/>
          <w:kern w:val="0"/>
          <w14:ligatures w14:val="none"/>
        </w:rPr>
        <w:t xml:space="preserve"> Press. </w:t>
      </w:r>
      <w:hyperlink r:id="rId27" w:tgtFrame="_blank" w:history="1">
        <w:r w:rsidRPr="00332367">
          <w:rPr>
            <w:rFonts w:ascii="Times New Roman" w:eastAsia="Times New Roman" w:hAnsi="Times New Roman" w:cs="Times New Roman"/>
            <w:color w:val="0000FF"/>
            <w:kern w:val="0"/>
            <w:u w:val="single"/>
            <w14:ligatures w14:val="none"/>
          </w:rPr>
          <w:t>https://unimma.press/conference/index.php/bishes/article/view/245</w:t>
        </w:r>
      </w:hyperlink>
      <w:r w:rsidRPr="00332367">
        <w:rPr>
          <w:rFonts w:ascii="Times New Roman" w:eastAsia="Times New Roman" w:hAnsi="Times New Roman" w:cs="Times New Roman"/>
          <w:color w:val="000000"/>
          <w:kern w:val="0"/>
          <w14:ligatures w14:val="none"/>
        </w:rPr>
        <w:t>unimma+1</w:t>
      </w:r>
    </w:p>
    <w:p w14:paraId="420B3E00"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 xml:space="preserve">Triantafyllidis, A. K., </w:t>
      </w:r>
      <w:proofErr w:type="spellStart"/>
      <w:r w:rsidRPr="00332367">
        <w:rPr>
          <w:rFonts w:ascii="Times New Roman" w:eastAsia="Times New Roman" w:hAnsi="Times New Roman" w:cs="Times New Roman"/>
          <w:color w:val="000000"/>
          <w:kern w:val="0"/>
          <w14:ligatures w14:val="none"/>
        </w:rPr>
        <w:t>Tsanas</w:t>
      </w:r>
      <w:proofErr w:type="spellEnd"/>
      <w:r w:rsidRPr="00332367">
        <w:rPr>
          <w:rFonts w:ascii="Times New Roman" w:eastAsia="Times New Roman" w:hAnsi="Times New Roman" w:cs="Times New Roman"/>
          <w:color w:val="000000"/>
          <w:kern w:val="0"/>
          <w14:ligatures w14:val="none"/>
        </w:rPr>
        <w:t xml:space="preserve">, A., </w:t>
      </w:r>
      <w:proofErr w:type="spellStart"/>
      <w:r w:rsidRPr="00332367">
        <w:rPr>
          <w:rFonts w:ascii="Times New Roman" w:eastAsia="Times New Roman" w:hAnsi="Times New Roman" w:cs="Times New Roman"/>
          <w:color w:val="000000"/>
          <w:kern w:val="0"/>
          <w14:ligatures w14:val="none"/>
        </w:rPr>
        <w:t>Koulouras</w:t>
      </w:r>
      <w:proofErr w:type="spellEnd"/>
      <w:r w:rsidRPr="00332367">
        <w:rPr>
          <w:rFonts w:ascii="Times New Roman" w:eastAsia="Times New Roman" w:hAnsi="Times New Roman" w:cs="Times New Roman"/>
          <w:color w:val="000000"/>
          <w:kern w:val="0"/>
          <w14:ligatures w14:val="none"/>
        </w:rPr>
        <w:t>, V., &amp; Manis, G. (2021). Artificial intelligence solutions to increase medication adherence in patients with non-communicable diseases. </w:t>
      </w:r>
      <w:r w:rsidRPr="00332367">
        <w:rPr>
          <w:rFonts w:ascii="Times New Roman" w:eastAsia="Times New Roman" w:hAnsi="Times New Roman" w:cs="Times New Roman"/>
          <w:i/>
          <w:iCs/>
          <w:color w:val="000000"/>
          <w:kern w:val="0"/>
          <w14:ligatures w14:val="none"/>
        </w:rPr>
        <w:t>Frontiers in Digital Health, 3</w:t>
      </w:r>
      <w:r w:rsidRPr="00332367">
        <w:rPr>
          <w:rFonts w:ascii="Times New Roman" w:eastAsia="Times New Roman" w:hAnsi="Times New Roman" w:cs="Times New Roman"/>
          <w:color w:val="000000"/>
          <w:kern w:val="0"/>
          <w14:ligatures w14:val="none"/>
        </w:rPr>
        <w:t>, 669869. </w:t>
      </w:r>
      <w:hyperlink r:id="rId28" w:tgtFrame="_blank" w:history="1">
        <w:r w:rsidRPr="00332367">
          <w:rPr>
            <w:rFonts w:ascii="Times New Roman" w:eastAsia="Times New Roman" w:hAnsi="Times New Roman" w:cs="Times New Roman"/>
            <w:color w:val="0000FF"/>
            <w:kern w:val="0"/>
            <w:u w:val="single"/>
            <w14:ligatures w14:val="none"/>
          </w:rPr>
          <w:t>https://doi.org/10.3389/fdgth.2021.669869</w:t>
        </w:r>
      </w:hyperlink>
      <w:r w:rsidRPr="00332367">
        <w:rPr>
          <w:rFonts w:ascii="Times New Roman" w:eastAsia="Times New Roman" w:hAnsi="Times New Roman" w:cs="Times New Roman"/>
          <w:color w:val="000000"/>
          <w:kern w:val="0"/>
          <w14:ligatures w14:val="none"/>
        </w:rPr>
        <w:t>pmc.ncbi.nlm.nih+1</w:t>
      </w:r>
    </w:p>
    <w:p w14:paraId="44566396"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Van Eck, N. J., &amp; Waltman, L. (2010). Software survey: VOSviewer, a computer program for bibliometric mapping. </w:t>
      </w:r>
      <w:proofErr w:type="spellStart"/>
      <w:r w:rsidRPr="00332367">
        <w:rPr>
          <w:rFonts w:ascii="Times New Roman" w:eastAsia="Times New Roman" w:hAnsi="Times New Roman" w:cs="Times New Roman"/>
          <w:i/>
          <w:iCs/>
          <w:color w:val="000000"/>
          <w:kern w:val="0"/>
          <w14:ligatures w14:val="none"/>
        </w:rPr>
        <w:t>Scientometrics</w:t>
      </w:r>
      <w:proofErr w:type="spellEnd"/>
      <w:r w:rsidRPr="00332367">
        <w:rPr>
          <w:rFonts w:ascii="Times New Roman" w:eastAsia="Times New Roman" w:hAnsi="Times New Roman" w:cs="Times New Roman"/>
          <w:i/>
          <w:iCs/>
          <w:color w:val="000000"/>
          <w:kern w:val="0"/>
          <w14:ligatures w14:val="none"/>
        </w:rPr>
        <w:t>, 84</w:t>
      </w:r>
      <w:r w:rsidRPr="00332367">
        <w:rPr>
          <w:rFonts w:ascii="Times New Roman" w:eastAsia="Times New Roman" w:hAnsi="Times New Roman" w:cs="Times New Roman"/>
          <w:color w:val="000000"/>
          <w:kern w:val="0"/>
          <w14:ligatures w14:val="none"/>
        </w:rPr>
        <w:t>(2), 523–538. </w:t>
      </w:r>
      <w:hyperlink r:id="rId29" w:tgtFrame="_blank" w:history="1">
        <w:r w:rsidRPr="00332367">
          <w:rPr>
            <w:rFonts w:ascii="Times New Roman" w:eastAsia="Times New Roman" w:hAnsi="Times New Roman" w:cs="Times New Roman"/>
            <w:color w:val="0000FF"/>
            <w:kern w:val="0"/>
            <w:u w:val="single"/>
            <w14:ligatures w14:val="none"/>
          </w:rPr>
          <w:t>https://doi.org/10.1007/s11192-009-0146-3</w:t>
        </w:r>
      </w:hyperlink>
      <w:r w:rsidRPr="00332367">
        <w:rPr>
          <w:rFonts w:ascii="Times New Roman" w:eastAsia="Times New Roman" w:hAnsi="Times New Roman" w:cs="Times New Roman"/>
          <w:color w:val="000000"/>
          <w:kern w:val="0"/>
          <w14:ligatures w14:val="none"/>
        </w:rPr>
        <w:t>pmc.ncbi.nlm.nih+1</w:t>
      </w:r>
    </w:p>
    <w:p w14:paraId="41374650"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lastRenderedPageBreak/>
        <w:t>World Health Organization. (2023). </w:t>
      </w:r>
      <w:r w:rsidRPr="00332367">
        <w:rPr>
          <w:rFonts w:ascii="Times New Roman" w:eastAsia="Times New Roman" w:hAnsi="Times New Roman" w:cs="Times New Roman"/>
          <w:i/>
          <w:iCs/>
          <w:color w:val="000000"/>
          <w:kern w:val="0"/>
          <w14:ligatures w14:val="none"/>
        </w:rPr>
        <w:t>Antimicrobial resistance: Fact sheet</w:t>
      </w:r>
      <w:r w:rsidRPr="00332367">
        <w:rPr>
          <w:rFonts w:ascii="Times New Roman" w:eastAsia="Times New Roman" w:hAnsi="Times New Roman" w:cs="Times New Roman"/>
          <w:color w:val="000000"/>
          <w:kern w:val="0"/>
          <w14:ligatures w14:val="none"/>
        </w:rPr>
        <w:t>. </w:t>
      </w:r>
      <w:hyperlink r:id="rId30" w:tgtFrame="_blank" w:history="1">
        <w:r w:rsidRPr="00332367">
          <w:rPr>
            <w:rFonts w:ascii="Times New Roman" w:eastAsia="Times New Roman" w:hAnsi="Times New Roman" w:cs="Times New Roman"/>
            <w:color w:val="0000FF"/>
            <w:kern w:val="0"/>
            <w:u w:val="single"/>
            <w14:ligatures w14:val="none"/>
          </w:rPr>
          <w:t>https://www.who.int/news-room/fact-sheets/detail/antimicrobial-resistance</w:t>
        </w:r>
      </w:hyperlink>
      <w:r w:rsidRPr="00332367">
        <w:rPr>
          <w:rFonts w:ascii="Times New Roman" w:eastAsia="Times New Roman" w:hAnsi="Times New Roman" w:cs="Times New Roman"/>
          <w:color w:val="000000"/>
          <w:kern w:val="0"/>
          <w14:ligatures w14:val="none"/>
        </w:rPr>
        <w:t>[</w:t>
      </w:r>
      <w:hyperlink r:id="rId31" w:history="1">
        <w:r w:rsidRPr="00332367">
          <w:rPr>
            <w:rFonts w:ascii="Times New Roman" w:eastAsia="Times New Roman" w:hAnsi="Times New Roman" w:cs="Times New Roman"/>
            <w:color w:val="0000FF"/>
            <w:kern w:val="0"/>
            <w:u w:val="single"/>
            <w14:ligatures w14:val="none"/>
          </w:rPr>
          <w:t>who</w:t>
        </w:r>
      </w:hyperlink>
      <w:r w:rsidRPr="00332367">
        <w:rPr>
          <w:rFonts w:ascii="Times New Roman" w:eastAsia="Times New Roman" w:hAnsi="Times New Roman" w:cs="Times New Roman"/>
          <w:color w:val="000000"/>
          <w:kern w:val="0"/>
          <w14:ligatures w14:val="none"/>
        </w:rPr>
        <w:t>]​</w:t>
      </w:r>
    </w:p>
    <w:p w14:paraId="00913638"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World Health Organization. (2025). </w:t>
      </w:r>
      <w:r w:rsidRPr="00332367">
        <w:rPr>
          <w:rFonts w:ascii="Times New Roman" w:eastAsia="Times New Roman" w:hAnsi="Times New Roman" w:cs="Times New Roman"/>
          <w:i/>
          <w:iCs/>
          <w:color w:val="000000"/>
          <w:kern w:val="0"/>
          <w14:ligatures w14:val="none"/>
        </w:rPr>
        <w:t>WHO: Antimicrobial resistance is widespread globally and increasing</w:t>
      </w:r>
      <w:r w:rsidRPr="00332367">
        <w:rPr>
          <w:rFonts w:ascii="Times New Roman" w:eastAsia="Times New Roman" w:hAnsi="Times New Roman" w:cs="Times New Roman"/>
          <w:color w:val="000000"/>
          <w:kern w:val="0"/>
          <w14:ligatures w14:val="none"/>
        </w:rPr>
        <w:t>. </w:t>
      </w:r>
      <w:hyperlink r:id="rId32" w:tgtFrame="_blank" w:history="1">
        <w:r w:rsidRPr="00332367">
          <w:rPr>
            <w:rFonts w:ascii="Times New Roman" w:eastAsia="Times New Roman" w:hAnsi="Times New Roman" w:cs="Times New Roman"/>
            <w:color w:val="0000FF"/>
            <w:kern w:val="0"/>
            <w:u w:val="single"/>
            <w14:ligatures w14:val="none"/>
          </w:rPr>
          <w:t>https://www.who.int/news/item/13-10-2025-who-warns-of-widespread-resistance-to-common-antibiotics-worldwide</w:t>
        </w:r>
      </w:hyperlink>
      <w:r w:rsidRPr="00332367">
        <w:rPr>
          <w:rFonts w:ascii="Times New Roman" w:eastAsia="Times New Roman" w:hAnsi="Times New Roman" w:cs="Times New Roman"/>
          <w:color w:val="000000"/>
          <w:kern w:val="0"/>
          <w14:ligatures w14:val="none"/>
        </w:rPr>
        <w:t>news.un+1</w:t>
      </w:r>
    </w:p>
    <w:p w14:paraId="5DD9BCF0" w14:textId="77777777" w:rsidR="00332367" w:rsidRPr="00332367" w:rsidRDefault="00332367" w:rsidP="00332367">
      <w:pPr>
        <w:spacing w:before="100" w:beforeAutospacing="1" w:after="100" w:afterAutospacing="1" w:line="480" w:lineRule="auto"/>
        <w:jc w:val="both"/>
        <w:rPr>
          <w:rFonts w:ascii="Times New Roman" w:eastAsia="Times New Roman" w:hAnsi="Times New Roman" w:cs="Times New Roman"/>
          <w:color w:val="000000"/>
          <w:kern w:val="0"/>
          <w14:ligatures w14:val="none"/>
        </w:rPr>
      </w:pPr>
      <w:r w:rsidRPr="00332367">
        <w:rPr>
          <w:rFonts w:ascii="Times New Roman" w:eastAsia="Times New Roman" w:hAnsi="Times New Roman" w:cs="Times New Roman"/>
          <w:color w:val="000000"/>
          <w:kern w:val="0"/>
          <w14:ligatures w14:val="none"/>
        </w:rPr>
        <w:t>Zhu, J., &amp; Liu, W. (2020). A tale of two databases: The use of Web of Science and Scopus in academic papers. </w:t>
      </w:r>
      <w:proofErr w:type="spellStart"/>
      <w:r w:rsidRPr="00332367">
        <w:rPr>
          <w:rFonts w:ascii="Times New Roman" w:eastAsia="Times New Roman" w:hAnsi="Times New Roman" w:cs="Times New Roman"/>
          <w:i/>
          <w:iCs/>
          <w:color w:val="000000"/>
          <w:kern w:val="0"/>
          <w14:ligatures w14:val="none"/>
        </w:rPr>
        <w:t>Scientometrics</w:t>
      </w:r>
      <w:proofErr w:type="spellEnd"/>
      <w:r w:rsidRPr="00332367">
        <w:rPr>
          <w:rFonts w:ascii="Times New Roman" w:eastAsia="Times New Roman" w:hAnsi="Times New Roman" w:cs="Times New Roman"/>
          <w:i/>
          <w:iCs/>
          <w:color w:val="000000"/>
          <w:kern w:val="0"/>
          <w14:ligatures w14:val="none"/>
        </w:rPr>
        <w:t>, 123</w:t>
      </w:r>
      <w:r w:rsidRPr="00332367">
        <w:rPr>
          <w:rFonts w:ascii="Times New Roman" w:eastAsia="Times New Roman" w:hAnsi="Times New Roman" w:cs="Times New Roman"/>
          <w:color w:val="000000"/>
          <w:kern w:val="0"/>
          <w14:ligatures w14:val="none"/>
        </w:rPr>
        <w:t>(1), 321–335. </w:t>
      </w:r>
      <w:hyperlink r:id="rId33" w:tgtFrame="_blank" w:history="1">
        <w:r w:rsidRPr="00332367">
          <w:rPr>
            <w:rFonts w:ascii="Times New Roman" w:eastAsia="Times New Roman" w:hAnsi="Times New Roman" w:cs="Times New Roman"/>
            <w:color w:val="0000FF"/>
            <w:kern w:val="0"/>
            <w:u w:val="single"/>
            <w14:ligatures w14:val="none"/>
          </w:rPr>
          <w:t>https://doi.org/10.1007/s11192-020-03387-8</w:t>
        </w:r>
      </w:hyperlink>
      <w:r w:rsidRPr="00332367">
        <w:rPr>
          <w:rFonts w:ascii="Times New Roman" w:eastAsia="Times New Roman" w:hAnsi="Times New Roman" w:cs="Times New Roman"/>
          <w:color w:val="000000"/>
          <w:kern w:val="0"/>
          <w14:ligatures w14:val="none"/>
        </w:rPr>
        <w:t>[</w:t>
      </w:r>
      <w:hyperlink r:id="rId34" w:history="1">
        <w:r w:rsidRPr="00332367">
          <w:rPr>
            <w:rFonts w:ascii="Times New Roman" w:eastAsia="Times New Roman" w:hAnsi="Times New Roman" w:cs="Times New Roman"/>
            <w:color w:val="0000FF"/>
            <w:kern w:val="0"/>
            <w:u w:val="single"/>
            <w14:ligatures w14:val="none"/>
          </w:rPr>
          <w:t>pmc.ncbi.nlm.nih</w:t>
        </w:r>
      </w:hyperlink>
      <w:r w:rsidRPr="00332367">
        <w:rPr>
          <w:rFonts w:ascii="Times New Roman" w:eastAsia="Times New Roman" w:hAnsi="Times New Roman" w:cs="Times New Roman"/>
          <w:color w:val="000000"/>
          <w:kern w:val="0"/>
          <w14:ligatures w14:val="none"/>
        </w:rPr>
        <w:t>]​</w:t>
      </w:r>
    </w:p>
    <w:p w14:paraId="0263934D" w14:textId="77777777" w:rsidR="00332367" w:rsidRPr="00332367" w:rsidRDefault="00332367" w:rsidP="00411EA9">
      <w:pPr>
        <w:spacing w:line="480" w:lineRule="auto"/>
        <w:jc w:val="both"/>
        <w:rPr>
          <w:rFonts w:ascii="Times New Roman" w:hAnsi="Times New Roman" w:cs="Times New Roman"/>
          <w:b/>
          <w:bCs/>
        </w:rPr>
      </w:pPr>
    </w:p>
    <w:sectPr w:rsidR="00332367" w:rsidRPr="00332367" w:rsidSect="00021B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366"/>
    <w:multiLevelType w:val="hybridMultilevel"/>
    <w:tmpl w:val="C83093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03640"/>
    <w:multiLevelType w:val="hybridMultilevel"/>
    <w:tmpl w:val="FAC4E22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AE73CE"/>
    <w:multiLevelType w:val="multilevel"/>
    <w:tmpl w:val="CFBA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A07D6"/>
    <w:multiLevelType w:val="hybridMultilevel"/>
    <w:tmpl w:val="B7A48A7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5CD1DBE"/>
    <w:multiLevelType w:val="hybridMultilevel"/>
    <w:tmpl w:val="9572C1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08314C"/>
    <w:multiLevelType w:val="multilevel"/>
    <w:tmpl w:val="53E8784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8E2466A"/>
    <w:multiLevelType w:val="multilevel"/>
    <w:tmpl w:val="078E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4046B"/>
    <w:multiLevelType w:val="hybridMultilevel"/>
    <w:tmpl w:val="3BBE378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B254C0"/>
    <w:multiLevelType w:val="hybridMultilevel"/>
    <w:tmpl w:val="01C0657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DE5017E"/>
    <w:multiLevelType w:val="hybridMultilevel"/>
    <w:tmpl w:val="318A0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8F052B"/>
    <w:multiLevelType w:val="multilevel"/>
    <w:tmpl w:val="F740E626"/>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D2558DA"/>
    <w:multiLevelType w:val="multilevel"/>
    <w:tmpl w:val="ECF2C7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6"/>
  </w:num>
  <w:num w:numId="3">
    <w:abstractNumId w:val="11"/>
  </w:num>
  <w:num w:numId="4">
    <w:abstractNumId w:val="4"/>
  </w:num>
  <w:num w:numId="5">
    <w:abstractNumId w:val="1"/>
  </w:num>
  <w:num w:numId="6">
    <w:abstractNumId w:val="7"/>
  </w:num>
  <w:num w:numId="7">
    <w:abstractNumId w:val="8"/>
  </w:num>
  <w:num w:numId="8">
    <w:abstractNumId w:val="0"/>
  </w:num>
  <w:num w:numId="9">
    <w:abstractNumId w:val="10"/>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9A"/>
    <w:rsid w:val="00021B36"/>
    <w:rsid w:val="00033C51"/>
    <w:rsid w:val="001404FF"/>
    <w:rsid w:val="001B2692"/>
    <w:rsid w:val="001D6263"/>
    <w:rsid w:val="00257A93"/>
    <w:rsid w:val="003069F2"/>
    <w:rsid w:val="00332367"/>
    <w:rsid w:val="00342828"/>
    <w:rsid w:val="00396EFF"/>
    <w:rsid w:val="003D35A5"/>
    <w:rsid w:val="004070E8"/>
    <w:rsid w:val="00411EA9"/>
    <w:rsid w:val="004A50AF"/>
    <w:rsid w:val="006E711F"/>
    <w:rsid w:val="0073541F"/>
    <w:rsid w:val="00790D8B"/>
    <w:rsid w:val="007C617B"/>
    <w:rsid w:val="007F4C38"/>
    <w:rsid w:val="0094684E"/>
    <w:rsid w:val="00A102CE"/>
    <w:rsid w:val="00A372D7"/>
    <w:rsid w:val="00CA0281"/>
    <w:rsid w:val="00D9459A"/>
    <w:rsid w:val="00DD5802"/>
    <w:rsid w:val="00DE2373"/>
    <w:rsid w:val="00F7250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4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4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9A"/>
    <w:rPr>
      <w:rFonts w:eastAsiaTheme="majorEastAsia" w:cstheme="majorBidi"/>
      <w:color w:val="272727" w:themeColor="text1" w:themeTint="D8"/>
    </w:rPr>
  </w:style>
  <w:style w:type="paragraph" w:styleId="Title">
    <w:name w:val="Title"/>
    <w:basedOn w:val="Normal"/>
    <w:next w:val="Normal"/>
    <w:link w:val="TitleChar"/>
    <w:uiPriority w:val="10"/>
    <w:qFormat/>
    <w:rsid w:val="00D94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9A"/>
    <w:pPr>
      <w:spacing w:before="160"/>
      <w:jc w:val="center"/>
    </w:pPr>
    <w:rPr>
      <w:i/>
      <w:iCs/>
      <w:color w:val="404040" w:themeColor="text1" w:themeTint="BF"/>
    </w:rPr>
  </w:style>
  <w:style w:type="character" w:customStyle="1" w:styleId="QuoteChar">
    <w:name w:val="Quote Char"/>
    <w:basedOn w:val="DefaultParagraphFont"/>
    <w:link w:val="Quote"/>
    <w:uiPriority w:val="29"/>
    <w:rsid w:val="00D9459A"/>
    <w:rPr>
      <w:i/>
      <w:iCs/>
      <w:color w:val="404040" w:themeColor="text1" w:themeTint="BF"/>
    </w:rPr>
  </w:style>
  <w:style w:type="paragraph" w:styleId="ListParagraph">
    <w:name w:val="List Paragraph"/>
    <w:basedOn w:val="Normal"/>
    <w:uiPriority w:val="34"/>
    <w:qFormat/>
    <w:rsid w:val="00D9459A"/>
    <w:pPr>
      <w:ind w:left="720"/>
      <w:contextualSpacing/>
    </w:pPr>
  </w:style>
  <w:style w:type="character" w:styleId="IntenseEmphasis">
    <w:name w:val="Intense Emphasis"/>
    <w:basedOn w:val="DefaultParagraphFont"/>
    <w:uiPriority w:val="21"/>
    <w:qFormat/>
    <w:rsid w:val="00D9459A"/>
    <w:rPr>
      <w:i/>
      <w:iCs/>
      <w:color w:val="0F4761" w:themeColor="accent1" w:themeShade="BF"/>
    </w:rPr>
  </w:style>
  <w:style w:type="paragraph" w:styleId="IntenseQuote">
    <w:name w:val="Intense Quote"/>
    <w:basedOn w:val="Normal"/>
    <w:next w:val="Normal"/>
    <w:link w:val="IntenseQuoteChar"/>
    <w:uiPriority w:val="30"/>
    <w:qFormat/>
    <w:rsid w:val="00D94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59A"/>
    <w:rPr>
      <w:i/>
      <w:iCs/>
      <w:color w:val="0F4761" w:themeColor="accent1" w:themeShade="BF"/>
    </w:rPr>
  </w:style>
  <w:style w:type="character" w:styleId="IntenseReference">
    <w:name w:val="Intense Reference"/>
    <w:basedOn w:val="DefaultParagraphFont"/>
    <w:uiPriority w:val="32"/>
    <w:qFormat/>
    <w:rsid w:val="00D9459A"/>
    <w:rPr>
      <w:b/>
      <w:bCs/>
      <w:smallCaps/>
      <w:color w:val="0F4761" w:themeColor="accent1" w:themeShade="BF"/>
      <w:spacing w:val="5"/>
    </w:rPr>
  </w:style>
  <w:style w:type="paragraph" w:customStyle="1" w:styleId="my-2">
    <w:name w:val="my-2"/>
    <w:basedOn w:val="Normal"/>
    <w:rsid w:val="00D945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line-block">
    <w:name w:val="inline-block"/>
    <w:basedOn w:val="DefaultParagraphFont"/>
    <w:rsid w:val="00D9459A"/>
  </w:style>
  <w:style w:type="character" w:customStyle="1" w:styleId="opacity-50">
    <w:name w:val="opacity-50"/>
    <w:basedOn w:val="DefaultParagraphFont"/>
    <w:rsid w:val="00D9459A"/>
  </w:style>
  <w:style w:type="character" w:customStyle="1" w:styleId="apple-converted-space">
    <w:name w:val="apple-converted-space"/>
    <w:basedOn w:val="DefaultParagraphFont"/>
    <w:rsid w:val="00D9459A"/>
  </w:style>
  <w:style w:type="character" w:styleId="Strong">
    <w:name w:val="Strong"/>
    <w:basedOn w:val="DefaultParagraphFont"/>
    <w:uiPriority w:val="22"/>
    <w:qFormat/>
    <w:rsid w:val="00D9459A"/>
    <w:rPr>
      <w:b/>
      <w:bCs/>
    </w:rPr>
  </w:style>
  <w:style w:type="paragraph" w:styleId="NormalWeb">
    <w:name w:val="Normal (Web)"/>
    <w:basedOn w:val="Normal"/>
    <w:uiPriority w:val="99"/>
    <w:semiHidden/>
    <w:unhideWhenUsed/>
    <w:rsid w:val="00033C51"/>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PlainTable2">
    <w:name w:val="Plain Table 2"/>
    <w:basedOn w:val="TableNormal"/>
    <w:uiPriority w:val="42"/>
    <w:rsid w:val="00411EA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nline-flex">
    <w:name w:val="inline-flex"/>
    <w:basedOn w:val="DefaultParagraphFont"/>
    <w:rsid w:val="00411EA9"/>
  </w:style>
  <w:style w:type="character" w:styleId="Emphasis">
    <w:name w:val="Emphasis"/>
    <w:basedOn w:val="DefaultParagraphFont"/>
    <w:uiPriority w:val="20"/>
    <w:qFormat/>
    <w:rsid w:val="00332367"/>
    <w:rPr>
      <w:i/>
      <w:iCs/>
    </w:rPr>
  </w:style>
  <w:style w:type="character" w:styleId="Hyperlink">
    <w:name w:val="Hyperlink"/>
    <w:basedOn w:val="DefaultParagraphFont"/>
    <w:uiPriority w:val="99"/>
    <w:semiHidden/>
    <w:unhideWhenUsed/>
    <w:rsid w:val="00332367"/>
    <w:rPr>
      <w:color w:val="0000FF"/>
      <w:u w:val="single"/>
    </w:rPr>
  </w:style>
  <w:style w:type="character" w:customStyle="1" w:styleId="text-box-trim-both">
    <w:name w:val="text-box-trim-both"/>
    <w:basedOn w:val="DefaultParagraphFont"/>
    <w:rsid w:val="00332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4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4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4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9A"/>
    <w:rPr>
      <w:rFonts w:eastAsiaTheme="majorEastAsia" w:cstheme="majorBidi"/>
      <w:color w:val="272727" w:themeColor="text1" w:themeTint="D8"/>
    </w:rPr>
  </w:style>
  <w:style w:type="paragraph" w:styleId="Title">
    <w:name w:val="Title"/>
    <w:basedOn w:val="Normal"/>
    <w:next w:val="Normal"/>
    <w:link w:val="TitleChar"/>
    <w:uiPriority w:val="10"/>
    <w:qFormat/>
    <w:rsid w:val="00D94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9A"/>
    <w:pPr>
      <w:spacing w:before="160"/>
      <w:jc w:val="center"/>
    </w:pPr>
    <w:rPr>
      <w:i/>
      <w:iCs/>
      <w:color w:val="404040" w:themeColor="text1" w:themeTint="BF"/>
    </w:rPr>
  </w:style>
  <w:style w:type="character" w:customStyle="1" w:styleId="QuoteChar">
    <w:name w:val="Quote Char"/>
    <w:basedOn w:val="DefaultParagraphFont"/>
    <w:link w:val="Quote"/>
    <w:uiPriority w:val="29"/>
    <w:rsid w:val="00D9459A"/>
    <w:rPr>
      <w:i/>
      <w:iCs/>
      <w:color w:val="404040" w:themeColor="text1" w:themeTint="BF"/>
    </w:rPr>
  </w:style>
  <w:style w:type="paragraph" w:styleId="ListParagraph">
    <w:name w:val="List Paragraph"/>
    <w:basedOn w:val="Normal"/>
    <w:uiPriority w:val="34"/>
    <w:qFormat/>
    <w:rsid w:val="00D9459A"/>
    <w:pPr>
      <w:ind w:left="720"/>
      <w:contextualSpacing/>
    </w:pPr>
  </w:style>
  <w:style w:type="character" w:styleId="IntenseEmphasis">
    <w:name w:val="Intense Emphasis"/>
    <w:basedOn w:val="DefaultParagraphFont"/>
    <w:uiPriority w:val="21"/>
    <w:qFormat/>
    <w:rsid w:val="00D9459A"/>
    <w:rPr>
      <w:i/>
      <w:iCs/>
      <w:color w:val="0F4761" w:themeColor="accent1" w:themeShade="BF"/>
    </w:rPr>
  </w:style>
  <w:style w:type="paragraph" w:styleId="IntenseQuote">
    <w:name w:val="Intense Quote"/>
    <w:basedOn w:val="Normal"/>
    <w:next w:val="Normal"/>
    <w:link w:val="IntenseQuoteChar"/>
    <w:uiPriority w:val="30"/>
    <w:qFormat/>
    <w:rsid w:val="00D94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59A"/>
    <w:rPr>
      <w:i/>
      <w:iCs/>
      <w:color w:val="0F4761" w:themeColor="accent1" w:themeShade="BF"/>
    </w:rPr>
  </w:style>
  <w:style w:type="character" w:styleId="IntenseReference">
    <w:name w:val="Intense Reference"/>
    <w:basedOn w:val="DefaultParagraphFont"/>
    <w:uiPriority w:val="32"/>
    <w:qFormat/>
    <w:rsid w:val="00D9459A"/>
    <w:rPr>
      <w:b/>
      <w:bCs/>
      <w:smallCaps/>
      <w:color w:val="0F4761" w:themeColor="accent1" w:themeShade="BF"/>
      <w:spacing w:val="5"/>
    </w:rPr>
  </w:style>
  <w:style w:type="paragraph" w:customStyle="1" w:styleId="my-2">
    <w:name w:val="my-2"/>
    <w:basedOn w:val="Normal"/>
    <w:rsid w:val="00D9459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line-block">
    <w:name w:val="inline-block"/>
    <w:basedOn w:val="DefaultParagraphFont"/>
    <w:rsid w:val="00D9459A"/>
  </w:style>
  <w:style w:type="character" w:customStyle="1" w:styleId="opacity-50">
    <w:name w:val="opacity-50"/>
    <w:basedOn w:val="DefaultParagraphFont"/>
    <w:rsid w:val="00D9459A"/>
  </w:style>
  <w:style w:type="character" w:customStyle="1" w:styleId="apple-converted-space">
    <w:name w:val="apple-converted-space"/>
    <w:basedOn w:val="DefaultParagraphFont"/>
    <w:rsid w:val="00D9459A"/>
  </w:style>
  <w:style w:type="character" w:styleId="Strong">
    <w:name w:val="Strong"/>
    <w:basedOn w:val="DefaultParagraphFont"/>
    <w:uiPriority w:val="22"/>
    <w:qFormat/>
    <w:rsid w:val="00D9459A"/>
    <w:rPr>
      <w:b/>
      <w:bCs/>
    </w:rPr>
  </w:style>
  <w:style w:type="paragraph" w:styleId="NormalWeb">
    <w:name w:val="Normal (Web)"/>
    <w:basedOn w:val="Normal"/>
    <w:uiPriority w:val="99"/>
    <w:semiHidden/>
    <w:unhideWhenUsed/>
    <w:rsid w:val="00033C51"/>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PlainTable2">
    <w:name w:val="Plain Table 2"/>
    <w:basedOn w:val="TableNormal"/>
    <w:uiPriority w:val="42"/>
    <w:rsid w:val="00411EA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nline-flex">
    <w:name w:val="inline-flex"/>
    <w:basedOn w:val="DefaultParagraphFont"/>
    <w:rsid w:val="00411EA9"/>
  </w:style>
  <w:style w:type="character" w:styleId="Emphasis">
    <w:name w:val="Emphasis"/>
    <w:basedOn w:val="DefaultParagraphFont"/>
    <w:uiPriority w:val="20"/>
    <w:qFormat/>
    <w:rsid w:val="00332367"/>
    <w:rPr>
      <w:i/>
      <w:iCs/>
    </w:rPr>
  </w:style>
  <w:style w:type="character" w:styleId="Hyperlink">
    <w:name w:val="Hyperlink"/>
    <w:basedOn w:val="DefaultParagraphFont"/>
    <w:uiPriority w:val="99"/>
    <w:semiHidden/>
    <w:unhideWhenUsed/>
    <w:rsid w:val="00332367"/>
    <w:rPr>
      <w:color w:val="0000FF"/>
      <w:u w:val="single"/>
    </w:rPr>
  </w:style>
  <w:style w:type="character" w:customStyle="1" w:styleId="text-box-trim-both">
    <w:name w:val="text-box-trim-both"/>
    <w:basedOn w:val="DefaultParagraphFont"/>
    <w:rsid w:val="00332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asi.21525" TargetMode="External"/><Relationship Id="rId18" Type="http://schemas.openxmlformats.org/officeDocument/2006/relationships/hyperlink" Target="https://archivepp.com/article/role-of-artificial-intelligence-in-pharmacy-practice-a-systematicnbspreview-bfx2nwmh5v7rapd" TargetMode="External"/><Relationship Id="rId26" Type="http://schemas.openxmlformats.org/officeDocument/2006/relationships/hyperlink" Target="https://doi.org/10.2196/76925" TargetMode="External"/><Relationship Id="rId3" Type="http://schemas.microsoft.com/office/2007/relationships/stylesWithEffects" Target="stylesWithEffects.xml"/><Relationship Id="rId21" Type="http://schemas.openxmlformats.org/officeDocument/2006/relationships/hyperlink" Target="https://doi.org/10.1016/S0140-6736(21)02724-0%5B25" TargetMode="External"/><Relationship Id="rId34" Type="http://schemas.openxmlformats.org/officeDocument/2006/relationships/hyperlink" Target="https://pmc.ncbi.nlm.nih.gov/articles/PMC8996204/" TargetMode="External"/><Relationship Id="rId7" Type="http://schemas.openxmlformats.org/officeDocument/2006/relationships/hyperlink" Target="https://doi.org/10.1016/j.joi.2017.08.007" TargetMode="External"/><Relationship Id="rId12" Type="http://schemas.openxmlformats.org/officeDocument/2006/relationships/hyperlink" Target="https://doi.org/10.1016/j.jclinepi.2023.07.011" TargetMode="External"/><Relationship Id="rId17" Type="http://schemas.openxmlformats.org/officeDocument/2006/relationships/hyperlink" Target="https://doi.org/10.51847/bfx2nwmh5v" TargetMode="External"/><Relationship Id="rId25" Type="http://schemas.openxmlformats.org/officeDocument/2006/relationships/hyperlink" Target="https://pubmed.ncbi.nlm.nih.gov/38714397/" TargetMode="External"/><Relationship Id="rId33" Type="http://schemas.openxmlformats.org/officeDocument/2006/relationships/hyperlink" Target="https://doi.org/10.1007/s11192-020-03387-8" TargetMode="External"/><Relationship Id="rId2" Type="http://schemas.openxmlformats.org/officeDocument/2006/relationships/styles" Target="styles.xml"/><Relationship Id="rId16" Type="http://schemas.openxmlformats.org/officeDocument/2006/relationships/hyperlink" Target="https://doi.org/10.1016/j.sapharm.2024.12.002" TargetMode="External"/><Relationship Id="rId20" Type="http://schemas.openxmlformats.org/officeDocument/2006/relationships/hyperlink" Target="https://doi.org/10.1038/s41746-025-01565-7" TargetMode="External"/><Relationship Id="rId29" Type="http://schemas.openxmlformats.org/officeDocument/2006/relationships/hyperlink" Target="https://doi.org/10.1007/s11192-009-0146-3" TargetMode="External"/><Relationship Id="rId1" Type="http://schemas.openxmlformats.org/officeDocument/2006/relationships/numbering" Target="numbering.xml"/><Relationship Id="rId6" Type="http://schemas.openxmlformats.org/officeDocument/2006/relationships/hyperlink" Target="https://doi.org/10.1111/jcpt.14104" TargetMode="External"/><Relationship Id="rId11" Type="http://schemas.openxmlformats.org/officeDocument/2006/relationships/hyperlink" Target="https://doi.org/10.1007/BF02019280" TargetMode="External"/><Relationship Id="rId24" Type="http://schemas.openxmlformats.org/officeDocument/2006/relationships/hyperlink" Target="https://doi.org/10.1016/j.sapharm.2024.04.009" TargetMode="External"/><Relationship Id="rId32" Type="http://schemas.openxmlformats.org/officeDocument/2006/relationships/hyperlink" Target="https://www.who.int/news/item/13-10-2025-who-warns-of-widespread-resistance-to-common-antibiotics-worldwide" TargetMode="External"/><Relationship Id="rId5" Type="http://schemas.openxmlformats.org/officeDocument/2006/relationships/webSettings" Target="webSettings.xml"/><Relationship Id="rId15" Type="http://schemas.openxmlformats.org/officeDocument/2006/relationships/hyperlink" Target="https://doi.org/10.1016/j.jbusres.2021.04.070" TargetMode="External"/><Relationship Id="rId23" Type="http://schemas.openxmlformats.org/officeDocument/2006/relationships/hyperlink" Target="https://doi.org/10.1136/bmj.n71" TargetMode="External"/><Relationship Id="rId28" Type="http://schemas.openxmlformats.org/officeDocument/2006/relationships/hyperlink" Target="https://doi.org/10.3389/fdgth.2021.669869" TargetMode="External"/><Relationship Id="rId36" Type="http://schemas.openxmlformats.org/officeDocument/2006/relationships/theme" Target="theme/theme1.xml"/><Relationship Id="rId10" Type="http://schemas.openxmlformats.org/officeDocument/2006/relationships/hyperlink" Target="https://pmc.ncbi.nlm.nih.gov/articles/PMC8996204/" TargetMode="External"/><Relationship Id="rId19" Type="http://schemas.openxmlformats.org/officeDocument/2006/relationships/hyperlink" Target="https://doi.org/10.1002/asi.5090140103" TargetMode="External"/><Relationship Id="rId31" Type="http://schemas.openxmlformats.org/officeDocument/2006/relationships/hyperlink" Target="https://www.who.int/news-room/fact-sheets/detail/antimicrobial-resistance" TargetMode="External"/><Relationship Id="rId4" Type="http://schemas.openxmlformats.org/officeDocument/2006/relationships/settings" Target="settings.xml"/><Relationship Id="rId9" Type="http://schemas.openxmlformats.org/officeDocument/2006/relationships/hyperlink" Target="https://doi.org/10.3145/epi.2020.mar.06" TargetMode="External"/><Relationship Id="rId14" Type="http://schemas.openxmlformats.org/officeDocument/2006/relationships/hyperlink" Target="https://doi.org/10.1371/journal.pone.0320840" TargetMode="External"/><Relationship Id="rId22" Type="http://schemas.openxmlformats.org/officeDocument/2006/relationships/hyperlink" Target="https://www.thelancet.com/journals/lancet/article/PIIS0140-6736(21)02724-0/fulltext" TargetMode="External"/><Relationship Id="rId27" Type="http://schemas.openxmlformats.org/officeDocument/2006/relationships/hyperlink" Target="https://unimma.press/conference/index.php/bishes/article/view/245" TargetMode="External"/><Relationship Id="rId30" Type="http://schemas.openxmlformats.org/officeDocument/2006/relationships/hyperlink" Target="https://www.who.int/news-room/fact-sheets/detail/antimicrobial-resistance" TargetMode="External"/><Relationship Id="rId35" Type="http://schemas.openxmlformats.org/officeDocument/2006/relationships/fontTable" Target="fontTable.xml"/><Relationship Id="rId8" Type="http://schemas.openxmlformats.org/officeDocument/2006/relationships/hyperlink" Target="https://ideas.repec.org/a/eee/infome/v11y2017i4p959-9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8862</Words>
  <Characters>50520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Pagdanganan</dc:creator>
  <cp:keywords/>
  <dc:description/>
  <cp:lastModifiedBy>qwert</cp:lastModifiedBy>
  <cp:revision>3</cp:revision>
  <dcterms:created xsi:type="dcterms:W3CDTF">2026-03-17T14:02:00Z</dcterms:created>
  <dcterms:modified xsi:type="dcterms:W3CDTF">2026-03-18T07:30:00Z</dcterms:modified>
</cp:coreProperties>
</file>