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C0A9" w14:textId="696C0A2B" w:rsidR="0064476B" w:rsidRPr="00D53E84" w:rsidRDefault="0064476B" w:rsidP="006D13D8">
      <w:pPr>
        <w:spacing w:after="0" w:line="240" w:lineRule="auto"/>
        <w:jc w:val="center"/>
        <w:rPr>
          <w:rFonts w:ascii="Arial" w:hAnsi="Arial" w:cs="Arial"/>
          <w:b/>
          <w:bCs/>
          <w:color w:val="000000" w:themeColor="text1"/>
          <w:lang w:val="en-US"/>
        </w:rPr>
      </w:pPr>
      <w:bookmarkStart w:id="0" w:name="_Hlk166586446"/>
      <w:r w:rsidRPr="00D53E84">
        <w:rPr>
          <w:rFonts w:ascii="Arial" w:hAnsi="Arial" w:cs="Arial"/>
          <w:b/>
          <w:bCs/>
          <w:color w:val="000000" w:themeColor="text1"/>
          <w:lang w:val="en-US"/>
        </w:rPr>
        <w:t>INFLUENCE OF AWARENESS, PARTICIPATION IN DRRM ACTIVITIES &amp; DISASTER PREPAREDNES</w:t>
      </w:r>
      <w:r w:rsidR="00B6428A">
        <w:rPr>
          <w:rFonts w:ascii="Arial" w:hAnsi="Arial" w:cs="Arial"/>
          <w:b/>
          <w:bCs/>
          <w:color w:val="000000" w:themeColor="text1"/>
          <w:lang w:val="en-US"/>
        </w:rPr>
        <w:t>S</w:t>
      </w:r>
      <w:r w:rsidRPr="00D53E84">
        <w:rPr>
          <w:rFonts w:ascii="Arial" w:hAnsi="Arial" w:cs="Arial"/>
          <w:b/>
          <w:bCs/>
          <w:color w:val="000000" w:themeColor="text1"/>
          <w:lang w:val="en-US"/>
        </w:rPr>
        <w:t xml:space="preserve"> ON </w:t>
      </w:r>
      <w:r>
        <w:rPr>
          <w:rFonts w:ascii="Arial" w:hAnsi="Arial" w:cs="Arial"/>
          <w:b/>
          <w:bCs/>
          <w:color w:val="000000" w:themeColor="text1"/>
          <w:lang w:val="en-US"/>
        </w:rPr>
        <w:t>STUDENT’S ENGAGEMENT IN EMERGENCY</w:t>
      </w:r>
      <w:r w:rsidRPr="00D53E84">
        <w:rPr>
          <w:rFonts w:ascii="Arial" w:hAnsi="Arial" w:cs="Arial"/>
          <w:b/>
          <w:bCs/>
          <w:color w:val="000000" w:themeColor="text1"/>
          <w:lang w:val="en-US"/>
        </w:rPr>
        <w:t xml:space="preserve"> MANAGEMENT PRACTICES</w:t>
      </w:r>
    </w:p>
    <w:p w14:paraId="1DDFE991" w14:textId="77777777" w:rsidR="00D13DC5" w:rsidRPr="00D13DC5" w:rsidRDefault="00D13DC5" w:rsidP="006D13D8">
      <w:pPr>
        <w:spacing w:after="0" w:line="240" w:lineRule="auto"/>
        <w:jc w:val="center"/>
        <w:rPr>
          <w:rFonts w:ascii="Arial" w:hAnsi="Arial" w:cs="Arial"/>
          <w:i/>
          <w:iCs/>
          <w:color w:val="000000" w:themeColor="text1"/>
        </w:rPr>
      </w:pPr>
    </w:p>
    <w:bookmarkEnd w:id="0"/>
    <w:p w14:paraId="5AC094EF" w14:textId="77777777" w:rsidR="00BC340E" w:rsidRPr="00577764" w:rsidRDefault="00BC340E" w:rsidP="008F45DF">
      <w:pPr>
        <w:spacing w:after="0" w:line="240" w:lineRule="auto"/>
        <w:jc w:val="both"/>
        <w:rPr>
          <w:rFonts w:ascii="Arial" w:hAnsi="Arial" w:cs="Arial"/>
          <w:b/>
          <w:bCs/>
          <w:sz w:val="20"/>
          <w:szCs w:val="20"/>
          <w:lang w:val="en-US"/>
        </w:rPr>
      </w:pPr>
    </w:p>
    <w:p w14:paraId="677CBF59" w14:textId="7DF275CA" w:rsidR="00BC340E" w:rsidRDefault="00BC340E" w:rsidP="008F45DF">
      <w:pPr>
        <w:pStyle w:val="NoSpacing"/>
        <w:jc w:val="both"/>
        <w:rPr>
          <w:rFonts w:ascii="Arial" w:hAnsi="Arial" w:cs="Arial"/>
          <w:b/>
          <w:bCs/>
        </w:rPr>
      </w:pPr>
      <w:r w:rsidRPr="00D13DC5">
        <w:rPr>
          <w:rFonts w:ascii="Arial" w:hAnsi="Arial" w:cs="Arial"/>
          <w:b/>
          <w:bCs/>
        </w:rPr>
        <w:t>Abstract</w:t>
      </w:r>
    </w:p>
    <w:p w14:paraId="5E9771DA" w14:textId="77777777" w:rsidR="0064476B" w:rsidRPr="00D13DC5" w:rsidRDefault="0064476B" w:rsidP="008F45DF">
      <w:pPr>
        <w:pStyle w:val="NoSpacing"/>
        <w:jc w:val="both"/>
        <w:rPr>
          <w:rFonts w:ascii="Arial" w:hAnsi="Arial" w:cs="Arial"/>
          <w:b/>
          <w:bCs/>
        </w:rPr>
      </w:pPr>
    </w:p>
    <w:p w14:paraId="76330468"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Disaster preparedness is essential in developing community resilience among</w:t>
      </w:r>
    </w:p>
    <w:p w14:paraId="1E3CFDC6"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future educators; however, existing studies indicate a gap between students’</w:t>
      </w:r>
    </w:p>
    <w:p w14:paraId="24E04F4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disaster awareness, participation in Disaster Risk Reduction and Management</w:t>
      </w:r>
    </w:p>
    <w:p w14:paraId="4C4F038E"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(DRRM) activities, disaster preparedness, and their engagement in emergency</w:t>
      </w:r>
    </w:p>
    <w:p w14:paraId="0E483C79"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management practices. This study examined the influence of disaster</w:t>
      </w:r>
    </w:p>
    <w:p w14:paraId="0444B84A"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awareness, participation in DRRM activities, and disaster preparedness on</w:t>
      </w:r>
    </w:p>
    <w:p w14:paraId="5B5EA98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student engagement in emergency management practices among education</w:t>
      </w:r>
    </w:p>
    <w:p w14:paraId="599B68A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students. Guided by the Protection Motivation Theory (Rogers, 1975), the study</w:t>
      </w:r>
    </w:p>
    <w:p w14:paraId="3A0BA89D"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employed a descriptive-correlational research design involving 141 students</w:t>
      </w:r>
    </w:p>
    <w:p w14:paraId="6C505ADC"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selected through stratified random sampling. Data were collected using a</w:t>
      </w:r>
    </w:p>
    <w:p w14:paraId="61BAA33B"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validated survey questionnaire measuring the variables of disaster awareness,</w:t>
      </w:r>
    </w:p>
    <w:p w14:paraId="5014EB45"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participation in DRRM activities, disaster preparedness, and student engagement</w:t>
      </w:r>
    </w:p>
    <w:p w14:paraId="4D9291EE"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in emergency management practices. Descriptive analysis revealed generally</w:t>
      </w:r>
    </w:p>
    <w:p w14:paraId="0AF52577"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high levels across the measured variables. Multiple regression analysis indicated</w:t>
      </w:r>
    </w:p>
    <w:p w14:paraId="79AAFD13"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that disaster awareness, participation in DRRM activities, and disaster</w:t>
      </w:r>
    </w:p>
    <w:p w14:paraId="2FBBC09B"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preparedness significantly influenced student engagement in emergency</w:t>
      </w:r>
    </w:p>
    <w:p w14:paraId="50D8DA24"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management practices, with participation emerging as the strongest predictor.</w:t>
      </w:r>
    </w:p>
    <w:p w14:paraId="2A357D22"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The findings highlight that while awareness provides foundational knowledge,</w:t>
      </w:r>
    </w:p>
    <w:p w14:paraId="610E43F6"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active participation in DRRM initiatives and practical preparedness activities play</w:t>
      </w:r>
    </w:p>
    <w:p w14:paraId="7B52208F"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a stronger role in enhancing students’ readiness and engagement in emergency</w:t>
      </w:r>
    </w:p>
    <w:p w14:paraId="18B8193E"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management practices. These results underscore the importance of</w:t>
      </w:r>
    </w:p>
    <w:p w14:paraId="69AD2CC6"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strengthening experiential and participatory DRRM initiatives within teacher</w:t>
      </w:r>
    </w:p>
    <w:p w14:paraId="339B8C2F"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education programs to further enhance students’ preparedness and engagement</w:t>
      </w:r>
    </w:p>
    <w:p w14:paraId="715DC242" w14:textId="77777777" w:rsidR="00EF4F5C" w:rsidRPr="00EF4F5C" w:rsidRDefault="00EF4F5C" w:rsidP="008F45DF">
      <w:pPr>
        <w:spacing w:after="0" w:line="240" w:lineRule="auto"/>
        <w:jc w:val="both"/>
        <w:rPr>
          <w:rFonts w:ascii="Arial" w:hAnsi="Arial" w:cs="Arial"/>
          <w:color w:val="000000" w:themeColor="text1"/>
        </w:rPr>
      </w:pPr>
      <w:r w:rsidRPr="00EF4F5C">
        <w:rPr>
          <w:rFonts w:ascii="Arial" w:hAnsi="Arial" w:cs="Arial"/>
          <w:color w:val="000000" w:themeColor="text1"/>
        </w:rPr>
        <w:t>in emergency management practices.</w:t>
      </w:r>
    </w:p>
    <w:p w14:paraId="34F2605A" w14:textId="77777777" w:rsidR="00EF4F5C" w:rsidRPr="00EF4F5C" w:rsidRDefault="00EF4F5C" w:rsidP="008F45DF">
      <w:pPr>
        <w:spacing w:after="0" w:line="240" w:lineRule="auto"/>
        <w:jc w:val="both"/>
        <w:rPr>
          <w:rFonts w:ascii="Arial" w:hAnsi="Arial" w:cs="Arial"/>
          <w:color w:val="000000" w:themeColor="text1"/>
        </w:rPr>
      </w:pPr>
    </w:p>
    <w:p w14:paraId="516738A2" w14:textId="77777777" w:rsidR="00EF4F5C" w:rsidRPr="00EF4F5C" w:rsidRDefault="00EF4F5C" w:rsidP="008F45DF">
      <w:pPr>
        <w:spacing w:after="0" w:line="240" w:lineRule="auto"/>
        <w:jc w:val="both"/>
        <w:rPr>
          <w:rFonts w:ascii="Arial" w:hAnsi="Arial" w:cs="Arial"/>
          <w:i/>
          <w:iCs/>
          <w:color w:val="000000" w:themeColor="text1"/>
        </w:rPr>
      </w:pPr>
      <w:r w:rsidRPr="00EF4F5C">
        <w:rPr>
          <w:rFonts w:ascii="Arial" w:hAnsi="Arial" w:cs="Arial"/>
          <w:b/>
          <w:bCs/>
          <w:color w:val="000000" w:themeColor="text1"/>
        </w:rPr>
        <w:t>Keywords:</w:t>
      </w:r>
      <w:r w:rsidRPr="00EF4F5C">
        <w:rPr>
          <w:rFonts w:ascii="Arial" w:hAnsi="Arial" w:cs="Arial"/>
          <w:color w:val="000000" w:themeColor="text1"/>
        </w:rPr>
        <w:t xml:space="preserve"> </w:t>
      </w:r>
      <w:r w:rsidRPr="00EF4F5C">
        <w:rPr>
          <w:rFonts w:ascii="Arial" w:hAnsi="Arial" w:cs="Arial"/>
          <w:i/>
          <w:iCs/>
          <w:color w:val="000000" w:themeColor="text1"/>
        </w:rPr>
        <w:t>awareness, disaster preparedness, DRRM participation, student</w:t>
      </w:r>
    </w:p>
    <w:p w14:paraId="4E03E769" w14:textId="7FF473D1" w:rsidR="0064476B" w:rsidRPr="00EF4F5C" w:rsidRDefault="00EF4F5C" w:rsidP="008F45DF">
      <w:pPr>
        <w:spacing w:after="0" w:line="240" w:lineRule="auto"/>
        <w:jc w:val="both"/>
        <w:rPr>
          <w:rFonts w:ascii="Arial" w:hAnsi="Arial" w:cs="Arial"/>
          <w:i/>
          <w:iCs/>
          <w:color w:val="000000" w:themeColor="text1"/>
        </w:rPr>
      </w:pPr>
      <w:r w:rsidRPr="00EF4F5C">
        <w:rPr>
          <w:rFonts w:ascii="Arial" w:hAnsi="Arial" w:cs="Arial"/>
          <w:i/>
          <w:iCs/>
          <w:color w:val="000000" w:themeColor="text1"/>
        </w:rPr>
        <w:t>engagement in emergency management practices</w:t>
      </w:r>
    </w:p>
    <w:p w14:paraId="59F42C38" w14:textId="77777777" w:rsidR="0022384F" w:rsidRPr="00EF4F5C" w:rsidRDefault="0022384F" w:rsidP="008F45DF">
      <w:pPr>
        <w:spacing w:before="240" w:line="240" w:lineRule="auto"/>
        <w:jc w:val="both"/>
        <w:rPr>
          <w:rFonts w:ascii="Arial" w:hAnsi="Arial" w:cs="Arial"/>
          <w:b/>
          <w:bCs/>
          <w:i/>
          <w:iCs/>
          <w:color w:val="000000" w:themeColor="text1"/>
        </w:rPr>
      </w:pPr>
    </w:p>
    <w:p w14:paraId="76E470BB" w14:textId="77777777" w:rsidR="00EF4F5C" w:rsidRPr="00EF4F5C" w:rsidRDefault="00EF4F5C" w:rsidP="008F45DF">
      <w:pPr>
        <w:spacing w:before="240" w:line="240" w:lineRule="auto"/>
        <w:jc w:val="both"/>
        <w:rPr>
          <w:rFonts w:ascii="Arial" w:hAnsi="Arial" w:cs="Arial"/>
          <w:b/>
          <w:bCs/>
          <w:i/>
          <w:iCs/>
        </w:rPr>
      </w:pPr>
    </w:p>
    <w:p w14:paraId="1A812C8A" w14:textId="77777777" w:rsidR="009B07B8" w:rsidRDefault="00BC340E" w:rsidP="008F45DF">
      <w:pPr>
        <w:spacing w:after="0" w:line="240" w:lineRule="auto"/>
        <w:jc w:val="both"/>
        <w:rPr>
          <w:rFonts w:ascii="Arial" w:hAnsi="Arial" w:cs="Arial"/>
          <w:b/>
          <w:bCs/>
        </w:rPr>
      </w:pPr>
      <w:r w:rsidRPr="00D13DC5">
        <w:rPr>
          <w:rFonts w:ascii="Arial" w:hAnsi="Arial" w:cs="Arial"/>
          <w:b/>
          <w:bCs/>
        </w:rPr>
        <w:t>Introduction</w:t>
      </w:r>
    </w:p>
    <w:p w14:paraId="6F075382" w14:textId="77777777" w:rsidR="009B07B8" w:rsidRDefault="009B07B8" w:rsidP="008F45DF">
      <w:pPr>
        <w:spacing w:after="0" w:line="240" w:lineRule="auto"/>
        <w:jc w:val="both"/>
        <w:rPr>
          <w:rFonts w:ascii="Arial" w:hAnsi="Arial" w:cs="Arial"/>
          <w:b/>
          <w:bCs/>
        </w:rPr>
      </w:pPr>
    </w:p>
    <w:p w14:paraId="0B0395DE" w14:textId="6C46AC63" w:rsidR="009B07B8" w:rsidRPr="009B07B8" w:rsidRDefault="009B07B8" w:rsidP="008F45DF">
      <w:pPr>
        <w:spacing w:after="0" w:line="240" w:lineRule="auto"/>
        <w:jc w:val="both"/>
        <w:rPr>
          <w:rFonts w:ascii="Arial" w:hAnsi="Arial" w:cs="Arial"/>
          <w:b/>
          <w:bCs/>
        </w:rPr>
        <w:sectPr w:rsidR="009B07B8" w:rsidRPr="009B07B8" w:rsidSect="00D13DC5">
          <w:type w:val="continuous"/>
          <w:pgSz w:w="12240" w:h="15840"/>
          <w:pgMar w:top="1440" w:right="1440" w:bottom="1440" w:left="2160" w:header="709" w:footer="709" w:gutter="0"/>
          <w:cols w:space="708"/>
          <w:docGrid w:linePitch="360"/>
        </w:sectPr>
      </w:pPr>
    </w:p>
    <w:p w14:paraId="08C170E4"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The Philippines stands as a country that is most vulnerable to disasters globally, and this may be attributed to its position on the Pacific Ring of Fire and within the typhoon corridor. This vulnerability demands a comprehensive strategy for disaster readiness, especially within educational settings where young individuals can be encouraged to engage proactively in Disaster Risk Reduction and Management (DRRM).  Malto (2021) noted that an increased understanding </w:t>
      </w:r>
      <w:r w:rsidRPr="00D53E84">
        <w:rPr>
          <w:rFonts w:ascii="Arial" w:hAnsi="Arial" w:cs="Arial"/>
          <w:color w:val="000000" w:themeColor="text1"/>
        </w:rPr>
        <w:lastRenderedPageBreak/>
        <w:t>of disaster risks among students greatly enhances their preparedness, underscoring the importance of incorporating DRRM into higher education curricula.</w:t>
      </w:r>
    </w:p>
    <w:p w14:paraId="11C7317C" w14:textId="77777777" w:rsidR="00B47EA6" w:rsidRPr="00D53E84" w:rsidRDefault="00B47EA6" w:rsidP="008F45DF">
      <w:pPr>
        <w:spacing w:after="0" w:line="240" w:lineRule="auto"/>
        <w:ind w:firstLine="720"/>
        <w:jc w:val="both"/>
        <w:rPr>
          <w:rFonts w:ascii="Arial" w:hAnsi="Arial" w:cs="Arial"/>
          <w:color w:val="000000" w:themeColor="text1"/>
        </w:rPr>
      </w:pPr>
    </w:p>
    <w:p w14:paraId="2DDB0C92" w14:textId="5A34C08E" w:rsidR="00EF4F5C" w:rsidRDefault="00EF4F5C" w:rsidP="006D13D8">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Natural disasters pose a serious threat to life, property, and the continuation of education, especially in areas that are already weak, like the island province of Camiguin. </w:t>
      </w:r>
      <w:r>
        <w:rPr>
          <w:rFonts w:ascii="Arial" w:hAnsi="Arial" w:cs="Arial"/>
          <w:color w:val="000000" w:themeColor="text1"/>
        </w:rPr>
        <w:t xml:space="preserve">The </w:t>
      </w:r>
      <w:r w:rsidRPr="00D53E84">
        <w:rPr>
          <w:rFonts w:ascii="Arial" w:hAnsi="Arial" w:cs="Arial"/>
          <w:color w:val="000000" w:themeColor="text1"/>
        </w:rPr>
        <w:t>students are expected to be academically strong and ready to handle emergencies as future teachers.</w:t>
      </w:r>
      <w:r w:rsidRPr="00D53E84">
        <w:rPr>
          <w:color w:val="000000" w:themeColor="text1"/>
        </w:rPr>
        <w:t xml:space="preserve"> </w:t>
      </w:r>
      <w:r w:rsidRPr="00D53E84">
        <w:rPr>
          <w:rFonts w:ascii="Arial" w:hAnsi="Arial" w:cs="Arial"/>
          <w:color w:val="000000" w:themeColor="text1"/>
        </w:rPr>
        <w:t>It remains concerning to some extent, even while efforts are being made to include Disaster Risk Reduction and Management (DRRM) education in the primary and secondary school curricula, concerning the awareness, engagement, and overall implications on the preparedness of tertiary students in DRRM activities.</w:t>
      </w:r>
      <w:r w:rsidR="006D13D8">
        <w:rPr>
          <w:rFonts w:ascii="Arial" w:hAnsi="Arial" w:cs="Arial"/>
          <w:color w:val="000000" w:themeColor="text1"/>
        </w:rPr>
        <w:t xml:space="preserve"> </w:t>
      </w:r>
      <w:r w:rsidRPr="00D53E84">
        <w:rPr>
          <w:rFonts w:ascii="Arial" w:hAnsi="Arial" w:cs="Arial"/>
          <w:color w:val="000000" w:themeColor="text1"/>
        </w:rPr>
        <w:t>Indeed, disasters are recurring</w:t>
      </w:r>
      <w:r>
        <w:rPr>
          <w:rFonts w:ascii="Arial" w:hAnsi="Arial" w:cs="Arial"/>
          <w:color w:val="000000" w:themeColor="text1"/>
        </w:rPr>
        <w:t xml:space="preserve"> </w:t>
      </w:r>
      <w:r w:rsidRPr="00D53E84">
        <w:rPr>
          <w:rFonts w:ascii="Arial" w:hAnsi="Arial" w:cs="Arial"/>
          <w:color w:val="000000" w:themeColor="text1"/>
        </w:rPr>
        <w:t>and increasing</w:t>
      </w:r>
      <w:r>
        <w:rPr>
          <w:rFonts w:ascii="Arial" w:hAnsi="Arial" w:cs="Arial"/>
          <w:color w:val="000000" w:themeColor="text1"/>
        </w:rPr>
        <w:t xml:space="preserve"> </w:t>
      </w:r>
      <w:r w:rsidRPr="00D53E84">
        <w:rPr>
          <w:rFonts w:ascii="Arial" w:hAnsi="Arial" w:cs="Arial"/>
          <w:color w:val="000000" w:themeColor="text1"/>
        </w:rPr>
        <w:t>in frequency and intensity around the globe. This underpins why every institution, especially schools, ought to prioritize preparedness.</w:t>
      </w:r>
    </w:p>
    <w:p w14:paraId="6EC8F294" w14:textId="77777777" w:rsidR="00B47EA6" w:rsidRPr="00D53E84" w:rsidRDefault="00B47EA6" w:rsidP="008F45DF">
      <w:pPr>
        <w:spacing w:after="0" w:line="240" w:lineRule="auto"/>
        <w:jc w:val="both"/>
        <w:rPr>
          <w:rFonts w:ascii="Arial" w:hAnsi="Arial" w:cs="Arial"/>
          <w:color w:val="000000" w:themeColor="text1"/>
        </w:rPr>
      </w:pPr>
    </w:p>
    <w:p w14:paraId="2C43EF94" w14:textId="77777777" w:rsidR="008548F7"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Furthermore, actively taking part in drills, seminars, and community-based activities related to DRRM helps cultivate the confidence and competence needed for disaster response. Medina and Dungo’s (2024) research concerning students participating in simulation exercises revealed a marked improvement in strategic thinking and resilience during real-world crises.</w:t>
      </w:r>
      <w:r w:rsidR="008548F7">
        <w:rPr>
          <w:rFonts w:ascii="Arial" w:hAnsi="Arial" w:cs="Arial"/>
          <w:color w:val="000000" w:themeColor="text1"/>
        </w:rPr>
        <w:t xml:space="preserve"> </w:t>
      </w:r>
      <w:r w:rsidRPr="00D53E84">
        <w:rPr>
          <w:rFonts w:ascii="Arial" w:hAnsi="Arial" w:cs="Arial"/>
          <w:color w:val="000000" w:themeColor="text1"/>
        </w:rPr>
        <w:t>Ching et al. (2023) highlights that the use of information technology in learning during Disaster Risk Reduction Management (DRRM) classes increases focus and retention,</w:t>
      </w:r>
      <w:r w:rsidR="00F352DC">
        <w:rPr>
          <w:rFonts w:ascii="Arial" w:hAnsi="Arial" w:cs="Arial"/>
          <w:color w:val="000000" w:themeColor="text1"/>
        </w:rPr>
        <w:t xml:space="preserve"> </w:t>
      </w:r>
      <w:r w:rsidR="00F352DC" w:rsidRPr="00F352DC">
        <w:rPr>
          <w:rFonts w:ascii="Arial" w:hAnsi="Arial" w:cs="Arial"/>
          <w:color w:val="000000" w:themeColor="text1"/>
        </w:rPr>
        <w:t xml:space="preserve">Similarly, integrating disaster preparedness topics into educational curricula has been found to significantly improve students’ understanding of disaster response procedures and safety protocols (Kim et al., 2023). </w:t>
      </w:r>
    </w:p>
    <w:p w14:paraId="5F25125B" w14:textId="77777777" w:rsidR="008548F7" w:rsidRDefault="008548F7" w:rsidP="008F45DF">
      <w:pPr>
        <w:spacing w:after="0" w:line="240" w:lineRule="auto"/>
        <w:ind w:firstLine="720"/>
        <w:jc w:val="both"/>
        <w:rPr>
          <w:rFonts w:ascii="Arial" w:hAnsi="Arial" w:cs="Arial"/>
          <w:color w:val="000000" w:themeColor="text1"/>
        </w:rPr>
      </w:pPr>
    </w:p>
    <w:p w14:paraId="7CD06BCB" w14:textId="77777777" w:rsidR="008548F7" w:rsidRDefault="00F352DC" w:rsidP="008F45DF">
      <w:pPr>
        <w:spacing w:after="0" w:line="240" w:lineRule="auto"/>
        <w:ind w:firstLine="720"/>
        <w:jc w:val="both"/>
        <w:rPr>
          <w:rFonts w:ascii="Arial" w:hAnsi="Arial" w:cs="Arial"/>
          <w:color w:val="000000" w:themeColor="text1"/>
        </w:rPr>
      </w:pPr>
      <w:r w:rsidRPr="00F352DC">
        <w:rPr>
          <w:rFonts w:ascii="Arial" w:hAnsi="Arial" w:cs="Arial"/>
          <w:color w:val="000000" w:themeColor="text1"/>
        </w:rPr>
        <w:t>Technology-enhanced learning platforms also support interactive disaster preparedness training and improve student engagement in DRRM education (Roberts, 2025).</w:t>
      </w:r>
      <w:r w:rsidR="00EF4F5C" w:rsidRPr="00D53E84">
        <w:rPr>
          <w:rFonts w:ascii="Arial" w:hAnsi="Arial" w:cs="Arial"/>
          <w:color w:val="000000" w:themeColor="text1"/>
        </w:rPr>
        <w:t xml:space="preserve"> turning preparation into a more accessible process. Disaster risk reduction (DRR) commences within the higher learning institutions which seek to build a culture of resilience among learners through relevant workshops and structured programs. Educators and community leaders of tomorrow, the BTLED students, as well as their peers from other colleges of education, are expected to model and advocate for a culture of disaster preparedness. </w:t>
      </w:r>
    </w:p>
    <w:p w14:paraId="207352E8" w14:textId="77777777" w:rsidR="008548F7" w:rsidRDefault="008548F7" w:rsidP="008F45DF">
      <w:pPr>
        <w:spacing w:after="0" w:line="240" w:lineRule="auto"/>
        <w:ind w:firstLine="720"/>
        <w:jc w:val="both"/>
        <w:rPr>
          <w:rFonts w:ascii="Arial" w:hAnsi="Arial" w:cs="Arial"/>
          <w:color w:val="000000" w:themeColor="text1"/>
        </w:rPr>
      </w:pPr>
    </w:p>
    <w:p w14:paraId="1B43432C" w14:textId="62C45164" w:rsidR="00EF4F5C" w:rsidRDefault="008548F7" w:rsidP="008F45DF">
      <w:pPr>
        <w:spacing w:after="0" w:line="240" w:lineRule="auto"/>
        <w:ind w:firstLine="720"/>
        <w:jc w:val="both"/>
        <w:rPr>
          <w:rFonts w:ascii="Arial" w:hAnsi="Arial" w:cs="Arial"/>
          <w:color w:val="000000" w:themeColor="text1"/>
        </w:rPr>
      </w:pPr>
      <w:r w:rsidRPr="008548F7">
        <w:rPr>
          <w:rFonts w:ascii="Arial" w:hAnsi="Arial" w:cs="Arial"/>
          <w:color w:val="000000" w:themeColor="text1"/>
        </w:rPr>
        <w:t>Teacher education institutions therefore play an essential role in strengthening disaster preparedness by integrating DRRM concepts into the curriculum and training future educators to promote safety practices within schools and communities (Gonzales et al., 2023; Kang &amp; Lee, 2024; Smith &amp; Lee, 2021).</w:t>
      </w:r>
      <w:r>
        <w:rPr>
          <w:rFonts w:ascii="Arial" w:hAnsi="Arial" w:cs="Arial"/>
          <w:color w:val="000000" w:themeColor="text1"/>
        </w:rPr>
        <w:t xml:space="preserve"> </w:t>
      </w:r>
      <w:r w:rsidR="00EF4F5C" w:rsidRPr="00D53E84">
        <w:rPr>
          <w:rFonts w:ascii="Arial" w:hAnsi="Arial" w:cs="Arial"/>
          <w:color w:val="000000" w:themeColor="text1"/>
        </w:rPr>
        <w:t>Their individual level of awareness and engagement with the practiced frameworks of safety is fundamental not only for personal protection, but also in their emerging roles as national change champions in schools and communities.</w:t>
      </w:r>
    </w:p>
    <w:p w14:paraId="2F785391" w14:textId="77777777" w:rsidR="00B47EA6" w:rsidRPr="00D53E84" w:rsidRDefault="00B47EA6" w:rsidP="008F45DF">
      <w:pPr>
        <w:spacing w:after="0" w:line="240" w:lineRule="auto"/>
        <w:ind w:firstLine="720"/>
        <w:jc w:val="both"/>
        <w:rPr>
          <w:rFonts w:ascii="Arial" w:hAnsi="Arial" w:cs="Arial"/>
          <w:color w:val="000000" w:themeColor="text1"/>
        </w:rPr>
      </w:pPr>
    </w:p>
    <w:p w14:paraId="7E74B530" w14:textId="19F1EE0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According to Asuncion et al. (2023), university students’ awareness is significantly influenced by educational exposure to disaster-related content. </w:t>
      </w:r>
      <w:r w:rsidR="00F352DC" w:rsidRPr="00F352DC">
        <w:rPr>
          <w:rFonts w:ascii="Arial" w:hAnsi="Arial" w:cs="Arial"/>
          <w:color w:val="000000" w:themeColor="text1"/>
        </w:rPr>
        <w:lastRenderedPageBreak/>
        <w:t>Disaster awareness among university students is also shaped by exposure to hazard education, safety campaigns, and risk communication programs implemented within educational institutions (Francisco et al., 2024; Park et al., 2023). Additionally, awareness plays a critical role in influencing preparedness behaviors and risk perception among students (Lee &amp; Choi, 2021).</w:t>
      </w:r>
      <w:r w:rsidR="00F352DC">
        <w:rPr>
          <w:rFonts w:ascii="Arial" w:hAnsi="Arial" w:cs="Arial"/>
          <w:color w:val="000000" w:themeColor="text1"/>
        </w:rPr>
        <w:t xml:space="preserve"> </w:t>
      </w:r>
      <w:r w:rsidRPr="00D53E84">
        <w:rPr>
          <w:rFonts w:ascii="Arial" w:hAnsi="Arial" w:cs="Arial"/>
          <w:color w:val="000000" w:themeColor="text1"/>
        </w:rPr>
        <w:t xml:space="preserve">Meanwhile, Reyes et al. (2023) emphasized that students who undergo regular training and drills demonstrate a higher level of preparedness and response efficiency. These findings highlight the need to assess and strengthen disaster preparedness education, particularly among future educators. </w:t>
      </w:r>
    </w:p>
    <w:p w14:paraId="53493D6D" w14:textId="77777777" w:rsidR="00B47EA6" w:rsidRPr="00D53E84" w:rsidRDefault="00B47EA6" w:rsidP="008F45DF">
      <w:pPr>
        <w:spacing w:after="0" w:line="240" w:lineRule="auto"/>
        <w:ind w:firstLine="720"/>
        <w:jc w:val="both"/>
        <w:rPr>
          <w:rFonts w:ascii="Arial" w:hAnsi="Arial" w:cs="Arial"/>
          <w:color w:val="000000" w:themeColor="text1"/>
        </w:rPr>
      </w:pPr>
    </w:p>
    <w:p w14:paraId="33BA8CD1" w14:textId="4949A188" w:rsidR="00B47EA6"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Although policies promote integrating disaster preparedness into educational environments, there is limited empirical research examining how future educators perceive and adopt these initiatives. Studies focusing on pre</w:t>
      </w:r>
      <w:r w:rsidRPr="00D53E84">
        <w:rPr>
          <w:rFonts w:ascii="Arial" w:hAnsi="Arial" w:cs="Arial"/>
          <w:color w:val="000000" w:themeColor="text1"/>
        </w:rPr>
        <w:noBreakHyphen/>
        <w:t>service teachers’ experiences and preparedness in DRRM contexts are relatively few, with existing research highlighting gaps in applied DRRM skills and the need for stronger curricular integration in teacher education programs (Suanco et al., 2023; Malque Pub, 2025; BMC Public Health, 2025</w:t>
      </w:r>
      <w:r>
        <w:rPr>
          <w:rFonts w:ascii="Arial" w:hAnsi="Arial" w:cs="Arial"/>
          <w:color w:val="000000" w:themeColor="text1"/>
        </w:rPr>
        <w:t>)</w:t>
      </w:r>
      <w:r w:rsidRPr="00D53E84">
        <w:rPr>
          <w:rFonts w:ascii="Arial" w:hAnsi="Arial" w:cs="Arial"/>
          <w:color w:val="000000" w:themeColor="text1"/>
        </w:rPr>
        <w:t>. Nonetheless, how their understanding, availability of resources, and involvement in DRRM activities convert into tangible preparedness is still largely unexamined. Closing this gap is essential to guarantee that upcoming teachers possess both knowledge and practical skills to handle disasters and promote resilience in their future classrooms and communities</w:t>
      </w:r>
      <w:r w:rsidR="00F352DC">
        <w:rPr>
          <w:rFonts w:ascii="Arial" w:hAnsi="Arial" w:cs="Arial"/>
          <w:color w:val="000000" w:themeColor="text1"/>
        </w:rPr>
        <w:t>.</w:t>
      </w:r>
    </w:p>
    <w:p w14:paraId="69638865" w14:textId="77777777" w:rsidR="00F352DC" w:rsidRPr="00F352DC" w:rsidRDefault="00F352DC" w:rsidP="008F45DF">
      <w:pPr>
        <w:spacing w:after="0" w:line="240" w:lineRule="auto"/>
        <w:ind w:firstLine="720"/>
        <w:jc w:val="both"/>
        <w:rPr>
          <w:rFonts w:ascii="Arial" w:hAnsi="Arial" w:cs="Arial"/>
          <w:color w:val="EE0000"/>
        </w:rPr>
      </w:pPr>
    </w:p>
    <w:p w14:paraId="7026A22F"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Although there is an increasing incorporation of Disaster Risk Reduction and Management (DRRM) education within schools in the Philippines, previous research largely concentrated on the general student body or those in basic education. This has created a significant void in studies focused on particular tertiary programs like the Bachelor of Technology and Livelihood Education (BTLEd). Additionally, much of the existing research tends to examine isolated factors such as awareness or participation, failing to thoroughly analyze how these elements interact with resource access to influence disaster preparedness practices (Malto, 2021; Medina &amp; Dungo, 2024). </w:t>
      </w:r>
    </w:p>
    <w:p w14:paraId="5EBE29F4" w14:textId="77777777" w:rsidR="00B47EA6" w:rsidRDefault="00B47EA6" w:rsidP="008F45DF">
      <w:pPr>
        <w:spacing w:after="0" w:line="240" w:lineRule="auto"/>
        <w:ind w:firstLine="720"/>
        <w:jc w:val="both"/>
        <w:rPr>
          <w:rFonts w:ascii="Arial" w:hAnsi="Arial" w:cs="Arial"/>
          <w:color w:val="000000" w:themeColor="text1"/>
        </w:rPr>
      </w:pPr>
    </w:p>
    <w:p w14:paraId="1528EA99"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There </w:t>
      </w:r>
      <w:r>
        <w:rPr>
          <w:rFonts w:ascii="Arial" w:hAnsi="Arial" w:cs="Arial"/>
          <w:color w:val="000000" w:themeColor="text1"/>
        </w:rPr>
        <w:t>was</w:t>
      </w:r>
      <w:r w:rsidRPr="00D53E84">
        <w:rPr>
          <w:rFonts w:ascii="Arial" w:hAnsi="Arial" w:cs="Arial"/>
          <w:color w:val="000000" w:themeColor="text1"/>
        </w:rPr>
        <w:t xml:space="preserve"> also a scarcity of localized research in areas that are geographically isolated and prone to disasters, such as Camiguin, where the limited infrastructure and resources could affect the execution and success of DRRM initiatives. This study aim</w:t>
      </w:r>
      <w:r>
        <w:rPr>
          <w:rFonts w:ascii="Arial" w:hAnsi="Arial" w:cs="Arial"/>
          <w:color w:val="000000" w:themeColor="text1"/>
        </w:rPr>
        <w:t>ed</w:t>
      </w:r>
      <w:r w:rsidRPr="00D53E84">
        <w:rPr>
          <w:rFonts w:ascii="Arial" w:hAnsi="Arial" w:cs="Arial"/>
          <w:color w:val="000000" w:themeColor="text1"/>
        </w:rPr>
        <w:t xml:space="preserve"> to fill this gap by exploring the synergistic effects of awareness, emergency management, and involvement in DRRM activities on the preparedness practices of students, thus providing a more localized and program-specific insight into DRRM involvement in higher education.</w:t>
      </w:r>
    </w:p>
    <w:p w14:paraId="7FDD8247" w14:textId="77777777" w:rsidR="00B47EA6" w:rsidRPr="00D53E84" w:rsidRDefault="00B47EA6" w:rsidP="008F45DF">
      <w:pPr>
        <w:spacing w:after="0" w:line="240" w:lineRule="auto"/>
        <w:ind w:firstLine="720"/>
        <w:jc w:val="both"/>
        <w:rPr>
          <w:rFonts w:ascii="Arial" w:hAnsi="Arial" w:cs="Arial"/>
          <w:color w:val="000000" w:themeColor="text1"/>
        </w:rPr>
      </w:pPr>
    </w:p>
    <w:p w14:paraId="5DBCBD6E" w14:textId="77777777" w:rsidR="00EF4F5C"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 xml:space="preserve">This research supports on the worldwide dedication to sustainable development, especially regarding disaster risk reduction and management. It directly aligns with Sustainable Development Goal (SDG) 11: Sustainable Cities and Communities, particularly Target 11.5, which seeks to considerably minimize the number of individuals impacted by disasters. This study enhances the </w:t>
      </w:r>
      <w:r w:rsidRPr="00D53E84">
        <w:rPr>
          <w:rFonts w:ascii="Arial" w:hAnsi="Arial" w:cs="Arial"/>
          <w:color w:val="000000" w:themeColor="text1"/>
        </w:rPr>
        <w:lastRenderedPageBreak/>
        <w:t xml:space="preserve">formation of safer and more resilient communities by analyzing how awareness, resource availability, and involvement in DRRM activities affect the disaster preparedness of BTLEd students at the province of Camiguin. </w:t>
      </w:r>
    </w:p>
    <w:p w14:paraId="0F6B86FE" w14:textId="77777777" w:rsidR="00B47EA6" w:rsidRPr="00D53E84" w:rsidRDefault="00B47EA6" w:rsidP="008F45DF">
      <w:pPr>
        <w:spacing w:after="0" w:line="240" w:lineRule="auto"/>
        <w:ind w:firstLine="720"/>
        <w:jc w:val="both"/>
        <w:rPr>
          <w:rFonts w:ascii="Arial" w:hAnsi="Arial" w:cs="Arial"/>
          <w:color w:val="000000" w:themeColor="text1"/>
        </w:rPr>
      </w:pPr>
    </w:p>
    <w:p w14:paraId="4755402A" w14:textId="100F45A8" w:rsidR="00EF4F5C" w:rsidRPr="00D53E84" w:rsidRDefault="00EF4F5C" w:rsidP="008F45DF">
      <w:pPr>
        <w:spacing w:after="0" w:line="240" w:lineRule="auto"/>
        <w:ind w:firstLine="720"/>
        <w:jc w:val="both"/>
        <w:rPr>
          <w:rFonts w:ascii="Arial" w:hAnsi="Arial" w:cs="Arial"/>
          <w:color w:val="000000" w:themeColor="text1"/>
        </w:rPr>
      </w:pPr>
      <w:r w:rsidRPr="00D53E84">
        <w:rPr>
          <w:rFonts w:ascii="Arial" w:hAnsi="Arial" w:cs="Arial"/>
          <w:color w:val="000000" w:themeColor="text1"/>
        </w:rPr>
        <w:t>Additionally, the research corresponds with Sustainable Development Goal (SDG) 13: Climate Action, especially Target 13.1, which highlights the importance of enhancing resilience and adaptive capacity to climate-related risks and natural disasters. Considering Camiguin's geographic susceptibility as an island province, cultivating a culture of preparedness in students boosts both personal and institutional readiness while also aiding larger climate adaptation and disaster risk reduction initiatives</w:t>
      </w:r>
      <w:r w:rsidR="008548F7">
        <w:rPr>
          <w:rFonts w:ascii="Arial" w:hAnsi="Arial" w:cs="Arial"/>
          <w:color w:val="000000" w:themeColor="text1"/>
        </w:rPr>
        <w:t xml:space="preserve">. </w:t>
      </w:r>
      <w:r w:rsidRPr="00D53E84">
        <w:rPr>
          <w:rFonts w:ascii="Arial" w:hAnsi="Arial" w:cs="Arial"/>
          <w:color w:val="000000" w:themeColor="text1"/>
        </w:rPr>
        <w:t>This research examines how awareness, access to resources, and involvement in DRRM activities affect the disaster preparedness habits of students at the province of Camiguin, by analyzing these interconnected factors, the study seeks to aid in creating more effective, student-focused DRRM strategies that foster a culture of safety and readiness within higher education.</w:t>
      </w:r>
    </w:p>
    <w:p w14:paraId="2C8B6A45" w14:textId="77777777" w:rsidR="00EF4F5C" w:rsidRDefault="00EF4F5C" w:rsidP="008F45DF">
      <w:pPr>
        <w:spacing w:line="240" w:lineRule="auto"/>
        <w:jc w:val="both"/>
      </w:pPr>
    </w:p>
    <w:p w14:paraId="6A50FC69" w14:textId="77777777" w:rsidR="00853277" w:rsidRPr="00D13DC5" w:rsidRDefault="00853277" w:rsidP="008F45DF">
      <w:pPr>
        <w:spacing w:after="0" w:line="240" w:lineRule="auto"/>
        <w:jc w:val="both"/>
        <w:rPr>
          <w:rFonts w:ascii="Arial" w:hAnsi="Arial" w:cs="Arial"/>
          <w:b/>
          <w:bCs/>
        </w:rPr>
        <w:sectPr w:rsidR="00853277" w:rsidRPr="00D13DC5" w:rsidSect="00D13DC5">
          <w:type w:val="continuous"/>
          <w:pgSz w:w="12240" w:h="15840" w:code="1"/>
          <w:pgMar w:top="1440" w:right="1440" w:bottom="1440" w:left="2160" w:header="709" w:footer="709" w:gutter="0"/>
          <w:cols w:space="708"/>
          <w:docGrid w:linePitch="360"/>
        </w:sectPr>
      </w:pPr>
    </w:p>
    <w:p w14:paraId="1DDF0534" w14:textId="4EEF13C0" w:rsidR="00B47EA6" w:rsidRDefault="00B47EA6" w:rsidP="008F45DF">
      <w:pPr>
        <w:spacing w:after="0" w:line="240" w:lineRule="auto"/>
        <w:jc w:val="both"/>
        <w:rPr>
          <w:rFonts w:ascii="Arial" w:hAnsi="Arial" w:cs="Arial"/>
          <w:b/>
          <w:bCs/>
          <w:color w:val="000000" w:themeColor="text1"/>
        </w:rPr>
      </w:pPr>
      <w:r>
        <w:rPr>
          <w:rFonts w:ascii="Arial" w:hAnsi="Arial" w:cs="Arial"/>
          <w:b/>
          <w:bCs/>
          <w:color w:val="000000" w:themeColor="text1"/>
        </w:rPr>
        <w:t xml:space="preserve">Research questions </w:t>
      </w:r>
      <w:r w:rsidRPr="00B47EA6">
        <w:rPr>
          <w:rFonts w:ascii="Arial" w:hAnsi="Arial" w:cs="Arial"/>
          <w:b/>
          <w:bCs/>
          <w:color w:val="000000" w:themeColor="text1"/>
        </w:rPr>
        <w:t xml:space="preserve"> </w:t>
      </w:r>
    </w:p>
    <w:p w14:paraId="498BB033" w14:textId="77777777" w:rsidR="009B07B8" w:rsidRPr="00B47EA6" w:rsidRDefault="009B07B8" w:rsidP="008F45DF">
      <w:pPr>
        <w:spacing w:after="0" w:line="240" w:lineRule="auto"/>
        <w:jc w:val="both"/>
        <w:rPr>
          <w:rFonts w:ascii="Arial" w:hAnsi="Arial" w:cs="Arial"/>
          <w:color w:val="000000" w:themeColor="text1"/>
        </w:rPr>
      </w:pPr>
    </w:p>
    <w:p w14:paraId="0FD75BA8" w14:textId="77777777" w:rsidR="00B47EA6" w:rsidRPr="00B47EA6" w:rsidRDefault="00B47EA6" w:rsidP="008F45DF">
      <w:pPr>
        <w:spacing w:after="0" w:line="240" w:lineRule="auto"/>
        <w:jc w:val="both"/>
        <w:rPr>
          <w:rFonts w:ascii="Arial" w:hAnsi="Arial" w:cs="Arial"/>
          <w:b/>
          <w:bCs/>
          <w:color w:val="000000" w:themeColor="text1"/>
          <w:lang w:val="en-US"/>
        </w:rPr>
      </w:pPr>
      <w:r w:rsidRPr="00B47EA6">
        <w:rPr>
          <w:rFonts w:ascii="Arial" w:eastAsia="Calibri" w:hAnsi="Arial" w:cs="Arial"/>
          <w:color w:val="000000" w:themeColor="text1"/>
          <w:lang w:bidi="ar"/>
        </w:rPr>
        <w:tab/>
        <w:t xml:space="preserve">This study sought to examine the students’ level of awareness of disaster, their participation in DRRM activities, and the influence of these factors on their engagement in </w:t>
      </w:r>
      <w:r w:rsidRPr="00B47EA6">
        <w:rPr>
          <w:rFonts w:ascii="Arial" w:hAnsi="Arial" w:cs="Arial"/>
          <w:color w:val="000000" w:themeColor="text1"/>
          <w:lang w:val="en-US"/>
        </w:rPr>
        <w:t>emergency management practices</w:t>
      </w:r>
      <w:r w:rsidRPr="00B47EA6">
        <w:rPr>
          <w:rFonts w:ascii="Arial" w:eastAsia="Calibri" w:hAnsi="Arial" w:cs="Arial"/>
          <w:color w:val="000000" w:themeColor="text1"/>
          <w:lang w:bidi="ar"/>
        </w:rPr>
        <w:t xml:space="preserve">.  Specifically, it answered the following questions: </w:t>
      </w:r>
    </w:p>
    <w:p w14:paraId="53E4059C" w14:textId="77777777" w:rsidR="00B47EA6" w:rsidRPr="00B47EA6" w:rsidRDefault="00B47EA6" w:rsidP="008F45DF">
      <w:pPr>
        <w:pStyle w:val="ListParagraph"/>
        <w:spacing w:after="0" w:line="240" w:lineRule="auto"/>
        <w:ind w:left="0"/>
        <w:jc w:val="both"/>
        <w:rPr>
          <w:rFonts w:ascii="Arial" w:eastAsia="Calibri" w:hAnsi="Arial" w:cs="Arial"/>
          <w:color w:val="000000" w:themeColor="text1"/>
          <w:lang w:bidi="ar"/>
        </w:rPr>
      </w:pPr>
      <w:r w:rsidRPr="00B47EA6">
        <w:rPr>
          <w:rFonts w:ascii="Arial" w:eastAsia="Calibri" w:hAnsi="Arial" w:cs="Arial"/>
          <w:color w:val="000000" w:themeColor="text1"/>
          <w:lang w:bidi="ar"/>
        </w:rPr>
        <w:t>1. What is the level of awareness on disaster preparedness of students?</w:t>
      </w:r>
    </w:p>
    <w:p w14:paraId="6DB819BF" w14:textId="77777777" w:rsidR="00B47EA6" w:rsidRPr="00B47EA6" w:rsidRDefault="00B47EA6" w:rsidP="008F45DF">
      <w:pPr>
        <w:spacing w:after="0" w:line="240" w:lineRule="auto"/>
        <w:jc w:val="both"/>
        <w:rPr>
          <w:rFonts w:ascii="Arial" w:eastAsia="Calibri" w:hAnsi="Arial" w:cs="Arial"/>
          <w:color w:val="000000" w:themeColor="text1"/>
          <w:lang w:bidi="ar"/>
        </w:rPr>
      </w:pPr>
      <w:r w:rsidRPr="00B47EA6">
        <w:rPr>
          <w:rFonts w:ascii="Arial" w:eastAsia="Calibri" w:hAnsi="Arial" w:cs="Arial"/>
          <w:color w:val="000000" w:themeColor="text1"/>
          <w:lang w:bidi="ar"/>
        </w:rPr>
        <w:t>2. What is the participants’ level of participation in DRRM related activities?</w:t>
      </w:r>
    </w:p>
    <w:p w14:paraId="4AC099B0" w14:textId="77777777" w:rsidR="00B47EA6" w:rsidRPr="00B47EA6" w:rsidRDefault="00B47EA6" w:rsidP="008F45DF">
      <w:pPr>
        <w:spacing w:after="0" w:line="240" w:lineRule="auto"/>
        <w:jc w:val="both"/>
        <w:rPr>
          <w:rFonts w:ascii="Arial" w:eastAsia="Calibri" w:hAnsi="Arial" w:cs="Arial"/>
          <w:color w:val="000000" w:themeColor="text1"/>
          <w:lang w:bidi="ar"/>
        </w:rPr>
      </w:pPr>
      <w:r w:rsidRPr="00B47EA6">
        <w:rPr>
          <w:rFonts w:ascii="Arial" w:eastAsia="Calibri" w:hAnsi="Arial" w:cs="Arial"/>
          <w:color w:val="000000" w:themeColor="text1"/>
          <w:lang w:bidi="ar"/>
        </w:rPr>
        <w:t xml:space="preserve">3. What is the participants’ level of disaster preparedness? </w:t>
      </w:r>
    </w:p>
    <w:p w14:paraId="59D4E4F4" w14:textId="77777777" w:rsidR="00B47EA6" w:rsidRPr="00B47EA6" w:rsidRDefault="00B47EA6" w:rsidP="008F45DF">
      <w:pPr>
        <w:spacing w:after="0" w:line="240" w:lineRule="auto"/>
        <w:jc w:val="both"/>
        <w:rPr>
          <w:rStyle w:val="cf01"/>
          <w:rFonts w:ascii="Arial" w:hAnsi="Arial" w:cs="Arial"/>
          <w:color w:val="000000" w:themeColor="text1"/>
          <w:sz w:val="24"/>
          <w:szCs w:val="24"/>
        </w:rPr>
      </w:pPr>
      <w:r w:rsidRPr="00B47EA6">
        <w:rPr>
          <w:rFonts w:ascii="Arial" w:eastAsia="Calibri" w:hAnsi="Arial" w:cs="Arial"/>
          <w:color w:val="000000" w:themeColor="text1"/>
          <w:lang w:bidi="ar"/>
        </w:rPr>
        <w:t xml:space="preserve">4. What is the participants’ </w:t>
      </w:r>
      <w:r w:rsidRPr="00B47EA6">
        <w:rPr>
          <w:rFonts w:ascii="Arial" w:hAnsi="Arial" w:cs="Arial"/>
        </w:rPr>
        <w:t>Students’ Engagement in Emergency Management Practices</w:t>
      </w:r>
      <w:r w:rsidRPr="00B47EA6">
        <w:rPr>
          <w:rStyle w:val="cf01"/>
          <w:rFonts w:ascii="Arial" w:hAnsi="Arial" w:cs="Arial"/>
          <w:color w:val="000000" w:themeColor="text1"/>
          <w:sz w:val="24"/>
          <w:szCs w:val="24"/>
        </w:rPr>
        <w:t>?</w:t>
      </w:r>
    </w:p>
    <w:p w14:paraId="2C488F03" w14:textId="1C194B40" w:rsidR="00B47EA6" w:rsidRPr="00B47EA6" w:rsidRDefault="00B47EA6" w:rsidP="008F45DF">
      <w:pPr>
        <w:spacing w:after="0" w:line="240" w:lineRule="auto"/>
        <w:jc w:val="both"/>
        <w:rPr>
          <w:rFonts w:ascii="Arial" w:hAnsi="Arial" w:cs="Arial"/>
          <w:color w:val="000000" w:themeColor="text1"/>
        </w:rPr>
      </w:pPr>
      <w:r w:rsidRPr="00B47EA6">
        <w:rPr>
          <w:rFonts w:ascii="Arial" w:eastAsia="Calibri" w:hAnsi="Arial" w:cs="Arial"/>
          <w:lang w:bidi="ar"/>
        </w:rPr>
        <w:t xml:space="preserve">5. </w:t>
      </w:r>
      <w:r w:rsidRPr="00B47EA6">
        <w:rPr>
          <w:rStyle w:val="cf01"/>
          <w:rFonts w:ascii="Arial" w:hAnsi="Arial" w:cs="Arial"/>
          <w:color w:val="000000" w:themeColor="text1"/>
          <w:sz w:val="24"/>
          <w:szCs w:val="24"/>
        </w:rPr>
        <w:t xml:space="preserve">Do the participants’ awareness of disaster management, participation in DRRM-related activities, and disaster preparedness significantly influence their </w:t>
      </w:r>
      <w:r w:rsidRPr="00B47EA6">
        <w:rPr>
          <w:rFonts w:ascii="Arial" w:hAnsi="Arial" w:cs="Arial"/>
        </w:rPr>
        <w:t>Students’ Engagement in Emergency Management Practices</w:t>
      </w:r>
      <w:r w:rsidRPr="00B47EA6">
        <w:rPr>
          <w:rStyle w:val="cf01"/>
          <w:rFonts w:ascii="Arial" w:hAnsi="Arial" w:cs="Arial"/>
          <w:color w:val="000000" w:themeColor="text1"/>
          <w:sz w:val="24"/>
          <w:szCs w:val="24"/>
        </w:rPr>
        <w:t>?</w:t>
      </w:r>
    </w:p>
    <w:p w14:paraId="6EFDE8F6" w14:textId="77777777" w:rsidR="00B47EA6" w:rsidRDefault="00B47EA6" w:rsidP="008F45DF">
      <w:pPr>
        <w:spacing w:after="0" w:line="240" w:lineRule="auto"/>
        <w:jc w:val="both"/>
        <w:rPr>
          <w:rFonts w:ascii="Arial" w:hAnsi="Arial" w:cs="Arial"/>
          <w:b/>
          <w:bCs/>
        </w:rPr>
      </w:pPr>
    </w:p>
    <w:p w14:paraId="14451D1A" w14:textId="77777777" w:rsidR="00853277" w:rsidRDefault="00853277" w:rsidP="008F45DF">
      <w:pPr>
        <w:tabs>
          <w:tab w:val="left" w:pos="1891"/>
        </w:tabs>
        <w:spacing w:after="0" w:line="240" w:lineRule="auto"/>
        <w:jc w:val="both"/>
        <w:rPr>
          <w:rFonts w:ascii="Arial" w:hAnsi="Arial" w:cs="Arial"/>
          <w:b/>
          <w:bCs/>
        </w:rPr>
      </w:pPr>
      <w:r w:rsidRPr="00D13DC5">
        <w:rPr>
          <w:rFonts w:ascii="Arial" w:hAnsi="Arial" w:cs="Arial"/>
          <w:b/>
          <w:bCs/>
        </w:rPr>
        <w:t>Methodology</w:t>
      </w:r>
      <w:r w:rsidR="00B47EA6">
        <w:rPr>
          <w:rFonts w:ascii="Arial" w:hAnsi="Arial" w:cs="Arial"/>
          <w:b/>
          <w:bCs/>
        </w:rPr>
        <w:tab/>
      </w:r>
    </w:p>
    <w:p w14:paraId="7B404339" w14:textId="77777777" w:rsidR="00B47EA6" w:rsidRDefault="00B47EA6" w:rsidP="008F45DF">
      <w:pPr>
        <w:tabs>
          <w:tab w:val="left" w:pos="1891"/>
        </w:tabs>
        <w:spacing w:after="0" w:line="240" w:lineRule="auto"/>
        <w:jc w:val="both"/>
        <w:rPr>
          <w:rFonts w:ascii="Arial" w:hAnsi="Arial" w:cs="Arial"/>
          <w:b/>
          <w:bCs/>
        </w:rPr>
      </w:pPr>
    </w:p>
    <w:p w14:paraId="21E2B86F" w14:textId="44D59952" w:rsidR="00B47EA6" w:rsidRPr="00D13DC5" w:rsidRDefault="00B47EA6" w:rsidP="008F45DF">
      <w:pPr>
        <w:tabs>
          <w:tab w:val="left" w:pos="1891"/>
        </w:tabs>
        <w:spacing w:after="0" w:line="240" w:lineRule="auto"/>
        <w:jc w:val="both"/>
        <w:rPr>
          <w:rFonts w:ascii="Arial" w:hAnsi="Arial" w:cs="Arial"/>
          <w:b/>
          <w:bCs/>
        </w:rPr>
        <w:sectPr w:rsidR="00B47EA6" w:rsidRPr="00D13DC5" w:rsidSect="00D13DC5">
          <w:type w:val="continuous"/>
          <w:pgSz w:w="12240" w:h="15840" w:code="1"/>
          <w:pgMar w:top="1440" w:right="1440" w:bottom="1440" w:left="2160" w:header="709" w:footer="709" w:gutter="0"/>
          <w:cols w:space="708"/>
          <w:docGrid w:linePitch="360"/>
        </w:sectPr>
      </w:pPr>
    </w:p>
    <w:p w14:paraId="2B1C9111" w14:textId="680986C5" w:rsidR="0050576D" w:rsidRDefault="00853277" w:rsidP="008F45DF">
      <w:pPr>
        <w:spacing w:after="0" w:line="240" w:lineRule="auto"/>
        <w:jc w:val="both"/>
        <w:rPr>
          <w:rFonts w:ascii="Arial" w:hAnsi="Arial" w:cs="Arial"/>
        </w:rPr>
      </w:pPr>
      <w:r w:rsidRPr="00D13DC5">
        <w:rPr>
          <w:rFonts w:ascii="Arial" w:hAnsi="Arial" w:cs="Arial"/>
        </w:rPr>
        <w:tab/>
      </w:r>
      <w:r w:rsidR="008C0921" w:rsidRPr="00D13DC5">
        <w:rPr>
          <w:rFonts w:ascii="Arial" w:hAnsi="Arial" w:cs="Arial"/>
        </w:rPr>
        <w:t>The participants of this study were drawn from the Bachelor of Technology and Livelihood Education students enrolled at the Institute of Teacher Education of the College, located on Camiguin Island, Philippines. The total population of BTLEd students is 217, distributed across different year levels and sections. It was ensured that all groups of students are proportionally represented, the study was employed stratified random sampling.</w:t>
      </w:r>
    </w:p>
    <w:p w14:paraId="54BE839B" w14:textId="77777777" w:rsidR="00B47EA6" w:rsidRPr="00D13DC5" w:rsidRDefault="00B47EA6" w:rsidP="008F45DF">
      <w:pPr>
        <w:spacing w:after="0" w:line="240" w:lineRule="auto"/>
        <w:jc w:val="both"/>
        <w:rPr>
          <w:rFonts w:ascii="Arial" w:hAnsi="Arial" w:cs="Arial"/>
        </w:rPr>
      </w:pPr>
    </w:p>
    <w:p w14:paraId="53594AC5" w14:textId="239642E9" w:rsidR="0050576D" w:rsidRDefault="008C0921" w:rsidP="008F45DF">
      <w:pPr>
        <w:spacing w:after="0" w:line="240" w:lineRule="auto"/>
        <w:ind w:firstLine="720"/>
        <w:jc w:val="both"/>
        <w:rPr>
          <w:rFonts w:ascii="Arial" w:hAnsi="Arial" w:cs="Arial"/>
        </w:rPr>
      </w:pPr>
      <w:r w:rsidRPr="00D13DC5">
        <w:rPr>
          <w:rFonts w:ascii="Arial" w:hAnsi="Arial" w:cs="Arial"/>
        </w:rPr>
        <w:t xml:space="preserve">The main method of data gathering hinges on a systematic questionnaire comprised of three sections: Part I concerning Awareness on Disaster Preparedness derives from NDRRMC (National Disaster Risk Reduction and Management Council) 2020, DepEd DRRM Manual 2018 and UNDRR 2015. The second part which is the </w:t>
      </w:r>
      <w:r w:rsidR="0064476B">
        <w:rPr>
          <w:rFonts w:ascii="Arial" w:hAnsi="Arial" w:cs="Arial"/>
        </w:rPr>
        <w:t>student engagement in</w:t>
      </w:r>
      <w:r w:rsidRPr="00D13DC5">
        <w:rPr>
          <w:rFonts w:ascii="Arial" w:hAnsi="Arial" w:cs="Arial"/>
        </w:rPr>
        <w:t xml:space="preserve"> Emergency Management practices (Based on Asian Disaster Preparedness Center, International Federation </w:t>
      </w:r>
      <w:r w:rsidRPr="00D13DC5">
        <w:rPr>
          <w:rFonts w:ascii="Arial" w:hAnsi="Arial" w:cs="Arial"/>
        </w:rPr>
        <w:lastRenderedPageBreak/>
        <w:t>of Red Cross and Red Crescent Societies (2021). Community-based disaster response.) Part III on the Level of Participation in DRRM Activities is based from Based on DepEd DRRM Implementation Strategies (2018) and NDRRMC Guidelines (2020).  Furthermore, Part IV of the survey questionnaire on Level of Disaster Preparedness draws from WHO: Health Emergency and Disaster Risk Management Framework, 2019 and IFRC, 2020.</w:t>
      </w:r>
    </w:p>
    <w:p w14:paraId="401E1AB8" w14:textId="77777777" w:rsidR="00B47EA6" w:rsidRPr="00D13DC5" w:rsidRDefault="00B47EA6" w:rsidP="008F45DF">
      <w:pPr>
        <w:spacing w:after="0" w:line="240" w:lineRule="auto"/>
        <w:ind w:firstLine="720"/>
        <w:jc w:val="both"/>
        <w:rPr>
          <w:rFonts w:ascii="Arial" w:hAnsi="Arial" w:cs="Arial"/>
        </w:rPr>
      </w:pPr>
    </w:p>
    <w:p w14:paraId="0DF13124" w14:textId="30F402B9" w:rsidR="00853277" w:rsidRPr="00D13DC5" w:rsidRDefault="008C0921" w:rsidP="008F45DF">
      <w:pPr>
        <w:spacing w:line="240" w:lineRule="auto"/>
        <w:jc w:val="both"/>
        <w:rPr>
          <w:rFonts w:ascii="Arial" w:hAnsi="Arial" w:cs="Arial"/>
        </w:rPr>
      </w:pPr>
      <w:r w:rsidRPr="00D13DC5">
        <w:rPr>
          <w:rFonts w:ascii="Arial" w:hAnsi="Arial" w:cs="Arial"/>
        </w:rPr>
        <w:tab/>
        <w:t xml:space="preserve">The instrument was evaluated by three experts considering the content validity.  For the reliability, pilot testing also conducted in same institution with 30 </w:t>
      </w:r>
      <w:r w:rsidR="00B47EA6">
        <w:rPr>
          <w:rFonts w:ascii="Arial" w:hAnsi="Arial" w:cs="Arial"/>
        </w:rPr>
        <w:t>participants</w:t>
      </w:r>
      <w:r w:rsidRPr="00D13DC5">
        <w:rPr>
          <w:rFonts w:ascii="Arial" w:hAnsi="Arial" w:cs="Arial"/>
        </w:rPr>
        <w:t xml:space="preserve"> and then the results were tested on internal consistency through Cronbach Alpha. </w:t>
      </w:r>
    </w:p>
    <w:p w14:paraId="4E32123F" w14:textId="77777777" w:rsidR="00853277" w:rsidRDefault="00853277" w:rsidP="008F45DF">
      <w:pPr>
        <w:pStyle w:val="BodyText"/>
        <w:spacing w:after="0" w:line="240" w:lineRule="auto"/>
        <w:ind w:firstLine="720"/>
        <w:jc w:val="both"/>
        <w:rPr>
          <w:rFonts w:ascii="Arial" w:hAnsi="Arial" w:cs="Arial"/>
          <w:bCs/>
          <w:color w:val="000000" w:themeColor="text1"/>
        </w:rPr>
      </w:pPr>
      <w:r w:rsidRPr="00D13DC5">
        <w:rPr>
          <w:rFonts w:ascii="Arial" w:hAnsi="Arial" w:cs="Arial"/>
          <w:bCs/>
          <w:color w:val="000000" w:themeColor="text1"/>
        </w:rPr>
        <w:t xml:space="preserve">The research instrument utilizes a </w:t>
      </w:r>
      <w:r w:rsidRPr="00D13DC5">
        <w:rPr>
          <w:rFonts w:ascii="Arial" w:hAnsi="Arial" w:cs="Arial"/>
          <w:color w:val="000000" w:themeColor="text1"/>
        </w:rPr>
        <w:t>5-point Likert scale</w:t>
      </w:r>
      <w:r w:rsidRPr="00D13DC5">
        <w:rPr>
          <w:rFonts w:ascii="Arial" w:hAnsi="Arial" w:cs="Arial"/>
          <w:bCs/>
          <w:color w:val="000000" w:themeColor="text1"/>
        </w:rPr>
        <w:t xml:space="preserve"> to quantify respondents’ perceptions across four major dimensions.</w:t>
      </w:r>
    </w:p>
    <w:p w14:paraId="42FCDE71" w14:textId="77777777" w:rsidR="002F4FEE" w:rsidRDefault="002F4FEE" w:rsidP="008F45DF">
      <w:pPr>
        <w:pStyle w:val="BodyText"/>
        <w:spacing w:after="0" w:line="240" w:lineRule="auto"/>
        <w:ind w:firstLine="720"/>
        <w:jc w:val="both"/>
        <w:rPr>
          <w:rFonts w:ascii="Arial" w:hAnsi="Arial" w:cs="Arial"/>
          <w:bCs/>
          <w:color w:val="000000" w:themeColor="text1"/>
        </w:rPr>
      </w:pPr>
    </w:p>
    <w:p w14:paraId="3FF0486C" w14:textId="37FCA8BB" w:rsidR="009B07B8" w:rsidRPr="00D13DC5" w:rsidRDefault="009B07B8" w:rsidP="008F45DF">
      <w:pPr>
        <w:pStyle w:val="BodyText"/>
        <w:spacing w:after="0" w:line="240" w:lineRule="auto"/>
        <w:ind w:firstLine="720"/>
        <w:jc w:val="both"/>
        <w:rPr>
          <w:rFonts w:ascii="Arial" w:hAnsi="Arial" w:cs="Arial"/>
          <w:bCs/>
          <w:color w:val="000000" w:themeColor="text1"/>
        </w:rPr>
        <w:sectPr w:rsidR="009B07B8" w:rsidRPr="00D13DC5" w:rsidSect="00D13DC5">
          <w:type w:val="continuous"/>
          <w:pgSz w:w="12240" w:h="15840" w:code="1"/>
          <w:pgMar w:top="1440" w:right="1440" w:bottom="1440" w:left="2160" w:header="709" w:footer="709" w:gutter="0"/>
          <w:cols w:space="708"/>
          <w:docGrid w:linePitch="360"/>
        </w:sectPr>
      </w:pPr>
    </w:p>
    <w:tbl>
      <w:tblPr>
        <w:tblStyle w:val="TableGrid"/>
        <w:tblpPr w:leftFromText="180" w:rightFromText="180" w:vertAnchor="text" w:horzAnchor="margin" w:tblpY="112"/>
        <w:tblW w:w="0" w:type="auto"/>
        <w:tblLook w:val="04A0" w:firstRow="1" w:lastRow="0" w:firstColumn="1" w:lastColumn="0" w:noHBand="0" w:noVBand="1"/>
      </w:tblPr>
      <w:tblGrid>
        <w:gridCol w:w="2133"/>
        <w:gridCol w:w="2195"/>
        <w:gridCol w:w="2137"/>
        <w:gridCol w:w="2175"/>
      </w:tblGrid>
      <w:tr w:rsidR="00853277" w:rsidRPr="00577764" w14:paraId="365883F1" w14:textId="77777777" w:rsidTr="00853277">
        <w:tc>
          <w:tcPr>
            <w:tcW w:w="2133" w:type="dxa"/>
            <w:tcBorders>
              <w:top w:val="single" w:sz="12" w:space="0" w:color="000000"/>
              <w:left w:val="nil"/>
              <w:bottom w:val="single" w:sz="12" w:space="0" w:color="000000"/>
              <w:right w:val="nil"/>
            </w:tcBorders>
          </w:tcPr>
          <w:p w14:paraId="5107AAF5" w14:textId="77777777" w:rsidR="00853277" w:rsidRPr="00577764" w:rsidRDefault="00853277" w:rsidP="008F45DF">
            <w:pPr>
              <w:jc w:val="both"/>
              <w:rPr>
                <w:rFonts w:ascii="Arial" w:hAnsi="Arial" w:cs="Arial"/>
                <w:b/>
                <w:bCs/>
              </w:rPr>
            </w:pPr>
            <w:r w:rsidRPr="00577764">
              <w:rPr>
                <w:rFonts w:ascii="Arial" w:hAnsi="Arial" w:cs="Arial"/>
                <w:b/>
                <w:bCs/>
              </w:rPr>
              <w:t>Scale</w:t>
            </w:r>
          </w:p>
        </w:tc>
        <w:tc>
          <w:tcPr>
            <w:tcW w:w="2195" w:type="dxa"/>
            <w:tcBorders>
              <w:top w:val="single" w:sz="12" w:space="0" w:color="000000"/>
              <w:left w:val="nil"/>
              <w:bottom w:val="single" w:sz="12" w:space="0" w:color="000000"/>
              <w:right w:val="nil"/>
            </w:tcBorders>
          </w:tcPr>
          <w:p w14:paraId="2E3650AC" w14:textId="77777777" w:rsidR="00853277" w:rsidRPr="00577764" w:rsidRDefault="00853277" w:rsidP="008F45DF">
            <w:pPr>
              <w:jc w:val="both"/>
              <w:rPr>
                <w:rFonts w:ascii="Arial" w:hAnsi="Arial" w:cs="Arial"/>
                <w:b/>
                <w:bCs/>
              </w:rPr>
            </w:pPr>
            <w:r w:rsidRPr="00577764">
              <w:rPr>
                <w:rFonts w:ascii="Arial" w:hAnsi="Arial" w:cs="Arial"/>
                <w:b/>
                <w:bCs/>
              </w:rPr>
              <w:t>Description</w:t>
            </w:r>
          </w:p>
        </w:tc>
        <w:tc>
          <w:tcPr>
            <w:tcW w:w="2137" w:type="dxa"/>
            <w:tcBorders>
              <w:top w:val="single" w:sz="12" w:space="0" w:color="000000"/>
              <w:left w:val="nil"/>
              <w:bottom w:val="single" w:sz="12" w:space="0" w:color="000000"/>
              <w:right w:val="nil"/>
            </w:tcBorders>
          </w:tcPr>
          <w:p w14:paraId="74C19DE3" w14:textId="77777777" w:rsidR="00853277" w:rsidRPr="00577764" w:rsidRDefault="00853277" w:rsidP="008F45DF">
            <w:pPr>
              <w:pStyle w:val="BodyText"/>
              <w:spacing w:after="0"/>
              <w:jc w:val="both"/>
              <w:rPr>
                <w:rFonts w:ascii="Arial" w:hAnsi="Arial" w:cs="Arial"/>
                <w:b/>
                <w:bCs/>
              </w:rPr>
            </w:pPr>
            <w:r w:rsidRPr="00577764">
              <w:rPr>
                <w:rFonts w:ascii="Arial" w:hAnsi="Arial" w:cs="Arial"/>
                <w:b/>
                <w:bCs/>
              </w:rPr>
              <w:t>Mean Score Range</w:t>
            </w:r>
          </w:p>
        </w:tc>
        <w:tc>
          <w:tcPr>
            <w:tcW w:w="2175" w:type="dxa"/>
            <w:tcBorders>
              <w:top w:val="single" w:sz="12" w:space="0" w:color="000000"/>
              <w:left w:val="nil"/>
              <w:bottom w:val="single" w:sz="12" w:space="0" w:color="000000"/>
              <w:right w:val="nil"/>
            </w:tcBorders>
          </w:tcPr>
          <w:p w14:paraId="42D311A3" w14:textId="77777777" w:rsidR="00853277" w:rsidRPr="00577764" w:rsidRDefault="00853277" w:rsidP="008F45DF">
            <w:pPr>
              <w:pStyle w:val="BodyText"/>
              <w:spacing w:after="0"/>
              <w:jc w:val="both"/>
              <w:rPr>
                <w:rFonts w:ascii="Arial" w:hAnsi="Arial" w:cs="Arial"/>
                <w:b/>
                <w:bCs/>
              </w:rPr>
            </w:pPr>
            <w:r w:rsidRPr="00577764">
              <w:rPr>
                <w:rFonts w:ascii="Arial" w:hAnsi="Arial" w:cs="Arial"/>
                <w:b/>
                <w:bCs/>
              </w:rPr>
              <w:t>Interpretation</w:t>
            </w:r>
          </w:p>
        </w:tc>
      </w:tr>
      <w:tr w:rsidR="00853277" w:rsidRPr="00577764" w14:paraId="74F65FE4" w14:textId="77777777" w:rsidTr="00853277">
        <w:tc>
          <w:tcPr>
            <w:tcW w:w="2133" w:type="dxa"/>
            <w:tcBorders>
              <w:top w:val="single" w:sz="12" w:space="0" w:color="000000"/>
              <w:left w:val="nil"/>
              <w:bottom w:val="nil"/>
              <w:right w:val="nil"/>
            </w:tcBorders>
          </w:tcPr>
          <w:p w14:paraId="7CCA7356"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5</w:t>
            </w:r>
          </w:p>
        </w:tc>
        <w:tc>
          <w:tcPr>
            <w:tcW w:w="2195" w:type="dxa"/>
            <w:tcBorders>
              <w:top w:val="single" w:sz="12" w:space="0" w:color="000000"/>
              <w:left w:val="nil"/>
              <w:bottom w:val="nil"/>
              <w:right w:val="nil"/>
            </w:tcBorders>
          </w:tcPr>
          <w:p w14:paraId="7DB7B2AF" w14:textId="77777777" w:rsidR="00853277" w:rsidRPr="00577764" w:rsidRDefault="00853277" w:rsidP="008F45DF">
            <w:pPr>
              <w:pStyle w:val="BodyText"/>
              <w:spacing w:after="0"/>
              <w:jc w:val="both"/>
              <w:rPr>
                <w:rFonts w:ascii="Arial" w:hAnsi="Arial" w:cs="Arial"/>
                <w:bCs/>
              </w:rPr>
            </w:pPr>
            <w:r w:rsidRPr="00577764">
              <w:rPr>
                <w:rFonts w:ascii="Arial" w:hAnsi="Arial" w:cs="Arial"/>
              </w:rPr>
              <w:t>Strongly Agree</w:t>
            </w:r>
          </w:p>
        </w:tc>
        <w:tc>
          <w:tcPr>
            <w:tcW w:w="2137" w:type="dxa"/>
            <w:tcBorders>
              <w:top w:val="single" w:sz="12" w:space="0" w:color="000000"/>
              <w:left w:val="nil"/>
              <w:bottom w:val="nil"/>
              <w:right w:val="nil"/>
            </w:tcBorders>
          </w:tcPr>
          <w:p w14:paraId="0B4EDAF0" w14:textId="77777777" w:rsidR="00853277" w:rsidRPr="00577764" w:rsidRDefault="00853277" w:rsidP="008F45DF">
            <w:pPr>
              <w:pStyle w:val="BodyText"/>
              <w:spacing w:after="0"/>
              <w:jc w:val="both"/>
              <w:rPr>
                <w:rFonts w:ascii="Arial" w:hAnsi="Arial" w:cs="Arial"/>
                <w:bCs/>
              </w:rPr>
            </w:pPr>
            <w:r w:rsidRPr="00577764">
              <w:rPr>
                <w:rFonts w:ascii="Arial" w:hAnsi="Arial" w:cs="Arial"/>
              </w:rPr>
              <w:t>4.51 – 5.00</w:t>
            </w:r>
          </w:p>
        </w:tc>
        <w:tc>
          <w:tcPr>
            <w:tcW w:w="2175" w:type="dxa"/>
            <w:tcBorders>
              <w:top w:val="single" w:sz="12" w:space="0" w:color="000000"/>
              <w:left w:val="nil"/>
              <w:bottom w:val="nil"/>
              <w:right w:val="nil"/>
            </w:tcBorders>
          </w:tcPr>
          <w:p w14:paraId="6B31EA4C" w14:textId="77777777" w:rsidR="00853277" w:rsidRPr="00577764" w:rsidRDefault="00853277" w:rsidP="008F45DF">
            <w:pPr>
              <w:pStyle w:val="BodyText"/>
              <w:spacing w:after="0"/>
              <w:jc w:val="both"/>
              <w:rPr>
                <w:rFonts w:ascii="Arial" w:hAnsi="Arial" w:cs="Arial"/>
                <w:bCs/>
              </w:rPr>
            </w:pPr>
            <w:r w:rsidRPr="00577764">
              <w:rPr>
                <w:rFonts w:ascii="Arial" w:hAnsi="Arial" w:cs="Arial"/>
              </w:rPr>
              <w:t>Very High</w:t>
            </w:r>
          </w:p>
        </w:tc>
      </w:tr>
      <w:tr w:rsidR="00853277" w:rsidRPr="00577764" w14:paraId="475AA129" w14:textId="77777777" w:rsidTr="00853277">
        <w:tc>
          <w:tcPr>
            <w:tcW w:w="2133" w:type="dxa"/>
            <w:tcBorders>
              <w:top w:val="nil"/>
              <w:left w:val="nil"/>
              <w:bottom w:val="nil"/>
              <w:right w:val="nil"/>
            </w:tcBorders>
          </w:tcPr>
          <w:p w14:paraId="2AC99874"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4</w:t>
            </w:r>
          </w:p>
        </w:tc>
        <w:tc>
          <w:tcPr>
            <w:tcW w:w="2195" w:type="dxa"/>
            <w:tcBorders>
              <w:top w:val="nil"/>
              <w:left w:val="nil"/>
              <w:bottom w:val="nil"/>
              <w:right w:val="nil"/>
            </w:tcBorders>
          </w:tcPr>
          <w:p w14:paraId="12EA5FE7" w14:textId="77777777" w:rsidR="00853277" w:rsidRPr="00577764" w:rsidRDefault="00853277" w:rsidP="008F45DF">
            <w:pPr>
              <w:pStyle w:val="BodyText"/>
              <w:spacing w:after="0"/>
              <w:jc w:val="both"/>
              <w:rPr>
                <w:rFonts w:ascii="Arial" w:hAnsi="Arial" w:cs="Arial"/>
                <w:bCs/>
              </w:rPr>
            </w:pPr>
            <w:r w:rsidRPr="00577764">
              <w:rPr>
                <w:rFonts w:ascii="Arial" w:hAnsi="Arial" w:cs="Arial"/>
              </w:rPr>
              <w:t>Agree</w:t>
            </w:r>
          </w:p>
        </w:tc>
        <w:tc>
          <w:tcPr>
            <w:tcW w:w="2137" w:type="dxa"/>
            <w:tcBorders>
              <w:top w:val="nil"/>
              <w:left w:val="nil"/>
              <w:bottom w:val="nil"/>
              <w:right w:val="nil"/>
            </w:tcBorders>
          </w:tcPr>
          <w:p w14:paraId="446DD884" w14:textId="77777777" w:rsidR="00853277" w:rsidRPr="00577764" w:rsidRDefault="00853277" w:rsidP="008F45DF">
            <w:pPr>
              <w:pStyle w:val="BodyText"/>
              <w:spacing w:after="0"/>
              <w:jc w:val="both"/>
              <w:rPr>
                <w:rFonts w:ascii="Arial" w:hAnsi="Arial" w:cs="Arial"/>
                <w:bCs/>
              </w:rPr>
            </w:pPr>
            <w:r w:rsidRPr="00577764">
              <w:rPr>
                <w:rFonts w:ascii="Arial" w:hAnsi="Arial" w:cs="Arial"/>
              </w:rPr>
              <w:t>3.51 – 4.50</w:t>
            </w:r>
          </w:p>
        </w:tc>
        <w:tc>
          <w:tcPr>
            <w:tcW w:w="2175" w:type="dxa"/>
            <w:tcBorders>
              <w:top w:val="nil"/>
              <w:left w:val="nil"/>
              <w:bottom w:val="nil"/>
              <w:right w:val="nil"/>
            </w:tcBorders>
          </w:tcPr>
          <w:p w14:paraId="45181140" w14:textId="77777777" w:rsidR="00853277" w:rsidRPr="00577764" w:rsidRDefault="00853277" w:rsidP="008F45DF">
            <w:pPr>
              <w:pStyle w:val="BodyText"/>
              <w:spacing w:after="0"/>
              <w:jc w:val="both"/>
              <w:rPr>
                <w:rFonts w:ascii="Arial" w:hAnsi="Arial" w:cs="Arial"/>
                <w:bCs/>
              </w:rPr>
            </w:pPr>
            <w:r w:rsidRPr="00577764">
              <w:rPr>
                <w:rFonts w:ascii="Arial" w:hAnsi="Arial" w:cs="Arial"/>
              </w:rPr>
              <w:t>High</w:t>
            </w:r>
          </w:p>
        </w:tc>
      </w:tr>
      <w:tr w:rsidR="00853277" w:rsidRPr="00577764" w14:paraId="37E8BF65" w14:textId="77777777" w:rsidTr="00853277">
        <w:tc>
          <w:tcPr>
            <w:tcW w:w="2133" w:type="dxa"/>
            <w:tcBorders>
              <w:top w:val="nil"/>
              <w:left w:val="nil"/>
              <w:bottom w:val="nil"/>
              <w:right w:val="nil"/>
            </w:tcBorders>
          </w:tcPr>
          <w:p w14:paraId="7AE584B9"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3</w:t>
            </w:r>
          </w:p>
        </w:tc>
        <w:tc>
          <w:tcPr>
            <w:tcW w:w="2195" w:type="dxa"/>
            <w:tcBorders>
              <w:top w:val="nil"/>
              <w:left w:val="nil"/>
              <w:bottom w:val="nil"/>
              <w:right w:val="nil"/>
            </w:tcBorders>
          </w:tcPr>
          <w:p w14:paraId="52219D73" w14:textId="77777777" w:rsidR="00853277" w:rsidRPr="00577764" w:rsidRDefault="00853277" w:rsidP="008F45DF">
            <w:pPr>
              <w:pStyle w:val="BodyText"/>
              <w:spacing w:after="0"/>
              <w:jc w:val="both"/>
              <w:rPr>
                <w:rFonts w:ascii="Arial" w:hAnsi="Arial" w:cs="Arial"/>
                <w:bCs/>
              </w:rPr>
            </w:pPr>
            <w:r w:rsidRPr="00577764">
              <w:rPr>
                <w:rFonts w:ascii="Arial" w:hAnsi="Arial" w:cs="Arial"/>
              </w:rPr>
              <w:t>Neutral/Undecided</w:t>
            </w:r>
          </w:p>
        </w:tc>
        <w:tc>
          <w:tcPr>
            <w:tcW w:w="2137" w:type="dxa"/>
            <w:tcBorders>
              <w:top w:val="nil"/>
              <w:left w:val="nil"/>
              <w:bottom w:val="nil"/>
              <w:right w:val="nil"/>
            </w:tcBorders>
          </w:tcPr>
          <w:p w14:paraId="6EA22283" w14:textId="77777777" w:rsidR="00853277" w:rsidRPr="00577764" w:rsidRDefault="00853277" w:rsidP="008F45DF">
            <w:pPr>
              <w:pStyle w:val="BodyText"/>
              <w:spacing w:after="0"/>
              <w:jc w:val="both"/>
              <w:rPr>
                <w:rFonts w:ascii="Arial" w:hAnsi="Arial" w:cs="Arial"/>
                <w:bCs/>
              </w:rPr>
            </w:pPr>
            <w:r w:rsidRPr="00577764">
              <w:rPr>
                <w:rFonts w:ascii="Arial" w:hAnsi="Arial" w:cs="Arial"/>
              </w:rPr>
              <w:t>2.51 – 3.50</w:t>
            </w:r>
          </w:p>
        </w:tc>
        <w:tc>
          <w:tcPr>
            <w:tcW w:w="2175" w:type="dxa"/>
            <w:tcBorders>
              <w:top w:val="nil"/>
              <w:left w:val="nil"/>
              <w:bottom w:val="nil"/>
              <w:right w:val="nil"/>
            </w:tcBorders>
          </w:tcPr>
          <w:p w14:paraId="5D12DE58" w14:textId="77777777" w:rsidR="00853277" w:rsidRPr="00577764" w:rsidRDefault="00853277" w:rsidP="008F45DF">
            <w:pPr>
              <w:pStyle w:val="BodyText"/>
              <w:spacing w:after="0"/>
              <w:jc w:val="both"/>
              <w:rPr>
                <w:rFonts w:ascii="Arial" w:hAnsi="Arial" w:cs="Arial"/>
                <w:bCs/>
              </w:rPr>
            </w:pPr>
            <w:r w:rsidRPr="00577764">
              <w:rPr>
                <w:rFonts w:ascii="Arial" w:hAnsi="Arial" w:cs="Arial"/>
              </w:rPr>
              <w:t>Moderate</w:t>
            </w:r>
          </w:p>
        </w:tc>
      </w:tr>
      <w:tr w:rsidR="00853277" w:rsidRPr="00577764" w14:paraId="4FF18212" w14:textId="77777777" w:rsidTr="00853277">
        <w:tc>
          <w:tcPr>
            <w:tcW w:w="2133" w:type="dxa"/>
            <w:tcBorders>
              <w:top w:val="nil"/>
              <w:left w:val="nil"/>
              <w:bottom w:val="nil"/>
              <w:right w:val="nil"/>
            </w:tcBorders>
          </w:tcPr>
          <w:p w14:paraId="77034EF8"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2</w:t>
            </w:r>
          </w:p>
        </w:tc>
        <w:tc>
          <w:tcPr>
            <w:tcW w:w="2195" w:type="dxa"/>
            <w:tcBorders>
              <w:top w:val="nil"/>
              <w:left w:val="nil"/>
              <w:bottom w:val="nil"/>
              <w:right w:val="nil"/>
            </w:tcBorders>
          </w:tcPr>
          <w:p w14:paraId="54F972A8" w14:textId="77777777" w:rsidR="00853277" w:rsidRPr="00577764" w:rsidRDefault="00853277" w:rsidP="008F45DF">
            <w:pPr>
              <w:pStyle w:val="BodyText"/>
              <w:spacing w:after="0"/>
              <w:jc w:val="both"/>
              <w:rPr>
                <w:rFonts w:ascii="Arial" w:hAnsi="Arial" w:cs="Arial"/>
                <w:bCs/>
              </w:rPr>
            </w:pPr>
            <w:r w:rsidRPr="00577764">
              <w:rPr>
                <w:rFonts w:ascii="Arial" w:hAnsi="Arial" w:cs="Arial"/>
              </w:rPr>
              <w:t>Disagree</w:t>
            </w:r>
          </w:p>
        </w:tc>
        <w:tc>
          <w:tcPr>
            <w:tcW w:w="2137" w:type="dxa"/>
            <w:tcBorders>
              <w:top w:val="nil"/>
              <w:left w:val="nil"/>
              <w:bottom w:val="nil"/>
              <w:right w:val="nil"/>
            </w:tcBorders>
          </w:tcPr>
          <w:p w14:paraId="00B08CE6" w14:textId="77777777" w:rsidR="00853277" w:rsidRPr="00577764" w:rsidRDefault="00853277" w:rsidP="008F45DF">
            <w:pPr>
              <w:pStyle w:val="BodyText"/>
              <w:spacing w:after="0"/>
              <w:jc w:val="both"/>
              <w:rPr>
                <w:rFonts w:ascii="Arial" w:hAnsi="Arial" w:cs="Arial"/>
                <w:bCs/>
              </w:rPr>
            </w:pPr>
            <w:r w:rsidRPr="00577764">
              <w:rPr>
                <w:rFonts w:ascii="Arial" w:hAnsi="Arial" w:cs="Arial"/>
              </w:rPr>
              <w:t>1.51 – 2.50</w:t>
            </w:r>
          </w:p>
        </w:tc>
        <w:tc>
          <w:tcPr>
            <w:tcW w:w="2175" w:type="dxa"/>
            <w:tcBorders>
              <w:top w:val="nil"/>
              <w:left w:val="nil"/>
              <w:bottom w:val="nil"/>
              <w:right w:val="nil"/>
            </w:tcBorders>
          </w:tcPr>
          <w:p w14:paraId="1019FC52" w14:textId="77777777" w:rsidR="00853277" w:rsidRPr="00577764" w:rsidRDefault="00853277" w:rsidP="008F45DF">
            <w:pPr>
              <w:pStyle w:val="BodyText"/>
              <w:spacing w:after="0"/>
              <w:jc w:val="both"/>
              <w:rPr>
                <w:rFonts w:ascii="Arial" w:hAnsi="Arial" w:cs="Arial"/>
                <w:bCs/>
              </w:rPr>
            </w:pPr>
            <w:r w:rsidRPr="00577764">
              <w:rPr>
                <w:rFonts w:ascii="Arial" w:hAnsi="Arial" w:cs="Arial"/>
              </w:rPr>
              <w:t>Low</w:t>
            </w:r>
          </w:p>
        </w:tc>
      </w:tr>
      <w:tr w:rsidR="00853277" w:rsidRPr="00577764" w14:paraId="626FDCFA" w14:textId="77777777" w:rsidTr="00853277">
        <w:tc>
          <w:tcPr>
            <w:tcW w:w="2133" w:type="dxa"/>
            <w:tcBorders>
              <w:top w:val="nil"/>
              <w:left w:val="nil"/>
              <w:bottom w:val="single" w:sz="12" w:space="0" w:color="000000"/>
              <w:right w:val="nil"/>
            </w:tcBorders>
          </w:tcPr>
          <w:p w14:paraId="7F17DF4A" w14:textId="77777777" w:rsidR="00853277" w:rsidRPr="00577764" w:rsidRDefault="00853277" w:rsidP="008F45DF">
            <w:pPr>
              <w:pStyle w:val="BodyText"/>
              <w:spacing w:after="0"/>
              <w:jc w:val="both"/>
              <w:rPr>
                <w:rFonts w:ascii="Arial" w:hAnsi="Arial" w:cs="Arial"/>
                <w:bCs/>
              </w:rPr>
            </w:pPr>
            <w:r w:rsidRPr="00577764">
              <w:rPr>
                <w:rFonts w:ascii="Arial" w:hAnsi="Arial" w:cs="Arial"/>
                <w:bCs/>
              </w:rPr>
              <w:t>1</w:t>
            </w:r>
          </w:p>
        </w:tc>
        <w:tc>
          <w:tcPr>
            <w:tcW w:w="2195" w:type="dxa"/>
            <w:tcBorders>
              <w:top w:val="nil"/>
              <w:left w:val="nil"/>
              <w:bottom w:val="single" w:sz="12" w:space="0" w:color="000000"/>
              <w:right w:val="nil"/>
            </w:tcBorders>
          </w:tcPr>
          <w:p w14:paraId="51DE0DDF" w14:textId="77777777" w:rsidR="00853277" w:rsidRPr="00577764" w:rsidRDefault="00853277" w:rsidP="008F45DF">
            <w:pPr>
              <w:pStyle w:val="BodyText"/>
              <w:spacing w:after="0"/>
              <w:jc w:val="both"/>
              <w:rPr>
                <w:rFonts w:ascii="Arial" w:hAnsi="Arial" w:cs="Arial"/>
                <w:bCs/>
              </w:rPr>
            </w:pPr>
            <w:r w:rsidRPr="00577764">
              <w:rPr>
                <w:rFonts w:ascii="Arial" w:hAnsi="Arial" w:cs="Arial"/>
              </w:rPr>
              <w:t>Strongly Disagree</w:t>
            </w:r>
          </w:p>
        </w:tc>
        <w:tc>
          <w:tcPr>
            <w:tcW w:w="2137" w:type="dxa"/>
            <w:tcBorders>
              <w:top w:val="nil"/>
              <w:left w:val="nil"/>
              <w:bottom w:val="single" w:sz="12" w:space="0" w:color="000000"/>
              <w:right w:val="nil"/>
            </w:tcBorders>
          </w:tcPr>
          <w:p w14:paraId="4EC704BE" w14:textId="77777777" w:rsidR="00853277" w:rsidRPr="00577764" w:rsidRDefault="00853277" w:rsidP="008F45DF">
            <w:pPr>
              <w:pStyle w:val="BodyText"/>
              <w:spacing w:after="0"/>
              <w:jc w:val="both"/>
              <w:rPr>
                <w:rFonts w:ascii="Arial" w:hAnsi="Arial" w:cs="Arial"/>
                <w:bCs/>
              </w:rPr>
            </w:pPr>
            <w:r w:rsidRPr="00577764">
              <w:rPr>
                <w:rFonts w:ascii="Arial" w:hAnsi="Arial" w:cs="Arial"/>
              </w:rPr>
              <w:t>1.00 – 1.50</w:t>
            </w:r>
          </w:p>
        </w:tc>
        <w:tc>
          <w:tcPr>
            <w:tcW w:w="2175" w:type="dxa"/>
            <w:tcBorders>
              <w:top w:val="nil"/>
              <w:left w:val="nil"/>
              <w:bottom w:val="single" w:sz="12" w:space="0" w:color="000000"/>
              <w:right w:val="nil"/>
            </w:tcBorders>
          </w:tcPr>
          <w:p w14:paraId="440DD9F8" w14:textId="77777777" w:rsidR="00853277" w:rsidRPr="00577764" w:rsidRDefault="00853277" w:rsidP="008F45DF">
            <w:pPr>
              <w:pStyle w:val="BodyText"/>
              <w:spacing w:after="0"/>
              <w:jc w:val="both"/>
              <w:rPr>
                <w:rFonts w:ascii="Arial" w:hAnsi="Arial" w:cs="Arial"/>
                <w:bCs/>
              </w:rPr>
            </w:pPr>
            <w:r w:rsidRPr="00577764">
              <w:rPr>
                <w:rFonts w:ascii="Arial" w:hAnsi="Arial" w:cs="Arial"/>
              </w:rPr>
              <w:t>Very Low</w:t>
            </w:r>
          </w:p>
        </w:tc>
      </w:tr>
    </w:tbl>
    <w:p w14:paraId="168397BC" w14:textId="77777777" w:rsidR="007F6275" w:rsidRPr="00D13DC5" w:rsidRDefault="007F6275" w:rsidP="008F45DF">
      <w:pPr>
        <w:spacing w:line="240" w:lineRule="auto"/>
        <w:jc w:val="both"/>
        <w:rPr>
          <w:rFonts w:ascii="Arial" w:hAnsi="Arial" w:cs="Arial"/>
        </w:rPr>
      </w:pPr>
    </w:p>
    <w:p w14:paraId="5F49E156" w14:textId="3056986E" w:rsidR="009B07B8" w:rsidRDefault="00853277" w:rsidP="008F45DF">
      <w:pPr>
        <w:spacing w:after="0" w:line="240" w:lineRule="auto"/>
        <w:jc w:val="both"/>
        <w:rPr>
          <w:rFonts w:ascii="Arial" w:hAnsi="Arial" w:cs="Arial"/>
          <w:b/>
          <w:bCs/>
        </w:rPr>
      </w:pPr>
      <w:r w:rsidRPr="00D13DC5">
        <w:rPr>
          <w:rFonts w:ascii="Arial" w:hAnsi="Arial" w:cs="Arial"/>
          <w:b/>
          <w:bCs/>
        </w:rPr>
        <w:t>Results and Discussions</w:t>
      </w:r>
    </w:p>
    <w:p w14:paraId="15EC6E15" w14:textId="77777777" w:rsidR="009B07B8" w:rsidRPr="00D13DC5" w:rsidRDefault="009B07B8" w:rsidP="008F45DF">
      <w:pPr>
        <w:spacing w:after="0" w:line="240" w:lineRule="auto"/>
        <w:jc w:val="both"/>
        <w:rPr>
          <w:rFonts w:ascii="Arial" w:hAnsi="Arial" w:cs="Arial"/>
          <w:b/>
          <w:bCs/>
        </w:rPr>
      </w:pPr>
    </w:p>
    <w:p w14:paraId="305EB4C4" w14:textId="77777777" w:rsidR="00B47EA6" w:rsidRDefault="00853277" w:rsidP="008F45DF">
      <w:pPr>
        <w:pStyle w:val="pf0"/>
        <w:tabs>
          <w:tab w:val="left" w:pos="720"/>
        </w:tabs>
        <w:spacing w:before="0" w:beforeAutospacing="0" w:after="0" w:afterAutospacing="0"/>
        <w:jc w:val="both"/>
        <w:rPr>
          <w:rStyle w:val="cf01"/>
          <w:rFonts w:ascii="Arial" w:hAnsi="Arial" w:cs="Arial"/>
          <w:b/>
          <w:bCs/>
          <w:sz w:val="24"/>
          <w:szCs w:val="24"/>
        </w:rPr>
      </w:pPr>
      <w:r w:rsidRPr="00D13DC5">
        <w:rPr>
          <w:rStyle w:val="cf01"/>
          <w:rFonts w:ascii="Arial" w:hAnsi="Arial" w:cs="Arial"/>
          <w:b/>
          <w:bCs/>
          <w:sz w:val="24"/>
          <w:szCs w:val="24"/>
        </w:rPr>
        <w:t>Problem 1. What is the level of awareness of disaster management of BTLEd–Home Economics students?</w:t>
      </w:r>
    </w:p>
    <w:p w14:paraId="6EEC82BC" w14:textId="77777777" w:rsidR="00B47EA6" w:rsidRDefault="00B47EA6" w:rsidP="008F45DF">
      <w:pPr>
        <w:pStyle w:val="pf0"/>
        <w:tabs>
          <w:tab w:val="left" w:pos="720"/>
        </w:tabs>
        <w:spacing w:before="0" w:beforeAutospacing="0" w:after="0" w:afterAutospacing="0"/>
        <w:jc w:val="both"/>
        <w:rPr>
          <w:rStyle w:val="cf01"/>
          <w:rFonts w:ascii="Arial" w:hAnsi="Arial" w:cs="Arial"/>
          <w:b/>
          <w:bCs/>
          <w:sz w:val="24"/>
          <w:szCs w:val="24"/>
        </w:rPr>
      </w:pPr>
    </w:p>
    <w:p w14:paraId="1794EDB0" w14:textId="2F48D9F7" w:rsidR="00B47EA6" w:rsidRPr="00863BE6" w:rsidRDefault="00B47EA6" w:rsidP="008F45DF">
      <w:pPr>
        <w:pStyle w:val="pf0"/>
        <w:tabs>
          <w:tab w:val="left" w:pos="720"/>
        </w:tabs>
        <w:spacing w:before="0" w:beforeAutospacing="0" w:after="0" w:afterAutospacing="0"/>
        <w:jc w:val="both"/>
        <w:rPr>
          <w:rStyle w:val="cf01"/>
          <w:rFonts w:ascii="Arial" w:hAnsi="Arial" w:cs="Arial"/>
          <w:b/>
          <w:bCs/>
          <w:sz w:val="24"/>
          <w:szCs w:val="24"/>
        </w:rPr>
        <w:sectPr w:rsidR="00B47EA6" w:rsidRPr="00863BE6" w:rsidSect="00D13DC5">
          <w:type w:val="continuous"/>
          <w:pgSz w:w="12240" w:h="15840" w:code="1"/>
          <w:pgMar w:top="1440" w:right="1440" w:bottom="1440" w:left="2160" w:header="709" w:footer="709" w:gutter="0"/>
          <w:cols w:space="708"/>
          <w:docGrid w:linePitch="360"/>
        </w:sectPr>
      </w:pPr>
    </w:p>
    <w:p w14:paraId="4751DD6A" w14:textId="23F57345" w:rsidR="00863BE6" w:rsidRDefault="00863BE6" w:rsidP="008F45DF">
      <w:pPr>
        <w:pStyle w:val="pf0"/>
        <w:spacing w:before="0" w:beforeAutospacing="0" w:after="0" w:afterAutospacing="0"/>
        <w:jc w:val="both"/>
        <w:rPr>
          <w:rFonts w:ascii="Arial" w:hAnsi="Arial" w:cs="Arial"/>
          <w:lang w:val="en-PH"/>
        </w:rPr>
      </w:pPr>
      <w:r>
        <w:rPr>
          <w:rFonts w:ascii="Arial" w:hAnsi="Arial" w:cs="Arial"/>
        </w:rPr>
        <w:tab/>
      </w:r>
      <w:r w:rsidR="0022384F" w:rsidRPr="0022384F">
        <w:rPr>
          <w:rFonts w:ascii="Arial" w:hAnsi="Arial" w:cs="Arial"/>
          <w:lang w:val="en-PH"/>
        </w:rPr>
        <w:t>Table 1 shows the distribution of participants concerning their awareness of disaster preparedness, which includes their frequency, percentage, and mean. The results indicate an overall mean of 4.45 and standard deviation of 0.42, which is interpreted as High. This shows that the BTLEd - Home Economics students display a high level of awareness regarding Disaster Risk Reduction and Management (DRRM) and the concepts of disasters, school emergency plans, and safety procedures.</w:t>
      </w:r>
    </w:p>
    <w:p w14:paraId="1DD6463E" w14:textId="77777777" w:rsidR="00B47EA6" w:rsidRPr="00863BE6" w:rsidRDefault="00B47EA6" w:rsidP="008F45DF">
      <w:pPr>
        <w:pStyle w:val="pf0"/>
        <w:spacing w:before="0" w:beforeAutospacing="0" w:after="0" w:afterAutospacing="0"/>
        <w:jc w:val="both"/>
        <w:rPr>
          <w:rFonts w:ascii="Arial" w:hAnsi="Arial" w:cs="Arial"/>
        </w:rPr>
      </w:pPr>
    </w:p>
    <w:p w14:paraId="372D7A92" w14:textId="77777777" w:rsidR="0022384F" w:rsidRDefault="00863BE6" w:rsidP="008F45DF">
      <w:pPr>
        <w:pStyle w:val="pf0"/>
        <w:spacing w:before="0" w:beforeAutospacing="0" w:after="0" w:afterAutospacing="0"/>
        <w:jc w:val="both"/>
        <w:rPr>
          <w:rFonts w:ascii="Arial" w:hAnsi="Arial" w:cs="Arial"/>
          <w:lang w:val="en-PH"/>
        </w:rPr>
      </w:pPr>
      <w:r w:rsidRPr="00863BE6">
        <w:rPr>
          <w:rFonts w:ascii="Arial" w:hAnsi="Arial" w:cs="Arial"/>
        </w:rPr>
        <w:tab/>
      </w:r>
      <w:r w:rsidR="0022384F" w:rsidRPr="0022384F">
        <w:rPr>
          <w:rFonts w:ascii="Arial" w:hAnsi="Arial" w:cs="Arial"/>
          <w:lang w:val="en-PH"/>
        </w:rPr>
        <w:t>Regarding distribution, 71 participants (50.35%) noted their awareness as Very High, and 70 participants (49.65%) noted their awareness as High. Most striking is that no participant selected neutral, low, or very low. This shows that 100% of the participants demonstrated High to Very High awareness, showcasing a high level of understanding of the group about disaster preparedness. The standard deviation of (SD) 0.42 means that the responses are very closely clustered around the mean, which shows very low variance of participants. In simple terms, the students held a similar and strong awareness of disaster preparedness and the associated safety measures.</w:t>
      </w:r>
    </w:p>
    <w:p w14:paraId="4599E1A5" w14:textId="77777777" w:rsidR="00B47EA6" w:rsidRPr="0022384F" w:rsidRDefault="00B47EA6" w:rsidP="008F45DF">
      <w:pPr>
        <w:pStyle w:val="pf0"/>
        <w:spacing w:before="0" w:beforeAutospacing="0" w:after="0" w:afterAutospacing="0"/>
        <w:jc w:val="both"/>
        <w:rPr>
          <w:rFonts w:ascii="Arial" w:hAnsi="Arial" w:cs="Arial"/>
          <w:lang w:val="en-PH"/>
        </w:rPr>
      </w:pPr>
    </w:p>
    <w:p w14:paraId="07B3A1FF" w14:textId="7BC69BF0" w:rsidR="0022384F" w:rsidRPr="0022384F" w:rsidRDefault="0022384F" w:rsidP="008F45DF">
      <w:pPr>
        <w:pStyle w:val="pf0"/>
        <w:spacing w:before="0" w:beforeAutospacing="0" w:after="0" w:afterAutospacing="0"/>
        <w:jc w:val="both"/>
        <w:rPr>
          <w:rFonts w:ascii="Arial" w:hAnsi="Arial" w:cs="Arial"/>
          <w:lang w:val="en-PH"/>
        </w:rPr>
      </w:pPr>
      <w:r>
        <w:rPr>
          <w:rFonts w:ascii="Arial" w:hAnsi="Arial" w:cs="Arial"/>
          <w:lang w:val="en-PH"/>
        </w:rPr>
        <w:lastRenderedPageBreak/>
        <w:tab/>
      </w:r>
      <w:r w:rsidRPr="0022384F">
        <w:rPr>
          <w:rFonts w:ascii="Arial" w:hAnsi="Arial" w:cs="Arial"/>
          <w:lang w:val="en-PH"/>
        </w:rPr>
        <w:t>The results indicate the effectiveness of the institution in promoting Disaster Risk Reduction and Management (DRRM) education by using orientations, drills, workshops, and dissemination of information to make sure that students are well informed.</w:t>
      </w:r>
      <w:r>
        <w:rPr>
          <w:rFonts w:ascii="Arial" w:hAnsi="Arial" w:cs="Arial"/>
          <w:lang w:val="en-PH"/>
        </w:rPr>
        <w:t xml:space="preserve"> </w:t>
      </w:r>
      <w:r w:rsidRPr="0022384F">
        <w:rPr>
          <w:rFonts w:ascii="Arial" w:hAnsi="Arial" w:cs="Arial"/>
          <w:lang w:val="en-PH"/>
        </w:rPr>
        <w:t>High awareness of dangers, procedures, and strategies is the basis for understanding the appropriate behaviors for disaster response and preparedness. The results affirmed the heightened awareness regarding disaster preparedness demonstrated by BTLEd–Home Economics students, and this strong foundation encourages active participation in DRRM activities and emergency management practices.</w:t>
      </w:r>
    </w:p>
    <w:p w14:paraId="14D3F708" w14:textId="115A5CB3" w:rsidR="00494330" w:rsidRPr="00D13DC5" w:rsidRDefault="00863BE6" w:rsidP="008F45DF">
      <w:pPr>
        <w:pStyle w:val="pf0"/>
        <w:spacing w:before="0" w:beforeAutospacing="0" w:after="0" w:afterAutospacing="0"/>
        <w:jc w:val="both"/>
        <w:rPr>
          <w:rStyle w:val="cf01"/>
          <w:rFonts w:ascii="Arial" w:hAnsi="Arial" w:cs="Arial"/>
          <w:b/>
          <w:bCs/>
          <w:sz w:val="24"/>
          <w:szCs w:val="24"/>
        </w:rPr>
      </w:pPr>
      <w:r>
        <w:rPr>
          <w:rFonts w:ascii="Arial" w:hAnsi="Arial" w:cs="Arial"/>
        </w:rPr>
        <w:tab/>
      </w:r>
    </w:p>
    <w:p w14:paraId="12A806DB" w14:textId="74C479D0" w:rsidR="00494330" w:rsidRDefault="00494330" w:rsidP="008F45DF">
      <w:pPr>
        <w:pStyle w:val="NoSpacing"/>
        <w:jc w:val="both"/>
        <w:rPr>
          <w:rFonts w:ascii="Arial" w:hAnsi="Arial" w:cs="Arial"/>
          <w:b/>
        </w:rPr>
      </w:pPr>
      <w:r w:rsidRPr="00D13DC5">
        <w:rPr>
          <w:rFonts w:ascii="Arial" w:hAnsi="Arial" w:cs="Arial"/>
          <w:b/>
        </w:rPr>
        <w:t>Table 1</w:t>
      </w:r>
    </w:p>
    <w:p w14:paraId="46022796" w14:textId="77777777" w:rsidR="009B07B8" w:rsidRPr="00D13DC5" w:rsidRDefault="009B07B8" w:rsidP="008F45DF">
      <w:pPr>
        <w:pStyle w:val="NoSpacing"/>
        <w:jc w:val="both"/>
        <w:rPr>
          <w:rFonts w:ascii="Arial" w:hAnsi="Arial" w:cs="Arial"/>
          <w:b/>
        </w:rPr>
      </w:pPr>
    </w:p>
    <w:p w14:paraId="687F569B" w14:textId="66F53D0A" w:rsidR="00494330" w:rsidRDefault="00494330" w:rsidP="008F45DF">
      <w:pPr>
        <w:pStyle w:val="NoSpacing"/>
        <w:jc w:val="both"/>
        <w:rPr>
          <w:rStyle w:val="cf01"/>
          <w:rFonts w:ascii="Arial" w:hAnsi="Arial" w:cs="Arial"/>
          <w:i/>
          <w:sz w:val="24"/>
          <w:szCs w:val="24"/>
        </w:rPr>
      </w:pPr>
      <w:r w:rsidRPr="00D13DC5">
        <w:rPr>
          <w:rFonts w:ascii="Arial" w:hAnsi="Arial" w:cs="Arial"/>
        </w:rPr>
        <w:t xml:space="preserve">Frequency, Percentage and Mean Distribution of </w:t>
      </w:r>
      <w:r w:rsidRPr="00D13DC5">
        <w:rPr>
          <w:rStyle w:val="cf01"/>
          <w:rFonts w:ascii="Arial" w:hAnsi="Arial" w:cs="Arial"/>
          <w:i/>
          <w:sz w:val="24"/>
          <w:szCs w:val="24"/>
        </w:rPr>
        <w:t xml:space="preserve">the Participants’ Awareness on Disaster Preparedness </w:t>
      </w:r>
    </w:p>
    <w:p w14:paraId="2D32BE95" w14:textId="77777777" w:rsidR="00B47EA6" w:rsidRPr="00D13DC5" w:rsidRDefault="00B47EA6" w:rsidP="008F45DF">
      <w:pPr>
        <w:pStyle w:val="NoSpacing"/>
        <w:jc w:val="both"/>
        <w:rPr>
          <w:rStyle w:val="cf01"/>
          <w:rFonts w:ascii="Arial" w:eastAsia="Arial" w:hAnsi="Arial" w:cs="Arial"/>
          <w:b/>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355"/>
        <w:gridCol w:w="2331"/>
        <w:gridCol w:w="2014"/>
        <w:gridCol w:w="1430"/>
        <w:gridCol w:w="1510"/>
      </w:tblGrid>
      <w:tr w:rsidR="00494330" w:rsidRPr="00577764" w14:paraId="7EF80758" w14:textId="77777777" w:rsidTr="00494330">
        <w:trPr>
          <w:jc w:val="center"/>
        </w:trPr>
        <w:tc>
          <w:tcPr>
            <w:tcW w:w="1355" w:type="dxa"/>
            <w:tcBorders>
              <w:top w:val="single" w:sz="4" w:space="0" w:color="auto"/>
              <w:bottom w:val="single" w:sz="4" w:space="0" w:color="auto"/>
            </w:tcBorders>
          </w:tcPr>
          <w:p w14:paraId="2AA4D488"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Range</w:t>
            </w:r>
          </w:p>
        </w:tc>
        <w:tc>
          <w:tcPr>
            <w:tcW w:w="2331" w:type="dxa"/>
            <w:tcBorders>
              <w:top w:val="single" w:sz="4" w:space="0" w:color="auto"/>
              <w:bottom w:val="single" w:sz="4" w:space="0" w:color="auto"/>
            </w:tcBorders>
          </w:tcPr>
          <w:p w14:paraId="107A1D62"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Description</w:t>
            </w:r>
          </w:p>
        </w:tc>
        <w:tc>
          <w:tcPr>
            <w:tcW w:w="2014" w:type="dxa"/>
            <w:tcBorders>
              <w:top w:val="single" w:sz="4" w:space="0" w:color="auto"/>
              <w:bottom w:val="single" w:sz="4" w:space="0" w:color="auto"/>
            </w:tcBorders>
          </w:tcPr>
          <w:p w14:paraId="37C5E004"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Interpretation</w:t>
            </w:r>
          </w:p>
        </w:tc>
        <w:tc>
          <w:tcPr>
            <w:tcW w:w="1430" w:type="dxa"/>
            <w:tcBorders>
              <w:top w:val="single" w:sz="4" w:space="0" w:color="auto"/>
              <w:bottom w:val="single" w:sz="4" w:space="0" w:color="auto"/>
            </w:tcBorders>
          </w:tcPr>
          <w:p w14:paraId="3D2FC1C2"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Frequency</w:t>
            </w:r>
          </w:p>
        </w:tc>
        <w:tc>
          <w:tcPr>
            <w:tcW w:w="1510" w:type="dxa"/>
            <w:tcBorders>
              <w:top w:val="single" w:sz="4" w:space="0" w:color="auto"/>
              <w:bottom w:val="single" w:sz="4" w:space="0" w:color="auto"/>
            </w:tcBorders>
          </w:tcPr>
          <w:p w14:paraId="6C29142E"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Percentage</w:t>
            </w:r>
          </w:p>
        </w:tc>
      </w:tr>
      <w:tr w:rsidR="00494330" w:rsidRPr="00577764" w14:paraId="5795FC2D" w14:textId="77777777" w:rsidTr="00494330">
        <w:trPr>
          <w:jc w:val="center"/>
        </w:trPr>
        <w:tc>
          <w:tcPr>
            <w:tcW w:w="1355" w:type="dxa"/>
            <w:tcBorders>
              <w:top w:val="single" w:sz="4" w:space="0" w:color="auto"/>
            </w:tcBorders>
            <w:vAlign w:val="center"/>
          </w:tcPr>
          <w:p w14:paraId="0C3EA4B2"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4.51-5.00</w:t>
            </w:r>
          </w:p>
        </w:tc>
        <w:tc>
          <w:tcPr>
            <w:tcW w:w="2331" w:type="dxa"/>
            <w:tcBorders>
              <w:top w:val="single" w:sz="4" w:space="0" w:color="auto"/>
            </w:tcBorders>
            <w:vAlign w:val="center"/>
          </w:tcPr>
          <w:p w14:paraId="5A40FF87"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Agree</w:t>
            </w:r>
          </w:p>
        </w:tc>
        <w:tc>
          <w:tcPr>
            <w:tcW w:w="2014" w:type="dxa"/>
            <w:tcBorders>
              <w:top w:val="single" w:sz="4" w:space="0" w:color="auto"/>
            </w:tcBorders>
            <w:vAlign w:val="center"/>
          </w:tcPr>
          <w:p w14:paraId="0A97C719"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High</w:t>
            </w:r>
          </w:p>
        </w:tc>
        <w:tc>
          <w:tcPr>
            <w:tcW w:w="1430" w:type="dxa"/>
            <w:tcBorders>
              <w:top w:val="single" w:sz="4" w:space="0" w:color="auto"/>
            </w:tcBorders>
            <w:vAlign w:val="bottom"/>
          </w:tcPr>
          <w:p w14:paraId="7BBDB084"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71</w:t>
            </w:r>
          </w:p>
        </w:tc>
        <w:tc>
          <w:tcPr>
            <w:tcW w:w="1510" w:type="dxa"/>
            <w:tcBorders>
              <w:top w:val="single" w:sz="4" w:space="0" w:color="auto"/>
            </w:tcBorders>
            <w:vAlign w:val="bottom"/>
          </w:tcPr>
          <w:p w14:paraId="3729BF2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50.35</w:t>
            </w:r>
          </w:p>
        </w:tc>
      </w:tr>
      <w:tr w:rsidR="00494330" w:rsidRPr="00577764" w14:paraId="00E2728A" w14:textId="77777777" w:rsidTr="00494330">
        <w:trPr>
          <w:jc w:val="center"/>
        </w:trPr>
        <w:tc>
          <w:tcPr>
            <w:tcW w:w="1355" w:type="dxa"/>
            <w:vAlign w:val="center"/>
          </w:tcPr>
          <w:p w14:paraId="2FF8241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3.51-4.50</w:t>
            </w:r>
          </w:p>
        </w:tc>
        <w:tc>
          <w:tcPr>
            <w:tcW w:w="2331" w:type="dxa"/>
            <w:vAlign w:val="center"/>
          </w:tcPr>
          <w:p w14:paraId="5D8E373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Agree</w:t>
            </w:r>
          </w:p>
        </w:tc>
        <w:tc>
          <w:tcPr>
            <w:tcW w:w="2014" w:type="dxa"/>
            <w:vAlign w:val="center"/>
          </w:tcPr>
          <w:p w14:paraId="33E9FCAC"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High</w:t>
            </w:r>
          </w:p>
        </w:tc>
        <w:tc>
          <w:tcPr>
            <w:tcW w:w="1430" w:type="dxa"/>
            <w:vAlign w:val="bottom"/>
          </w:tcPr>
          <w:p w14:paraId="328F205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70</w:t>
            </w:r>
          </w:p>
        </w:tc>
        <w:tc>
          <w:tcPr>
            <w:tcW w:w="1510" w:type="dxa"/>
            <w:vAlign w:val="bottom"/>
          </w:tcPr>
          <w:p w14:paraId="37D85284"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49.65</w:t>
            </w:r>
          </w:p>
        </w:tc>
      </w:tr>
      <w:tr w:rsidR="00494330" w:rsidRPr="00577764" w14:paraId="4665EF26" w14:textId="77777777" w:rsidTr="00494330">
        <w:trPr>
          <w:jc w:val="center"/>
        </w:trPr>
        <w:tc>
          <w:tcPr>
            <w:tcW w:w="1355" w:type="dxa"/>
            <w:vAlign w:val="center"/>
          </w:tcPr>
          <w:p w14:paraId="0A50D0C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2.51-3.50</w:t>
            </w:r>
          </w:p>
        </w:tc>
        <w:tc>
          <w:tcPr>
            <w:tcW w:w="2331" w:type="dxa"/>
            <w:vAlign w:val="center"/>
          </w:tcPr>
          <w:p w14:paraId="5966486C"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Neutral</w:t>
            </w:r>
          </w:p>
        </w:tc>
        <w:tc>
          <w:tcPr>
            <w:tcW w:w="2014" w:type="dxa"/>
            <w:vAlign w:val="center"/>
          </w:tcPr>
          <w:p w14:paraId="43F52C51"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Moderate</w:t>
            </w:r>
          </w:p>
        </w:tc>
        <w:tc>
          <w:tcPr>
            <w:tcW w:w="1430" w:type="dxa"/>
            <w:vAlign w:val="bottom"/>
          </w:tcPr>
          <w:p w14:paraId="2FB1EFC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vAlign w:val="bottom"/>
          </w:tcPr>
          <w:p w14:paraId="584767CC"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65DDA79B" w14:textId="77777777" w:rsidTr="00494330">
        <w:trPr>
          <w:trHeight w:val="72"/>
          <w:jc w:val="center"/>
        </w:trPr>
        <w:tc>
          <w:tcPr>
            <w:tcW w:w="1355" w:type="dxa"/>
            <w:tcBorders>
              <w:bottom w:val="nil"/>
            </w:tcBorders>
            <w:vAlign w:val="center"/>
          </w:tcPr>
          <w:p w14:paraId="4F94702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1.51-2.50</w:t>
            </w:r>
          </w:p>
        </w:tc>
        <w:tc>
          <w:tcPr>
            <w:tcW w:w="2331" w:type="dxa"/>
            <w:tcBorders>
              <w:bottom w:val="nil"/>
            </w:tcBorders>
            <w:vAlign w:val="center"/>
          </w:tcPr>
          <w:p w14:paraId="0CA0535B"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Disagree</w:t>
            </w:r>
          </w:p>
        </w:tc>
        <w:tc>
          <w:tcPr>
            <w:tcW w:w="2014" w:type="dxa"/>
            <w:tcBorders>
              <w:bottom w:val="nil"/>
            </w:tcBorders>
            <w:vAlign w:val="center"/>
          </w:tcPr>
          <w:p w14:paraId="7DAA77D6"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Low</w:t>
            </w:r>
          </w:p>
        </w:tc>
        <w:tc>
          <w:tcPr>
            <w:tcW w:w="1430" w:type="dxa"/>
            <w:tcBorders>
              <w:bottom w:val="nil"/>
            </w:tcBorders>
            <w:vAlign w:val="bottom"/>
          </w:tcPr>
          <w:p w14:paraId="0FC44C4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bottom w:val="nil"/>
            </w:tcBorders>
            <w:vAlign w:val="bottom"/>
          </w:tcPr>
          <w:p w14:paraId="78AED2E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53352419" w14:textId="77777777" w:rsidTr="00494330">
        <w:trPr>
          <w:jc w:val="center"/>
        </w:trPr>
        <w:tc>
          <w:tcPr>
            <w:tcW w:w="1355" w:type="dxa"/>
            <w:tcBorders>
              <w:top w:val="nil"/>
              <w:bottom w:val="single" w:sz="4" w:space="0" w:color="auto"/>
            </w:tcBorders>
            <w:vAlign w:val="center"/>
          </w:tcPr>
          <w:p w14:paraId="0373CE70"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1.00-1.50</w:t>
            </w:r>
          </w:p>
        </w:tc>
        <w:tc>
          <w:tcPr>
            <w:tcW w:w="2331" w:type="dxa"/>
            <w:tcBorders>
              <w:top w:val="nil"/>
              <w:bottom w:val="single" w:sz="4" w:space="0" w:color="auto"/>
            </w:tcBorders>
            <w:vAlign w:val="center"/>
          </w:tcPr>
          <w:p w14:paraId="0CC34C19"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Disagree</w:t>
            </w:r>
          </w:p>
        </w:tc>
        <w:tc>
          <w:tcPr>
            <w:tcW w:w="2014" w:type="dxa"/>
            <w:tcBorders>
              <w:top w:val="nil"/>
              <w:bottom w:val="single" w:sz="4" w:space="0" w:color="auto"/>
            </w:tcBorders>
            <w:vAlign w:val="center"/>
          </w:tcPr>
          <w:p w14:paraId="3B4B116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Low</w:t>
            </w:r>
          </w:p>
        </w:tc>
        <w:tc>
          <w:tcPr>
            <w:tcW w:w="1430" w:type="dxa"/>
            <w:tcBorders>
              <w:top w:val="nil"/>
              <w:bottom w:val="single" w:sz="4" w:space="0" w:color="auto"/>
            </w:tcBorders>
            <w:vAlign w:val="bottom"/>
          </w:tcPr>
          <w:p w14:paraId="49E790B5"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top w:val="nil"/>
              <w:bottom w:val="single" w:sz="4" w:space="0" w:color="auto"/>
            </w:tcBorders>
            <w:vAlign w:val="bottom"/>
          </w:tcPr>
          <w:p w14:paraId="53A745FF"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676EB290" w14:textId="77777777" w:rsidTr="00494330">
        <w:trPr>
          <w:jc w:val="center"/>
        </w:trPr>
        <w:tc>
          <w:tcPr>
            <w:tcW w:w="1355" w:type="dxa"/>
            <w:tcBorders>
              <w:top w:val="single" w:sz="4" w:space="0" w:color="auto"/>
            </w:tcBorders>
          </w:tcPr>
          <w:p w14:paraId="38B6B277" w14:textId="77777777" w:rsidR="00494330" w:rsidRPr="00577764" w:rsidRDefault="00494330" w:rsidP="008F45DF">
            <w:pPr>
              <w:pStyle w:val="NoSpacing"/>
              <w:jc w:val="both"/>
              <w:rPr>
                <w:rFonts w:ascii="Arial" w:hAnsi="Arial" w:cs="Arial"/>
                <w:b/>
                <w:sz w:val="22"/>
                <w:szCs w:val="22"/>
              </w:rPr>
            </w:pPr>
          </w:p>
        </w:tc>
        <w:tc>
          <w:tcPr>
            <w:tcW w:w="2331" w:type="dxa"/>
            <w:tcBorders>
              <w:top w:val="single" w:sz="4" w:space="0" w:color="auto"/>
            </w:tcBorders>
          </w:tcPr>
          <w:p w14:paraId="53E961D6" w14:textId="77777777" w:rsidR="00494330" w:rsidRPr="00577764" w:rsidRDefault="00494330" w:rsidP="008F45DF">
            <w:pPr>
              <w:pStyle w:val="NoSpacing"/>
              <w:jc w:val="both"/>
              <w:rPr>
                <w:rFonts w:ascii="Arial" w:hAnsi="Arial" w:cs="Arial"/>
                <w:b/>
                <w:sz w:val="22"/>
                <w:szCs w:val="22"/>
              </w:rPr>
            </w:pPr>
          </w:p>
        </w:tc>
        <w:tc>
          <w:tcPr>
            <w:tcW w:w="2014" w:type="dxa"/>
            <w:tcBorders>
              <w:top w:val="single" w:sz="4" w:space="0" w:color="auto"/>
            </w:tcBorders>
          </w:tcPr>
          <w:p w14:paraId="3B5B2A15"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Total</w:t>
            </w:r>
          </w:p>
        </w:tc>
        <w:tc>
          <w:tcPr>
            <w:tcW w:w="1430" w:type="dxa"/>
            <w:tcBorders>
              <w:top w:val="single" w:sz="4" w:space="0" w:color="auto"/>
            </w:tcBorders>
          </w:tcPr>
          <w:p w14:paraId="336A2B37"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141</w:t>
            </w:r>
          </w:p>
        </w:tc>
        <w:tc>
          <w:tcPr>
            <w:tcW w:w="1510" w:type="dxa"/>
            <w:tcBorders>
              <w:top w:val="single" w:sz="4" w:space="0" w:color="auto"/>
            </w:tcBorders>
          </w:tcPr>
          <w:p w14:paraId="0B08B0AE"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100</w:t>
            </w:r>
          </w:p>
        </w:tc>
      </w:tr>
      <w:tr w:rsidR="00494330" w:rsidRPr="00577764" w14:paraId="3AABF617" w14:textId="77777777" w:rsidTr="00494330">
        <w:trPr>
          <w:jc w:val="center"/>
        </w:trPr>
        <w:tc>
          <w:tcPr>
            <w:tcW w:w="1355" w:type="dxa"/>
          </w:tcPr>
          <w:p w14:paraId="1CC536BA" w14:textId="77777777" w:rsidR="00494330" w:rsidRPr="00577764" w:rsidRDefault="00494330" w:rsidP="008F45DF">
            <w:pPr>
              <w:pStyle w:val="NoSpacing"/>
              <w:jc w:val="both"/>
              <w:rPr>
                <w:rFonts w:ascii="Arial" w:hAnsi="Arial" w:cs="Arial"/>
                <w:b/>
                <w:bCs/>
                <w:sz w:val="22"/>
                <w:szCs w:val="22"/>
              </w:rPr>
            </w:pPr>
          </w:p>
        </w:tc>
        <w:tc>
          <w:tcPr>
            <w:tcW w:w="2331" w:type="dxa"/>
          </w:tcPr>
          <w:p w14:paraId="54D12D13" w14:textId="77777777" w:rsidR="00494330" w:rsidRPr="00577764" w:rsidRDefault="00494330" w:rsidP="008F45DF">
            <w:pPr>
              <w:pStyle w:val="NoSpacing"/>
              <w:jc w:val="both"/>
              <w:rPr>
                <w:rFonts w:ascii="Arial" w:hAnsi="Arial" w:cs="Arial"/>
                <w:b/>
                <w:bCs/>
                <w:sz w:val="22"/>
                <w:szCs w:val="22"/>
              </w:rPr>
            </w:pPr>
          </w:p>
        </w:tc>
        <w:tc>
          <w:tcPr>
            <w:tcW w:w="2014" w:type="dxa"/>
          </w:tcPr>
          <w:p w14:paraId="77BB11E2"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Overall Mean</w:t>
            </w:r>
          </w:p>
        </w:tc>
        <w:tc>
          <w:tcPr>
            <w:tcW w:w="2940" w:type="dxa"/>
            <w:gridSpan w:val="2"/>
          </w:tcPr>
          <w:p w14:paraId="5EA9FF1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4.45</w:t>
            </w:r>
          </w:p>
        </w:tc>
      </w:tr>
      <w:tr w:rsidR="00494330" w:rsidRPr="00577764" w14:paraId="2B339394" w14:textId="77777777" w:rsidTr="00494330">
        <w:trPr>
          <w:jc w:val="center"/>
        </w:trPr>
        <w:tc>
          <w:tcPr>
            <w:tcW w:w="1355" w:type="dxa"/>
          </w:tcPr>
          <w:p w14:paraId="720C96EF" w14:textId="77777777" w:rsidR="00494330" w:rsidRPr="00577764" w:rsidRDefault="00494330" w:rsidP="008F45DF">
            <w:pPr>
              <w:pStyle w:val="NoSpacing"/>
              <w:jc w:val="both"/>
              <w:rPr>
                <w:rFonts w:ascii="Arial" w:hAnsi="Arial" w:cs="Arial"/>
                <w:b/>
                <w:bCs/>
                <w:sz w:val="22"/>
                <w:szCs w:val="22"/>
              </w:rPr>
            </w:pPr>
          </w:p>
        </w:tc>
        <w:tc>
          <w:tcPr>
            <w:tcW w:w="2331" w:type="dxa"/>
          </w:tcPr>
          <w:p w14:paraId="68075312" w14:textId="77777777" w:rsidR="00494330" w:rsidRPr="00577764" w:rsidRDefault="00494330" w:rsidP="008F45DF">
            <w:pPr>
              <w:pStyle w:val="NoSpacing"/>
              <w:jc w:val="both"/>
              <w:rPr>
                <w:rFonts w:ascii="Arial" w:hAnsi="Arial" w:cs="Arial"/>
                <w:b/>
                <w:bCs/>
                <w:sz w:val="22"/>
                <w:szCs w:val="22"/>
              </w:rPr>
            </w:pPr>
          </w:p>
        </w:tc>
        <w:tc>
          <w:tcPr>
            <w:tcW w:w="2014" w:type="dxa"/>
          </w:tcPr>
          <w:p w14:paraId="7C0ACA4E"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2940" w:type="dxa"/>
            <w:gridSpan w:val="2"/>
          </w:tcPr>
          <w:p w14:paraId="44FFFA56"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High</w:t>
            </w:r>
          </w:p>
        </w:tc>
      </w:tr>
      <w:tr w:rsidR="00494330" w:rsidRPr="00577764" w14:paraId="34AEEFB9" w14:textId="77777777" w:rsidTr="00494330">
        <w:trPr>
          <w:jc w:val="center"/>
        </w:trPr>
        <w:tc>
          <w:tcPr>
            <w:tcW w:w="1355" w:type="dxa"/>
          </w:tcPr>
          <w:p w14:paraId="74B1628A" w14:textId="77777777" w:rsidR="00494330" w:rsidRPr="00577764" w:rsidRDefault="00494330" w:rsidP="008F45DF">
            <w:pPr>
              <w:pStyle w:val="NoSpacing"/>
              <w:jc w:val="both"/>
              <w:rPr>
                <w:rFonts w:ascii="Arial" w:hAnsi="Arial" w:cs="Arial"/>
                <w:b/>
                <w:bCs/>
                <w:sz w:val="22"/>
                <w:szCs w:val="22"/>
              </w:rPr>
            </w:pPr>
          </w:p>
        </w:tc>
        <w:tc>
          <w:tcPr>
            <w:tcW w:w="2331" w:type="dxa"/>
          </w:tcPr>
          <w:p w14:paraId="541E36CD" w14:textId="77777777" w:rsidR="00494330" w:rsidRPr="00577764" w:rsidRDefault="00494330" w:rsidP="008F45DF">
            <w:pPr>
              <w:pStyle w:val="NoSpacing"/>
              <w:jc w:val="both"/>
              <w:rPr>
                <w:rFonts w:ascii="Arial" w:hAnsi="Arial" w:cs="Arial"/>
                <w:b/>
                <w:bCs/>
                <w:sz w:val="22"/>
                <w:szCs w:val="22"/>
              </w:rPr>
            </w:pPr>
          </w:p>
        </w:tc>
        <w:tc>
          <w:tcPr>
            <w:tcW w:w="2014" w:type="dxa"/>
          </w:tcPr>
          <w:p w14:paraId="26293B41"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SD</w:t>
            </w:r>
          </w:p>
        </w:tc>
        <w:tc>
          <w:tcPr>
            <w:tcW w:w="2940" w:type="dxa"/>
            <w:gridSpan w:val="2"/>
          </w:tcPr>
          <w:p w14:paraId="16D2EBDB"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0.42</w:t>
            </w:r>
          </w:p>
        </w:tc>
      </w:tr>
    </w:tbl>
    <w:p w14:paraId="10F619F0" w14:textId="77777777" w:rsidR="00494330" w:rsidRPr="00D13DC5" w:rsidRDefault="00494330" w:rsidP="008F45DF">
      <w:pPr>
        <w:spacing w:after="0" w:line="240" w:lineRule="auto"/>
        <w:jc w:val="both"/>
        <w:rPr>
          <w:rStyle w:val="cf01"/>
          <w:rFonts w:ascii="Arial" w:hAnsi="Arial" w:cs="Arial"/>
          <w:sz w:val="24"/>
          <w:szCs w:val="24"/>
        </w:rPr>
        <w:sectPr w:rsidR="00494330" w:rsidRPr="00D13DC5" w:rsidSect="00D13DC5">
          <w:type w:val="continuous"/>
          <w:pgSz w:w="12240" w:h="15840" w:code="1"/>
          <w:pgMar w:top="1440" w:right="1440" w:bottom="1440" w:left="2160" w:header="709" w:footer="709" w:gutter="0"/>
          <w:cols w:space="708"/>
          <w:docGrid w:linePitch="360"/>
        </w:sectPr>
      </w:pPr>
    </w:p>
    <w:p w14:paraId="4B8DC10F" w14:textId="77777777" w:rsidR="00B31C9F" w:rsidRDefault="00B31C9F" w:rsidP="008F45DF">
      <w:pPr>
        <w:spacing w:after="0" w:line="240" w:lineRule="auto"/>
        <w:jc w:val="both"/>
        <w:rPr>
          <w:rStyle w:val="cf01"/>
          <w:rFonts w:ascii="Arial" w:hAnsi="Arial" w:cs="Arial"/>
          <w:b/>
          <w:bCs/>
          <w:sz w:val="24"/>
          <w:szCs w:val="24"/>
        </w:rPr>
      </w:pPr>
      <w:r w:rsidRPr="00D13DC5">
        <w:rPr>
          <w:rStyle w:val="cf01"/>
          <w:rFonts w:ascii="Arial" w:hAnsi="Arial" w:cs="Arial"/>
          <w:b/>
          <w:bCs/>
          <w:sz w:val="24"/>
          <w:szCs w:val="24"/>
        </w:rPr>
        <w:t>Problem 2. What is the participants’ level of participation in DRRM related activities</w:t>
      </w:r>
      <w:r>
        <w:rPr>
          <w:rStyle w:val="cf01"/>
          <w:rFonts w:ascii="Arial" w:hAnsi="Arial" w:cs="Arial"/>
          <w:b/>
          <w:bCs/>
          <w:sz w:val="24"/>
          <w:szCs w:val="24"/>
        </w:rPr>
        <w:t xml:space="preserve">. </w:t>
      </w:r>
    </w:p>
    <w:p w14:paraId="243C1BC4" w14:textId="77777777" w:rsidR="00B31C9F" w:rsidRDefault="00B31C9F" w:rsidP="008F45DF">
      <w:pPr>
        <w:spacing w:after="0" w:line="240" w:lineRule="auto"/>
        <w:jc w:val="both"/>
        <w:rPr>
          <w:rStyle w:val="cf01"/>
          <w:rFonts w:ascii="Arial" w:hAnsi="Arial" w:cs="Arial"/>
          <w:b/>
          <w:bCs/>
          <w:sz w:val="24"/>
          <w:szCs w:val="24"/>
        </w:rPr>
      </w:pPr>
    </w:p>
    <w:p w14:paraId="4C4DD34B" w14:textId="19D7CE19" w:rsidR="00494330" w:rsidRPr="00B31C9F" w:rsidRDefault="00B31C9F" w:rsidP="008F45DF">
      <w:pPr>
        <w:spacing w:after="0" w:line="240" w:lineRule="auto"/>
        <w:jc w:val="both"/>
        <w:rPr>
          <w:rStyle w:val="cf01"/>
          <w:rFonts w:ascii="Arial" w:eastAsia="Arial" w:hAnsi="Arial" w:cs="Arial"/>
          <w:bCs/>
          <w:sz w:val="24"/>
          <w:szCs w:val="24"/>
        </w:rPr>
        <w:sectPr w:rsidR="00494330" w:rsidRPr="00B31C9F" w:rsidSect="00D13DC5">
          <w:type w:val="continuous"/>
          <w:pgSz w:w="12240" w:h="15840" w:code="1"/>
          <w:pgMar w:top="1440" w:right="1440" w:bottom="1440" w:left="2160" w:header="709" w:footer="709" w:gutter="0"/>
          <w:cols w:space="708"/>
          <w:docGrid w:linePitch="360"/>
        </w:sectPr>
      </w:pPr>
      <w:r>
        <w:rPr>
          <w:rStyle w:val="cf01"/>
          <w:rFonts w:ascii="Arial" w:hAnsi="Arial" w:cs="Arial"/>
          <w:b/>
          <w:bCs/>
          <w:sz w:val="24"/>
          <w:szCs w:val="24"/>
        </w:rPr>
        <w:tab/>
      </w:r>
      <w:r w:rsidRPr="00F40DB6">
        <w:rPr>
          <w:rFonts w:ascii="Arial" w:eastAsia="Arial" w:hAnsi="Arial" w:cs="Arial"/>
          <w:bCs/>
        </w:rPr>
        <w:t xml:space="preserve">Table 2 presents the </w:t>
      </w:r>
      <w:r w:rsidRPr="0022384F">
        <w:rPr>
          <w:rFonts w:ascii="Arial" w:eastAsia="Arial" w:hAnsi="Arial" w:cs="Arial"/>
          <w:bCs/>
        </w:rPr>
        <w:t>frequency, percentage, and mean distribution of each participants’ level of involvement in DRRM-related activities. Overall, the mean of the results is 4.01 and the standard deviation is 0.52, which is interpreted as High. Most of the BTLEd–Home Economics students show involvement in the disaster preparedness activities organized by the school and by the community. The mean score indicates a tendency of students to go beyond the mere attendance to the activities. Most students are likely to participate in the drills and workshops, and in the community DRRM activities</w:t>
      </w:r>
      <w:r>
        <w:rPr>
          <w:rFonts w:ascii="Arial" w:eastAsia="Arial" w:hAnsi="Arial" w:cs="Arial"/>
          <w:bCs/>
        </w:rPr>
        <w:t>.</w:t>
      </w:r>
    </w:p>
    <w:p w14:paraId="6F4AB28E" w14:textId="77777777" w:rsidR="00853277" w:rsidRPr="00D13DC5" w:rsidRDefault="00853277" w:rsidP="008F45DF">
      <w:pPr>
        <w:spacing w:after="0" w:line="240" w:lineRule="auto"/>
        <w:jc w:val="both"/>
        <w:rPr>
          <w:rStyle w:val="cf01"/>
          <w:rFonts w:ascii="Arial" w:hAnsi="Arial" w:cs="Arial"/>
          <w:sz w:val="24"/>
          <w:szCs w:val="24"/>
        </w:rPr>
        <w:sectPr w:rsidR="00853277" w:rsidRPr="00D13DC5" w:rsidSect="00D13DC5">
          <w:type w:val="continuous"/>
          <w:pgSz w:w="12240" w:h="15840" w:code="1"/>
          <w:pgMar w:top="1440" w:right="1440" w:bottom="1440" w:left="2160" w:header="709" w:footer="709" w:gutter="0"/>
          <w:cols w:space="708"/>
          <w:docGrid w:linePitch="360"/>
        </w:sectPr>
      </w:pPr>
    </w:p>
    <w:p w14:paraId="6E6E0057" w14:textId="1DD9F9C7" w:rsidR="00494330" w:rsidRPr="00D13DC5" w:rsidRDefault="00494330" w:rsidP="008F45DF">
      <w:pPr>
        <w:spacing w:after="0" w:line="240" w:lineRule="auto"/>
        <w:jc w:val="both"/>
        <w:rPr>
          <w:rFonts w:ascii="Arial" w:eastAsia="Arial" w:hAnsi="Arial" w:cs="Arial"/>
          <w:b/>
        </w:rPr>
      </w:pPr>
      <w:r w:rsidRPr="00D13DC5">
        <w:rPr>
          <w:rFonts w:ascii="Arial" w:eastAsia="Arial" w:hAnsi="Arial" w:cs="Arial"/>
          <w:b/>
        </w:rPr>
        <w:t>Table 2</w:t>
      </w:r>
    </w:p>
    <w:p w14:paraId="0D0FFF9F" w14:textId="77777777" w:rsidR="00494330" w:rsidRPr="00D13DC5" w:rsidRDefault="00494330" w:rsidP="008F45DF">
      <w:pPr>
        <w:spacing w:after="0" w:line="240" w:lineRule="auto"/>
        <w:jc w:val="both"/>
        <w:rPr>
          <w:rFonts w:ascii="Arial" w:eastAsia="Arial" w:hAnsi="Arial" w:cs="Arial"/>
          <w:b/>
        </w:rPr>
      </w:pPr>
    </w:p>
    <w:p w14:paraId="7B815633" w14:textId="45987FB7" w:rsidR="00494330" w:rsidRPr="00D13DC5" w:rsidRDefault="00494330" w:rsidP="008F45DF">
      <w:pPr>
        <w:spacing w:after="0" w:line="240" w:lineRule="auto"/>
        <w:jc w:val="both"/>
        <w:rPr>
          <w:rStyle w:val="cf01"/>
          <w:rFonts w:ascii="Arial" w:hAnsi="Arial" w:cs="Arial"/>
          <w:i/>
          <w:sz w:val="24"/>
          <w:szCs w:val="24"/>
        </w:rPr>
      </w:pPr>
      <w:r w:rsidRPr="00D13DC5">
        <w:rPr>
          <w:rFonts w:ascii="Arial" w:eastAsia="Arial" w:hAnsi="Arial" w:cs="Arial"/>
          <w:i/>
        </w:rPr>
        <w:t xml:space="preserve">Frequency, Percentage and Mean Distribution of </w:t>
      </w:r>
      <w:r w:rsidRPr="00D13DC5">
        <w:rPr>
          <w:rStyle w:val="cf01"/>
          <w:rFonts w:ascii="Arial" w:hAnsi="Arial" w:cs="Arial"/>
          <w:i/>
          <w:sz w:val="24"/>
          <w:szCs w:val="24"/>
        </w:rPr>
        <w:t>the Participants’ Level of Participation in DRRM Related Activities</w:t>
      </w:r>
    </w:p>
    <w:tbl>
      <w:tblPr>
        <w:tblW w:w="8601" w:type="dxa"/>
        <w:tblBorders>
          <w:top w:val="single" w:sz="4" w:space="0" w:color="auto"/>
          <w:bottom w:val="single" w:sz="4" w:space="0" w:color="auto"/>
        </w:tblBorders>
        <w:tblLook w:val="04A0" w:firstRow="1" w:lastRow="0" w:firstColumn="1" w:lastColumn="0" w:noHBand="0" w:noVBand="1"/>
      </w:tblPr>
      <w:tblGrid>
        <w:gridCol w:w="1283"/>
        <w:gridCol w:w="2189"/>
        <w:gridCol w:w="1976"/>
        <w:gridCol w:w="1506"/>
        <w:gridCol w:w="1647"/>
      </w:tblGrid>
      <w:tr w:rsidR="002F4FEE" w:rsidRPr="00577764" w14:paraId="7EDB4719" w14:textId="77777777" w:rsidTr="002F4FEE">
        <w:trPr>
          <w:trHeight w:val="126"/>
        </w:trPr>
        <w:tc>
          <w:tcPr>
            <w:tcW w:w="1283" w:type="dxa"/>
            <w:tcBorders>
              <w:top w:val="single" w:sz="4" w:space="0" w:color="auto"/>
              <w:bottom w:val="single" w:sz="4" w:space="0" w:color="auto"/>
            </w:tcBorders>
          </w:tcPr>
          <w:p w14:paraId="7C469CC7"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Range</w:t>
            </w:r>
          </w:p>
        </w:tc>
        <w:tc>
          <w:tcPr>
            <w:tcW w:w="2189" w:type="dxa"/>
            <w:tcBorders>
              <w:top w:val="single" w:sz="4" w:space="0" w:color="auto"/>
              <w:bottom w:val="single" w:sz="4" w:space="0" w:color="auto"/>
            </w:tcBorders>
          </w:tcPr>
          <w:p w14:paraId="3BF98B9C"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Description</w:t>
            </w:r>
          </w:p>
        </w:tc>
        <w:tc>
          <w:tcPr>
            <w:tcW w:w="1976" w:type="dxa"/>
            <w:tcBorders>
              <w:top w:val="single" w:sz="4" w:space="0" w:color="auto"/>
              <w:bottom w:val="single" w:sz="4" w:space="0" w:color="auto"/>
            </w:tcBorders>
          </w:tcPr>
          <w:p w14:paraId="6F6DA953"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Interpretation</w:t>
            </w:r>
          </w:p>
        </w:tc>
        <w:tc>
          <w:tcPr>
            <w:tcW w:w="1506" w:type="dxa"/>
            <w:tcBorders>
              <w:top w:val="single" w:sz="4" w:space="0" w:color="auto"/>
              <w:bottom w:val="single" w:sz="4" w:space="0" w:color="auto"/>
            </w:tcBorders>
          </w:tcPr>
          <w:p w14:paraId="5D05C432"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Frequency</w:t>
            </w:r>
          </w:p>
        </w:tc>
        <w:tc>
          <w:tcPr>
            <w:tcW w:w="1647" w:type="dxa"/>
            <w:tcBorders>
              <w:top w:val="single" w:sz="4" w:space="0" w:color="auto"/>
              <w:bottom w:val="single" w:sz="4" w:space="0" w:color="auto"/>
            </w:tcBorders>
          </w:tcPr>
          <w:p w14:paraId="4144937F"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Percentage</w:t>
            </w:r>
          </w:p>
        </w:tc>
      </w:tr>
      <w:tr w:rsidR="002F4FEE" w:rsidRPr="00577764" w14:paraId="5E045C2A" w14:textId="77777777" w:rsidTr="002F4FEE">
        <w:trPr>
          <w:trHeight w:val="126"/>
        </w:trPr>
        <w:tc>
          <w:tcPr>
            <w:tcW w:w="1283" w:type="dxa"/>
            <w:tcBorders>
              <w:top w:val="single" w:sz="4" w:space="0" w:color="auto"/>
            </w:tcBorders>
            <w:vAlign w:val="center"/>
          </w:tcPr>
          <w:p w14:paraId="3D4393BA"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4.51-5.00</w:t>
            </w:r>
          </w:p>
        </w:tc>
        <w:tc>
          <w:tcPr>
            <w:tcW w:w="2189" w:type="dxa"/>
            <w:tcBorders>
              <w:top w:val="single" w:sz="4" w:space="0" w:color="auto"/>
            </w:tcBorders>
            <w:vAlign w:val="center"/>
          </w:tcPr>
          <w:p w14:paraId="648713F8"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Strongly Agree</w:t>
            </w:r>
          </w:p>
        </w:tc>
        <w:tc>
          <w:tcPr>
            <w:tcW w:w="1976" w:type="dxa"/>
            <w:tcBorders>
              <w:top w:val="single" w:sz="4" w:space="0" w:color="auto"/>
            </w:tcBorders>
            <w:vAlign w:val="center"/>
          </w:tcPr>
          <w:p w14:paraId="2D160349"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Very High</w:t>
            </w:r>
          </w:p>
        </w:tc>
        <w:tc>
          <w:tcPr>
            <w:tcW w:w="1506" w:type="dxa"/>
            <w:tcBorders>
              <w:top w:val="single" w:sz="4" w:space="0" w:color="auto"/>
            </w:tcBorders>
            <w:vAlign w:val="bottom"/>
          </w:tcPr>
          <w:p w14:paraId="4088DA77"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27</w:t>
            </w:r>
          </w:p>
        </w:tc>
        <w:tc>
          <w:tcPr>
            <w:tcW w:w="1647" w:type="dxa"/>
            <w:tcBorders>
              <w:top w:val="single" w:sz="4" w:space="0" w:color="auto"/>
            </w:tcBorders>
            <w:vAlign w:val="bottom"/>
          </w:tcPr>
          <w:p w14:paraId="5D31E3F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19.15</w:t>
            </w:r>
          </w:p>
        </w:tc>
      </w:tr>
      <w:tr w:rsidR="002F4FEE" w:rsidRPr="00577764" w14:paraId="1A6C5DAB" w14:textId="77777777" w:rsidTr="002F4FEE">
        <w:trPr>
          <w:trHeight w:val="126"/>
        </w:trPr>
        <w:tc>
          <w:tcPr>
            <w:tcW w:w="1283" w:type="dxa"/>
            <w:vAlign w:val="center"/>
          </w:tcPr>
          <w:p w14:paraId="6850AFB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3.51-4.50</w:t>
            </w:r>
          </w:p>
        </w:tc>
        <w:tc>
          <w:tcPr>
            <w:tcW w:w="2189" w:type="dxa"/>
            <w:vAlign w:val="center"/>
          </w:tcPr>
          <w:p w14:paraId="7A72E8D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Agree</w:t>
            </w:r>
          </w:p>
        </w:tc>
        <w:tc>
          <w:tcPr>
            <w:tcW w:w="1976" w:type="dxa"/>
            <w:vAlign w:val="center"/>
          </w:tcPr>
          <w:p w14:paraId="255C1BC9"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High</w:t>
            </w:r>
          </w:p>
        </w:tc>
        <w:tc>
          <w:tcPr>
            <w:tcW w:w="1506" w:type="dxa"/>
            <w:vAlign w:val="bottom"/>
          </w:tcPr>
          <w:p w14:paraId="59A2BC2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84</w:t>
            </w:r>
          </w:p>
        </w:tc>
        <w:tc>
          <w:tcPr>
            <w:tcW w:w="1647" w:type="dxa"/>
            <w:vAlign w:val="bottom"/>
          </w:tcPr>
          <w:p w14:paraId="5319A8C5"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59.57</w:t>
            </w:r>
          </w:p>
        </w:tc>
      </w:tr>
      <w:tr w:rsidR="002F4FEE" w:rsidRPr="00577764" w14:paraId="6CEEED31" w14:textId="77777777" w:rsidTr="002F4FEE">
        <w:trPr>
          <w:trHeight w:val="132"/>
        </w:trPr>
        <w:tc>
          <w:tcPr>
            <w:tcW w:w="1283" w:type="dxa"/>
            <w:vAlign w:val="center"/>
          </w:tcPr>
          <w:p w14:paraId="4A52234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2.51-3.50</w:t>
            </w:r>
          </w:p>
        </w:tc>
        <w:tc>
          <w:tcPr>
            <w:tcW w:w="2189" w:type="dxa"/>
            <w:vAlign w:val="center"/>
          </w:tcPr>
          <w:p w14:paraId="4C1FBFB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Neutral</w:t>
            </w:r>
          </w:p>
        </w:tc>
        <w:tc>
          <w:tcPr>
            <w:tcW w:w="1976" w:type="dxa"/>
            <w:vAlign w:val="center"/>
          </w:tcPr>
          <w:p w14:paraId="790BC645"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Moderate</w:t>
            </w:r>
          </w:p>
        </w:tc>
        <w:tc>
          <w:tcPr>
            <w:tcW w:w="1506" w:type="dxa"/>
            <w:vAlign w:val="bottom"/>
          </w:tcPr>
          <w:p w14:paraId="53C234A2"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30</w:t>
            </w:r>
          </w:p>
        </w:tc>
        <w:tc>
          <w:tcPr>
            <w:tcW w:w="1647" w:type="dxa"/>
            <w:vAlign w:val="bottom"/>
          </w:tcPr>
          <w:p w14:paraId="5C6A1686"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21.28</w:t>
            </w:r>
          </w:p>
        </w:tc>
      </w:tr>
      <w:tr w:rsidR="002F4FEE" w:rsidRPr="00577764" w14:paraId="26CBA9DE" w14:textId="77777777" w:rsidTr="002F4FEE">
        <w:trPr>
          <w:trHeight w:val="126"/>
        </w:trPr>
        <w:tc>
          <w:tcPr>
            <w:tcW w:w="1283" w:type="dxa"/>
            <w:tcBorders>
              <w:bottom w:val="nil"/>
            </w:tcBorders>
            <w:vAlign w:val="center"/>
          </w:tcPr>
          <w:p w14:paraId="250E5AD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1.51-2.50</w:t>
            </w:r>
          </w:p>
        </w:tc>
        <w:tc>
          <w:tcPr>
            <w:tcW w:w="2189" w:type="dxa"/>
            <w:tcBorders>
              <w:bottom w:val="nil"/>
            </w:tcBorders>
            <w:vAlign w:val="center"/>
          </w:tcPr>
          <w:p w14:paraId="32BF2B6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Disagree</w:t>
            </w:r>
          </w:p>
        </w:tc>
        <w:tc>
          <w:tcPr>
            <w:tcW w:w="1976" w:type="dxa"/>
            <w:tcBorders>
              <w:bottom w:val="nil"/>
            </w:tcBorders>
            <w:vAlign w:val="center"/>
          </w:tcPr>
          <w:p w14:paraId="6AF073E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Low</w:t>
            </w:r>
          </w:p>
        </w:tc>
        <w:tc>
          <w:tcPr>
            <w:tcW w:w="1506" w:type="dxa"/>
            <w:tcBorders>
              <w:bottom w:val="nil"/>
            </w:tcBorders>
            <w:vAlign w:val="bottom"/>
          </w:tcPr>
          <w:p w14:paraId="259AE67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w:t>
            </w:r>
          </w:p>
        </w:tc>
        <w:tc>
          <w:tcPr>
            <w:tcW w:w="1647" w:type="dxa"/>
            <w:tcBorders>
              <w:bottom w:val="nil"/>
            </w:tcBorders>
            <w:vAlign w:val="bottom"/>
          </w:tcPr>
          <w:p w14:paraId="42894292"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0.00</w:t>
            </w:r>
          </w:p>
        </w:tc>
      </w:tr>
      <w:tr w:rsidR="002F4FEE" w:rsidRPr="00577764" w14:paraId="17478BAA" w14:textId="77777777" w:rsidTr="002F4FEE">
        <w:trPr>
          <w:trHeight w:val="126"/>
        </w:trPr>
        <w:tc>
          <w:tcPr>
            <w:tcW w:w="1283" w:type="dxa"/>
            <w:tcBorders>
              <w:top w:val="nil"/>
              <w:bottom w:val="single" w:sz="4" w:space="0" w:color="auto"/>
            </w:tcBorders>
            <w:vAlign w:val="center"/>
          </w:tcPr>
          <w:p w14:paraId="6E40606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1.00-1.50</w:t>
            </w:r>
          </w:p>
        </w:tc>
        <w:tc>
          <w:tcPr>
            <w:tcW w:w="2189" w:type="dxa"/>
            <w:tcBorders>
              <w:top w:val="nil"/>
              <w:bottom w:val="single" w:sz="4" w:space="0" w:color="auto"/>
            </w:tcBorders>
            <w:vAlign w:val="center"/>
          </w:tcPr>
          <w:p w14:paraId="36BFE09B"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Strongly Disagree</w:t>
            </w:r>
          </w:p>
        </w:tc>
        <w:tc>
          <w:tcPr>
            <w:tcW w:w="1976" w:type="dxa"/>
            <w:tcBorders>
              <w:top w:val="nil"/>
              <w:bottom w:val="single" w:sz="4" w:space="0" w:color="auto"/>
            </w:tcBorders>
            <w:vAlign w:val="center"/>
          </w:tcPr>
          <w:p w14:paraId="7A187E56"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sz w:val="22"/>
                <w:szCs w:val="22"/>
              </w:rPr>
              <w:t>Very Low</w:t>
            </w:r>
          </w:p>
        </w:tc>
        <w:tc>
          <w:tcPr>
            <w:tcW w:w="1506" w:type="dxa"/>
            <w:tcBorders>
              <w:top w:val="nil"/>
              <w:bottom w:val="single" w:sz="4" w:space="0" w:color="auto"/>
            </w:tcBorders>
            <w:vAlign w:val="bottom"/>
          </w:tcPr>
          <w:p w14:paraId="18B395E4"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w:t>
            </w:r>
          </w:p>
        </w:tc>
        <w:tc>
          <w:tcPr>
            <w:tcW w:w="1647" w:type="dxa"/>
            <w:tcBorders>
              <w:top w:val="nil"/>
              <w:bottom w:val="single" w:sz="4" w:space="0" w:color="auto"/>
            </w:tcBorders>
            <w:vAlign w:val="bottom"/>
          </w:tcPr>
          <w:p w14:paraId="3C8A0DFE" w14:textId="77777777" w:rsidR="00494330" w:rsidRPr="00577764" w:rsidRDefault="00494330" w:rsidP="008F45DF">
            <w:pPr>
              <w:widowControl w:val="0"/>
              <w:autoSpaceDE w:val="0"/>
              <w:autoSpaceDN w:val="0"/>
              <w:spacing w:after="0" w:line="240" w:lineRule="auto"/>
              <w:jc w:val="both"/>
              <w:rPr>
                <w:rFonts w:ascii="Arial" w:hAnsi="Arial" w:cs="Arial"/>
                <w:sz w:val="22"/>
                <w:szCs w:val="22"/>
              </w:rPr>
            </w:pPr>
            <w:r w:rsidRPr="00577764">
              <w:rPr>
                <w:rFonts w:ascii="Arial" w:hAnsi="Arial" w:cs="Arial"/>
                <w:color w:val="000000"/>
                <w:sz w:val="22"/>
                <w:szCs w:val="22"/>
              </w:rPr>
              <w:t>0.00</w:t>
            </w:r>
          </w:p>
        </w:tc>
      </w:tr>
      <w:tr w:rsidR="002F4FEE" w:rsidRPr="00577764" w14:paraId="7251FF9F" w14:textId="77777777" w:rsidTr="002F4FEE">
        <w:trPr>
          <w:trHeight w:val="126"/>
        </w:trPr>
        <w:tc>
          <w:tcPr>
            <w:tcW w:w="1283" w:type="dxa"/>
            <w:tcBorders>
              <w:top w:val="single" w:sz="4" w:space="0" w:color="auto"/>
            </w:tcBorders>
          </w:tcPr>
          <w:p w14:paraId="2EC5A9B0"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p>
        </w:tc>
        <w:tc>
          <w:tcPr>
            <w:tcW w:w="2189" w:type="dxa"/>
            <w:tcBorders>
              <w:top w:val="single" w:sz="4" w:space="0" w:color="auto"/>
            </w:tcBorders>
          </w:tcPr>
          <w:p w14:paraId="700B8FDD"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p>
        </w:tc>
        <w:tc>
          <w:tcPr>
            <w:tcW w:w="1976" w:type="dxa"/>
            <w:tcBorders>
              <w:top w:val="single" w:sz="4" w:space="0" w:color="auto"/>
            </w:tcBorders>
          </w:tcPr>
          <w:p w14:paraId="069B03B4"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Total</w:t>
            </w:r>
          </w:p>
        </w:tc>
        <w:tc>
          <w:tcPr>
            <w:tcW w:w="1506" w:type="dxa"/>
            <w:tcBorders>
              <w:top w:val="single" w:sz="4" w:space="0" w:color="auto"/>
            </w:tcBorders>
          </w:tcPr>
          <w:p w14:paraId="03E9D1F5"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141</w:t>
            </w:r>
          </w:p>
        </w:tc>
        <w:tc>
          <w:tcPr>
            <w:tcW w:w="1647" w:type="dxa"/>
            <w:tcBorders>
              <w:top w:val="single" w:sz="4" w:space="0" w:color="auto"/>
            </w:tcBorders>
          </w:tcPr>
          <w:p w14:paraId="3C285502" w14:textId="77777777" w:rsidR="00494330" w:rsidRPr="00577764" w:rsidRDefault="00494330" w:rsidP="008F45DF">
            <w:pPr>
              <w:widowControl w:val="0"/>
              <w:autoSpaceDE w:val="0"/>
              <w:autoSpaceDN w:val="0"/>
              <w:spacing w:after="0" w:line="240" w:lineRule="auto"/>
              <w:jc w:val="both"/>
              <w:rPr>
                <w:rFonts w:ascii="Arial" w:hAnsi="Arial" w:cs="Arial"/>
                <w:b/>
                <w:sz w:val="22"/>
                <w:szCs w:val="22"/>
              </w:rPr>
            </w:pPr>
            <w:r w:rsidRPr="00577764">
              <w:rPr>
                <w:rFonts w:ascii="Arial" w:hAnsi="Arial" w:cs="Arial"/>
                <w:b/>
                <w:sz w:val="22"/>
                <w:szCs w:val="22"/>
              </w:rPr>
              <w:t>100</w:t>
            </w:r>
          </w:p>
        </w:tc>
      </w:tr>
      <w:tr w:rsidR="00494330" w:rsidRPr="00577764" w14:paraId="6C177DE6" w14:textId="77777777" w:rsidTr="002F4FEE">
        <w:trPr>
          <w:trHeight w:val="132"/>
        </w:trPr>
        <w:tc>
          <w:tcPr>
            <w:tcW w:w="1283" w:type="dxa"/>
          </w:tcPr>
          <w:p w14:paraId="4EC8650E"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2189" w:type="dxa"/>
          </w:tcPr>
          <w:p w14:paraId="78D9B24F"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1976" w:type="dxa"/>
          </w:tcPr>
          <w:p w14:paraId="529A73F0"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Overall Mean</w:t>
            </w:r>
          </w:p>
        </w:tc>
        <w:tc>
          <w:tcPr>
            <w:tcW w:w="3153" w:type="dxa"/>
            <w:gridSpan w:val="2"/>
          </w:tcPr>
          <w:p w14:paraId="0A5EA61E"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4.01</w:t>
            </w:r>
          </w:p>
        </w:tc>
      </w:tr>
      <w:tr w:rsidR="00494330" w:rsidRPr="00577764" w14:paraId="00C1FE2D" w14:textId="77777777" w:rsidTr="002F4FEE">
        <w:trPr>
          <w:trHeight w:val="126"/>
        </w:trPr>
        <w:tc>
          <w:tcPr>
            <w:tcW w:w="1283" w:type="dxa"/>
          </w:tcPr>
          <w:p w14:paraId="5C45D8D0"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2189" w:type="dxa"/>
          </w:tcPr>
          <w:p w14:paraId="7E9B91EE"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1976" w:type="dxa"/>
          </w:tcPr>
          <w:p w14:paraId="313A46A8"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Interpretation</w:t>
            </w:r>
          </w:p>
        </w:tc>
        <w:tc>
          <w:tcPr>
            <w:tcW w:w="3153" w:type="dxa"/>
            <w:gridSpan w:val="2"/>
          </w:tcPr>
          <w:p w14:paraId="23B563CA"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High</w:t>
            </w:r>
          </w:p>
        </w:tc>
      </w:tr>
      <w:tr w:rsidR="00494330" w:rsidRPr="00577764" w14:paraId="0418FCFD" w14:textId="77777777" w:rsidTr="002F4FEE">
        <w:trPr>
          <w:trHeight w:val="126"/>
        </w:trPr>
        <w:tc>
          <w:tcPr>
            <w:tcW w:w="1283" w:type="dxa"/>
          </w:tcPr>
          <w:p w14:paraId="2D40A3E5"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2189" w:type="dxa"/>
          </w:tcPr>
          <w:p w14:paraId="23DC4DBA"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p>
        </w:tc>
        <w:tc>
          <w:tcPr>
            <w:tcW w:w="1976" w:type="dxa"/>
          </w:tcPr>
          <w:p w14:paraId="559EAD20"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SD</w:t>
            </w:r>
          </w:p>
        </w:tc>
        <w:tc>
          <w:tcPr>
            <w:tcW w:w="3153" w:type="dxa"/>
            <w:gridSpan w:val="2"/>
          </w:tcPr>
          <w:p w14:paraId="436490EF" w14:textId="77777777" w:rsidR="00494330" w:rsidRPr="00577764" w:rsidRDefault="00494330" w:rsidP="008F45DF">
            <w:pPr>
              <w:widowControl w:val="0"/>
              <w:autoSpaceDE w:val="0"/>
              <w:autoSpaceDN w:val="0"/>
              <w:spacing w:after="0" w:line="240" w:lineRule="auto"/>
              <w:jc w:val="both"/>
              <w:rPr>
                <w:rFonts w:ascii="Arial" w:hAnsi="Arial" w:cs="Arial"/>
                <w:b/>
                <w:bCs/>
                <w:sz w:val="22"/>
                <w:szCs w:val="22"/>
              </w:rPr>
            </w:pPr>
            <w:r w:rsidRPr="00577764">
              <w:rPr>
                <w:rFonts w:ascii="Arial" w:hAnsi="Arial" w:cs="Arial"/>
                <w:b/>
                <w:bCs/>
                <w:sz w:val="22"/>
                <w:szCs w:val="22"/>
              </w:rPr>
              <w:t>0.52</w:t>
            </w:r>
          </w:p>
        </w:tc>
      </w:tr>
    </w:tbl>
    <w:p w14:paraId="1884DB61" w14:textId="77777777" w:rsidR="00494330" w:rsidRPr="00D13DC5" w:rsidRDefault="00494330" w:rsidP="008F45DF">
      <w:pPr>
        <w:spacing w:after="0" w:line="240" w:lineRule="auto"/>
        <w:jc w:val="both"/>
        <w:rPr>
          <w:rFonts w:ascii="Arial" w:hAnsi="Arial" w:cs="Arial"/>
        </w:rPr>
        <w:sectPr w:rsidR="00494330" w:rsidRPr="00D13DC5" w:rsidSect="002F4FEE">
          <w:type w:val="continuous"/>
          <w:pgSz w:w="12240" w:h="15840" w:code="1"/>
          <w:pgMar w:top="1440" w:right="1440" w:bottom="1440" w:left="2160" w:header="709" w:footer="709" w:gutter="0"/>
          <w:cols w:space="708"/>
          <w:docGrid w:linePitch="360"/>
        </w:sectPr>
      </w:pPr>
    </w:p>
    <w:p w14:paraId="0C9CF0FE" w14:textId="77777777" w:rsidR="008548F7" w:rsidRDefault="00863BE6" w:rsidP="008F45DF">
      <w:pPr>
        <w:spacing w:after="0" w:line="240" w:lineRule="auto"/>
        <w:jc w:val="both"/>
        <w:rPr>
          <w:rFonts w:ascii="Arial" w:hAnsi="Arial" w:cs="Arial"/>
        </w:rPr>
      </w:pPr>
      <w:r>
        <w:rPr>
          <w:rFonts w:ascii="Arial" w:hAnsi="Arial" w:cs="Arial"/>
          <w:color w:val="000000" w:themeColor="text1"/>
        </w:rPr>
        <w:tab/>
      </w:r>
      <w:r w:rsidRPr="00240F62">
        <w:rPr>
          <w:rFonts w:ascii="Arial" w:hAnsi="Arial" w:cs="Arial"/>
          <w:color w:val="000000" w:themeColor="text1"/>
        </w:rPr>
        <w:t>Their consistent engagement demonstrates a strong commitment to disaster preparedness, which complements their high awareness and lays the foundation for effective household and community emergency management practices.</w:t>
      </w:r>
      <w:r>
        <w:rPr>
          <w:rFonts w:ascii="Arial" w:hAnsi="Arial" w:cs="Arial"/>
          <w:color w:val="000000" w:themeColor="text1"/>
        </w:rPr>
        <w:t xml:space="preserve"> </w:t>
      </w:r>
      <w:r w:rsidRPr="00D53E84">
        <w:rPr>
          <w:rFonts w:ascii="Arial" w:hAnsi="Arial" w:cs="Arial"/>
          <w:color w:val="000000" w:themeColor="text1"/>
        </w:rPr>
        <w:t>These findings suggest that although students consistently join mandatory drills and preparedness workshops, their involvement in more specialized or leadership-oriented DRRM initiatives remains relatively limited.</w:t>
      </w:r>
      <w:r>
        <w:rPr>
          <w:rFonts w:ascii="Arial" w:hAnsi="Arial" w:cs="Arial"/>
          <w:color w:val="000000" w:themeColor="text1"/>
        </w:rPr>
        <w:t xml:space="preserve"> </w:t>
      </w:r>
      <w:r w:rsidR="008548F7" w:rsidRPr="008548F7">
        <w:rPr>
          <w:rFonts w:ascii="Arial" w:hAnsi="Arial" w:cs="Arial"/>
          <w:color w:val="000000" w:themeColor="text1"/>
        </w:rPr>
        <w:t>Previous research confirm</w:t>
      </w:r>
      <w:r w:rsidR="008548F7" w:rsidRPr="008548F7">
        <w:rPr>
          <w:rFonts w:ascii="Arial" w:hAnsi="Arial" w:cs="Arial"/>
        </w:rPr>
        <w:t xml:space="preserve">s that active participation in disaster preparedness activities such as drills, workshops, and community simulations significantly strengthens students’ disaster response skills and preparedness behaviors (Camacho &amp; Ferrer, 2023; Martinez et al., 2024). </w:t>
      </w:r>
    </w:p>
    <w:p w14:paraId="59C6E07D" w14:textId="77777777" w:rsidR="008548F7" w:rsidRDefault="008548F7" w:rsidP="008F45DF">
      <w:pPr>
        <w:spacing w:after="0" w:line="240" w:lineRule="auto"/>
        <w:jc w:val="both"/>
        <w:rPr>
          <w:rFonts w:ascii="Arial" w:hAnsi="Arial" w:cs="Arial"/>
        </w:rPr>
      </w:pPr>
    </w:p>
    <w:p w14:paraId="08872334" w14:textId="77777777" w:rsidR="008548F7" w:rsidRDefault="008548F7" w:rsidP="008F45DF">
      <w:pPr>
        <w:spacing w:after="0" w:line="240" w:lineRule="auto"/>
        <w:jc w:val="both"/>
        <w:rPr>
          <w:rFonts w:ascii="Arial" w:hAnsi="Arial" w:cs="Arial"/>
          <w:color w:val="000000" w:themeColor="text1"/>
        </w:rPr>
      </w:pPr>
      <w:r>
        <w:rPr>
          <w:rFonts w:ascii="Arial" w:hAnsi="Arial" w:cs="Arial"/>
        </w:rPr>
        <w:tab/>
      </w:r>
      <w:r w:rsidR="00863BE6" w:rsidRPr="008548F7">
        <w:rPr>
          <w:rFonts w:ascii="Arial" w:hAnsi="Arial" w:cs="Arial"/>
        </w:rPr>
        <w:t xml:space="preserve">This may be attributed to fewer available opportunities, limited capacity to take on organizational responsibilities. Nonetheless, the overall results indicate that the respondents maintain an active and positive engagement in DRRM activities, which strengthens their preparedness and safety awareness. Bernardo and Velasco (2023) reported that students showed strong attendance in routine DRRM drills but limited involvement in planning and decision-making roles due to lack of </w:t>
      </w:r>
      <w:r w:rsidR="00863BE6" w:rsidRPr="00D53E84">
        <w:rPr>
          <w:rFonts w:ascii="Arial" w:hAnsi="Arial" w:cs="Arial"/>
          <w:color w:val="000000" w:themeColor="text1"/>
        </w:rPr>
        <w:t>training.</w:t>
      </w:r>
      <w:r>
        <w:rPr>
          <w:rFonts w:ascii="Arial" w:hAnsi="Arial" w:cs="Arial"/>
          <w:color w:val="000000" w:themeColor="text1"/>
        </w:rPr>
        <w:t xml:space="preserve"> </w:t>
      </w:r>
      <w:r w:rsidR="00863BE6" w:rsidRPr="00D53E84">
        <w:rPr>
          <w:rFonts w:ascii="Arial" w:hAnsi="Arial" w:cs="Arial"/>
          <w:color w:val="000000" w:themeColor="text1"/>
        </w:rPr>
        <w:t xml:space="preserve">Similarly, Salazar and Manalo (2024) found that while learners frequently joined simulations and community DRRM activities, leadership tasks and committee participation were often assigned only to selected or trained groups, reducing broader student engagement. </w:t>
      </w:r>
    </w:p>
    <w:p w14:paraId="7547C015" w14:textId="77777777" w:rsidR="008548F7" w:rsidRDefault="008548F7" w:rsidP="008F45DF">
      <w:pPr>
        <w:spacing w:after="0" w:line="240" w:lineRule="auto"/>
        <w:jc w:val="both"/>
        <w:rPr>
          <w:rFonts w:ascii="Arial" w:hAnsi="Arial" w:cs="Arial"/>
          <w:color w:val="000000" w:themeColor="text1"/>
        </w:rPr>
      </w:pPr>
    </w:p>
    <w:p w14:paraId="1A88242F" w14:textId="435E33B8" w:rsidR="00863BE6" w:rsidRDefault="008548F7" w:rsidP="008F45DF">
      <w:pPr>
        <w:spacing w:after="0" w:line="240" w:lineRule="auto"/>
        <w:jc w:val="both"/>
        <w:rPr>
          <w:rFonts w:ascii="Arial" w:hAnsi="Arial" w:cs="Arial"/>
          <w:color w:val="000000" w:themeColor="text1"/>
        </w:rPr>
      </w:pPr>
      <w:r>
        <w:rPr>
          <w:rFonts w:ascii="Arial" w:hAnsi="Arial" w:cs="Arial"/>
          <w:color w:val="000000" w:themeColor="text1"/>
        </w:rPr>
        <w:tab/>
      </w:r>
      <w:r w:rsidR="00863BE6" w:rsidRPr="00D53E84">
        <w:rPr>
          <w:rFonts w:ascii="Arial" w:hAnsi="Arial" w:cs="Arial"/>
          <w:color w:val="000000" w:themeColor="text1"/>
        </w:rPr>
        <w:t>Additional studies also affirm that experiential and hands-on DRRM activities encourage high participation, whereas leadership roles demand higher competency and institutional facilitation (Dizon &amp; Bautista, 2022; Ramos, 2023), these studies support the interpretation that students exhibit positive and active engagement in DRRM activities, but further opportunities for leadership development and structured involvement may enhance their participation in more advanced DRRM functions.</w:t>
      </w:r>
    </w:p>
    <w:p w14:paraId="7114DDA0" w14:textId="77777777" w:rsidR="00F920FF" w:rsidRPr="00863BE6" w:rsidRDefault="00F920FF" w:rsidP="008F45DF">
      <w:pPr>
        <w:spacing w:after="0" w:line="240" w:lineRule="auto"/>
        <w:jc w:val="both"/>
        <w:rPr>
          <w:rFonts w:ascii="Arial" w:hAnsi="Arial" w:cs="Arial"/>
          <w:color w:val="000000" w:themeColor="text1"/>
        </w:rPr>
      </w:pPr>
    </w:p>
    <w:p w14:paraId="16F64C78" w14:textId="77777777" w:rsidR="00494330" w:rsidRPr="00D13DC5" w:rsidRDefault="00494330" w:rsidP="008F45DF">
      <w:pPr>
        <w:pStyle w:val="pf0"/>
        <w:tabs>
          <w:tab w:val="left" w:pos="720"/>
        </w:tabs>
        <w:spacing w:before="0" w:beforeAutospacing="0" w:after="0" w:afterAutospacing="0"/>
        <w:jc w:val="both"/>
        <w:rPr>
          <w:rFonts w:ascii="Arial" w:hAnsi="Arial" w:cs="Arial"/>
          <w:b/>
          <w:bCs/>
        </w:rPr>
      </w:pPr>
      <w:r w:rsidRPr="00D13DC5">
        <w:rPr>
          <w:rStyle w:val="cf01"/>
          <w:rFonts w:ascii="Arial" w:hAnsi="Arial" w:cs="Arial"/>
          <w:b/>
          <w:bCs/>
          <w:sz w:val="24"/>
          <w:szCs w:val="24"/>
        </w:rPr>
        <w:t>Problem 3.</w:t>
      </w:r>
      <w:r w:rsidRPr="00D13DC5">
        <w:rPr>
          <w:rStyle w:val="cf01"/>
          <w:rFonts w:ascii="Arial" w:hAnsi="Arial" w:cs="Arial"/>
          <w:b/>
          <w:bCs/>
          <w:sz w:val="24"/>
          <w:szCs w:val="24"/>
        </w:rPr>
        <w:tab/>
        <w:t>What is the level of disaster preparedness among BTLEd HE students?</w:t>
      </w:r>
    </w:p>
    <w:p w14:paraId="1DA1311C" w14:textId="77777777" w:rsidR="00C62E2D" w:rsidRPr="00D13DC5" w:rsidRDefault="00C62E2D" w:rsidP="008F45DF">
      <w:pPr>
        <w:spacing w:after="0" w:line="240" w:lineRule="auto"/>
        <w:jc w:val="both"/>
        <w:rPr>
          <w:rFonts w:ascii="Arial" w:eastAsia="Arial" w:hAnsi="Arial" w:cs="Arial"/>
          <w:b/>
        </w:rPr>
      </w:pPr>
    </w:p>
    <w:p w14:paraId="19DFC614" w14:textId="06D5B505" w:rsidR="00751DE1" w:rsidRPr="00D13DC5" w:rsidRDefault="00751DE1" w:rsidP="008F45DF">
      <w:pPr>
        <w:spacing w:after="0" w:line="240" w:lineRule="auto"/>
        <w:jc w:val="both"/>
        <w:rPr>
          <w:rFonts w:ascii="Arial" w:eastAsia="Arial" w:hAnsi="Arial" w:cs="Arial"/>
          <w:b/>
        </w:rPr>
        <w:sectPr w:rsidR="00751DE1" w:rsidRPr="00D13DC5" w:rsidSect="00D13DC5">
          <w:type w:val="continuous"/>
          <w:pgSz w:w="12240" w:h="15840" w:code="1"/>
          <w:pgMar w:top="1440" w:right="1440" w:bottom="1440" w:left="2160" w:header="709" w:footer="709" w:gutter="0"/>
          <w:cols w:space="708"/>
          <w:docGrid w:linePitch="360"/>
        </w:sectPr>
      </w:pPr>
    </w:p>
    <w:p w14:paraId="33C72F3A" w14:textId="77777777" w:rsidR="008E1DF8" w:rsidRDefault="00697A4D" w:rsidP="008F45DF">
      <w:pPr>
        <w:spacing w:after="0" w:line="240" w:lineRule="auto"/>
        <w:jc w:val="both"/>
        <w:rPr>
          <w:rFonts w:ascii="Arial" w:hAnsi="Arial" w:cs="Arial"/>
          <w:color w:val="000000" w:themeColor="text1"/>
        </w:rPr>
      </w:pPr>
      <w:r w:rsidRPr="00D13DC5">
        <w:rPr>
          <w:rFonts w:ascii="Arial" w:hAnsi="Arial" w:cs="Arial"/>
        </w:rPr>
        <w:tab/>
      </w:r>
      <w:r w:rsidR="008E1DF8" w:rsidRPr="00D53E84">
        <w:rPr>
          <w:rFonts w:ascii="Arial" w:hAnsi="Arial" w:cs="Arial"/>
          <w:color w:val="000000" w:themeColor="text1"/>
        </w:rPr>
        <w:t xml:space="preserve">Table 3 reveals that the exhibit a high level of disaster preparedness, as reflected by the overall mean of 4.14. This suggests that students are generally ready to take appropriate actions during emergencies, access necessary resources, and maintain awareness of hazard-related information. The highest-rated indicators of preparedness include knowledge of safe evacuation areas </w:t>
      </w:r>
      <w:r w:rsidR="008E1DF8" w:rsidRPr="00D53E84">
        <w:rPr>
          <w:rFonts w:ascii="Arial" w:hAnsi="Arial" w:cs="Arial"/>
          <w:i/>
          <w:iCs/>
          <w:color w:val="000000" w:themeColor="text1"/>
        </w:rPr>
        <w:t>(M</w:t>
      </w:r>
      <w:r w:rsidR="008E1DF8" w:rsidRPr="00D53E84">
        <w:rPr>
          <w:rFonts w:ascii="Arial" w:hAnsi="Arial" w:cs="Arial"/>
          <w:color w:val="000000" w:themeColor="text1"/>
        </w:rPr>
        <w:t xml:space="preserve"> = 4.38), keeping important phone numbers easily accessible </w:t>
      </w:r>
      <w:r w:rsidR="008E1DF8" w:rsidRPr="00D53E84">
        <w:rPr>
          <w:rFonts w:ascii="Arial" w:hAnsi="Arial" w:cs="Arial"/>
          <w:i/>
          <w:iCs/>
          <w:color w:val="000000" w:themeColor="text1"/>
        </w:rPr>
        <w:t>(M</w:t>
      </w:r>
      <w:r w:rsidR="008E1DF8" w:rsidRPr="00D53E84">
        <w:rPr>
          <w:rFonts w:ascii="Arial" w:hAnsi="Arial" w:cs="Arial"/>
          <w:color w:val="000000" w:themeColor="text1"/>
        </w:rPr>
        <w:t xml:space="preserve"> = 4.38), and regularly monitoring hazard warnings from credible sources </w:t>
      </w:r>
      <w:r w:rsidR="008E1DF8" w:rsidRPr="00D53E84">
        <w:rPr>
          <w:rFonts w:ascii="Arial" w:hAnsi="Arial" w:cs="Arial"/>
          <w:i/>
          <w:iCs/>
          <w:color w:val="000000" w:themeColor="text1"/>
        </w:rPr>
        <w:t>(M</w:t>
      </w:r>
      <w:r w:rsidR="008E1DF8" w:rsidRPr="00D53E84">
        <w:rPr>
          <w:rFonts w:ascii="Arial" w:hAnsi="Arial" w:cs="Arial"/>
          <w:color w:val="000000" w:themeColor="text1"/>
        </w:rPr>
        <w:t xml:space="preserve"> = 4.32). </w:t>
      </w:r>
    </w:p>
    <w:p w14:paraId="451A6358" w14:textId="77777777" w:rsidR="00B31C9F" w:rsidRPr="00D13DC5" w:rsidRDefault="008E1DF8" w:rsidP="008F45DF">
      <w:pPr>
        <w:pStyle w:val="NoSpacing"/>
        <w:jc w:val="both"/>
        <w:rPr>
          <w:rFonts w:ascii="Arial" w:hAnsi="Arial" w:cs="Arial"/>
        </w:rPr>
      </w:pPr>
      <w:r>
        <w:rPr>
          <w:rFonts w:ascii="Arial" w:hAnsi="Arial" w:cs="Arial"/>
          <w:color w:val="000000" w:themeColor="text1"/>
        </w:rPr>
        <w:tab/>
        <w:t xml:space="preserve"> </w:t>
      </w:r>
      <w:r>
        <w:rPr>
          <w:rFonts w:ascii="Arial" w:hAnsi="Arial" w:cs="Arial"/>
          <w:color w:val="000000" w:themeColor="text1"/>
        </w:rPr>
        <w:tab/>
      </w:r>
    </w:p>
    <w:p w14:paraId="20620E86" w14:textId="77777777" w:rsidR="00B31C9F" w:rsidRDefault="00B31C9F" w:rsidP="008F45DF">
      <w:pPr>
        <w:spacing w:after="0" w:line="240" w:lineRule="auto"/>
        <w:ind w:firstLine="720"/>
        <w:jc w:val="both"/>
        <w:rPr>
          <w:rFonts w:ascii="Arial" w:hAnsi="Arial" w:cs="Arial"/>
        </w:rPr>
      </w:pPr>
      <w:r w:rsidRPr="00577764">
        <w:rPr>
          <w:rFonts w:ascii="Arial" w:hAnsi="Arial" w:cs="Arial"/>
        </w:rPr>
        <w:lastRenderedPageBreak/>
        <w:t>These results indicate that students prioritize locating safety zones, maintaining communication lines during emergencies, and staying updated on potential threats essential components of effective preparedness. On the other hand, slightly lower but still high indicators involve the ability to quickly gather essentials during sudden evacuation (M = 4.05) and possessing emergency skills to assist others (M = 4.02). These scores suggest that while students demonstrate strong foundational preparedness, some may still require further enhancement of rapid response actions and practical emergency competencies.</w:t>
      </w:r>
    </w:p>
    <w:p w14:paraId="32127AE7" w14:textId="6CD3DF34" w:rsidR="002F4FEE" w:rsidRDefault="002F4FEE" w:rsidP="008F45DF">
      <w:pPr>
        <w:spacing w:after="0" w:line="240" w:lineRule="auto"/>
        <w:jc w:val="both"/>
        <w:rPr>
          <w:rFonts w:ascii="Arial" w:hAnsi="Arial" w:cs="Arial"/>
          <w:color w:val="000000" w:themeColor="text1"/>
        </w:rPr>
      </w:pPr>
    </w:p>
    <w:p w14:paraId="42E34CC0" w14:textId="77777777" w:rsidR="00B31C9F" w:rsidRPr="003F2F38" w:rsidRDefault="00B31C9F" w:rsidP="008F45DF">
      <w:pPr>
        <w:spacing w:after="0" w:line="240" w:lineRule="auto"/>
        <w:jc w:val="both"/>
        <w:rPr>
          <w:rFonts w:ascii="Arial" w:hAnsi="Arial" w:cs="Arial"/>
          <w:color w:val="000000" w:themeColor="text1"/>
        </w:rPr>
      </w:pPr>
    </w:p>
    <w:p w14:paraId="7F039DC1" w14:textId="7FFDBECD" w:rsidR="00494330" w:rsidRDefault="00494330" w:rsidP="008F45DF">
      <w:pPr>
        <w:spacing w:after="0" w:line="240" w:lineRule="auto"/>
        <w:jc w:val="both"/>
        <w:rPr>
          <w:rFonts w:ascii="Arial" w:eastAsia="Arial" w:hAnsi="Arial" w:cs="Arial"/>
          <w:b/>
        </w:rPr>
      </w:pPr>
      <w:r w:rsidRPr="00D13DC5">
        <w:rPr>
          <w:rFonts w:ascii="Arial" w:eastAsia="Arial" w:hAnsi="Arial" w:cs="Arial"/>
          <w:b/>
        </w:rPr>
        <w:t>Table 3</w:t>
      </w:r>
    </w:p>
    <w:p w14:paraId="6828CF72" w14:textId="77777777" w:rsidR="009B07B8" w:rsidRPr="00D13DC5" w:rsidRDefault="009B07B8" w:rsidP="008F45DF">
      <w:pPr>
        <w:spacing w:after="0" w:line="240" w:lineRule="auto"/>
        <w:jc w:val="both"/>
        <w:rPr>
          <w:rFonts w:ascii="Arial" w:eastAsia="Arial" w:hAnsi="Arial" w:cs="Arial"/>
          <w:b/>
        </w:rPr>
      </w:pPr>
    </w:p>
    <w:p w14:paraId="48C7E7AE" w14:textId="77777777" w:rsidR="00494330" w:rsidRDefault="00494330" w:rsidP="008F45DF">
      <w:pPr>
        <w:pStyle w:val="NoSpacing"/>
        <w:jc w:val="both"/>
        <w:rPr>
          <w:rStyle w:val="cf01"/>
          <w:rFonts w:ascii="Arial" w:hAnsi="Arial" w:cs="Arial"/>
          <w:i/>
          <w:sz w:val="24"/>
          <w:szCs w:val="24"/>
        </w:rPr>
      </w:pPr>
      <w:r w:rsidRPr="00D13DC5">
        <w:rPr>
          <w:rFonts w:ascii="Arial" w:eastAsia="Arial" w:hAnsi="Arial" w:cs="Arial"/>
        </w:rPr>
        <w:t xml:space="preserve">Frequency, Percentage and Mean Distribution of </w:t>
      </w:r>
      <w:r w:rsidRPr="00D13DC5">
        <w:rPr>
          <w:rStyle w:val="cf01"/>
          <w:rFonts w:ascii="Arial" w:hAnsi="Arial" w:cs="Arial"/>
          <w:i/>
          <w:sz w:val="24"/>
          <w:szCs w:val="24"/>
        </w:rPr>
        <w:t>the Level of Disaster Preparedness among BTLEd HE Students</w:t>
      </w:r>
    </w:p>
    <w:p w14:paraId="720424E6" w14:textId="77777777" w:rsidR="00B31C9F" w:rsidRPr="00D13DC5" w:rsidRDefault="00B31C9F" w:rsidP="008F45DF">
      <w:pPr>
        <w:pStyle w:val="NoSpacing"/>
        <w:jc w:val="both"/>
        <w:rPr>
          <w:rFonts w:ascii="Arial" w:hAnsi="Arial" w:cs="Arial"/>
        </w:rPr>
      </w:pPr>
    </w:p>
    <w:tbl>
      <w:tblPr>
        <w:tblW w:w="0" w:type="auto"/>
        <w:tblBorders>
          <w:top w:val="single" w:sz="4" w:space="0" w:color="auto"/>
          <w:bottom w:val="single" w:sz="4" w:space="0" w:color="auto"/>
        </w:tblBorders>
        <w:tblLook w:val="04A0" w:firstRow="1" w:lastRow="0" w:firstColumn="1" w:lastColumn="0" w:noHBand="0" w:noVBand="1"/>
      </w:tblPr>
      <w:tblGrid>
        <w:gridCol w:w="1355"/>
        <w:gridCol w:w="2331"/>
        <w:gridCol w:w="2014"/>
        <w:gridCol w:w="1430"/>
        <w:gridCol w:w="1510"/>
      </w:tblGrid>
      <w:tr w:rsidR="00494330" w:rsidRPr="00577764" w14:paraId="056673F4" w14:textId="77777777" w:rsidTr="00280857">
        <w:tc>
          <w:tcPr>
            <w:tcW w:w="1355" w:type="dxa"/>
            <w:tcBorders>
              <w:top w:val="single" w:sz="4" w:space="0" w:color="auto"/>
              <w:bottom w:val="single" w:sz="4" w:space="0" w:color="auto"/>
            </w:tcBorders>
          </w:tcPr>
          <w:p w14:paraId="380FCDB6"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Range</w:t>
            </w:r>
          </w:p>
        </w:tc>
        <w:tc>
          <w:tcPr>
            <w:tcW w:w="2331" w:type="dxa"/>
            <w:tcBorders>
              <w:top w:val="single" w:sz="4" w:space="0" w:color="auto"/>
              <w:bottom w:val="single" w:sz="4" w:space="0" w:color="auto"/>
            </w:tcBorders>
          </w:tcPr>
          <w:p w14:paraId="51538E3E"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Description</w:t>
            </w:r>
          </w:p>
        </w:tc>
        <w:tc>
          <w:tcPr>
            <w:tcW w:w="2014" w:type="dxa"/>
            <w:tcBorders>
              <w:top w:val="single" w:sz="4" w:space="0" w:color="auto"/>
              <w:bottom w:val="single" w:sz="4" w:space="0" w:color="auto"/>
            </w:tcBorders>
          </w:tcPr>
          <w:p w14:paraId="0D84B32C"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Interpretation</w:t>
            </w:r>
          </w:p>
        </w:tc>
        <w:tc>
          <w:tcPr>
            <w:tcW w:w="1430" w:type="dxa"/>
            <w:tcBorders>
              <w:top w:val="single" w:sz="4" w:space="0" w:color="auto"/>
              <w:bottom w:val="single" w:sz="4" w:space="0" w:color="auto"/>
            </w:tcBorders>
          </w:tcPr>
          <w:p w14:paraId="36DA5FE0"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Frequency</w:t>
            </w:r>
          </w:p>
        </w:tc>
        <w:tc>
          <w:tcPr>
            <w:tcW w:w="1510" w:type="dxa"/>
            <w:tcBorders>
              <w:top w:val="single" w:sz="4" w:space="0" w:color="auto"/>
              <w:bottom w:val="single" w:sz="4" w:space="0" w:color="auto"/>
            </w:tcBorders>
          </w:tcPr>
          <w:p w14:paraId="729CD363"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Percentage</w:t>
            </w:r>
          </w:p>
        </w:tc>
      </w:tr>
      <w:tr w:rsidR="00494330" w:rsidRPr="00577764" w14:paraId="0F2D4857" w14:textId="77777777" w:rsidTr="00280857">
        <w:tc>
          <w:tcPr>
            <w:tcW w:w="1355" w:type="dxa"/>
            <w:tcBorders>
              <w:top w:val="single" w:sz="4" w:space="0" w:color="auto"/>
            </w:tcBorders>
            <w:vAlign w:val="center"/>
          </w:tcPr>
          <w:p w14:paraId="467B1C33"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4.51-5.00</w:t>
            </w:r>
          </w:p>
        </w:tc>
        <w:tc>
          <w:tcPr>
            <w:tcW w:w="2331" w:type="dxa"/>
            <w:tcBorders>
              <w:top w:val="single" w:sz="4" w:space="0" w:color="auto"/>
            </w:tcBorders>
            <w:vAlign w:val="center"/>
          </w:tcPr>
          <w:p w14:paraId="7BF5B215"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Agree</w:t>
            </w:r>
          </w:p>
        </w:tc>
        <w:tc>
          <w:tcPr>
            <w:tcW w:w="2014" w:type="dxa"/>
            <w:tcBorders>
              <w:top w:val="single" w:sz="4" w:space="0" w:color="auto"/>
            </w:tcBorders>
            <w:vAlign w:val="center"/>
          </w:tcPr>
          <w:p w14:paraId="1BBDBC81"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High</w:t>
            </w:r>
          </w:p>
        </w:tc>
        <w:tc>
          <w:tcPr>
            <w:tcW w:w="1430" w:type="dxa"/>
            <w:tcBorders>
              <w:top w:val="single" w:sz="4" w:space="0" w:color="auto"/>
            </w:tcBorders>
            <w:vAlign w:val="bottom"/>
          </w:tcPr>
          <w:p w14:paraId="58F5517E"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31</w:t>
            </w:r>
          </w:p>
        </w:tc>
        <w:tc>
          <w:tcPr>
            <w:tcW w:w="1510" w:type="dxa"/>
            <w:tcBorders>
              <w:top w:val="single" w:sz="4" w:space="0" w:color="auto"/>
            </w:tcBorders>
            <w:vAlign w:val="bottom"/>
          </w:tcPr>
          <w:p w14:paraId="56442431"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21.99</w:t>
            </w:r>
          </w:p>
        </w:tc>
      </w:tr>
      <w:tr w:rsidR="00494330" w:rsidRPr="00577764" w14:paraId="1CF31AD3" w14:textId="77777777" w:rsidTr="00280857">
        <w:tc>
          <w:tcPr>
            <w:tcW w:w="1355" w:type="dxa"/>
            <w:vAlign w:val="center"/>
          </w:tcPr>
          <w:p w14:paraId="573CF19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3.51-4.50</w:t>
            </w:r>
          </w:p>
        </w:tc>
        <w:tc>
          <w:tcPr>
            <w:tcW w:w="2331" w:type="dxa"/>
            <w:vAlign w:val="center"/>
          </w:tcPr>
          <w:p w14:paraId="580D32B4"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Agree</w:t>
            </w:r>
          </w:p>
        </w:tc>
        <w:tc>
          <w:tcPr>
            <w:tcW w:w="2014" w:type="dxa"/>
            <w:vAlign w:val="center"/>
          </w:tcPr>
          <w:p w14:paraId="0D5EFF1B"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High</w:t>
            </w:r>
          </w:p>
        </w:tc>
        <w:tc>
          <w:tcPr>
            <w:tcW w:w="1430" w:type="dxa"/>
            <w:vAlign w:val="bottom"/>
          </w:tcPr>
          <w:p w14:paraId="106D6EE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91</w:t>
            </w:r>
          </w:p>
        </w:tc>
        <w:tc>
          <w:tcPr>
            <w:tcW w:w="1510" w:type="dxa"/>
            <w:vAlign w:val="bottom"/>
          </w:tcPr>
          <w:p w14:paraId="51434677"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64.54</w:t>
            </w:r>
          </w:p>
        </w:tc>
      </w:tr>
      <w:tr w:rsidR="00494330" w:rsidRPr="00577764" w14:paraId="0D1AFA60" w14:textId="77777777" w:rsidTr="00280857">
        <w:tc>
          <w:tcPr>
            <w:tcW w:w="1355" w:type="dxa"/>
            <w:vAlign w:val="center"/>
          </w:tcPr>
          <w:p w14:paraId="3558D117"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2.51-3.50</w:t>
            </w:r>
          </w:p>
        </w:tc>
        <w:tc>
          <w:tcPr>
            <w:tcW w:w="2331" w:type="dxa"/>
            <w:vAlign w:val="center"/>
          </w:tcPr>
          <w:p w14:paraId="2B5A414A"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Neutral</w:t>
            </w:r>
          </w:p>
        </w:tc>
        <w:tc>
          <w:tcPr>
            <w:tcW w:w="2014" w:type="dxa"/>
            <w:vAlign w:val="center"/>
          </w:tcPr>
          <w:p w14:paraId="408776DE"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Moderate</w:t>
            </w:r>
          </w:p>
        </w:tc>
        <w:tc>
          <w:tcPr>
            <w:tcW w:w="1430" w:type="dxa"/>
            <w:vAlign w:val="bottom"/>
          </w:tcPr>
          <w:p w14:paraId="27E80B53"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19</w:t>
            </w:r>
          </w:p>
        </w:tc>
        <w:tc>
          <w:tcPr>
            <w:tcW w:w="1510" w:type="dxa"/>
            <w:vAlign w:val="bottom"/>
          </w:tcPr>
          <w:p w14:paraId="0C073F7B"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13.48</w:t>
            </w:r>
          </w:p>
        </w:tc>
      </w:tr>
      <w:tr w:rsidR="00494330" w:rsidRPr="00577764" w14:paraId="0648C303" w14:textId="77777777" w:rsidTr="00280857">
        <w:tc>
          <w:tcPr>
            <w:tcW w:w="1355" w:type="dxa"/>
            <w:tcBorders>
              <w:bottom w:val="nil"/>
            </w:tcBorders>
            <w:vAlign w:val="center"/>
          </w:tcPr>
          <w:p w14:paraId="5F03DA30"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1.51-2.50</w:t>
            </w:r>
          </w:p>
        </w:tc>
        <w:tc>
          <w:tcPr>
            <w:tcW w:w="2331" w:type="dxa"/>
            <w:tcBorders>
              <w:bottom w:val="nil"/>
            </w:tcBorders>
            <w:vAlign w:val="center"/>
          </w:tcPr>
          <w:p w14:paraId="31D64ED0"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Disagree</w:t>
            </w:r>
          </w:p>
        </w:tc>
        <w:tc>
          <w:tcPr>
            <w:tcW w:w="2014" w:type="dxa"/>
            <w:tcBorders>
              <w:bottom w:val="nil"/>
            </w:tcBorders>
            <w:vAlign w:val="center"/>
          </w:tcPr>
          <w:p w14:paraId="059A4035"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Low</w:t>
            </w:r>
          </w:p>
        </w:tc>
        <w:tc>
          <w:tcPr>
            <w:tcW w:w="1430" w:type="dxa"/>
            <w:tcBorders>
              <w:bottom w:val="nil"/>
            </w:tcBorders>
            <w:vAlign w:val="bottom"/>
          </w:tcPr>
          <w:p w14:paraId="099DDF0A"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bottom w:val="nil"/>
            </w:tcBorders>
            <w:vAlign w:val="bottom"/>
          </w:tcPr>
          <w:p w14:paraId="08823570"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21C42D66" w14:textId="77777777" w:rsidTr="00280857">
        <w:tc>
          <w:tcPr>
            <w:tcW w:w="1355" w:type="dxa"/>
            <w:tcBorders>
              <w:top w:val="nil"/>
              <w:bottom w:val="single" w:sz="4" w:space="0" w:color="auto"/>
            </w:tcBorders>
            <w:vAlign w:val="center"/>
          </w:tcPr>
          <w:p w14:paraId="306DFBD8"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1.00-1.50</w:t>
            </w:r>
          </w:p>
        </w:tc>
        <w:tc>
          <w:tcPr>
            <w:tcW w:w="2331" w:type="dxa"/>
            <w:tcBorders>
              <w:top w:val="nil"/>
              <w:bottom w:val="single" w:sz="4" w:space="0" w:color="auto"/>
            </w:tcBorders>
            <w:vAlign w:val="center"/>
          </w:tcPr>
          <w:p w14:paraId="06635853"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Strongly Disagree</w:t>
            </w:r>
          </w:p>
        </w:tc>
        <w:tc>
          <w:tcPr>
            <w:tcW w:w="2014" w:type="dxa"/>
            <w:tcBorders>
              <w:top w:val="nil"/>
              <w:bottom w:val="single" w:sz="4" w:space="0" w:color="auto"/>
            </w:tcBorders>
            <w:vAlign w:val="center"/>
          </w:tcPr>
          <w:p w14:paraId="2C402D3D" w14:textId="77777777" w:rsidR="00494330" w:rsidRPr="00577764" w:rsidRDefault="00494330" w:rsidP="008F45DF">
            <w:pPr>
              <w:pStyle w:val="NoSpacing"/>
              <w:jc w:val="both"/>
              <w:rPr>
                <w:rFonts w:ascii="Arial" w:hAnsi="Arial" w:cs="Arial"/>
                <w:sz w:val="22"/>
                <w:szCs w:val="22"/>
              </w:rPr>
            </w:pPr>
            <w:r w:rsidRPr="00577764">
              <w:rPr>
                <w:rFonts w:ascii="Arial" w:hAnsi="Arial" w:cs="Arial"/>
                <w:sz w:val="22"/>
                <w:szCs w:val="22"/>
              </w:rPr>
              <w:t>Very Low</w:t>
            </w:r>
          </w:p>
        </w:tc>
        <w:tc>
          <w:tcPr>
            <w:tcW w:w="1430" w:type="dxa"/>
            <w:tcBorders>
              <w:top w:val="nil"/>
              <w:bottom w:val="single" w:sz="4" w:space="0" w:color="auto"/>
            </w:tcBorders>
            <w:vAlign w:val="bottom"/>
          </w:tcPr>
          <w:p w14:paraId="351442C5"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top w:val="nil"/>
              <w:bottom w:val="single" w:sz="4" w:space="0" w:color="auto"/>
            </w:tcBorders>
            <w:vAlign w:val="bottom"/>
          </w:tcPr>
          <w:p w14:paraId="65524F96" w14:textId="77777777" w:rsidR="00494330" w:rsidRPr="00577764" w:rsidRDefault="00494330"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494330" w:rsidRPr="00577764" w14:paraId="098F6E38" w14:textId="77777777" w:rsidTr="00280857">
        <w:tc>
          <w:tcPr>
            <w:tcW w:w="1355" w:type="dxa"/>
            <w:tcBorders>
              <w:top w:val="single" w:sz="4" w:space="0" w:color="auto"/>
            </w:tcBorders>
          </w:tcPr>
          <w:p w14:paraId="7E0E57DA" w14:textId="77777777" w:rsidR="00494330" w:rsidRPr="00577764" w:rsidRDefault="00494330" w:rsidP="008F45DF">
            <w:pPr>
              <w:pStyle w:val="NoSpacing"/>
              <w:jc w:val="both"/>
              <w:rPr>
                <w:rFonts w:ascii="Arial" w:hAnsi="Arial" w:cs="Arial"/>
                <w:b/>
                <w:sz w:val="22"/>
                <w:szCs w:val="22"/>
              </w:rPr>
            </w:pPr>
          </w:p>
        </w:tc>
        <w:tc>
          <w:tcPr>
            <w:tcW w:w="2331" w:type="dxa"/>
            <w:tcBorders>
              <w:top w:val="single" w:sz="4" w:space="0" w:color="auto"/>
            </w:tcBorders>
          </w:tcPr>
          <w:p w14:paraId="074D3013" w14:textId="77777777" w:rsidR="00494330" w:rsidRPr="00577764" w:rsidRDefault="00494330" w:rsidP="008F45DF">
            <w:pPr>
              <w:pStyle w:val="NoSpacing"/>
              <w:jc w:val="both"/>
              <w:rPr>
                <w:rFonts w:ascii="Arial" w:hAnsi="Arial" w:cs="Arial"/>
                <w:b/>
                <w:sz w:val="22"/>
                <w:szCs w:val="22"/>
              </w:rPr>
            </w:pPr>
          </w:p>
        </w:tc>
        <w:tc>
          <w:tcPr>
            <w:tcW w:w="2014" w:type="dxa"/>
            <w:tcBorders>
              <w:top w:val="single" w:sz="4" w:space="0" w:color="auto"/>
            </w:tcBorders>
          </w:tcPr>
          <w:p w14:paraId="3739EF57"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Total</w:t>
            </w:r>
          </w:p>
        </w:tc>
        <w:tc>
          <w:tcPr>
            <w:tcW w:w="1430" w:type="dxa"/>
            <w:tcBorders>
              <w:top w:val="single" w:sz="4" w:space="0" w:color="auto"/>
            </w:tcBorders>
          </w:tcPr>
          <w:p w14:paraId="449FBD6A"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141</w:t>
            </w:r>
          </w:p>
        </w:tc>
        <w:tc>
          <w:tcPr>
            <w:tcW w:w="1510" w:type="dxa"/>
            <w:tcBorders>
              <w:top w:val="single" w:sz="4" w:space="0" w:color="auto"/>
            </w:tcBorders>
          </w:tcPr>
          <w:p w14:paraId="3F32590F" w14:textId="77777777" w:rsidR="00494330" w:rsidRPr="00577764" w:rsidRDefault="00494330" w:rsidP="008F45DF">
            <w:pPr>
              <w:pStyle w:val="NoSpacing"/>
              <w:jc w:val="both"/>
              <w:rPr>
                <w:rFonts w:ascii="Arial" w:hAnsi="Arial" w:cs="Arial"/>
                <w:b/>
                <w:sz w:val="22"/>
                <w:szCs w:val="22"/>
              </w:rPr>
            </w:pPr>
            <w:r w:rsidRPr="00577764">
              <w:rPr>
                <w:rFonts w:ascii="Arial" w:hAnsi="Arial" w:cs="Arial"/>
                <w:b/>
                <w:sz w:val="22"/>
                <w:szCs w:val="22"/>
              </w:rPr>
              <w:t>100</w:t>
            </w:r>
          </w:p>
        </w:tc>
      </w:tr>
      <w:tr w:rsidR="00494330" w:rsidRPr="00577764" w14:paraId="040924C3" w14:textId="77777777" w:rsidTr="00280857">
        <w:tc>
          <w:tcPr>
            <w:tcW w:w="1355" w:type="dxa"/>
          </w:tcPr>
          <w:p w14:paraId="5E83FEAF" w14:textId="77777777" w:rsidR="00494330" w:rsidRPr="00577764" w:rsidRDefault="00494330" w:rsidP="008F45DF">
            <w:pPr>
              <w:pStyle w:val="NoSpacing"/>
              <w:jc w:val="both"/>
              <w:rPr>
                <w:rFonts w:ascii="Arial" w:hAnsi="Arial" w:cs="Arial"/>
                <w:b/>
                <w:bCs/>
                <w:sz w:val="22"/>
                <w:szCs w:val="22"/>
              </w:rPr>
            </w:pPr>
          </w:p>
        </w:tc>
        <w:tc>
          <w:tcPr>
            <w:tcW w:w="2331" w:type="dxa"/>
          </w:tcPr>
          <w:p w14:paraId="08CE5D17" w14:textId="77777777" w:rsidR="00494330" w:rsidRPr="00577764" w:rsidRDefault="00494330" w:rsidP="008F45DF">
            <w:pPr>
              <w:pStyle w:val="NoSpacing"/>
              <w:jc w:val="both"/>
              <w:rPr>
                <w:rFonts w:ascii="Arial" w:hAnsi="Arial" w:cs="Arial"/>
                <w:b/>
                <w:bCs/>
                <w:sz w:val="22"/>
                <w:szCs w:val="22"/>
              </w:rPr>
            </w:pPr>
          </w:p>
        </w:tc>
        <w:tc>
          <w:tcPr>
            <w:tcW w:w="2014" w:type="dxa"/>
          </w:tcPr>
          <w:p w14:paraId="6FD5E2D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Overall Mean</w:t>
            </w:r>
          </w:p>
        </w:tc>
        <w:tc>
          <w:tcPr>
            <w:tcW w:w="2940" w:type="dxa"/>
            <w:gridSpan w:val="2"/>
          </w:tcPr>
          <w:p w14:paraId="7B6C47BD"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4.14</w:t>
            </w:r>
          </w:p>
        </w:tc>
      </w:tr>
      <w:tr w:rsidR="00494330" w:rsidRPr="00577764" w14:paraId="1CE17D05" w14:textId="77777777" w:rsidTr="00280857">
        <w:tc>
          <w:tcPr>
            <w:tcW w:w="1355" w:type="dxa"/>
          </w:tcPr>
          <w:p w14:paraId="6DD3ED22" w14:textId="77777777" w:rsidR="00494330" w:rsidRPr="00577764" w:rsidRDefault="00494330" w:rsidP="008F45DF">
            <w:pPr>
              <w:pStyle w:val="NoSpacing"/>
              <w:jc w:val="both"/>
              <w:rPr>
                <w:rFonts w:ascii="Arial" w:hAnsi="Arial" w:cs="Arial"/>
                <w:b/>
                <w:bCs/>
                <w:sz w:val="22"/>
                <w:szCs w:val="22"/>
              </w:rPr>
            </w:pPr>
          </w:p>
        </w:tc>
        <w:tc>
          <w:tcPr>
            <w:tcW w:w="2331" w:type="dxa"/>
          </w:tcPr>
          <w:p w14:paraId="763D1634" w14:textId="77777777" w:rsidR="00494330" w:rsidRPr="00577764" w:rsidRDefault="00494330" w:rsidP="008F45DF">
            <w:pPr>
              <w:pStyle w:val="NoSpacing"/>
              <w:jc w:val="both"/>
              <w:rPr>
                <w:rFonts w:ascii="Arial" w:hAnsi="Arial" w:cs="Arial"/>
                <w:b/>
                <w:bCs/>
                <w:sz w:val="22"/>
                <w:szCs w:val="22"/>
              </w:rPr>
            </w:pPr>
          </w:p>
        </w:tc>
        <w:tc>
          <w:tcPr>
            <w:tcW w:w="2014" w:type="dxa"/>
          </w:tcPr>
          <w:p w14:paraId="2089B59D"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2940" w:type="dxa"/>
            <w:gridSpan w:val="2"/>
          </w:tcPr>
          <w:p w14:paraId="5E09111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High</w:t>
            </w:r>
          </w:p>
        </w:tc>
      </w:tr>
      <w:tr w:rsidR="00494330" w:rsidRPr="00577764" w14:paraId="2D7534AC" w14:textId="77777777" w:rsidTr="00280857">
        <w:tc>
          <w:tcPr>
            <w:tcW w:w="1355" w:type="dxa"/>
          </w:tcPr>
          <w:p w14:paraId="1185DE3E" w14:textId="77777777" w:rsidR="00494330" w:rsidRPr="00577764" w:rsidRDefault="00494330" w:rsidP="008F45DF">
            <w:pPr>
              <w:pStyle w:val="NoSpacing"/>
              <w:jc w:val="both"/>
              <w:rPr>
                <w:rFonts w:ascii="Arial" w:hAnsi="Arial" w:cs="Arial"/>
                <w:b/>
                <w:bCs/>
                <w:sz w:val="22"/>
                <w:szCs w:val="22"/>
              </w:rPr>
            </w:pPr>
          </w:p>
        </w:tc>
        <w:tc>
          <w:tcPr>
            <w:tcW w:w="2331" w:type="dxa"/>
          </w:tcPr>
          <w:p w14:paraId="57ABB78E" w14:textId="77777777" w:rsidR="00494330" w:rsidRPr="00577764" w:rsidRDefault="00494330" w:rsidP="008F45DF">
            <w:pPr>
              <w:pStyle w:val="NoSpacing"/>
              <w:jc w:val="both"/>
              <w:rPr>
                <w:rFonts w:ascii="Arial" w:hAnsi="Arial" w:cs="Arial"/>
                <w:b/>
                <w:bCs/>
                <w:sz w:val="22"/>
                <w:szCs w:val="22"/>
              </w:rPr>
            </w:pPr>
          </w:p>
        </w:tc>
        <w:tc>
          <w:tcPr>
            <w:tcW w:w="2014" w:type="dxa"/>
          </w:tcPr>
          <w:p w14:paraId="71ADA3EA"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SD</w:t>
            </w:r>
          </w:p>
        </w:tc>
        <w:tc>
          <w:tcPr>
            <w:tcW w:w="2940" w:type="dxa"/>
            <w:gridSpan w:val="2"/>
          </w:tcPr>
          <w:p w14:paraId="2D764657" w14:textId="77777777" w:rsidR="00494330" w:rsidRPr="00577764" w:rsidRDefault="00494330" w:rsidP="008F45DF">
            <w:pPr>
              <w:pStyle w:val="NoSpacing"/>
              <w:jc w:val="both"/>
              <w:rPr>
                <w:rFonts w:ascii="Arial" w:hAnsi="Arial" w:cs="Arial"/>
                <w:b/>
                <w:bCs/>
                <w:sz w:val="22"/>
                <w:szCs w:val="22"/>
              </w:rPr>
            </w:pPr>
            <w:r w:rsidRPr="00577764">
              <w:rPr>
                <w:rFonts w:ascii="Arial" w:hAnsi="Arial" w:cs="Arial"/>
                <w:b/>
                <w:bCs/>
                <w:sz w:val="22"/>
                <w:szCs w:val="22"/>
              </w:rPr>
              <w:t>0.51</w:t>
            </w:r>
          </w:p>
        </w:tc>
      </w:tr>
    </w:tbl>
    <w:p w14:paraId="047285C0" w14:textId="77777777" w:rsidR="00494330" w:rsidRPr="00D13DC5" w:rsidRDefault="00494330" w:rsidP="008F45DF">
      <w:pPr>
        <w:pStyle w:val="NoSpacing"/>
        <w:jc w:val="both"/>
        <w:rPr>
          <w:rFonts w:ascii="Arial" w:hAnsi="Arial" w:cs="Arial"/>
        </w:rPr>
      </w:pPr>
    </w:p>
    <w:p w14:paraId="75956F12" w14:textId="4E07BD6B" w:rsidR="00C62E2D" w:rsidRPr="00D13DC5" w:rsidRDefault="00F40DB6" w:rsidP="008F45DF">
      <w:pPr>
        <w:spacing w:after="0" w:line="240" w:lineRule="auto"/>
        <w:ind w:firstLine="720"/>
        <w:jc w:val="both"/>
        <w:rPr>
          <w:rFonts w:ascii="Arial" w:hAnsi="Arial" w:cs="Arial"/>
        </w:rPr>
        <w:sectPr w:rsidR="00C62E2D" w:rsidRPr="00D13DC5" w:rsidSect="00D13DC5">
          <w:type w:val="continuous"/>
          <w:pgSz w:w="12240" w:h="15840" w:code="1"/>
          <w:pgMar w:top="1440" w:right="1440" w:bottom="1440" w:left="2160" w:header="709" w:footer="709" w:gutter="0"/>
          <w:cols w:space="708"/>
          <w:docGrid w:linePitch="360"/>
        </w:sectPr>
      </w:pPr>
      <w:r w:rsidRPr="00F40DB6">
        <w:rPr>
          <w:rFonts w:ascii="Arial" w:hAnsi="Arial" w:cs="Arial"/>
        </w:rPr>
        <w:t>Reyes and Sarmiento (2023) highlighted that learners often show strong awareness of evacuation routes and early warning systems but exhibit gaps in hands-on skills such as first aid or rapid evacuation procedures. Likewise, the study of Corpuz and Almonte (2024) found that while students consistently monitor hazard advisories and maintain emergency contacts, their confidence in executing emergency tasks like assisting injured peers or performing basic rescue remains moderate.</w:t>
      </w:r>
    </w:p>
    <w:p w14:paraId="5BD75C90" w14:textId="419653C0" w:rsidR="008E1DF8" w:rsidRPr="00D53E84" w:rsidRDefault="00C62E2D" w:rsidP="008F45DF">
      <w:pPr>
        <w:spacing w:after="0" w:line="240" w:lineRule="auto"/>
        <w:jc w:val="both"/>
        <w:rPr>
          <w:rFonts w:ascii="Arial" w:hAnsi="Arial" w:cs="Arial"/>
          <w:color w:val="000000" w:themeColor="text1"/>
        </w:rPr>
      </w:pPr>
      <w:r w:rsidRPr="00D13DC5">
        <w:rPr>
          <w:rFonts w:ascii="Arial" w:hAnsi="Arial" w:cs="Arial"/>
        </w:rPr>
        <w:tab/>
      </w:r>
      <w:r w:rsidR="00B31C9F">
        <w:rPr>
          <w:rFonts w:ascii="Arial" w:hAnsi="Arial" w:cs="Arial"/>
          <w:color w:val="000000" w:themeColor="text1"/>
        </w:rPr>
        <w:t>t</w:t>
      </w:r>
      <w:r w:rsidR="008E1DF8" w:rsidRPr="00D53E84">
        <w:rPr>
          <w:rFonts w:ascii="Arial" w:hAnsi="Arial" w:cs="Arial"/>
          <w:color w:val="000000" w:themeColor="text1"/>
        </w:rPr>
        <w:t>he findings imply that BTLEd–HE students are confident and knowledgeable in managing disaster situations, yet opportunities remain to improve their immediate response capabilities and hands-on skills during actual emergencies.</w:t>
      </w:r>
    </w:p>
    <w:p w14:paraId="01391DA7" w14:textId="7006D4C1" w:rsidR="00C62E2D" w:rsidRPr="00D13DC5" w:rsidRDefault="00C62E2D" w:rsidP="008F45DF">
      <w:pPr>
        <w:spacing w:after="0" w:line="240" w:lineRule="auto"/>
        <w:jc w:val="both"/>
        <w:rPr>
          <w:rFonts w:ascii="Arial" w:eastAsia="Arial" w:hAnsi="Arial" w:cs="Arial"/>
          <w:b/>
        </w:rPr>
      </w:pPr>
    </w:p>
    <w:p w14:paraId="6C00509E" w14:textId="78AD7FA4" w:rsidR="0088568C" w:rsidRPr="00D13DC5" w:rsidRDefault="00C62E2D" w:rsidP="008F45DF">
      <w:pPr>
        <w:pStyle w:val="pf0"/>
        <w:tabs>
          <w:tab w:val="left" w:pos="720"/>
        </w:tabs>
        <w:spacing w:before="0" w:beforeAutospacing="0" w:after="0" w:afterAutospacing="0"/>
        <w:jc w:val="both"/>
        <w:rPr>
          <w:rFonts w:ascii="Arial" w:hAnsi="Arial" w:cs="Arial"/>
          <w:b/>
          <w:bCs/>
        </w:rPr>
      </w:pPr>
      <w:r w:rsidRPr="00D13DC5">
        <w:rPr>
          <w:rStyle w:val="cf01"/>
          <w:rFonts w:ascii="Arial" w:hAnsi="Arial" w:cs="Arial"/>
          <w:b/>
          <w:bCs/>
          <w:sz w:val="24"/>
          <w:szCs w:val="24"/>
        </w:rPr>
        <w:t>Problem 4.</w:t>
      </w:r>
      <w:r w:rsidRPr="00D13DC5">
        <w:rPr>
          <w:rStyle w:val="cf01"/>
          <w:rFonts w:ascii="Arial" w:hAnsi="Arial" w:cs="Arial"/>
          <w:b/>
          <w:bCs/>
          <w:sz w:val="24"/>
          <w:szCs w:val="24"/>
        </w:rPr>
        <w:tab/>
        <w:t xml:space="preserve">What is the extent of </w:t>
      </w:r>
      <w:r w:rsidR="00635E70">
        <w:rPr>
          <w:rFonts w:ascii="Arial" w:hAnsi="Arial" w:cs="Arial"/>
          <w:b/>
          <w:bCs/>
          <w:color w:val="000000" w:themeColor="text1"/>
        </w:rPr>
        <w:t xml:space="preserve">student’s engagement </w:t>
      </w:r>
      <w:r w:rsidR="00635E70">
        <w:rPr>
          <w:rStyle w:val="cf01"/>
          <w:rFonts w:ascii="Arial" w:hAnsi="Arial" w:cs="Arial"/>
          <w:b/>
          <w:bCs/>
          <w:sz w:val="24"/>
          <w:szCs w:val="24"/>
        </w:rPr>
        <w:t xml:space="preserve">in </w:t>
      </w:r>
      <w:r w:rsidRPr="00D13DC5">
        <w:rPr>
          <w:rStyle w:val="cf01"/>
          <w:rFonts w:ascii="Arial" w:hAnsi="Arial" w:cs="Arial"/>
          <w:b/>
          <w:bCs/>
          <w:sz w:val="24"/>
          <w:szCs w:val="24"/>
        </w:rPr>
        <w:t>emergency management practices of the BTLEd HE students?</w:t>
      </w:r>
    </w:p>
    <w:p w14:paraId="4C56F10D" w14:textId="77777777" w:rsidR="002F4FEE" w:rsidRDefault="002F4FEE" w:rsidP="008F45DF">
      <w:pPr>
        <w:pStyle w:val="NoSpacing"/>
        <w:jc w:val="both"/>
        <w:rPr>
          <w:rFonts w:ascii="Arial" w:hAnsi="Arial" w:cs="Arial"/>
          <w:b/>
          <w:bCs/>
        </w:rPr>
      </w:pPr>
    </w:p>
    <w:p w14:paraId="0981500E" w14:textId="0BB7CCE7" w:rsidR="002F4FEE" w:rsidRDefault="002F4FEE" w:rsidP="008F45DF">
      <w:pPr>
        <w:pStyle w:val="NoSpacing"/>
        <w:jc w:val="both"/>
        <w:rPr>
          <w:rFonts w:ascii="Arial" w:hAnsi="Arial" w:cs="Arial"/>
        </w:rPr>
      </w:pPr>
      <w:r>
        <w:rPr>
          <w:rFonts w:ascii="Arial" w:hAnsi="Arial" w:cs="Arial"/>
          <w:b/>
          <w:bCs/>
        </w:rPr>
        <w:tab/>
      </w:r>
      <w:r w:rsidRPr="002F4FEE">
        <w:rPr>
          <w:rFonts w:ascii="Arial" w:hAnsi="Arial" w:cs="Arial"/>
        </w:rPr>
        <w:t xml:space="preserve">Table 4 shows that the participants demonstrate a high extent of household emergency management practices, as indicated by the overall mean of 4.18. This suggests that students consistently apply their knowledge of disaster preparedness within their homes, engaging in behaviors that contribute to family safety and readiness. </w:t>
      </w:r>
      <w:r w:rsidR="00B31C9F" w:rsidRPr="002F4FEE">
        <w:rPr>
          <w:rFonts w:ascii="Arial" w:hAnsi="Arial" w:cs="Arial"/>
        </w:rPr>
        <w:t>P</w:t>
      </w:r>
      <w:r w:rsidRPr="002F4FEE">
        <w:rPr>
          <w:rFonts w:ascii="Arial" w:hAnsi="Arial" w:cs="Arial"/>
        </w:rPr>
        <w:t>rotection</w:t>
      </w:r>
      <w:r w:rsidR="00B31C9F">
        <w:rPr>
          <w:rFonts w:ascii="Arial" w:hAnsi="Arial" w:cs="Arial"/>
        </w:rPr>
        <w:t xml:space="preserve"> </w:t>
      </w:r>
      <w:r w:rsidRPr="002F4FEE">
        <w:rPr>
          <w:rFonts w:ascii="Arial" w:hAnsi="Arial" w:cs="Arial"/>
        </w:rPr>
        <w:t xml:space="preserve">important components of household preparedness. Meanwhile, the lowest-rated indicators, though still within the high </w:t>
      </w:r>
      <w:r w:rsidRPr="002F4FEE">
        <w:rPr>
          <w:rFonts w:ascii="Arial" w:hAnsi="Arial" w:cs="Arial"/>
        </w:rPr>
        <w:lastRenderedPageBreak/>
        <w:t>range, involve maintaining functional fire safety equipment at home (M = 3.87) and regularly updating emergency kits (M = 4.02–4.11</w:t>
      </w:r>
    </w:p>
    <w:p w14:paraId="1D596C6E" w14:textId="77777777" w:rsidR="009B07B8" w:rsidRDefault="009B07B8" w:rsidP="008F45DF">
      <w:pPr>
        <w:pStyle w:val="NoSpacing"/>
        <w:jc w:val="both"/>
        <w:rPr>
          <w:rFonts w:ascii="Arial" w:hAnsi="Arial" w:cs="Arial"/>
          <w:color w:val="000000" w:themeColor="text1"/>
        </w:rPr>
      </w:pPr>
    </w:p>
    <w:p w14:paraId="18E06C42" w14:textId="0AA186A4" w:rsidR="009B07B8" w:rsidRPr="002F4FEE" w:rsidRDefault="009B07B8" w:rsidP="008F45DF">
      <w:pPr>
        <w:pStyle w:val="NoSpacing"/>
        <w:jc w:val="both"/>
        <w:rPr>
          <w:rFonts w:ascii="Arial" w:hAnsi="Arial" w:cs="Arial"/>
        </w:rPr>
      </w:pPr>
      <w:r>
        <w:rPr>
          <w:rFonts w:ascii="Arial" w:hAnsi="Arial" w:cs="Arial"/>
          <w:color w:val="000000" w:themeColor="text1"/>
        </w:rPr>
        <w:tab/>
      </w:r>
      <w:r w:rsidRPr="0052531A">
        <w:rPr>
          <w:rFonts w:ascii="Arial" w:hAnsi="Arial" w:cs="Arial"/>
          <w:color w:val="000000" w:themeColor="text1"/>
        </w:rPr>
        <w:t>The most highly rated practices are monitoring reputable media and official communications during emergencies (M = 4.48), knowledge of household evacuation routes and safe locations (M = 4.35), and store important documents in safe and waterproof containers (M = 4.33). This indicates that respondents appreciate proper monitoring of information and evacuation planning, and proper document storage. In addition, these scores indicate that there are deficiencies in fire safety equipment and emergency preparedness materials, which suggests that improvements in these areas are necessary.</w:t>
      </w:r>
    </w:p>
    <w:p w14:paraId="1D7FA2BF" w14:textId="77777777" w:rsidR="002F4FEE" w:rsidRDefault="002F4FEE" w:rsidP="008F45DF">
      <w:pPr>
        <w:pStyle w:val="NoSpacing"/>
        <w:jc w:val="both"/>
        <w:rPr>
          <w:rFonts w:ascii="Arial" w:hAnsi="Arial" w:cs="Arial"/>
          <w:b/>
          <w:bCs/>
        </w:rPr>
      </w:pPr>
    </w:p>
    <w:p w14:paraId="2A8C2359" w14:textId="4493448A" w:rsidR="002F4FEE" w:rsidRDefault="00C62E2D" w:rsidP="008F45DF">
      <w:pPr>
        <w:pStyle w:val="NoSpacing"/>
        <w:jc w:val="both"/>
        <w:rPr>
          <w:rFonts w:ascii="Arial" w:hAnsi="Arial" w:cs="Arial"/>
          <w:b/>
          <w:bCs/>
        </w:rPr>
      </w:pPr>
      <w:r w:rsidRPr="00D13DC5">
        <w:rPr>
          <w:rFonts w:ascii="Arial" w:hAnsi="Arial" w:cs="Arial"/>
          <w:b/>
          <w:bCs/>
        </w:rPr>
        <w:t>Table 4</w:t>
      </w:r>
    </w:p>
    <w:p w14:paraId="0276C76F" w14:textId="77777777" w:rsidR="009B07B8" w:rsidRPr="00D13DC5" w:rsidRDefault="009B07B8" w:rsidP="008F45DF">
      <w:pPr>
        <w:pStyle w:val="NoSpacing"/>
        <w:jc w:val="both"/>
        <w:rPr>
          <w:rFonts w:ascii="Arial" w:hAnsi="Arial" w:cs="Arial"/>
          <w:b/>
          <w:bCs/>
        </w:rPr>
      </w:pPr>
    </w:p>
    <w:p w14:paraId="6BC155BC" w14:textId="69D53682" w:rsidR="00C62E2D" w:rsidRDefault="00C62E2D" w:rsidP="008F45DF">
      <w:pPr>
        <w:pStyle w:val="NoSpacing"/>
        <w:jc w:val="both"/>
        <w:rPr>
          <w:rStyle w:val="cf01"/>
          <w:rFonts w:ascii="Arial" w:hAnsi="Arial" w:cs="Arial"/>
          <w:i/>
          <w:sz w:val="24"/>
          <w:szCs w:val="24"/>
        </w:rPr>
      </w:pPr>
      <w:r w:rsidRPr="00D13DC5">
        <w:rPr>
          <w:rFonts w:ascii="Arial" w:hAnsi="Arial" w:cs="Arial"/>
          <w:i/>
        </w:rPr>
        <w:t>Frequency, Percentage and Mean Distribution of E</w:t>
      </w:r>
      <w:r w:rsidRPr="00D13DC5">
        <w:rPr>
          <w:rStyle w:val="cf01"/>
          <w:rFonts w:ascii="Arial" w:hAnsi="Arial" w:cs="Arial"/>
          <w:i/>
          <w:sz w:val="24"/>
          <w:szCs w:val="24"/>
        </w:rPr>
        <w:t>xtent of</w:t>
      </w:r>
      <w:r w:rsidRPr="00635E70">
        <w:rPr>
          <w:rStyle w:val="cf01"/>
          <w:rFonts w:ascii="Arial" w:hAnsi="Arial" w:cs="Arial"/>
          <w:i/>
          <w:iCs/>
          <w:sz w:val="24"/>
          <w:szCs w:val="24"/>
        </w:rPr>
        <w:t xml:space="preserve"> </w:t>
      </w:r>
      <w:r w:rsidR="00635E70" w:rsidRPr="00635E70">
        <w:rPr>
          <w:rFonts w:ascii="Arial" w:hAnsi="Arial" w:cs="Arial"/>
          <w:i/>
          <w:iCs/>
          <w:color w:val="000000" w:themeColor="text1"/>
        </w:rPr>
        <w:t>student’s engagement</w:t>
      </w:r>
      <w:r w:rsidRPr="00635E70">
        <w:rPr>
          <w:rStyle w:val="cf01"/>
          <w:rFonts w:ascii="Arial" w:hAnsi="Arial" w:cs="Arial"/>
          <w:i/>
          <w:iCs/>
          <w:sz w:val="24"/>
          <w:szCs w:val="24"/>
        </w:rPr>
        <w:t xml:space="preserve"> </w:t>
      </w:r>
      <w:r w:rsidRPr="00D13DC5">
        <w:rPr>
          <w:rStyle w:val="cf01"/>
          <w:rFonts w:ascii="Arial" w:hAnsi="Arial" w:cs="Arial"/>
          <w:i/>
          <w:sz w:val="24"/>
          <w:szCs w:val="24"/>
        </w:rPr>
        <w:t>Management Practices of BTLEd–Home Economics Students</w:t>
      </w:r>
    </w:p>
    <w:p w14:paraId="2D7A8C85" w14:textId="77777777" w:rsidR="00B31C9F" w:rsidRPr="00D13DC5" w:rsidRDefault="00B31C9F" w:rsidP="008F45DF">
      <w:pPr>
        <w:pStyle w:val="NoSpacing"/>
        <w:jc w:val="both"/>
        <w:rPr>
          <w:rFonts w:ascii="Arial" w:hAnsi="Arial" w:cs="Arial"/>
          <w:i/>
        </w:rPr>
      </w:pPr>
    </w:p>
    <w:tbl>
      <w:tblPr>
        <w:tblW w:w="0" w:type="auto"/>
        <w:tblBorders>
          <w:top w:val="single" w:sz="4" w:space="0" w:color="auto"/>
          <w:bottom w:val="single" w:sz="4" w:space="0" w:color="auto"/>
        </w:tblBorders>
        <w:tblLook w:val="04A0" w:firstRow="1" w:lastRow="0" w:firstColumn="1" w:lastColumn="0" w:noHBand="0" w:noVBand="1"/>
      </w:tblPr>
      <w:tblGrid>
        <w:gridCol w:w="1355"/>
        <w:gridCol w:w="2331"/>
        <w:gridCol w:w="2014"/>
        <w:gridCol w:w="1430"/>
        <w:gridCol w:w="1510"/>
      </w:tblGrid>
      <w:tr w:rsidR="00C62E2D" w:rsidRPr="00577764" w14:paraId="159CE1D5" w14:textId="77777777" w:rsidTr="00B31C9F">
        <w:tc>
          <w:tcPr>
            <w:tcW w:w="1355" w:type="dxa"/>
            <w:tcBorders>
              <w:top w:val="single" w:sz="4" w:space="0" w:color="auto"/>
              <w:bottom w:val="single" w:sz="4" w:space="0" w:color="auto"/>
            </w:tcBorders>
          </w:tcPr>
          <w:p w14:paraId="73030F4B"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Range</w:t>
            </w:r>
          </w:p>
        </w:tc>
        <w:tc>
          <w:tcPr>
            <w:tcW w:w="2331" w:type="dxa"/>
            <w:tcBorders>
              <w:top w:val="single" w:sz="4" w:space="0" w:color="auto"/>
              <w:bottom w:val="single" w:sz="4" w:space="0" w:color="auto"/>
            </w:tcBorders>
          </w:tcPr>
          <w:p w14:paraId="576EB624"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Description</w:t>
            </w:r>
          </w:p>
        </w:tc>
        <w:tc>
          <w:tcPr>
            <w:tcW w:w="2014" w:type="dxa"/>
            <w:tcBorders>
              <w:top w:val="single" w:sz="4" w:space="0" w:color="auto"/>
              <w:bottom w:val="single" w:sz="4" w:space="0" w:color="auto"/>
            </w:tcBorders>
          </w:tcPr>
          <w:p w14:paraId="4D4E73B2"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1430" w:type="dxa"/>
            <w:tcBorders>
              <w:top w:val="single" w:sz="4" w:space="0" w:color="auto"/>
              <w:bottom w:val="single" w:sz="4" w:space="0" w:color="auto"/>
            </w:tcBorders>
          </w:tcPr>
          <w:p w14:paraId="55B94DBA"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Frequency</w:t>
            </w:r>
          </w:p>
        </w:tc>
        <w:tc>
          <w:tcPr>
            <w:tcW w:w="1510" w:type="dxa"/>
            <w:tcBorders>
              <w:top w:val="single" w:sz="4" w:space="0" w:color="auto"/>
              <w:bottom w:val="single" w:sz="4" w:space="0" w:color="auto"/>
            </w:tcBorders>
          </w:tcPr>
          <w:p w14:paraId="40E7BF26"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Percentage</w:t>
            </w:r>
          </w:p>
        </w:tc>
      </w:tr>
      <w:tr w:rsidR="00C62E2D" w:rsidRPr="00577764" w14:paraId="0AE90BF3" w14:textId="77777777" w:rsidTr="00B31C9F">
        <w:tc>
          <w:tcPr>
            <w:tcW w:w="1355" w:type="dxa"/>
            <w:tcBorders>
              <w:top w:val="single" w:sz="4" w:space="0" w:color="auto"/>
            </w:tcBorders>
            <w:vAlign w:val="center"/>
          </w:tcPr>
          <w:p w14:paraId="3E9077BA"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4.51-5.00</w:t>
            </w:r>
          </w:p>
        </w:tc>
        <w:tc>
          <w:tcPr>
            <w:tcW w:w="2331" w:type="dxa"/>
            <w:tcBorders>
              <w:top w:val="single" w:sz="4" w:space="0" w:color="auto"/>
            </w:tcBorders>
            <w:vAlign w:val="center"/>
          </w:tcPr>
          <w:p w14:paraId="474E021F"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Strongly Agree</w:t>
            </w:r>
          </w:p>
        </w:tc>
        <w:tc>
          <w:tcPr>
            <w:tcW w:w="2014" w:type="dxa"/>
            <w:tcBorders>
              <w:top w:val="single" w:sz="4" w:space="0" w:color="auto"/>
            </w:tcBorders>
            <w:vAlign w:val="center"/>
          </w:tcPr>
          <w:p w14:paraId="16B43A27"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Very High</w:t>
            </w:r>
          </w:p>
        </w:tc>
        <w:tc>
          <w:tcPr>
            <w:tcW w:w="1430" w:type="dxa"/>
            <w:tcBorders>
              <w:top w:val="single" w:sz="4" w:space="0" w:color="auto"/>
            </w:tcBorders>
            <w:vAlign w:val="bottom"/>
          </w:tcPr>
          <w:p w14:paraId="1B27AA4F"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34</w:t>
            </w:r>
          </w:p>
        </w:tc>
        <w:tc>
          <w:tcPr>
            <w:tcW w:w="1510" w:type="dxa"/>
            <w:tcBorders>
              <w:top w:val="single" w:sz="4" w:space="0" w:color="auto"/>
            </w:tcBorders>
            <w:vAlign w:val="bottom"/>
          </w:tcPr>
          <w:p w14:paraId="5BBD5EC1"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24.11</w:t>
            </w:r>
          </w:p>
        </w:tc>
      </w:tr>
      <w:tr w:rsidR="00C62E2D" w:rsidRPr="00577764" w14:paraId="4DAE94C5" w14:textId="77777777" w:rsidTr="00B31C9F">
        <w:tc>
          <w:tcPr>
            <w:tcW w:w="1355" w:type="dxa"/>
            <w:vAlign w:val="center"/>
          </w:tcPr>
          <w:p w14:paraId="297C2A18"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3.51-4.50</w:t>
            </w:r>
          </w:p>
        </w:tc>
        <w:tc>
          <w:tcPr>
            <w:tcW w:w="2331" w:type="dxa"/>
            <w:vAlign w:val="center"/>
          </w:tcPr>
          <w:p w14:paraId="1B6792C5"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Agree</w:t>
            </w:r>
          </w:p>
        </w:tc>
        <w:tc>
          <w:tcPr>
            <w:tcW w:w="2014" w:type="dxa"/>
            <w:vAlign w:val="center"/>
          </w:tcPr>
          <w:p w14:paraId="6F763DF2"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High</w:t>
            </w:r>
          </w:p>
        </w:tc>
        <w:tc>
          <w:tcPr>
            <w:tcW w:w="1430" w:type="dxa"/>
            <w:vAlign w:val="bottom"/>
          </w:tcPr>
          <w:p w14:paraId="26335777"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95</w:t>
            </w:r>
          </w:p>
        </w:tc>
        <w:tc>
          <w:tcPr>
            <w:tcW w:w="1510" w:type="dxa"/>
            <w:vAlign w:val="bottom"/>
          </w:tcPr>
          <w:p w14:paraId="1AAF2F19"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67.38</w:t>
            </w:r>
          </w:p>
        </w:tc>
      </w:tr>
      <w:tr w:rsidR="00C62E2D" w:rsidRPr="00577764" w14:paraId="7F21A290" w14:textId="77777777" w:rsidTr="00B31C9F">
        <w:tc>
          <w:tcPr>
            <w:tcW w:w="1355" w:type="dxa"/>
            <w:vAlign w:val="center"/>
          </w:tcPr>
          <w:p w14:paraId="3D8E165E"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2.51-3.50</w:t>
            </w:r>
          </w:p>
        </w:tc>
        <w:tc>
          <w:tcPr>
            <w:tcW w:w="2331" w:type="dxa"/>
            <w:vAlign w:val="center"/>
          </w:tcPr>
          <w:p w14:paraId="0EFCF4F6"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Neutral</w:t>
            </w:r>
          </w:p>
        </w:tc>
        <w:tc>
          <w:tcPr>
            <w:tcW w:w="2014" w:type="dxa"/>
            <w:vAlign w:val="center"/>
          </w:tcPr>
          <w:p w14:paraId="194E288F"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Moderate</w:t>
            </w:r>
          </w:p>
        </w:tc>
        <w:tc>
          <w:tcPr>
            <w:tcW w:w="1430" w:type="dxa"/>
            <w:vAlign w:val="bottom"/>
          </w:tcPr>
          <w:p w14:paraId="6676A959"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12</w:t>
            </w:r>
          </w:p>
        </w:tc>
        <w:tc>
          <w:tcPr>
            <w:tcW w:w="1510" w:type="dxa"/>
            <w:vAlign w:val="bottom"/>
          </w:tcPr>
          <w:p w14:paraId="714BAC65"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8.51</w:t>
            </w:r>
          </w:p>
        </w:tc>
      </w:tr>
      <w:tr w:rsidR="00C62E2D" w:rsidRPr="00577764" w14:paraId="05C83B8D" w14:textId="77777777" w:rsidTr="00B31C9F">
        <w:tc>
          <w:tcPr>
            <w:tcW w:w="1355" w:type="dxa"/>
            <w:tcBorders>
              <w:bottom w:val="nil"/>
            </w:tcBorders>
            <w:vAlign w:val="center"/>
          </w:tcPr>
          <w:p w14:paraId="48666287"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1.51-2.50</w:t>
            </w:r>
          </w:p>
        </w:tc>
        <w:tc>
          <w:tcPr>
            <w:tcW w:w="2331" w:type="dxa"/>
            <w:tcBorders>
              <w:bottom w:val="nil"/>
            </w:tcBorders>
            <w:vAlign w:val="center"/>
          </w:tcPr>
          <w:p w14:paraId="1ADEA465"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Disagree</w:t>
            </w:r>
          </w:p>
        </w:tc>
        <w:tc>
          <w:tcPr>
            <w:tcW w:w="2014" w:type="dxa"/>
            <w:tcBorders>
              <w:bottom w:val="nil"/>
            </w:tcBorders>
            <w:vAlign w:val="center"/>
          </w:tcPr>
          <w:p w14:paraId="6A5577E0"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Low</w:t>
            </w:r>
          </w:p>
        </w:tc>
        <w:tc>
          <w:tcPr>
            <w:tcW w:w="1430" w:type="dxa"/>
            <w:tcBorders>
              <w:bottom w:val="nil"/>
            </w:tcBorders>
            <w:vAlign w:val="bottom"/>
          </w:tcPr>
          <w:p w14:paraId="6BE4CDA0"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bottom w:val="nil"/>
            </w:tcBorders>
            <w:vAlign w:val="bottom"/>
          </w:tcPr>
          <w:p w14:paraId="43B159A1"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C62E2D" w:rsidRPr="00577764" w14:paraId="39612EE0" w14:textId="77777777" w:rsidTr="00B31C9F">
        <w:tc>
          <w:tcPr>
            <w:tcW w:w="1355" w:type="dxa"/>
            <w:tcBorders>
              <w:top w:val="nil"/>
              <w:bottom w:val="single" w:sz="4" w:space="0" w:color="auto"/>
            </w:tcBorders>
            <w:vAlign w:val="center"/>
          </w:tcPr>
          <w:p w14:paraId="6DA13D54"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1.00-1.50</w:t>
            </w:r>
          </w:p>
        </w:tc>
        <w:tc>
          <w:tcPr>
            <w:tcW w:w="2331" w:type="dxa"/>
            <w:tcBorders>
              <w:top w:val="nil"/>
              <w:bottom w:val="single" w:sz="4" w:space="0" w:color="auto"/>
            </w:tcBorders>
            <w:vAlign w:val="center"/>
          </w:tcPr>
          <w:p w14:paraId="5DBAA6B1"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Strongly Disagree</w:t>
            </w:r>
          </w:p>
        </w:tc>
        <w:tc>
          <w:tcPr>
            <w:tcW w:w="2014" w:type="dxa"/>
            <w:tcBorders>
              <w:top w:val="nil"/>
              <w:bottom w:val="single" w:sz="4" w:space="0" w:color="auto"/>
            </w:tcBorders>
            <w:vAlign w:val="center"/>
          </w:tcPr>
          <w:p w14:paraId="5C99B2C9" w14:textId="77777777" w:rsidR="00C62E2D" w:rsidRPr="00577764" w:rsidRDefault="00C62E2D" w:rsidP="008F45DF">
            <w:pPr>
              <w:pStyle w:val="NoSpacing"/>
              <w:jc w:val="both"/>
              <w:rPr>
                <w:rFonts w:ascii="Arial" w:hAnsi="Arial" w:cs="Arial"/>
                <w:sz w:val="22"/>
                <w:szCs w:val="22"/>
              </w:rPr>
            </w:pPr>
            <w:r w:rsidRPr="00577764">
              <w:rPr>
                <w:rFonts w:ascii="Arial" w:hAnsi="Arial" w:cs="Arial"/>
                <w:sz w:val="22"/>
                <w:szCs w:val="22"/>
              </w:rPr>
              <w:t>Very Low</w:t>
            </w:r>
          </w:p>
        </w:tc>
        <w:tc>
          <w:tcPr>
            <w:tcW w:w="1430" w:type="dxa"/>
            <w:tcBorders>
              <w:top w:val="nil"/>
              <w:bottom w:val="single" w:sz="4" w:space="0" w:color="auto"/>
            </w:tcBorders>
            <w:vAlign w:val="bottom"/>
          </w:tcPr>
          <w:p w14:paraId="0F6CA4BC"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w:t>
            </w:r>
          </w:p>
        </w:tc>
        <w:tc>
          <w:tcPr>
            <w:tcW w:w="1510" w:type="dxa"/>
            <w:tcBorders>
              <w:top w:val="nil"/>
              <w:bottom w:val="single" w:sz="4" w:space="0" w:color="auto"/>
            </w:tcBorders>
            <w:vAlign w:val="bottom"/>
          </w:tcPr>
          <w:p w14:paraId="55F8805C" w14:textId="77777777" w:rsidR="00C62E2D" w:rsidRPr="00577764" w:rsidRDefault="00C62E2D" w:rsidP="008F45DF">
            <w:pPr>
              <w:pStyle w:val="NoSpacing"/>
              <w:jc w:val="both"/>
              <w:rPr>
                <w:rFonts w:ascii="Arial" w:hAnsi="Arial" w:cs="Arial"/>
                <w:sz w:val="22"/>
                <w:szCs w:val="22"/>
              </w:rPr>
            </w:pPr>
            <w:r w:rsidRPr="00577764">
              <w:rPr>
                <w:rFonts w:ascii="Arial" w:hAnsi="Arial" w:cs="Arial"/>
                <w:color w:val="000000"/>
                <w:sz w:val="22"/>
                <w:szCs w:val="22"/>
              </w:rPr>
              <w:t>0.00</w:t>
            </w:r>
          </w:p>
        </w:tc>
      </w:tr>
      <w:tr w:rsidR="00C62E2D" w:rsidRPr="00577764" w14:paraId="5C9BAB9E" w14:textId="77777777" w:rsidTr="00B31C9F">
        <w:tc>
          <w:tcPr>
            <w:tcW w:w="1355" w:type="dxa"/>
            <w:tcBorders>
              <w:top w:val="single" w:sz="4" w:space="0" w:color="auto"/>
            </w:tcBorders>
          </w:tcPr>
          <w:p w14:paraId="60501EF7" w14:textId="77777777" w:rsidR="00C62E2D" w:rsidRPr="00577764" w:rsidRDefault="00C62E2D" w:rsidP="008F45DF">
            <w:pPr>
              <w:pStyle w:val="NoSpacing"/>
              <w:jc w:val="both"/>
              <w:rPr>
                <w:rFonts w:ascii="Arial" w:hAnsi="Arial" w:cs="Arial"/>
                <w:sz w:val="22"/>
                <w:szCs w:val="22"/>
              </w:rPr>
            </w:pPr>
          </w:p>
        </w:tc>
        <w:tc>
          <w:tcPr>
            <w:tcW w:w="2331" w:type="dxa"/>
            <w:tcBorders>
              <w:top w:val="single" w:sz="4" w:space="0" w:color="auto"/>
            </w:tcBorders>
          </w:tcPr>
          <w:p w14:paraId="7CC0D087" w14:textId="77777777" w:rsidR="00C62E2D" w:rsidRPr="00577764" w:rsidRDefault="00C62E2D" w:rsidP="008F45DF">
            <w:pPr>
              <w:pStyle w:val="NoSpacing"/>
              <w:jc w:val="both"/>
              <w:rPr>
                <w:rFonts w:ascii="Arial" w:hAnsi="Arial" w:cs="Arial"/>
                <w:sz w:val="22"/>
                <w:szCs w:val="22"/>
              </w:rPr>
            </w:pPr>
          </w:p>
        </w:tc>
        <w:tc>
          <w:tcPr>
            <w:tcW w:w="2014" w:type="dxa"/>
            <w:tcBorders>
              <w:top w:val="single" w:sz="4" w:space="0" w:color="auto"/>
            </w:tcBorders>
          </w:tcPr>
          <w:p w14:paraId="0C0CD357"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Total</w:t>
            </w:r>
          </w:p>
        </w:tc>
        <w:tc>
          <w:tcPr>
            <w:tcW w:w="1430" w:type="dxa"/>
            <w:tcBorders>
              <w:top w:val="single" w:sz="4" w:space="0" w:color="auto"/>
            </w:tcBorders>
          </w:tcPr>
          <w:p w14:paraId="631473AA"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141</w:t>
            </w:r>
          </w:p>
        </w:tc>
        <w:tc>
          <w:tcPr>
            <w:tcW w:w="1510" w:type="dxa"/>
            <w:tcBorders>
              <w:top w:val="single" w:sz="4" w:space="0" w:color="auto"/>
            </w:tcBorders>
          </w:tcPr>
          <w:p w14:paraId="22A63067"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100</w:t>
            </w:r>
          </w:p>
        </w:tc>
      </w:tr>
      <w:tr w:rsidR="00C62E2D" w:rsidRPr="00577764" w14:paraId="29BB5E23" w14:textId="77777777" w:rsidTr="00B31C9F">
        <w:tc>
          <w:tcPr>
            <w:tcW w:w="1355" w:type="dxa"/>
          </w:tcPr>
          <w:p w14:paraId="5B13C22F" w14:textId="77777777" w:rsidR="00C62E2D" w:rsidRPr="00577764" w:rsidRDefault="00C62E2D" w:rsidP="008F45DF">
            <w:pPr>
              <w:pStyle w:val="NoSpacing"/>
              <w:jc w:val="both"/>
              <w:rPr>
                <w:rFonts w:ascii="Arial" w:hAnsi="Arial" w:cs="Arial"/>
                <w:bCs/>
                <w:sz w:val="22"/>
                <w:szCs w:val="22"/>
              </w:rPr>
            </w:pPr>
          </w:p>
        </w:tc>
        <w:tc>
          <w:tcPr>
            <w:tcW w:w="2331" w:type="dxa"/>
          </w:tcPr>
          <w:p w14:paraId="200D7399" w14:textId="77777777" w:rsidR="00C62E2D" w:rsidRPr="00577764" w:rsidRDefault="00C62E2D" w:rsidP="008F45DF">
            <w:pPr>
              <w:pStyle w:val="NoSpacing"/>
              <w:jc w:val="both"/>
              <w:rPr>
                <w:rFonts w:ascii="Arial" w:hAnsi="Arial" w:cs="Arial"/>
                <w:bCs/>
                <w:sz w:val="22"/>
                <w:szCs w:val="22"/>
              </w:rPr>
            </w:pPr>
          </w:p>
        </w:tc>
        <w:tc>
          <w:tcPr>
            <w:tcW w:w="2014" w:type="dxa"/>
          </w:tcPr>
          <w:p w14:paraId="3F1864FC"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Overall Mean</w:t>
            </w:r>
          </w:p>
        </w:tc>
        <w:tc>
          <w:tcPr>
            <w:tcW w:w="2940" w:type="dxa"/>
            <w:gridSpan w:val="2"/>
          </w:tcPr>
          <w:p w14:paraId="25E6FE6D"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4.18</w:t>
            </w:r>
          </w:p>
        </w:tc>
      </w:tr>
      <w:tr w:rsidR="00C62E2D" w:rsidRPr="00577764" w14:paraId="780AA5C9" w14:textId="77777777" w:rsidTr="00B31C9F">
        <w:tc>
          <w:tcPr>
            <w:tcW w:w="1355" w:type="dxa"/>
          </w:tcPr>
          <w:p w14:paraId="14172395" w14:textId="77777777" w:rsidR="00C62E2D" w:rsidRPr="00577764" w:rsidRDefault="00C62E2D" w:rsidP="008F45DF">
            <w:pPr>
              <w:pStyle w:val="NoSpacing"/>
              <w:jc w:val="both"/>
              <w:rPr>
                <w:rFonts w:ascii="Arial" w:hAnsi="Arial" w:cs="Arial"/>
                <w:bCs/>
                <w:sz w:val="22"/>
                <w:szCs w:val="22"/>
              </w:rPr>
            </w:pPr>
          </w:p>
        </w:tc>
        <w:tc>
          <w:tcPr>
            <w:tcW w:w="2331" w:type="dxa"/>
          </w:tcPr>
          <w:p w14:paraId="56BCCDD0" w14:textId="77777777" w:rsidR="00C62E2D" w:rsidRPr="00577764" w:rsidRDefault="00C62E2D" w:rsidP="008F45DF">
            <w:pPr>
              <w:pStyle w:val="NoSpacing"/>
              <w:jc w:val="both"/>
              <w:rPr>
                <w:rFonts w:ascii="Arial" w:hAnsi="Arial" w:cs="Arial"/>
                <w:bCs/>
                <w:sz w:val="22"/>
                <w:szCs w:val="22"/>
              </w:rPr>
            </w:pPr>
          </w:p>
        </w:tc>
        <w:tc>
          <w:tcPr>
            <w:tcW w:w="2014" w:type="dxa"/>
          </w:tcPr>
          <w:p w14:paraId="243097BB"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Interpretation</w:t>
            </w:r>
          </w:p>
        </w:tc>
        <w:tc>
          <w:tcPr>
            <w:tcW w:w="2940" w:type="dxa"/>
            <w:gridSpan w:val="2"/>
          </w:tcPr>
          <w:p w14:paraId="77399B60"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High</w:t>
            </w:r>
          </w:p>
        </w:tc>
      </w:tr>
      <w:tr w:rsidR="00C62E2D" w:rsidRPr="00577764" w14:paraId="200BCC70" w14:textId="77777777" w:rsidTr="00B31C9F">
        <w:tc>
          <w:tcPr>
            <w:tcW w:w="1355" w:type="dxa"/>
          </w:tcPr>
          <w:p w14:paraId="4B871039" w14:textId="77777777" w:rsidR="00C62E2D" w:rsidRPr="00577764" w:rsidRDefault="00C62E2D" w:rsidP="008F45DF">
            <w:pPr>
              <w:pStyle w:val="NoSpacing"/>
              <w:jc w:val="both"/>
              <w:rPr>
                <w:rFonts w:ascii="Arial" w:hAnsi="Arial" w:cs="Arial"/>
                <w:bCs/>
                <w:sz w:val="22"/>
                <w:szCs w:val="22"/>
              </w:rPr>
            </w:pPr>
          </w:p>
        </w:tc>
        <w:tc>
          <w:tcPr>
            <w:tcW w:w="2331" w:type="dxa"/>
          </w:tcPr>
          <w:p w14:paraId="17862C75" w14:textId="77777777" w:rsidR="00C62E2D" w:rsidRPr="00577764" w:rsidRDefault="00C62E2D" w:rsidP="008F45DF">
            <w:pPr>
              <w:pStyle w:val="NoSpacing"/>
              <w:jc w:val="both"/>
              <w:rPr>
                <w:rFonts w:ascii="Arial" w:hAnsi="Arial" w:cs="Arial"/>
                <w:bCs/>
                <w:sz w:val="22"/>
                <w:szCs w:val="22"/>
              </w:rPr>
            </w:pPr>
          </w:p>
        </w:tc>
        <w:tc>
          <w:tcPr>
            <w:tcW w:w="2014" w:type="dxa"/>
          </w:tcPr>
          <w:p w14:paraId="11643E80"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SD</w:t>
            </w:r>
          </w:p>
        </w:tc>
        <w:tc>
          <w:tcPr>
            <w:tcW w:w="2940" w:type="dxa"/>
            <w:gridSpan w:val="2"/>
          </w:tcPr>
          <w:p w14:paraId="4DBE7E9B" w14:textId="77777777" w:rsidR="00C62E2D" w:rsidRPr="00577764" w:rsidRDefault="00C62E2D" w:rsidP="008F45DF">
            <w:pPr>
              <w:pStyle w:val="NoSpacing"/>
              <w:jc w:val="both"/>
              <w:rPr>
                <w:rFonts w:ascii="Arial" w:hAnsi="Arial" w:cs="Arial"/>
                <w:b/>
                <w:bCs/>
                <w:sz w:val="22"/>
                <w:szCs w:val="22"/>
              </w:rPr>
            </w:pPr>
            <w:r w:rsidRPr="00577764">
              <w:rPr>
                <w:rFonts w:ascii="Arial" w:hAnsi="Arial" w:cs="Arial"/>
                <w:b/>
                <w:bCs/>
                <w:sz w:val="22"/>
                <w:szCs w:val="22"/>
              </w:rPr>
              <w:t>0.44</w:t>
            </w:r>
          </w:p>
        </w:tc>
      </w:tr>
    </w:tbl>
    <w:p w14:paraId="48FBF0AF" w14:textId="4E03CB4F" w:rsidR="00697A4D" w:rsidRPr="00D13DC5" w:rsidRDefault="00697A4D" w:rsidP="008F45DF">
      <w:pPr>
        <w:spacing w:after="0" w:line="240" w:lineRule="auto"/>
        <w:jc w:val="both"/>
        <w:rPr>
          <w:rFonts w:ascii="Arial" w:hAnsi="Arial" w:cs="Arial"/>
        </w:rPr>
        <w:sectPr w:rsidR="00697A4D" w:rsidRPr="00D13DC5" w:rsidSect="00D13DC5">
          <w:type w:val="continuous"/>
          <w:pgSz w:w="12240" w:h="15840" w:code="1"/>
          <w:pgMar w:top="1440" w:right="1440" w:bottom="1440" w:left="2160" w:header="709" w:footer="709" w:gutter="0"/>
          <w:cols w:space="708"/>
          <w:docGrid w:linePitch="360"/>
        </w:sectPr>
      </w:pPr>
    </w:p>
    <w:p w14:paraId="4F671671" w14:textId="1DD49042" w:rsidR="0052531A" w:rsidRPr="0052531A" w:rsidRDefault="008548F7" w:rsidP="008F45DF">
      <w:pPr>
        <w:spacing w:after="0" w:line="240" w:lineRule="auto"/>
        <w:jc w:val="both"/>
        <w:rPr>
          <w:rFonts w:ascii="Arial" w:hAnsi="Arial" w:cs="Arial"/>
          <w:color w:val="000000" w:themeColor="text1"/>
        </w:rPr>
      </w:pPr>
      <w:r>
        <w:rPr>
          <w:rFonts w:ascii="Arial" w:hAnsi="Arial" w:cs="Arial"/>
          <w:color w:val="000000" w:themeColor="text1"/>
        </w:rPr>
        <w:tab/>
      </w:r>
      <w:r w:rsidR="0052531A" w:rsidRPr="0052531A">
        <w:rPr>
          <w:rFonts w:ascii="Arial" w:hAnsi="Arial" w:cs="Arial"/>
          <w:color w:val="000000" w:themeColor="text1"/>
        </w:rPr>
        <w:t>While tracking weather information and identification of safe zones were done by students, there were inconsistencies in keeping emergency kits up to date, according to Manalili and Corpuz (2024). Also, studies show that preparation practices for emergencies in households are strongest in behaviors that require less technical knowledge, and are less frequent in practices that require maintenance or more expenses (Roldan &amp; Esquivel, 2022; Javier, 2023). These studies indicate that BTLEd–HE students enact almost all household preparedness behaviors, and more focus on equipment maintenance and readiness could greatly improve safety.</w:t>
      </w:r>
    </w:p>
    <w:p w14:paraId="044D4C7C" w14:textId="40D4D4C0" w:rsidR="007F6275" w:rsidRPr="00D13DC5" w:rsidRDefault="007F6275" w:rsidP="008F45DF">
      <w:pPr>
        <w:spacing w:after="0" w:line="240" w:lineRule="auto"/>
        <w:jc w:val="both"/>
        <w:rPr>
          <w:rFonts w:ascii="Arial" w:hAnsi="Arial" w:cs="Arial"/>
        </w:rPr>
        <w:sectPr w:rsidR="007F6275" w:rsidRPr="00D13DC5" w:rsidSect="00D13DC5">
          <w:type w:val="continuous"/>
          <w:pgSz w:w="12240" w:h="15840" w:code="1"/>
          <w:pgMar w:top="1440" w:right="1440" w:bottom="1440" w:left="2160" w:header="709" w:footer="709" w:gutter="0"/>
          <w:cols w:space="708"/>
          <w:docGrid w:linePitch="360"/>
        </w:sectPr>
      </w:pPr>
    </w:p>
    <w:p w14:paraId="451B5D4B" w14:textId="77777777" w:rsidR="00C62E2D" w:rsidRPr="00635E70" w:rsidRDefault="00C62E2D" w:rsidP="008F45DF">
      <w:pPr>
        <w:spacing w:after="0" w:line="240" w:lineRule="auto"/>
        <w:jc w:val="both"/>
        <w:rPr>
          <w:rFonts w:ascii="Arial" w:hAnsi="Arial" w:cs="Arial"/>
        </w:rPr>
      </w:pPr>
    </w:p>
    <w:p w14:paraId="5321A1FF" w14:textId="77777777" w:rsidR="00635E70" w:rsidRPr="00635E70" w:rsidRDefault="00635E70" w:rsidP="008F45DF">
      <w:pPr>
        <w:spacing w:after="0" w:line="240" w:lineRule="auto"/>
        <w:jc w:val="both"/>
        <w:rPr>
          <w:rStyle w:val="cf01"/>
          <w:rFonts w:ascii="Arial" w:hAnsi="Arial" w:cs="Arial"/>
          <w:b/>
          <w:bCs/>
          <w:color w:val="000000" w:themeColor="text1"/>
          <w:sz w:val="24"/>
          <w:szCs w:val="24"/>
        </w:rPr>
      </w:pPr>
      <w:r w:rsidRPr="00635E70">
        <w:rPr>
          <w:rStyle w:val="cf01"/>
          <w:rFonts w:ascii="Arial" w:hAnsi="Arial" w:cs="Arial"/>
          <w:b/>
          <w:bCs/>
          <w:color w:val="000000" w:themeColor="text1"/>
          <w:sz w:val="24"/>
          <w:szCs w:val="24"/>
        </w:rPr>
        <w:t>Problem 5.</w:t>
      </w:r>
      <w:r w:rsidRPr="00635E70">
        <w:rPr>
          <w:rStyle w:val="cf01"/>
          <w:rFonts w:ascii="Arial" w:hAnsi="Arial" w:cs="Arial"/>
          <w:b/>
          <w:bCs/>
          <w:color w:val="000000" w:themeColor="text1"/>
          <w:sz w:val="24"/>
          <w:szCs w:val="24"/>
        </w:rPr>
        <w:tab/>
        <w:t xml:space="preserve">Do the participants’ awareness of disaster management, participation in DRRM-related activities, and disaster preparedness significantly influence their </w:t>
      </w:r>
      <w:r w:rsidRPr="00635E70">
        <w:rPr>
          <w:rFonts w:ascii="Arial" w:hAnsi="Arial" w:cs="Arial"/>
          <w:b/>
          <w:bCs/>
        </w:rPr>
        <w:t>Students’ Engagement in Emergency Management Practices</w:t>
      </w:r>
      <w:r w:rsidRPr="00635E70">
        <w:rPr>
          <w:rStyle w:val="cf01"/>
          <w:rFonts w:ascii="Arial" w:hAnsi="Arial" w:cs="Arial"/>
          <w:b/>
          <w:bCs/>
          <w:color w:val="000000" w:themeColor="text1"/>
          <w:sz w:val="24"/>
          <w:szCs w:val="24"/>
        </w:rPr>
        <w:t>?</w:t>
      </w:r>
    </w:p>
    <w:p w14:paraId="4C50A561" w14:textId="77777777" w:rsidR="00635E70" w:rsidRPr="00635E70" w:rsidRDefault="00635E70" w:rsidP="008F45DF">
      <w:pPr>
        <w:spacing w:after="0" w:line="240" w:lineRule="auto"/>
        <w:jc w:val="both"/>
        <w:rPr>
          <w:rStyle w:val="cf01"/>
          <w:rFonts w:ascii="Arial" w:hAnsi="Arial" w:cs="Arial"/>
          <w:b/>
          <w:bCs/>
          <w:color w:val="000000" w:themeColor="text1"/>
          <w:sz w:val="24"/>
          <w:szCs w:val="24"/>
        </w:rPr>
      </w:pPr>
      <w:r w:rsidRPr="00635E70">
        <w:rPr>
          <w:rFonts w:ascii="Arial" w:hAnsi="Arial" w:cs="Arial"/>
          <w:b/>
          <w:bCs/>
        </w:rPr>
        <w:t>Ho1.</w:t>
      </w:r>
      <w:r w:rsidRPr="00635E70">
        <w:rPr>
          <w:rStyle w:val="cf01"/>
          <w:rFonts w:ascii="Arial" w:hAnsi="Arial" w:cs="Arial"/>
          <w:b/>
          <w:bCs/>
          <w:color w:val="000000" w:themeColor="text1"/>
          <w:sz w:val="24"/>
          <w:szCs w:val="24"/>
        </w:rPr>
        <w:t xml:space="preserve"> The participants’ awareness of disaster management, participation in DRRM-related activities, and disaster preparedness do not significantly influence their</w:t>
      </w:r>
      <w:r w:rsidRPr="00635E70">
        <w:rPr>
          <w:rFonts w:ascii="Arial" w:hAnsi="Arial" w:cs="Arial"/>
          <w:b/>
          <w:bCs/>
        </w:rPr>
        <w:t xml:space="preserve"> Engagement in Emergency Management Practices</w:t>
      </w:r>
    </w:p>
    <w:p w14:paraId="4CE549BD" w14:textId="77777777" w:rsidR="00635E70" w:rsidRPr="00635E70" w:rsidRDefault="00635E70" w:rsidP="008F45DF">
      <w:pPr>
        <w:spacing w:after="0" w:line="240" w:lineRule="auto"/>
        <w:jc w:val="both"/>
        <w:rPr>
          <w:rFonts w:ascii="Arial" w:hAnsi="Arial" w:cs="Arial"/>
          <w:b/>
          <w:bCs/>
          <w:color w:val="000000" w:themeColor="text1"/>
        </w:rPr>
      </w:pPr>
      <w:r w:rsidRPr="00635E70">
        <w:rPr>
          <w:rFonts w:ascii="Arial" w:hAnsi="Arial" w:cs="Arial"/>
          <w:b/>
          <w:bCs/>
        </w:rPr>
        <w:t>H</w:t>
      </w:r>
      <w:r w:rsidRPr="00635E70">
        <w:rPr>
          <w:rFonts w:ascii="Cambria Math" w:hAnsi="Cambria Math" w:cs="Cambria Math"/>
          <w:b/>
          <w:bCs/>
        </w:rPr>
        <w:t>₀₂</w:t>
      </w:r>
      <w:r w:rsidRPr="00635E70">
        <w:rPr>
          <w:rFonts w:ascii="Arial" w:hAnsi="Arial" w:cs="Arial"/>
          <w:b/>
          <w:bCs/>
        </w:rPr>
        <w:t>:</w:t>
      </w:r>
      <w:r w:rsidRPr="00635E70">
        <w:rPr>
          <w:rFonts w:ascii="Arial" w:hAnsi="Arial" w:cs="Arial"/>
          <w:b/>
          <w:bCs/>
          <w:color w:val="000000" w:themeColor="text1"/>
        </w:rPr>
        <w:t xml:space="preserve"> Participants’ level of awareness on disaster management does not significantly influence their level of disaster preparedness.</w:t>
      </w:r>
    </w:p>
    <w:p w14:paraId="134AA6CA" w14:textId="77777777" w:rsidR="00635E70" w:rsidRPr="00635E70" w:rsidRDefault="00635E70" w:rsidP="008F45DF">
      <w:pPr>
        <w:spacing w:after="0" w:line="240" w:lineRule="auto"/>
        <w:jc w:val="both"/>
        <w:rPr>
          <w:rFonts w:ascii="Arial" w:hAnsi="Arial" w:cs="Arial"/>
          <w:b/>
          <w:bCs/>
          <w:color w:val="000000" w:themeColor="text1"/>
        </w:rPr>
      </w:pPr>
      <w:r w:rsidRPr="00635E70">
        <w:rPr>
          <w:rFonts w:ascii="Arial" w:hAnsi="Arial" w:cs="Arial"/>
          <w:b/>
          <w:bCs/>
          <w:color w:val="000000" w:themeColor="text1"/>
        </w:rPr>
        <w:lastRenderedPageBreak/>
        <w:t>H</w:t>
      </w:r>
      <w:r w:rsidRPr="00635E70">
        <w:rPr>
          <w:rFonts w:ascii="Cambria Math" w:hAnsi="Cambria Math" w:cs="Cambria Math"/>
          <w:b/>
          <w:bCs/>
          <w:color w:val="000000" w:themeColor="text1"/>
        </w:rPr>
        <w:t>₀₃</w:t>
      </w:r>
      <w:r w:rsidRPr="00635E70">
        <w:rPr>
          <w:rFonts w:ascii="Arial" w:hAnsi="Arial" w:cs="Arial"/>
          <w:b/>
          <w:bCs/>
          <w:color w:val="000000" w:themeColor="text1"/>
        </w:rPr>
        <w:t>: Participants’ level of participation in DRRM-related activities does not significantly influence their engagement in emergency management practices</w:t>
      </w:r>
    </w:p>
    <w:p w14:paraId="326304AC" w14:textId="77777777" w:rsidR="00697A4D" w:rsidRDefault="00697A4D" w:rsidP="008F45DF">
      <w:pPr>
        <w:pStyle w:val="pf0"/>
        <w:tabs>
          <w:tab w:val="left" w:pos="720"/>
        </w:tabs>
        <w:spacing w:before="0" w:beforeAutospacing="0" w:after="0" w:afterAutospacing="0"/>
        <w:jc w:val="both"/>
        <w:rPr>
          <w:rStyle w:val="cf01"/>
          <w:rFonts w:ascii="Arial" w:hAnsi="Arial" w:cs="Arial"/>
          <w:b/>
          <w:bCs/>
          <w:color w:val="000000" w:themeColor="text1"/>
          <w:sz w:val="24"/>
          <w:szCs w:val="24"/>
        </w:rPr>
      </w:pPr>
    </w:p>
    <w:p w14:paraId="465268EA" w14:textId="1230AF64" w:rsidR="00635E70" w:rsidRPr="00D13DC5" w:rsidRDefault="00635E70" w:rsidP="008F45DF">
      <w:pPr>
        <w:pStyle w:val="pf0"/>
        <w:tabs>
          <w:tab w:val="left" w:pos="720"/>
        </w:tabs>
        <w:spacing w:before="0" w:beforeAutospacing="0" w:after="0" w:afterAutospacing="0"/>
        <w:jc w:val="both"/>
        <w:rPr>
          <w:rStyle w:val="cf01"/>
          <w:rFonts w:ascii="Arial" w:hAnsi="Arial" w:cs="Arial"/>
          <w:b/>
          <w:bCs/>
          <w:color w:val="000000" w:themeColor="text1"/>
          <w:sz w:val="24"/>
          <w:szCs w:val="24"/>
        </w:rPr>
        <w:sectPr w:rsidR="00635E70" w:rsidRPr="00D13DC5" w:rsidSect="00D13DC5">
          <w:type w:val="continuous"/>
          <w:pgSz w:w="12240" w:h="15840" w:code="1"/>
          <w:pgMar w:top="1440" w:right="1440" w:bottom="1440" w:left="2160" w:header="709" w:footer="709" w:gutter="0"/>
          <w:cols w:space="708"/>
          <w:docGrid w:linePitch="360"/>
        </w:sectPr>
      </w:pPr>
    </w:p>
    <w:p w14:paraId="12962719" w14:textId="77777777" w:rsidR="008548F7" w:rsidRDefault="003F2F38" w:rsidP="008548F7">
      <w:pPr>
        <w:spacing w:after="0" w:line="240" w:lineRule="auto"/>
        <w:jc w:val="both"/>
        <w:rPr>
          <w:rFonts w:ascii="Arial" w:hAnsi="Arial" w:cs="Arial"/>
        </w:rPr>
      </w:pPr>
      <w:r>
        <w:rPr>
          <w:rFonts w:ascii="Arial" w:hAnsi="Arial" w:cs="Arial"/>
        </w:rPr>
        <w:tab/>
      </w:r>
      <w:r w:rsidR="00635E70" w:rsidRPr="007B18B3">
        <w:rPr>
          <w:rFonts w:ascii="Arial" w:hAnsi="Arial" w:cs="Arial"/>
        </w:rPr>
        <w:t xml:space="preserve">The results of the study reveal that students’ awareness of disaster management, participation in DRRM-related activities, and overall disaster preparedness significantly influence their </w:t>
      </w:r>
      <w:r w:rsidR="00635E70" w:rsidRPr="00510060">
        <w:rPr>
          <w:rFonts w:ascii="Arial" w:hAnsi="Arial" w:cs="Arial"/>
        </w:rPr>
        <w:t>Engagement in Emergency Management Practices</w:t>
      </w:r>
      <w:r w:rsidR="00635E70" w:rsidRPr="00510060">
        <w:rPr>
          <w:rFonts w:ascii="Arial" w:hAnsi="Arial" w:cs="Arial"/>
          <w:sz w:val="28"/>
          <w:szCs w:val="28"/>
        </w:rPr>
        <w:t xml:space="preserve">. </w:t>
      </w:r>
      <w:r w:rsidR="00635E70" w:rsidRPr="00C60CC5">
        <w:rPr>
          <w:rFonts w:ascii="Arial" w:hAnsi="Arial" w:cs="Arial"/>
        </w:rPr>
        <w:t xml:space="preserve">The multiple regression analysis showed that the combined model was statistically significant, F(3,137) = 60.06, p &lt; .001, indicating that students who are more knowledgeable about disaster management, actively participate in DRRM activities, and report higher preparedness levels are also more likely to implement effective household emergency practices. </w:t>
      </w:r>
    </w:p>
    <w:p w14:paraId="5F1BB882" w14:textId="2A62279B" w:rsidR="00635E70" w:rsidRPr="008548F7" w:rsidRDefault="00635E70" w:rsidP="008548F7">
      <w:pPr>
        <w:spacing w:after="0" w:line="240" w:lineRule="auto"/>
        <w:jc w:val="both"/>
        <w:rPr>
          <w:rFonts w:ascii="Arial" w:hAnsi="Arial" w:cs="Arial"/>
        </w:rPr>
      </w:pPr>
      <w:r>
        <w:rPr>
          <w:rFonts w:ascii="Arial" w:hAnsi="Arial" w:cs="Arial"/>
        </w:rPr>
        <w:tab/>
      </w:r>
    </w:p>
    <w:p w14:paraId="0B96CEE1" w14:textId="4D5E5FA8" w:rsidR="00C62E2D" w:rsidRDefault="00C62E2D" w:rsidP="008F45DF">
      <w:pPr>
        <w:pStyle w:val="pf0"/>
        <w:tabs>
          <w:tab w:val="left" w:pos="720"/>
        </w:tabs>
        <w:spacing w:before="0" w:beforeAutospacing="0" w:after="0" w:afterAutospacing="0"/>
        <w:jc w:val="both"/>
        <w:rPr>
          <w:rFonts w:ascii="Arial" w:hAnsi="Arial" w:cs="Arial"/>
          <w:b/>
          <w:bCs/>
        </w:rPr>
      </w:pPr>
      <w:r w:rsidRPr="00D13DC5">
        <w:rPr>
          <w:rFonts w:ascii="Arial" w:hAnsi="Arial" w:cs="Arial"/>
          <w:b/>
          <w:bCs/>
        </w:rPr>
        <w:t>Table 5</w:t>
      </w:r>
    </w:p>
    <w:p w14:paraId="5E4635A0" w14:textId="77777777" w:rsidR="009B07B8" w:rsidRPr="00D13DC5" w:rsidRDefault="009B07B8" w:rsidP="008F45DF">
      <w:pPr>
        <w:pStyle w:val="pf0"/>
        <w:tabs>
          <w:tab w:val="left" w:pos="720"/>
        </w:tabs>
        <w:spacing w:before="0" w:beforeAutospacing="0" w:after="0" w:afterAutospacing="0"/>
        <w:jc w:val="both"/>
        <w:rPr>
          <w:rFonts w:ascii="Arial" w:hAnsi="Arial" w:cs="Arial"/>
          <w:b/>
          <w:bCs/>
        </w:rPr>
      </w:pPr>
    </w:p>
    <w:p w14:paraId="338B409E" w14:textId="2D388818" w:rsidR="00C62E2D" w:rsidRDefault="00C62E2D" w:rsidP="008F45DF">
      <w:pPr>
        <w:pStyle w:val="pf0"/>
        <w:tabs>
          <w:tab w:val="left" w:pos="720"/>
        </w:tabs>
        <w:spacing w:before="0" w:beforeAutospacing="0" w:after="0" w:afterAutospacing="0"/>
        <w:jc w:val="both"/>
        <w:rPr>
          <w:rFonts w:ascii="Arial" w:hAnsi="Arial" w:cs="Arial"/>
          <w:i/>
          <w:iCs/>
        </w:rPr>
      </w:pPr>
      <w:r w:rsidRPr="00D13DC5">
        <w:rPr>
          <w:rFonts w:ascii="Arial" w:hAnsi="Arial" w:cs="Arial"/>
          <w:i/>
          <w:iCs/>
        </w:rPr>
        <w:t>Regression Analysis of Awareness of Disaster Management, Participation in DRRM Related Activities, Disaster Preparedness, and Household Emergency Management Practices</w:t>
      </w:r>
    </w:p>
    <w:p w14:paraId="3AFA3876" w14:textId="77777777" w:rsidR="00B31C9F" w:rsidRPr="00D13DC5" w:rsidRDefault="00B31C9F" w:rsidP="008F45DF">
      <w:pPr>
        <w:pStyle w:val="pf0"/>
        <w:tabs>
          <w:tab w:val="left" w:pos="720"/>
        </w:tabs>
        <w:spacing w:before="0" w:beforeAutospacing="0" w:after="0" w:afterAutospacing="0"/>
        <w:jc w:val="both"/>
        <w:rPr>
          <w:rFonts w:ascii="Arial" w:hAnsi="Arial" w:cs="Arial"/>
          <w:i/>
          <w:iCs/>
          <w:lang w:val="e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146"/>
        <w:gridCol w:w="1070"/>
        <w:gridCol w:w="1070"/>
        <w:gridCol w:w="1037"/>
        <w:gridCol w:w="935"/>
        <w:gridCol w:w="919"/>
        <w:gridCol w:w="928"/>
      </w:tblGrid>
      <w:tr w:rsidR="00C62E2D" w:rsidRPr="00577764" w14:paraId="18C0FF35" w14:textId="77777777" w:rsidTr="00280857">
        <w:trPr>
          <w:trHeight w:val="680"/>
        </w:trPr>
        <w:tc>
          <w:tcPr>
            <w:tcW w:w="889" w:type="pct"/>
            <w:vMerge w:val="restart"/>
            <w:tcBorders>
              <w:top w:val="single" w:sz="4" w:space="0" w:color="auto"/>
              <w:left w:val="nil"/>
              <w:bottom w:val="single" w:sz="4" w:space="0" w:color="auto"/>
              <w:right w:val="nil"/>
            </w:tcBorders>
            <w:vAlign w:val="center"/>
          </w:tcPr>
          <w:p w14:paraId="003AADB1"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Predictor</w:t>
            </w:r>
          </w:p>
        </w:tc>
        <w:tc>
          <w:tcPr>
            <w:tcW w:w="1281" w:type="pct"/>
            <w:gridSpan w:val="2"/>
            <w:tcBorders>
              <w:top w:val="single" w:sz="4" w:space="0" w:color="auto"/>
              <w:left w:val="nil"/>
              <w:bottom w:val="nil"/>
              <w:right w:val="nil"/>
            </w:tcBorders>
            <w:vAlign w:val="center"/>
          </w:tcPr>
          <w:p w14:paraId="66260CEE"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Unstandardized Coefficients</w:t>
            </w:r>
          </w:p>
        </w:tc>
        <w:tc>
          <w:tcPr>
            <w:tcW w:w="619" w:type="pct"/>
            <w:vMerge w:val="restart"/>
            <w:tcBorders>
              <w:top w:val="single" w:sz="4" w:space="0" w:color="auto"/>
              <w:left w:val="nil"/>
              <w:bottom w:val="single" w:sz="4" w:space="0" w:color="auto"/>
              <w:right w:val="nil"/>
            </w:tcBorders>
            <w:vAlign w:val="center"/>
          </w:tcPr>
          <w:p w14:paraId="5CCAF80D"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β</w:t>
            </w:r>
          </w:p>
        </w:tc>
        <w:tc>
          <w:tcPr>
            <w:tcW w:w="1141" w:type="pct"/>
            <w:gridSpan w:val="2"/>
            <w:tcBorders>
              <w:top w:val="single" w:sz="4" w:space="0" w:color="auto"/>
              <w:left w:val="nil"/>
              <w:bottom w:val="single" w:sz="4" w:space="0" w:color="auto"/>
              <w:right w:val="nil"/>
            </w:tcBorders>
            <w:vAlign w:val="center"/>
          </w:tcPr>
          <w:p w14:paraId="719B0108"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95% CI</w:t>
            </w:r>
          </w:p>
        </w:tc>
        <w:tc>
          <w:tcPr>
            <w:tcW w:w="532" w:type="pct"/>
            <w:vMerge w:val="restart"/>
            <w:tcBorders>
              <w:top w:val="single" w:sz="4" w:space="0" w:color="auto"/>
              <w:left w:val="nil"/>
              <w:bottom w:val="single" w:sz="4" w:space="0" w:color="auto"/>
              <w:right w:val="nil"/>
            </w:tcBorders>
            <w:vAlign w:val="center"/>
          </w:tcPr>
          <w:p w14:paraId="628388D7"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T</w:t>
            </w:r>
          </w:p>
        </w:tc>
        <w:tc>
          <w:tcPr>
            <w:tcW w:w="531" w:type="pct"/>
            <w:vMerge w:val="restart"/>
            <w:tcBorders>
              <w:top w:val="single" w:sz="4" w:space="0" w:color="auto"/>
              <w:left w:val="nil"/>
              <w:bottom w:val="single" w:sz="4" w:space="0" w:color="auto"/>
              <w:right w:val="nil"/>
            </w:tcBorders>
            <w:vAlign w:val="center"/>
          </w:tcPr>
          <w:p w14:paraId="6B258089"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p</w:t>
            </w:r>
          </w:p>
        </w:tc>
      </w:tr>
      <w:tr w:rsidR="00C62E2D" w:rsidRPr="00577764" w14:paraId="71D3693A" w14:textId="77777777" w:rsidTr="00280857">
        <w:trPr>
          <w:trHeight w:val="177"/>
        </w:trPr>
        <w:tc>
          <w:tcPr>
            <w:tcW w:w="0" w:type="auto"/>
            <w:vMerge/>
            <w:tcBorders>
              <w:top w:val="single" w:sz="4" w:space="0" w:color="auto"/>
              <w:left w:val="nil"/>
              <w:bottom w:val="single" w:sz="4" w:space="0" w:color="auto"/>
              <w:right w:val="nil"/>
            </w:tcBorders>
            <w:vAlign w:val="center"/>
          </w:tcPr>
          <w:p w14:paraId="3F0B5C69"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c>
          <w:tcPr>
            <w:tcW w:w="663" w:type="pct"/>
            <w:tcBorders>
              <w:top w:val="nil"/>
              <w:left w:val="nil"/>
              <w:bottom w:val="single" w:sz="4" w:space="0" w:color="auto"/>
              <w:right w:val="nil"/>
            </w:tcBorders>
          </w:tcPr>
          <w:p w14:paraId="31E4FEEA"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B</w:t>
            </w:r>
          </w:p>
        </w:tc>
        <w:tc>
          <w:tcPr>
            <w:tcW w:w="619" w:type="pct"/>
            <w:tcBorders>
              <w:top w:val="nil"/>
              <w:left w:val="nil"/>
              <w:bottom w:val="single" w:sz="4" w:space="0" w:color="auto"/>
              <w:right w:val="nil"/>
            </w:tcBorders>
          </w:tcPr>
          <w:p w14:paraId="39141786"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SE</w:t>
            </w:r>
          </w:p>
        </w:tc>
        <w:tc>
          <w:tcPr>
            <w:tcW w:w="0" w:type="auto"/>
            <w:vMerge/>
            <w:tcBorders>
              <w:top w:val="single" w:sz="4" w:space="0" w:color="auto"/>
              <w:left w:val="nil"/>
              <w:bottom w:val="single" w:sz="4" w:space="0" w:color="auto"/>
              <w:right w:val="nil"/>
            </w:tcBorders>
            <w:vAlign w:val="center"/>
          </w:tcPr>
          <w:p w14:paraId="52D73237"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c>
          <w:tcPr>
            <w:tcW w:w="600" w:type="pct"/>
            <w:tcBorders>
              <w:top w:val="single" w:sz="4" w:space="0" w:color="auto"/>
              <w:left w:val="nil"/>
              <w:bottom w:val="single" w:sz="4" w:space="0" w:color="auto"/>
              <w:right w:val="nil"/>
            </w:tcBorders>
          </w:tcPr>
          <w:p w14:paraId="24AE4D36"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Lower</w:t>
            </w:r>
          </w:p>
        </w:tc>
        <w:tc>
          <w:tcPr>
            <w:tcW w:w="541" w:type="pct"/>
            <w:tcBorders>
              <w:top w:val="single" w:sz="4" w:space="0" w:color="auto"/>
              <w:left w:val="nil"/>
              <w:bottom w:val="single" w:sz="4" w:space="0" w:color="auto"/>
              <w:right w:val="nil"/>
            </w:tcBorders>
          </w:tcPr>
          <w:p w14:paraId="4DD4D34E"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r w:rsidRPr="00577764">
              <w:rPr>
                <w:rFonts w:ascii="Arial" w:hAnsi="Arial" w:cs="Arial"/>
                <w:b/>
                <w:bCs/>
                <w:sz w:val="20"/>
                <w:szCs w:val="20"/>
              </w:rPr>
              <w:t>Upper</w:t>
            </w:r>
          </w:p>
        </w:tc>
        <w:tc>
          <w:tcPr>
            <w:tcW w:w="0" w:type="auto"/>
            <w:vMerge/>
            <w:tcBorders>
              <w:top w:val="single" w:sz="4" w:space="0" w:color="auto"/>
              <w:left w:val="nil"/>
              <w:bottom w:val="single" w:sz="4" w:space="0" w:color="auto"/>
              <w:right w:val="nil"/>
            </w:tcBorders>
            <w:vAlign w:val="center"/>
          </w:tcPr>
          <w:p w14:paraId="78BB2422"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c>
          <w:tcPr>
            <w:tcW w:w="0" w:type="auto"/>
            <w:vMerge/>
            <w:tcBorders>
              <w:top w:val="single" w:sz="4" w:space="0" w:color="auto"/>
              <w:left w:val="nil"/>
              <w:bottom w:val="single" w:sz="4" w:space="0" w:color="auto"/>
              <w:right w:val="nil"/>
            </w:tcBorders>
            <w:vAlign w:val="center"/>
          </w:tcPr>
          <w:p w14:paraId="3E663386" w14:textId="77777777" w:rsidR="00C62E2D" w:rsidRPr="00577764" w:rsidRDefault="00C62E2D" w:rsidP="008F45DF">
            <w:pPr>
              <w:pStyle w:val="pf0"/>
              <w:tabs>
                <w:tab w:val="left" w:pos="720"/>
              </w:tabs>
              <w:spacing w:before="0" w:beforeAutospacing="0" w:after="0" w:afterAutospacing="0"/>
              <w:jc w:val="both"/>
              <w:rPr>
                <w:rFonts w:ascii="Arial" w:hAnsi="Arial" w:cs="Arial"/>
                <w:b/>
                <w:bCs/>
                <w:sz w:val="20"/>
                <w:szCs w:val="20"/>
              </w:rPr>
            </w:pPr>
          </w:p>
        </w:tc>
      </w:tr>
      <w:tr w:rsidR="00C62E2D" w:rsidRPr="00577764" w14:paraId="4BB99050" w14:textId="77777777" w:rsidTr="00280857">
        <w:trPr>
          <w:trHeight w:val="20"/>
        </w:trPr>
        <w:tc>
          <w:tcPr>
            <w:tcW w:w="889" w:type="pct"/>
            <w:tcBorders>
              <w:top w:val="single" w:sz="4" w:space="0" w:color="auto"/>
              <w:left w:val="nil"/>
              <w:bottom w:val="nil"/>
              <w:right w:val="nil"/>
            </w:tcBorders>
          </w:tcPr>
          <w:p w14:paraId="5678D632"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Constant</w:t>
            </w:r>
          </w:p>
        </w:tc>
        <w:tc>
          <w:tcPr>
            <w:tcW w:w="663" w:type="pct"/>
            <w:tcBorders>
              <w:top w:val="single" w:sz="4" w:space="0" w:color="auto"/>
              <w:left w:val="nil"/>
              <w:bottom w:val="nil"/>
              <w:right w:val="nil"/>
            </w:tcBorders>
            <w:vAlign w:val="center"/>
          </w:tcPr>
          <w:p w14:paraId="74BE2D6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.781</w:t>
            </w:r>
          </w:p>
        </w:tc>
        <w:tc>
          <w:tcPr>
            <w:tcW w:w="619" w:type="pct"/>
            <w:tcBorders>
              <w:top w:val="single" w:sz="4" w:space="0" w:color="auto"/>
              <w:left w:val="nil"/>
              <w:bottom w:val="nil"/>
              <w:right w:val="nil"/>
            </w:tcBorders>
            <w:vAlign w:val="center"/>
          </w:tcPr>
          <w:p w14:paraId="3EDFCDB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.292</w:t>
            </w:r>
          </w:p>
        </w:tc>
        <w:tc>
          <w:tcPr>
            <w:tcW w:w="619" w:type="pct"/>
            <w:tcBorders>
              <w:top w:val="single" w:sz="4" w:space="0" w:color="auto"/>
              <w:left w:val="nil"/>
              <w:bottom w:val="nil"/>
              <w:right w:val="nil"/>
            </w:tcBorders>
            <w:vAlign w:val="center"/>
          </w:tcPr>
          <w:p w14:paraId="2AE29EB3"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tcBorders>
              <w:top w:val="single" w:sz="4" w:space="0" w:color="auto"/>
              <w:left w:val="nil"/>
              <w:bottom w:val="nil"/>
              <w:right w:val="nil"/>
            </w:tcBorders>
            <w:vAlign w:val="center"/>
          </w:tcPr>
          <w:p w14:paraId="52EEF0A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.205</w:t>
            </w:r>
          </w:p>
        </w:tc>
        <w:tc>
          <w:tcPr>
            <w:tcW w:w="541" w:type="pct"/>
            <w:tcBorders>
              <w:top w:val="single" w:sz="4" w:space="0" w:color="auto"/>
              <w:left w:val="nil"/>
              <w:bottom w:val="nil"/>
              <w:right w:val="nil"/>
            </w:tcBorders>
            <w:vAlign w:val="center"/>
          </w:tcPr>
          <w:p w14:paraId="3391FB6C"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1.358</w:t>
            </w:r>
          </w:p>
        </w:tc>
        <w:tc>
          <w:tcPr>
            <w:tcW w:w="532" w:type="pct"/>
            <w:tcBorders>
              <w:top w:val="single" w:sz="4" w:space="0" w:color="auto"/>
              <w:left w:val="nil"/>
              <w:bottom w:val="nil"/>
              <w:right w:val="nil"/>
            </w:tcBorders>
            <w:vAlign w:val="center"/>
          </w:tcPr>
          <w:p w14:paraId="02673B26"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2.680*</w:t>
            </w:r>
          </w:p>
        </w:tc>
        <w:tc>
          <w:tcPr>
            <w:tcW w:w="531" w:type="pct"/>
            <w:tcBorders>
              <w:top w:val="single" w:sz="4" w:space="0" w:color="auto"/>
              <w:left w:val="nil"/>
              <w:bottom w:val="nil"/>
              <w:right w:val="nil"/>
            </w:tcBorders>
            <w:vAlign w:val="center"/>
          </w:tcPr>
          <w:p w14:paraId="4D54DD4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.008</w:t>
            </w:r>
          </w:p>
        </w:tc>
      </w:tr>
      <w:tr w:rsidR="00C62E2D" w:rsidRPr="00577764" w14:paraId="226E6AEE" w14:textId="77777777" w:rsidTr="00280857">
        <w:trPr>
          <w:trHeight w:val="20"/>
        </w:trPr>
        <w:tc>
          <w:tcPr>
            <w:tcW w:w="889" w:type="pct"/>
            <w:vAlign w:val="center"/>
          </w:tcPr>
          <w:p w14:paraId="28E21B4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63" w:type="pct"/>
            <w:vAlign w:val="center"/>
          </w:tcPr>
          <w:p w14:paraId="053DB1A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2AD48632"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362CE6A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vAlign w:val="center"/>
          </w:tcPr>
          <w:p w14:paraId="739A9C17"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41" w:type="pct"/>
            <w:vAlign w:val="center"/>
          </w:tcPr>
          <w:p w14:paraId="0D631A5D"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2" w:type="pct"/>
            <w:vAlign w:val="center"/>
          </w:tcPr>
          <w:p w14:paraId="2DF72CF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1" w:type="pct"/>
            <w:vAlign w:val="center"/>
          </w:tcPr>
          <w:p w14:paraId="7E83D42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r>
      <w:tr w:rsidR="00C62E2D" w:rsidRPr="00577764" w14:paraId="71475BAA" w14:textId="77777777" w:rsidTr="00280857">
        <w:trPr>
          <w:trHeight w:val="20"/>
        </w:trPr>
        <w:tc>
          <w:tcPr>
            <w:tcW w:w="889" w:type="pct"/>
          </w:tcPr>
          <w:p w14:paraId="0108FE1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Awareness of Disaster Mgt.</w:t>
            </w:r>
          </w:p>
        </w:tc>
        <w:tc>
          <w:tcPr>
            <w:tcW w:w="663" w:type="pct"/>
            <w:vAlign w:val="center"/>
          </w:tcPr>
          <w:p w14:paraId="510757D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.190</w:t>
            </w:r>
          </w:p>
        </w:tc>
        <w:tc>
          <w:tcPr>
            <w:tcW w:w="619" w:type="pct"/>
            <w:vAlign w:val="center"/>
          </w:tcPr>
          <w:p w14:paraId="21C2D85C"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.065</w:t>
            </w:r>
          </w:p>
        </w:tc>
        <w:tc>
          <w:tcPr>
            <w:tcW w:w="619" w:type="pct"/>
            <w:vAlign w:val="center"/>
          </w:tcPr>
          <w:p w14:paraId="4AF31843"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.180</w:t>
            </w:r>
          </w:p>
        </w:tc>
        <w:tc>
          <w:tcPr>
            <w:tcW w:w="600" w:type="pct"/>
            <w:vAlign w:val="center"/>
          </w:tcPr>
          <w:p w14:paraId="6AF6B02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.061</w:t>
            </w:r>
          </w:p>
        </w:tc>
        <w:tc>
          <w:tcPr>
            <w:tcW w:w="541" w:type="pct"/>
            <w:vAlign w:val="center"/>
          </w:tcPr>
          <w:p w14:paraId="14D1DFD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.319</w:t>
            </w:r>
          </w:p>
        </w:tc>
        <w:tc>
          <w:tcPr>
            <w:tcW w:w="532" w:type="pct"/>
            <w:vAlign w:val="center"/>
          </w:tcPr>
          <w:p w14:paraId="528593D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2.903*</w:t>
            </w:r>
          </w:p>
        </w:tc>
        <w:tc>
          <w:tcPr>
            <w:tcW w:w="531" w:type="pct"/>
            <w:vAlign w:val="center"/>
          </w:tcPr>
          <w:p w14:paraId="6986BE8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.004</w:t>
            </w:r>
          </w:p>
        </w:tc>
      </w:tr>
      <w:tr w:rsidR="00C62E2D" w:rsidRPr="00577764" w14:paraId="1086615F" w14:textId="77777777" w:rsidTr="00280857">
        <w:trPr>
          <w:trHeight w:val="20"/>
        </w:trPr>
        <w:tc>
          <w:tcPr>
            <w:tcW w:w="889" w:type="pct"/>
            <w:vAlign w:val="center"/>
          </w:tcPr>
          <w:p w14:paraId="59946BD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63" w:type="pct"/>
            <w:vAlign w:val="center"/>
          </w:tcPr>
          <w:p w14:paraId="2DF8E98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41228C4C"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656D0D4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vAlign w:val="center"/>
          </w:tcPr>
          <w:p w14:paraId="23A47767"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41" w:type="pct"/>
            <w:vAlign w:val="center"/>
          </w:tcPr>
          <w:p w14:paraId="77856CE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2" w:type="pct"/>
            <w:vAlign w:val="center"/>
          </w:tcPr>
          <w:p w14:paraId="54AED1F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1" w:type="pct"/>
            <w:vAlign w:val="center"/>
          </w:tcPr>
          <w:p w14:paraId="51BB10F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r>
      <w:tr w:rsidR="00C62E2D" w:rsidRPr="00577764" w14:paraId="48AF25CB" w14:textId="77777777" w:rsidTr="00280857">
        <w:trPr>
          <w:trHeight w:val="20"/>
        </w:trPr>
        <w:tc>
          <w:tcPr>
            <w:tcW w:w="889" w:type="pct"/>
          </w:tcPr>
          <w:p w14:paraId="0E522F3D"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Participation in DRRM- Related Activities</w:t>
            </w:r>
          </w:p>
        </w:tc>
        <w:tc>
          <w:tcPr>
            <w:tcW w:w="663" w:type="pct"/>
            <w:vAlign w:val="center"/>
          </w:tcPr>
          <w:p w14:paraId="01EAF3B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.314</w:t>
            </w:r>
          </w:p>
        </w:tc>
        <w:tc>
          <w:tcPr>
            <w:tcW w:w="619" w:type="pct"/>
            <w:vAlign w:val="center"/>
          </w:tcPr>
          <w:p w14:paraId="2D94113D"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.062</w:t>
            </w:r>
          </w:p>
        </w:tc>
        <w:tc>
          <w:tcPr>
            <w:tcW w:w="619" w:type="pct"/>
            <w:vAlign w:val="center"/>
          </w:tcPr>
          <w:p w14:paraId="24662AA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.373</w:t>
            </w:r>
          </w:p>
        </w:tc>
        <w:tc>
          <w:tcPr>
            <w:tcW w:w="600" w:type="pct"/>
            <w:vAlign w:val="center"/>
          </w:tcPr>
          <w:p w14:paraId="7E7E285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.191</w:t>
            </w:r>
          </w:p>
        </w:tc>
        <w:tc>
          <w:tcPr>
            <w:tcW w:w="541" w:type="pct"/>
            <w:vAlign w:val="center"/>
          </w:tcPr>
          <w:p w14:paraId="48DDB6B8"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.436</w:t>
            </w:r>
          </w:p>
        </w:tc>
        <w:tc>
          <w:tcPr>
            <w:tcW w:w="532" w:type="pct"/>
            <w:vAlign w:val="center"/>
          </w:tcPr>
          <w:p w14:paraId="7CB77E17"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5.075*</w:t>
            </w:r>
          </w:p>
        </w:tc>
        <w:tc>
          <w:tcPr>
            <w:tcW w:w="531" w:type="pct"/>
            <w:vAlign w:val="center"/>
          </w:tcPr>
          <w:p w14:paraId="266D42F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.000</w:t>
            </w:r>
          </w:p>
        </w:tc>
      </w:tr>
      <w:tr w:rsidR="00C62E2D" w:rsidRPr="00577764" w14:paraId="7D426392" w14:textId="77777777" w:rsidTr="00280857">
        <w:trPr>
          <w:trHeight w:val="20"/>
        </w:trPr>
        <w:tc>
          <w:tcPr>
            <w:tcW w:w="889" w:type="pct"/>
            <w:vAlign w:val="center"/>
          </w:tcPr>
          <w:p w14:paraId="0249C6B3"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63" w:type="pct"/>
            <w:vAlign w:val="center"/>
          </w:tcPr>
          <w:p w14:paraId="63586E5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528E952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19" w:type="pct"/>
            <w:vAlign w:val="center"/>
          </w:tcPr>
          <w:p w14:paraId="42FC6F21"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600" w:type="pct"/>
            <w:vAlign w:val="center"/>
          </w:tcPr>
          <w:p w14:paraId="694011C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41" w:type="pct"/>
            <w:vAlign w:val="center"/>
          </w:tcPr>
          <w:p w14:paraId="59F7533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2" w:type="pct"/>
            <w:vAlign w:val="center"/>
          </w:tcPr>
          <w:p w14:paraId="003F4C5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c>
          <w:tcPr>
            <w:tcW w:w="531" w:type="pct"/>
            <w:vAlign w:val="center"/>
          </w:tcPr>
          <w:p w14:paraId="1760F276"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p>
        </w:tc>
      </w:tr>
      <w:tr w:rsidR="00C62E2D" w:rsidRPr="00577764" w14:paraId="7E8D3F43" w14:textId="77777777" w:rsidTr="00280857">
        <w:trPr>
          <w:trHeight w:val="20"/>
        </w:trPr>
        <w:tc>
          <w:tcPr>
            <w:tcW w:w="889" w:type="pct"/>
          </w:tcPr>
          <w:p w14:paraId="76F2C3EA"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Disaster Preparedness</w:t>
            </w:r>
          </w:p>
        </w:tc>
        <w:tc>
          <w:tcPr>
            <w:tcW w:w="663" w:type="pct"/>
            <w:vAlign w:val="center"/>
          </w:tcPr>
          <w:p w14:paraId="5A52DF5E"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.313</w:t>
            </w:r>
          </w:p>
        </w:tc>
        <w:tc>
          <w:tcPr>
            <w:tcW w:w="619" w:type="pct"/>
            <w:vAlign w:val="center"/>
          </w:tcPr>
          <w:p w14:paraId="385000A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.061</w:t>
            </w:r>
          </w:p>
        </w:tc>
        <w:tc>
          <w:tcPr>
            <w:tcW w:w="619" w:type="pct"/>
            <w:vAlign w:val="center"/>
          </w:tcPr>
          <w:p w14:paraId="7034CE0B"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.364</w:t>
            </w:r>
          </w:p>
        </w:tc>
        <w:tc>
          <w:tcPr>
            <w:tcW w:w="600" w:type="pct"/>
            <w:vAlign w:val="center"/>
          </w:tcPr>
          <w:p w14:paraId="34D1669F"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.192</w:t>
            </w:r>
          </w:p>
        </w:tc>
        <w:tc>
          <w:tcPr>
            <w:tcW w:w="541" w:type="pct"/>
            <w:vAlign w:val="center"/>
          </w:tcPr>
          <w:p w14:paraId="605AA785"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.434</w:t>
            </w:r>
          </w:p>
        </w:tc>
        <w:tc>
          <w:tcPr>
            <w:tcW w:w="532" w:type="pct"/>
            <w:vAlign w:val="center"/>
          </w:tcPr>
          <w:p w14:paraId="10D97748"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5.112*</w:t>
            </w:r>
          </w:p>
        </w:tc>
        <w:tc>
          <w:tcPr>
            <w:tcW w:w="531" w:type="pct"/>
            <w:vAlign w:val="center"/>
          </w:tcPr>
          <w:p w14:paraId="01C1B018"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.000</w:t>
            </w:r>
          </w:p>
        </w:tc>
      </w:tr>
      <w:tr w:rsidR="00C62E2D" w:rsidRPr="00577764" w14:paraId="624E0C14" w14:textId="77777777" w:rsidTr="00280857">
        <w:trPr>
          <w:trHeight w:val="345"/>
        </w:trPr>
        <w:tc>
          <w:tcPr>
            <w:tcW w:w="5000" w:type="pct"/>
            <w:gridSpan w:val="8"/>
            <w:tcBorders>
              <w:top w:val="single" w:sz="4" w:space="0" w:color="auto"/>
              <w:left w:val="nil"/>
              <w:bottom w:val="nil"/>
              <w:right w:val="nil"/>
            </w:tcBorders>
          </w:tcPr>
          <w:p w14:paraId="25D7C930" w14:textId="0F59B502"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Model Summary</w:t>
            </w:r>
          </w:p>
        </w:tc>
      </w:tr>
      <w:tr w:rsidR="00C62E2D" w:rsidRPr="00577764" w14:paraId="0FB595BF" w14:textId="77777777" w:rsidTr="00280857">
        <w:trPr>
          <w:trHeight w:val="345"/>
        </w:trPr>
        <w:tc>
          <w:tcPr>
            <w:tcW w:w="5000" w:type="pct"/>
            <w:gridSpan w:val="8"/>
            <w:tcBorders>
              <w:top w:val="nil"/>
              <w:left w:val="nil"/>
              <w:bottom w:val="single" w:sz="4" w:space="0" w:color="auto"/>
              <w:right w:val="nil"/>
            </w:tcBorders>
          </w:tcPr>
          <w:p w14:paraId="67324CB4"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sz w:val="20"/>
                <w:szCs w:val="20"/>
              </w:rPr>
              <w:t>R = 0.754      R</w:t>
            </w:r>
            <w:r w:rsidRPr="00577764">
              <w:rPr>
                <w:rFonts w:ascii="Arial" w:hAnsi="Arial" w:cs="Arial"/>
                <w:sz w:val="20"/>
                <w:szCs w:val="20"/>
                <w:vertAlign w:val="superscript"/>
              </w:rPr>
              <w:t>2</w:t>
            </w:r>
            <w:r w:rsidRPr="00577764">
              <w:rPr>
                <w:rFonts w:ascii="Arial" w:hAnsi="Arial" w:cs="Arial"/>
                <w:sz w:val="20"/>
                <w:szCs w:val="20"/>
              </w:rPr>
              <w:t xml:space="preserve"> = 0.568     Adjusted R</w:t>
            </w:r>
            <w:r w:rsidRPr="00577764">
              <w:rPr>
                <w:rFonts w:ascii="Arial" w:hAnsi="Arial" w:cs="Arial"/>
                <w:sz w:val="20"/>
                <w:szCs w:val="20"/>
                <w:vertAlign w:val="superscript"/>
              </w:rPr>
              <w:t>2</w:t>
            </w:r>
            <w:r w:rsidRPr="00577764">
              <w:rPr>
                <w:rFonts w:ascii="Arial" w:hAnsi="Arial" w:cs="Arial"/>
                <w:sz w:val="20"/>
                <w:szCs w:val="20"/>
              </w:rPr>
              <w:t xml:space="preserve"> = 0.559     F(3,137) = 60.06**    p = .000</w:t>
            </w:r>
          </w:p>
        </w:tc>
      </w:tr>
      <w:tr w:rsidR="00C62E2D" w:rsidRPr="00577764" w14:paraId="747887F9" w14:textId="77777777" w:rsidTr="00280857">
        <w:trPr>
          <w:trHeight w:val="345"/>
        </w:trPr>
        <w:tc>
          <w:tcPr>
            <w:tcW w:w="5000" w:type="pct"/>
            <w:gridSpan w:val="8"/>
            <w:tcBorders>
              <w:top w:val="single" w:sz="4" w:space="0" w:color="auto"/>
              <w:left w:val="nil"/>
              <w:bottom w:val="nil"/>
              <w:right w:val="nil"/>
            </w:tcBorders>
          </w:tcPr>
          <w:p w14:paraId="443E79A2" w14:textId="77777777" w:rsidR="00C62E2D" w:rsidRPr="00577764" w:rsidRDefault="00C62E2D" w:rsidP="008F45DF">
            <w:pPr>
              <w:pStyle w:val="pf0"/>
              <w:tabs>
                <w:tab w:val="left" w:pos="720"/>
              </w:tabs>
              <w:spacing w:before="0" w:beforeAutospacing="0" w:after="0" w:afterAutospacing="0"/>
              <w:jc w:val="both"/>
              <w:rPr>
                <w:rFonts w:ascii="Arial" w:hAnsi="Arial" w:cs="Arial"/>
                <w:i/>
                <w:sz w:val="20"/>
                <w:szCs w:val="20"/>
              </w:rPr>
            </w:pPr>
            <w:r w:rsidRPr="00577764">
              <w:rPr>
                <w:rFonts w:ascii="Arial" w:hAnsi="Arial" w:cs="Arial"/>
                <w:i/>
                <w:iCs/>
                <w:sz w:val="20"/>
                <w:szCs w:val="20"/>
              </w:rPr>
              <w:t>Note</w:t>
            </w:r>
            <w:r w:rsidRPr="00577764">
              <w:rPr>
                <w:rFonts w:ascii="Arial" w:hAnsi="Arial" w:cs="Arial"/>
                <w:i/>
                <w:sz w:val="20"/>
                <w:szCs w:val="20"/>
              </w:rPr>
              <w:t xml:space="preserve">. B = unstandardized beta coefficient, SE = standard error, β = standardized beta coefficient, 95% CI = 95% confidence interval, t = t statistic, p = probability value. </w:t>
            </w:r>
          </w:p>
          <w:p w14:paraId="2BCD0D00" w14:textId="77777777" w:rsidR="00C62E2D" w:rsidRPr="00577764" w:rsidRDefault="00C62E2D" w:rsidP="008F45DF">
            <w:pPr>
              <w:pStyle w:val="pf0"/>
              <w:tabs>
                <w:tab w:val="left" w:pos="720"/>
              </w:tabs>
              <w:spacing w:before="0" w:beforeAutospacing="0" w:after="0" w:afterAutospacing="0"/>
              <w:jc w:val="both"/>
              <w:rPr>
                <w:rFonts w:ascii="Arial" w:hAnsi="Arial" w:cs="Arial"/>
                <w:sz w:val="20"/>
                <w:szCs w:val="20"/>
              </w:rPr>
            </w:pPr>
            <w:r w:rsidRPr="00577764">
              <w:rPr>
                <w:rFonts w:ascii="Arial" w:hAnsi="Arial" w:cs="Arial"/>
                <w:i/>
                <w:sz w:val="20"/>
                <w:szCs w:val="20"/>
              </w:rPr>
              <w:t>**significant at 0.01 two-tailed alpha level.</w:t>
            </w:r>
          </w:p>
        </w:tc>
      </w:tr>
    </w:tbl>
    <w:p w14:paraId="5E59B2F4" w14:textId="329B1A02" w:rsidR="00697A4D" w:rsidRPr="00D13DC5" w:rsidRDefault="00697A4D" w:rsidP="008F45DF">
      <w:pPr>
        <w:pStyle w:val="pf0"/>
        <w:tabs>
          <w:tab w:val="left" w:pos="720"/>
        </w:tabs>
        <w:spacing w:before="0" w:beforeAutospacing="0" w:after="0" w:afterAutospacing="0"/>
        <w:jc w:val="both"/>
        <w:rPr>
          <w:rFonts w:ascii="Arial" w:hAnsi="Arial" w:cs="Arial"/>
          <w:color w:val="00B050"/>
          <w:lang w:val="en-PH"/>
        </w:rPr>
        <w:sectPr w:rsidR="00697A4D" w:rsidRPr="00D13DC5" w:rsidSect="00D13DC5">
          <w:type w:val="continuous"/>
          <w:pgSz w:w="12240" w:h="15840" w:code="1"/>
          <w:pgMar w:top="1440" w:right="1440" w:bottom="1440" w:left="2160" w:header="709" w:footer="709" w:gutter="0"/>
          <w:cols w:space="708"/>
          <w:docGrid w:linePitch="360"/>
        </w:sectPr>
      </w:pPr>
    </w:p>
    <w:p w14:paraId="3B0133E2" w14:textId="46AC9524" w:rsidR="008548F7" w:rsidRPr="008548F7" w:rsidRDefault="008548F7" w:rsidP="008548F7">
      <w:pPr>
        <w:spacing w:after="0" w:line="240" w:lineRule="auto"/>
        <w:jc w:val="both"/>
        <w:rPr>
          <w:rFonts w:ascii="Arial" w:hAnsi="Arial" w:cs="Arial"/>
        </w:rPr>
      </w:pPr>
      <w:r>
        <w:rPr>
          <w:rFonts w:ascii="Arial" w:hAnsi="Arial" w:cs="Arial"/>
        </w:rPr>
        <w:tab/>
      </w:r>
      <w:r w:rsidRPr="00C60CC5">
        <w:rPr>
          <w:rFonts w:ascii="Arial" w:hAnsi="Arial" w:cs="Arial"/>
        </w:rPr>
        <w:t xml:space="preserve">Specifically, the findings indicate that awareness contributes foundational knowledge that enables students to anticipate and plan for potential disasters, while participation in hands-on DRRM activities strengthens practical skills and confidence in emergency response. Preparedness, in turn, reflects the application of both knowledge and experience in managing household emergencies. Consequently, the null hypotheses </w:t>
      </w:r>
      <w:r w:rsidRPr="007B18B3">
        <w:rPr>
          <w:rFonts w:ascii="Arial" w:hAnsi="Arial" w:cs="Arial"/>
          <w:color w:val="000000" w:themeColor="text1"/>
        </w:rPr>
        <w:t>H</w:t>
      </w:r>
      <w:r w:rsidRPr="007B18B3">
        <w:rPr>
          <w:rFonts w:ascii="Cambria Math" w:hAnsi="Cambria Math" w:cs="Cambria Math"/>
          <w:color w:val="000000" w:themeColor="text1"/>
        </w:rPr>
        <w:t>₀₁</w:t>
      </w:r>
      <w:r w:rsidRPr="007B18B3">
        <w:rPr>
          <w:rFonts w:ascii="Arial" w:hAnsi="Arial" w:cs="Arial"/>
          <w:color w:val="000000" w:themeColor="text1"/>
        </w:rPr>
        <w:t>:</w:t>
      </w:r>
      <w:r w:rsidRPr="00C60CC5">
        <w:rPr>
          <w:rFonts w:ascii="Arial" w:hAnsi="Arial" w:cs="Arial"/>
          <w:color w:val="000000" w:themeColor="text1"/>
        </w:rPr>
        <w:t xml:space="preserve"> </w:t>
      </w:r>
      <w:r w:rsidRPr="007B18B3">
        <w:rPr>
          <w:rFonts w:ascii="Arial" w:hAnsi="Arial" w:cs="Arial"/>
          <w:color w:val="000000" w:themeColor="text1"/>
        </w:rPr>
        <w:t xml:space="preserve">The participants’ awareness of disaster management, participation in DRRM-related activities, and disaster preparedness do not significantly influence their </w:t>
      </w:r>
      <w:r w:rsidRPr="00C5169E">
        <w:rPr>
          <w:rFonts w:ascii="Arial" w:hAnsi="Arial" w:cs="Arial"/>
        </w:rPr>
        <w:t xml:space="preserve">Engagement in Emergency Management </w:t>
      </w:r>
      <w:r w:rsidRPr="00C5169E">
        <w:rPr>
          <w:rFonts w:ascii="Arial" w:hAnsi="Arial" w:cs="Arial"/>
        </w:rPr>
        <w:lastRenderedPageBreak/>
        <w:t>Practices</w:t>
      </w:r>
      <w:r>
        <w:rPr>
          <w:rFonts w:ascii="Arial" w:hAnsi="Arial" w:cs="Arial"/>
        </w:rPr>
        <w:t xml:space="preserve">, </w:t>
      </w:r>
      <w:r w:rsidRPr="0052531A">
        <w:rPr>
          <w:rFonts w:ascii="Arial" w:hAnsi="Arial" w:cs="Arial"/>
          <w:color w:val="000000" w:themeColor="text1"/>
        </w:rPr>
        <w:t>The regression model is statistically significant, F(3,137) = 60.06, p &lt; .001, showing that the three predictors impact household emergency management practices.</w:t>
      </w:r>
    </w:p>
    <w:p w14:paraId="3830451F" w14:textId="77777777" w:rsidR="008548F7" w:rsidRDefault="008548F7" w:rsidP="008548F7">
      <w:pPr>
        <w:pStyle w:val="pf0"/>
        <w:tabs>
          <w:tab w:val="left" w:pos="720"/>
        </w:tabs>
        <w:spacing w:before="0" w:beforeAutospacing="0" w:after="0" w:afterAutospacing="0"/>
        <w:jc w:val="both"/>
        <w:rPr>
          <w:rFonts w:ascii="Arial" w:hAnsi="Arial" w:cs="Arial"/>
          <w:b/>
          <w:bCs/>
        </w:rPr>
      </w:pPr>
    </w:p>
    <w:p w14:paraId="3541EAE0" w14:textId="0797A62E"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The model has strong explanatory power as it shows the variance in emergency management practices as 56.8% (R² = 0.568). Because the p-value of the overall model is less than 0.01, we reject H</w:t>
      </w:r>
      <w:r w:rsidRPr="0052531A">
        <w:rPr>
          <w:rFonts w:ascii="Cambria Math" w:hAnsi="Cambria Math" w:cs="Cambria Math"/>
          <w:color w:val="000000" w:themeColor="text1"/>
        </w:rPr>
        <w:t>₀₁</w:t>
      </w:r>
      <w:r w:rsidRPr="0052531A">
        <w:rPr>
          <w:rFonts w:ascii="Arial" w:hAnsi="Arial" w:cs="Arial"/>
          <w:color w:val="000000" w:themeColor="text1"/>
        </w:rPr>
        <w:t>. This indicates that the variables awareness, participation, and preparedness have significant positive impacts on students’ household emergency management practices.</w:t>
      </w:r>
    </w:p>
    <w:p w14:paraId="4DA803A9" w14:textId="77777777" w:rsidR="00B31C9F" w:rsidRDefault="00B31C9F" w:rsidP="008F45DF">
      <w:pPr>
        <w:spacing w:after="0" w:line="240" w:lineRule="auto"/>
        <w:jc w:val="both"/>
        <w:rPr>
          <w:rFonts w:ascii="Arial" w:hAnsi="Arial" w:cs="Arial"/>
          <w:color w:val="000000" w:themeColor="text1"/>
        </w:rPr>
      </w:pPr>
    </w:p>
    <w:p w14:paraId="066F83CC" w14:textId="3CDC5576"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The null hypotheses H</w:t>
      </w:r>
      <w:r w:rsidRPr="0052531A">
        <w:rPr>
          <w:rFonts w:ascii="Cambria Math" w:hAnsi="Cambria Math" w:cs="Cambria Math"/>
          <w:color w:val="000000" w:themeColor="text1"/>
        </w:rPr>
        <w:t>₀₂</w:t>
      </w:r>
      <w:r w:rsidRPr="0052531A">
        <w:rPr>
          <w:rFonts w:ascii="Arial" w:hAnsi="Arial" w:cs="Arial"/>
          <w:color w:val="000000" w:themeColor="text1"/>
        </w:rPr>
        <w:t xml:space="preserve">: There was no significant relationship between the participants’ levels of understanding of their disaster preparedness and their levels of disaster preparedness is considered to be true. However, the regression results show awareness of disaster management practices to be a significant predictor of emergency management practices (B = 0.190, β = 0.180, t = 2.903, p = .004). This means that, although the awareness predictor has the least beta value (β = 0.180), awareness of disaster management still significantly contributes to the positive change in the disaster-related behavior of the participants. </w:t>
      </w:r>
    </w:p>
    <w:p w14:paraId="6389DA8B" w14:textId="77777777" w:rsidR="00B31C9F" w:rsidRPr="0052531A" w:rsidRDefault="00B31C9F" w:rsidP="008F45DF">
      <w:pPr>
        <w:spacing w:after="0" w:line="240" w:lineRule="auto"/>
        <w:jc w:val="both"/>
        <w:rPr>
          <w:rFonts w:ascii="Arial" w:hAnsi="Arial" w:cs="Arial"/>
          <w:color w:val="000000" w:themeColor="text1"/>
        </w:rPr>
      </w:pPr>
    </w:p>
    <w:p w14:paraId="4D04A6AC" w14:textId="023545DC"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The null hypothesis H</w:t>
      </w:r>
      <w:r w:rsidRPr="0052531A">
        <w:rPr>
          <w:rFonts w:ascii="Cambria Math" w:hAnsi="Cambria Math" w:cs="Cambria Math"/>
          <w:color w:val="000000" w:themeColor="text1"/>
        </w:rPr>
        <w:t>₀₃</w:t>
      </w:r>
      <w:r w:rsidRPr="0052531A">
        <w:rPr>
          <w:rFonts w:ascii="Arial" w:hAnsi="Arial" w:cs="Arial"/>
          <w:color w:val="000000" w:themeColor="text1"/>
        </w:rPr>
        <w:t>: There was no significant effect of the participants’ levels of participation in DRRM-related activities and their levels of disaster preparedness has been considered to be true. However, participation in DRRM-related activities is a significant predictor of emergency management practices (B = 0.314, β = 0.373, t = 5.075, p &lt; .001). In the model that h = 0.373, participation has one of the highest influence weights, meaning that students who participatively and responsively participate in DRRM activities have a higher tendency to perform the appropriate and adequate emergency management practices, therefore, being participative, aware, and prepared are enough to predict one’s engagement in emergency management practices.</w:t>
      </w:r>
    </w:p>
    <w:p w14:paraId="0CA80EC4" w14:textId="77777777" w:rsidR="00B31C9F" w:rsidRPr="0052531A" w:rsidRDefault="00B31C9F" w:rsidP="008F45DF">
      <w:pPr>
        <w:spacing w:after="0" w:line="240" w:lineRule="auto"/>
        <w:jc w:val="both"/>
        <w:rPr>
          <w:rFonts w:ascii="Arial" w:hAnsi="Arial" w:cs="Arial"/>
          <w:color w:val="000000" w:themeColor="text1"/>
        </w:rPr>
      </w:pPr>
    </w:p>
    <w:p w14:paraId="30410871" w14:textId="0BC73CC4"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Gaillard, Cadag, and Rampengan (2022) analyses show that DRRM participation also reinforces one's sense of individual responsibility as well as the implementation of preparedness practices at home.</w:t>
      </w:r>
      <w:r>
        <w:rPr>
          <w:rFonts w:ascii="Arial" w:hAnsi="Arial" w:cs="Arial"/>
          <w:color w:val="000000" w:themeColor="text1"/>
        </w:rPr>
        <w:t xml:space="preserve"> </w:t>
      </w:r>
      <w:r w:rsidRPr="0052531A">
        <w:rPr>
          <w:rFonts w:ascii="Arial" w:hAnsi="Arial" w:cs="Arial"/>
          <w:color w:val="000000" w:themeColor="text1"/>
        </w:rPr>
        <w:t>UNDRR (2023) states that outcomes surrounding preparedness are considerably improved through experiential learning, including community drills and school-based preparedness programs.</w:t>
      </w:r>
      <w:r>
        <w:rPr>
          <w:rFonts w:ascii="Arial" w:hAnsi="Arial" w:cs="Arial"/>
          <w:color w:val="000000" w:themeColor="text1"/>
        </w:rPr>
        <w:t xml:space="preserve"> </w:t>
      </w:r>
      <w:r w:rsidRPr="0052531A">
        <w:rPr>
          <w:rFonts w:ascii="Arial" w:hAnsi="Arial" w:cs="Arial"/>
          <w:color w:val="000000" w:themeColor="text1"/>
        </w:rPr>
        <w:t xml:space="preserve">Strengthening Skills through Engagement, as cited by the WHO, people who construct engagement models for emergency preparedness possess the skill to transform knowledge into practice at, relatively, higher levels than people who do not model engagement. In tandem, this study shows that participation and preparedness consistently are greater predictors than awareness, and illustrates that to be effective, disaster preparedness requires knowledge and engagement in the DRRM initiatives. </w:t>
      </w:r>
    </w:p>
    <w:p w14:paraId="2E1C3919" w14:textId="77777777" w:rsidR="00B31C9F" w:rsidRDefault="00B31C9F" w:rsidP="008F45DF">
      <w:pPr>
        <w:spacing w:after="0" w:line="240" w:lineRule="auto"/>
        <w:jc w:val="both"/>
        <w:rPr>
          <w:rFonts w:ascii="Arial" w:hAnsi="Arial" w:cs="Arial"/>
          <w:color w:val="000000" w:themeColor="text1"/>
        </w:rPr>
      </w:pPr>
    </w:p>
    <w:p w14:paraId="09A4B097" w14:textId="31381ACF" w:rsidR="00B31C9F"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 xml:space="preserve">Furthermore, a combination of the predictor variables accounts for almost 57% of the variability in those household management practices. The other 43% relates to factors of a socioeconomic nature, availability of household resources, </w:t>
      </w:r>
      <w:r w:rsidRPr="0052531A">
        <w:rPr>
          <w:rFonts w:ascii="Arial" w:hAnsi="Arial" w:cs="Arial"/>
          <w:color w:val="000000" w:themeColor="text1"/>
        </w:rPr>
        <w:lastRenderedPageBreak/>
        <w:t>prior disaster experiences, family beliefs and attitudes toward preparedness, community based DRRM initiatives, geographic areas subject to hazards, access to emergency equipment, the influence of parents, and the effectiveness of the disaster initiatives of the local government. Of the predictors, the greatest contribution by far was participation in DRRM-related activities of β = 0.373, p &lt; .001. The implication of this is that participants in those activities practice household disaster preparedness to a greater extent.</w:t>
      </w:r>
    </w:p>
    <w:p w14:paraId="5422D04B" w14:textId="77777777" w:rsidR="008548F7" w:rsidRPr="0052531A" w:rsidRDefault="008548F7" w:rsidP="008F45DF">
      <w:pPr>
        <w:spacing w:after="0" w:line="240" w:lineRule="auto"/>
        <w:jc w:val="both"/>
        <w:rPr>
          <w:rFonts w:ascii="Arial" w:hAnsi="Arial" w:cs="Arial"/>
          <w:color w:val="000000" w:themeColor="text1"/>
        </w:rPr>
      </w:pPr>
    </w:p>
    <w:p w14:paraId="1FDE27C4" w14:textId="10B097E9"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Disaster preparedness (β = 0.364, p &lt; .001) and awareness of disaster management (β = 0.180, p = .004) were also significant.</w:t>
      </w:r>
      <w:r>
        <w:rPr>
          <w:rFonts w:ascii="Arial" w:hAnsi="Arial" w:cs="Arial"/>
          <w:color w:val="000000" w:themeColor="text1"/>
        </w:rPr>
        <w:t xml:space="preserve"> </w:t>
      </w:r>
      <w:r w:rsidRPr="0052531A">
        <w:rPr>
          <w:rFonts w:ascii="Arial" w:hAnsi="Arial" w:cs="Arial"/>
          <w:color w:val="000000" w:themeColor="text1"/>
        </w:rPr>
        <w:t xml:space="preserve">Disaster preparedness participation and awareness result in larger effect sizes. Engagement through drills, training, and hands-on exercises, as well as physical preparedness (e.g., plans, kits, and skills) seems to facilitate behavioral change among participants. Behavioral change studies along with DRRM also support greater participation, as they strengthen social norms and procedural competencies to act (Gaillard, Cadag, &amp; Rampengan, 2022). </w:t>
      </w:r>
    </w:p>
    <w:p w14:paraId="2F1811DE" w14:textId="77777777" w:rsidR="00B31C9F" w:rsidRDefault="00B31C9F" w:rsidP="008F45DF">
      <w:pPr>
        <w:spacing w:after="0" w:line="240" w:lineRule="auto"/>
        <w:jc w:val="both"/>
        <w:rPr>
          <w:rFonts w:ascii="Arial" w:hAnsi="Arial" w:cs="Arial"/>
          <w:color w:val="000000" w:themeColor="text1"/>
        </w:rPr>
      </w:pPr>
    </w:p>
    <w:p w14:paraId="3C3DD7F6" w14:textId="28A8409A" w:rsid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DRR knowledge, as per the United Nations Office for Disaster Risk Reduction (2020), only becomes beneficial when awareness is turned into action. Along with practical measures, contingency planning, mobilization of resources, and training are essential to strengthen the capacity of the community.</w:t>
      </w:r>
      <w:r>
        <w:rPr>
          <w:rFonts w:ascii="Arial" w:hAnsi="Arial" w:cs="Arial"/>
          <w:color w:val="000000" w:themeColor="text1"/>
        </w:rPr>
        <w:t xml:space="preserve"> </w:t>
      </w:r>
      <w:r w:rsidRPr="0052531A">
        <w:rPr>
          <w:rFonts w:ascii="Arial" w:hAnsi="Arial" w:cs="Arial"/>
          <w:color w:val="000000" w:themeColor="text1"/>
        </w:rPr>
        <w:t>Public awareness of hazards also needs to be supported through practical measures. This is emphasized by the World Health Organization (2021) through household preparedness kits and simulation exercises. Throughout the years of research, the WHO also points out that planning, and response training are crucial to translating knowledge into action in emergencies.</w:t>
      </w:r>
    </w:p>
    <w:p w14:paraId="4187636B" w14:textId="77777777" w:rsidR="00B31C9F" w:rsidRPr="0052531A" w:rsidRDefault="00B31C9F" w:rsidP="008F45DF">
      <w:pPr>
        <w:spacing w:after="0" w:line="240" w:lineRule="auto"/>
        <w:jc w:val="both"/>
        <w:rPr>
          <w:rFonts w:ascii="Arial" w:hAnsi="Arial" w:cs="Arial"/>
          <w:color w:val="000000" w:themeColor="text1"/>
        </w:rPr>
      </w:pPr>
    </w:p>
    <w:p w14:paraId="2B92D641" w14:textId="3B3245F1" w:rsidR="0052531A" w:rsidRPr="0052531A" w:rsidRDefault="0052531A" w:rsidP="008F45DF">
      <w:pPr>
        <w:spacing w:after="0" w:line="240" w:lineRule="auto"/>
        <w:jc w:val="both"/>
        <w:rPr>
          <w:rFonts w:ascii="Arial" w:hAnsi="Arial" w:cs="Arial"/>
          <w:color w:val="000000" w:themeColor="text1"/>
        </w:rPr>
      </w:pPr>
      <w:r>
        <w:rPr>
          <w:rFonts w:ascii="Arial" w:hAnsi="Arial" w:cs="Arial"/>
          <w:color w:val="000000" w:themeColor="text1"/>
        </w:rPr>
        <w:tab/>
      </w:r>
      <w:r w:rsidRPr="0052531A">
        <w:rPr>
          <w:rFonts w:ascii="Arial" w:hAnsi="Arial" w:cs="Arial"/>
          <w:color w:val="000000" w:themeColor="text1"/>
        </w:rPr>
        <w:t>Shiwaku and Shaw (2020) illustrate that hands-on participation in Disaster Risk Reduction and Management (DRRM) activities promotes greater confidence, self-efficacy, and self-initiated household safety behaviors than information-based activities. This aligns with the concept that focused, experiential, and situational learning helps people apply what they know about being prepared for disasters.  Therefore, DRRM activities that combine information with organized, regular, and active participation, as well as materials and household-level preparedness tools, are more likely to yield significant and sustained changes toward improved behaviors in emergency management. This shows that although awareness activities are useful, practice and active participation are critical in orienting people to take the necessary actions when an emergency occurs.</w:t>
      </w:r>
    </w:p>
    <w:p w14:paraId="5C720D71" w14:textId="04894977" w:rsidR="00751DE1" w:rsidRPr="003F2F38" w:rsidRDefault="00751DE1" w:rsidP="008F45DF">
      <w:pPr>
        <w:spacing w:after="0" w:line="240" w:lineRule="auto"/>
        <w:jc w:val="both"/>
        <w:rPr>
          <w:rFonts w:ascii="Arial" w:hAnsi="Arial" w:cs="Arial"/>
          <w:b/>
          <w:bCs/>
        </w:rPr>
        <w:sectPr w:rsidR="00751DE1" w:rsidRPr="003F2F38" w:rsidSect="00D13DC5">
          <w:type w:val="continuous"/>
          <w:pgSz w:w="12240" w:h="15840" w:code="1"/>
          <w:pgMar w:top="1440" w:right="1440" w:bottom="1440" w:left="2160" w:header="709" w:footer="709" w:gutter="0"/>
          <w:cols w:space="708"/>
          <w:docGrid w:linePitch="360"/>
        </w:sectPr>
      </w:pPr>
    </w:p>
    <w:p w14:paraId="1FB0DD09" w14:textId="77777777" w:rsidR="00500E0A" w:rsidRPr="00D13DC5" w:rsidRDefault="00500E0A" w:rsidP="008F45DF">
      <w:pPr>
        <w:spacing w:after="0" w:line="240" w:lineRule="auto"/>
        <w:jc w:val="both"/>
        <w:rPr>
          <w:rFonts w:ascii="Arial" w:hAnsi="Arial" w:cs="Arial"/>
          <w:b/>
          <w:bCs/>
        </w:rPr>
        <w:sectPr w:rsidR="00500E0A" w:rsidRPr="00D13DC5" w:rsidSect="00D13DC5">
          <w:type w:val="continuous"/>
          <w:pgSz w:w="12240" w:h="15840" w:code="1"/>
          <w:pgMar w:top="1440" w:right="1440" w:bottom="1440" w:left="2160" w:header="709" w:footer="709" w:gutter="0"/>
          <w:cols w:space="708"/>
          <w:docGrid w:linePitch="360"/>
        </w:sectPr>
      </w:pPr>
    </w:p>
    <w:p w14:paraId="04BF598A" w14:textId="3BDABFE6" w:rsidR="003F2F38" w:rsidRDefault="003F2F38" w:rsidP="008F45DF">
      <w:pPr>
        <w:spacing w:after="0" w:line="240" w:lineRule="auto"/>
        <w:jc w:val="both"/>
        <w:rPr>
          <w:rFonts w:ascii="Arial" w:eastAsia="Calibri" w:hAnsi="Arial" w:cs="Arial"/>
          <w:color w:val="000000" w:themeColor="text1"/>
          <w:lang w:val="en-US"/>
        </w:rPr>
      </w:pPr>
      <w:r w:rsidRPr="00D13DC5">
        <w:rPr>
          <w:rStyle w:val="cf01"/>
          <w:rFonts w:ascii="Arial" w:hAnsi="Arial" w:cs="Arial"/>
          <w:b/>
          <w:bCs/>
          <w:sz w:val="24"/>
          <w:szCs w:val="24"/>
        </w:rPr>
        <w:t>Conclusions</w:t>
      </w:r>
      <w:r w:rsidRPr="003A5A50">
        <w:rPr>
          <w:rFonts w:ascii="Arial" w:eastAsia="Calibri" w:hAnsi="Arial" w:cs="Arial"/>
          <w:color w:val="000000" w:themeColor="text1"/>
          <w:lang w:val="en-US"/>
        </w:rPr>
        <w:t xml:space="preserve"> </w:t>
      </w:r>
    </w:p>
    <w:p w14:paraId="263A36BE" w14:textId="77777777" w:rsidR="009B07B8" w:rsidRDefault="009B07B8" w:rsidP="008F45DF">
      <w:pPr>
        <w:spacing w:after="0" w:line="240" w:lineRule="auto"/>
        <w:jc w:val="both"/>
        <w:rPr>
          <w:rFonts w:ascii="Arial" w:eastAsia="Calibri" w:hAnsi="Arial" w:cs="Arial"/>
          <w:color w:val="000000" w:themeColor="text1"/>
          <w:lang w:val="en-US"/>
        </w:rPr>
      </w:pPr>
    </w:p>
    <w:p w14:paraId="3878F2CE" w14:textId="5200C04E"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 xml:space="preserve">In analyzing the data received from the study, some conclusions regarding student disaster preparedness can be drawn. Students show a notable, elevated level of disaster preparedness with the current information showing that the student body is, knowledgeable, participative, and proactive in disaster related </w:t>
      </w:r>
      <w:r w:rsidRPr="003A5A50">
        <w:rPr>
          <w:rFonts w:ascii="Arial" w:eastAsia="Calibri" w:hAnsi="Arial" w:cs="Arial"/>
          <w:color w:val="000000" w:themeColor="text1"/>
          <w:lang w:val="en-US"/>
        </w:rPr>
        <w:lastRenderedPageBreak/>
        <w:t>activities, specifically in activities related to disaster risk reduction and</w:t>
      </w:r>
      <w:r>
        <w:rPr>
          <w:rFonts w:ascii="Arial" w:eastAsia="Calibri" w:hAnsi="Arial" w:cs="Arial"/>
          <w:color w:val="000000" w:themeColor="text1"/>
          <w:lang w:val="en-US"/>
        </w:rPr>
        <w:t xml:space="preserve"> </w:t>
      </w:r>
      <w:r w:rsidRPr="003A5A50">
        <w:rPr>
          <w:rFonts w:ascii="Arial" w:eastAsia="Calibri" w:hAnsi="Arial" w:cs="Arial"/>
          <w:color w:val="000000" w:themeColor="text1"/>
          <w:lang w:val="en-US"/>
        </w:rPr>
        <w:t xml:space="preserve">management. </w:t>
      </w:r>
    </w:p>
    <w:p w14:paraId="01625AA2" w14:textId="77777777" w:rsidR="00B31C9F" w:rsidRDefault="00B31C9F" w:rsidP="008F45DF">
      <w:pPr>
        <w:spacing w:after="0" w:line="240" w:lineRule="auto"/>
        <w:jc w:val="both"/>
        <w:rPr>
          <w:rFonts w:ascii="Arial" w:eastAsia="Calibri" w:hAnsi="Arial" w:cs="Arial"/>
          <w:color w:val="000000" w:themeColor="text1"/>
          <w:lang w:val="en-US"/>
        </w:rPr>
      </w:pPr>
    </w:p>
    <w:p w14:paraId="13079485" w14:textId="77777777"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 xml:space="preserve">Their involvement in the concepts of DRRM, participation in the drills and trainings, and the actual Emergency Management practices, illustrates the comprehensive preparedness that the student body practices and that extends beyond theory. More inactive participation and practice preparedness is of greater significance than awareness which also leads to greater participation with emergency management practice. Despite the awareness piece being necessary, engagement is also a factor of significance as it is the means that students use to convert that knowledge into an action that is purposeful and effective. The awareness piece is the foundation of both participation and preparedness and remains necessary. </w:t>
      </w:r>
    </w:p>
    <w:p w14:paraId="30F50078" w14:textId="77777777" w:rsidR="00B31C9F" w:rsidRDefault="00B31C9F" w:rsidP="008F45DF">
      <w:pPr>
        <w:spacing w:after="0" w:line="240" w:lineRule="auto"/>
        <w:jc w:val="both"/>
        <w:rPr>
          <w:rFonts w:ascii="Arial" w:eastAsia="Calibri" w:hAnsi="Arial" w:cs="Arial"/>
          <w:color w:val="000000" w:themeColor="text1"/>
          <w:lang w:val="en-US"/>
        </w:rPr>
      </w:pPr>
    </w:p>
    <w:p w14:paraId="24D967F8" w14:textId="77777777"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 xml:space="preserve">The various risk, protocols, and responsibilities of disaster impact and management are some of the factors that remain necessary prior to applying purposefully and meaningfully the DRRM knowledge. Applying the knowledge of DRRM in the context of both school and home is still necessary. This study does raise the factor of disaster preparedness and the various caveats that were not factors of this study and that warrant study in future research. Disaster preparedness is also strengthened with any prior disaster experience, the presence of any usable resource, and the presence or absence of family support to the student. </w:t>
      </w:r>
    </w:p>
    <w:p w14:paraId="59128317" w14:textId="77777777" w:rsidR="00B31C9F" w:rsidRDefault="00B31C9F" w:rsidP="008F45DF">
      <w:pPr>
        <w:spacing w:after="0" w:line="240" w:lineRule="auto"/>
        <w:jc w:val="both"/>
        <w:rPr>
          <w:rFonts w:ascii="Arial" w:eastAsia="Calibri" w:hAnsi="Arial" w:cs="Arial"/>
          <w:color w:val="000000" w:themeColor="text1"/>
          <w:lang w:val="en-US"/>
        </w:rPr>
      </w:pPr>
    </w:p>
    <w:p w14:paraId="43764AAB" w14:textId="77777777" w:rsidR="003F2F38" w:rsidRDefault="003F2F38"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Disaster preparedness is already a study and this study further supports that awareness, participation, and practice make the study of disaster preparedness most effective.</w:t>
      </w:r>
      <w:r>
        <w:rPr>
          <w:rFonts w:ascii="Arial" w:eastAsia="Calibri" w:hAnsi="Arial" w:cs="Arial"/>
          <w:color w:val="000000" w:themeColor="text1"/>
          <w:lang w:val="en-US"/>
        </w:rPr>
        <w:t xml:space="preserve"> </w:t>
      </w:r>
      <w:r w:rsidRPr="003A5A50">
        <w:rPr>
          <w:rFonts w:ascii="Arial" w:eastAsia="Calibri" w:hAnsi="Arial" w:cs="Arial"/>
          <w:color w:val="000000" w:themeColor="text1"/>
          <w:lang w:val="en-US"/>
        </w:rPr>
        <w:t>Educators and communities can build the capacity of citizens who are knowledgeable about disasters and are ready to take action to create a safer and more resilient community by providing knowledge, involving students in valuable activities, and stimulating their response at home.</w:t>
      </w:r>
    </w:p>
    <w:p w14:paraId="4FD03EC0" w14:textId="77777777" w:rsidR="0099622C" w:rsidRDefault="0099622C" w:rsidP="008F45DF">
      <w:pPr>
        <w:spacing w:after="0" w:line="240" w:lineRule="auto"/>
        <w:jc w:val="both"/>
        <w:rPr>
          <w:rFonts w:ascii="Arial" w:eastAsia="Calibri" w:hAnsi="Arial" w:cs="Arial"/>
          <w:color w:val="000000" w:themeColor="text1"/>
          <w:lang w:val="en-US"/>
        </w:rPr>
      </w:pPr>
    </w:p>
    <w:p w14:paraId="6F7A68CE" w14:textId="46139641" w:rsidR="008548F7" w:rsidRDefault="0099622C" w:rsidP="008F45DF">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r w:rsidRPr="003A5A50">
        <w:rPr>
          <w:rFonts w:ascii="Arial" w:eastAsia="Calibri" w:hAnsi="Arial" w:cs="Arial"/>
          <w:color w:val="000000" w:themeColor="text1"/>
          <w:lang w:val="en-US"/>
        </w:rPr>
        <w:t>Disaster preparedness is a combination of awareness, involvement, and action, and this coordination is what makes preparedness in students most effective. Knowledge creates the awareness and response, involvement describes the action and response, and preparedness ensures the action is taken, consistently, at school and at home.</w:t>
      </w:r>
    </w:p>
    <w:p w14:paraId="3BE9F4E1" w14:textId="77777777" w:rsidR="00B674D6" w:rsidRDefault="00B674D6" w:rsidP="008F45DF">
      <w:pPr>
        <w:spacing w:after="0" w:line="240" w:lineRule="auto"/>
        <w:jc w:val="both"/>
        <w:rPr>
          <w:rFonts w:ascii="Arial" w:eastAsia="Calibri" w:hAnsi="Arial" w:cs="Arial"/>
          <w:color w:val="000000" w:themeColor="text1"/>
          <w:lang w:val="en-US"/>
        </w:rPr>
      </w:pPr>
    </w:p>
    <w:p w14:paraId="5A176A6A" w14:textId="77777777" w:rsidR="00B674D6" w:rsidRDefault="00B674D6" w:rsidP="008F45DF">
      <w:pPr>
        <w:spacing w:after="0" w:line="240" w:lineRule="auto"/>
        <w:jc w:val="both"/>
        <w:rPr>
          <w:rFonts w:ascii="Arial" w:eastAsia="Calibri" w:hAnsi="Arial" w:cs="Arial"/>
          <w:color w:val="000000" w:themeColor="text1"/>
        </w:rPr>
      </w:pPr>
    </w:p>
    <w:p w14:paraId="040B81D7" w14:textId="77777777" w:rsidR="00DA72E3" w:rsidRDefault="00DA72E3" w:rsidP="008F45DF">
      <w:pPr>
        <w:spacing w:after="0" w:line="240" w:lineRule="auto"/>
        <w:jc w:val="both"/>
        <w:rPr>
          <w:rFonts w:ascii="Arial" w:eastAsia="Calibri" w:hAnsi="Arial" w:cs="Arial"/>
          <w:color w:val="000000" w:themeColor="text1"/>
        </w:rPr>
      </w:pPr>
    </w:p>
    <w:p w14:paraId="0EF7F52D" w14:textId="77777777" w:rsidR="00DA72E3" w:rsidRDefault="00DA72E3" w:rsidP="008F45DF">
      <w:pPr>
        <w:spacing w:after="0" w:line="240" w:lineRule="auto"/>
        <w:jc w:val="both"/>
        <w:rPr>
          <w:rFonts w:ascii="Arial" w:eastAsia="Calibri" w:hAnsi="Arial" w:cs="Arial"/>
          <w:color w:val="000000" w:themeColor="text1"/>
        </w:rPr>
      </w:pPr>
    </w:p>
    <w:p w14:paraId="2E844861" w14:textId="77777777" w:rsidR="00B674D6" w:rsidRDefault="00B674D6" w:rsidP="00B674D6">
      <w:pPr>
        <w:spacing w:after="0" w:line="240" w:lineRule="auto"/>
        <w:rPr>
          <w:rFonts w:ascii="Arial" w:eastAsia="Calibri" w:hAnsi="Arial" w:cs="Arial"/>
          <w:b/>
          <w:bCs/>
          <w:color w:val="000000" w:themeColor="text1"/>
          <w:lang w:val="en-US"/>
        </w:rPr>
      </w:pPr>
      <w:r w:rsidRPr="00D53E84">
        <w:rPr>
          <w:rFonts w:ascii="Arial" w:eastAsia="Calibri" w:hAnsi="Arial" w:cs="Arial"/>
          <w:b/>
          <w:bCs/>
          <w:color w:val="000000" w:themeColor="text1"/>
          <w:lang w:val="en-US"/>
        </w:rPr>
        <w:t>Recommendations</w:t>
      </w:r>
    </w:p>
    <w:p w14:paraId="248AEB90" w14:textId="77777777" w:rsidR="00B674D6" w:rsidRPr="00D53E84" w:rsidRDefault="00B674D6" w:rsidP="00B674D6">
      <w:pPr>
        <w:spacing w:after="0" w:line="240" w:lineRule="auto"/>
        <w:rPr>
          <w:rFonts w:ascii="Arial" w:eastAsia="Calibri" w:hAnsi="Arial" w:cs="Arial"/>
          <w:b/>
          <w:bCs/>
          <w:color w:val="000000" w:themeColor="text1"/>
          <w:lang w:val="en-US"/>
        </w:rPr>
      </w:pPr>
    </w:p>
    <w:p w14:paraId="23D97679"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Based on these conclusions and findings, the study offers the following recommendations for students, the institution, the community, and future research:</w:t>
      </w:r>
    </w:p>
    <w:p w14:paraId="68A2D380"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For Students to:</w:t>
      </w:r>
    </w:p>
    <w:p w14:paraId="4998C3A5"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lastRenderedPageBreak/>
        <w:tab/>
        <w:t xml:space="preserve">1.1   continue actively participating in DRRM-related activities such as drills, </w:t>
      </w:r>
      <w:r w:rsidRPr="00D53E84">
        <w:rPr>
          <w:rFonts w:ascii="Arial" w:hAnsi="Arial" w:cs="Arial"/>
          <w:color w:val="000000" w:themeColor="text1"/>
        </w:rPr>
        <w:tab/>
        <w:t xml:space="preserve">trainings, and safety programs. </w:t>
      </w:r>
    </w:p>
    <w:p w14:paraId="04966B3C"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1.2 regularly update household emergency preparedness plans, </w:t>
      </w:r>
      <w:r w:rsidRPr="00D53E84">
        <w:rPr>
          <w:rFonts w:ascii="Arial" w:hAnsi="Arial" w:cs="Arial"/>
          <w:color w:val="000000" w:themeColor="text1"/>
        </w:rPr>
        <w:tab/>
        <w:t xml:space="preserve">emergency kits, and contact lists. </w:t>
      </w:r>
    </w:p>
    <w:p w14:paraId="199C8B8E"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1.3 Share knowledge and tips about disaster preparedness and </w:t>
      </w:r>
      <w:r w:rsidRPr="00D53E84">
        <w:rPr>
          <w:rFonts w:ascii="Arial" w:hAnsi="Arial" w:cs="Arial"/>
          <w:color w:val="000000" w:themeColor="text1"/>
        </w:rPr>
        <w:tab/>
        <w:t xml:space="preserve">contingency planning with family members and peers to foster a culture of </w:t>
      </w:r>
      <w:r w:rsidRPr="00D53E84">
        <w:rPr>
          <w:rFonts w:ascii="Arial" w:hAnsi="Arial" w:cs="Arial"/>
          <w:color w:val="000000" w:themeColor="text1"/>
        </w:rPr>
        <w:tab/>
        <w:t>safety and readiness.</w:t>
      </w:r>
    </w:p>
    <w:p w14:paraId="25A28740"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 xml:space="preserve">For the Institution to  </w:t>
      </w:r>
    </w:p>
    <w:p w14:paraId="672B72B9"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2.1 strengthen and institutionalize DRRM programs through regular drills, </w:t>
      </w:r>
      <w:r w:rsidRPr="00D53E84">
        <w:rPr>
          <w:rFonts w:ascii="Arial" w:hAnsi="Arial" w:cs="Arial"/>
          <w:color w:val="000000" w:themeColor="text1"/>
        </w:rPr>
        <w:tab/>
        <w:t xml:space="preserve">seminars, workshops, and hands-on activities in collaboration with agencies </w:t>
      </w:r>
      <w:r w:rsidRPr="00D53E84">
        <w:rPr>
          <w:rFonts w:ascii="Arial" w:hAnsi="Arial" w:cs="Arial"/>
          <w:color w:val="000000" w:themeColor="text1"/>
        </w:rPr>
        <w:tab/>
        <w:t>like NDRRMC, PAGASA, and PHIVOLCS.</w:t>
      </w:r>
    </w:p>
    <w:p w14:paraId="08DD0032" w14:textId="77777777" w:rsidR="00B674D6"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2.2 sustain the integration of DRRM concepts into the BTLEd curriculum, </w:t>
      </w:r>
      <w:r w:rsidRPr="00D53E84">
        <w:rPr>
          <w:rFonts w:ascii="Arial" w:hAnsi="Arial" w:cs="Arial"/>
          <w:color w:val="000000" w:themeColor="text1"/>
        </w:rPr>
        <w:tab/>
        <w:t xml:space="preserve">enhancing it with field-based learning, research, and community extension </w:t>
      </w:r>
      <w:r w:rsidRPr="00D53E84">
        <w:rPr>
          <w:rFonts w:ascii="Arial" w:hAnsi="Arial" w:cs="Arial"/>
          <w:color w:val="000000" w:themeColor="text1"/>
        </w:rPr>
        <w:tab/>
        <w:t>activities to give students practical experience.</w:t>
      </w:r>
    </w:p>
    <w:p w14:paraId="215D419A" w14:textId="77777777" w:rsidR="00B674D6" w:rsidRPr="00D53E84" w:rsidRDefault="00B674D6" w:rsidP="00B674D6">
      <w:pPr>
        <w:spacing w:after="0" w:line="240" w:lineRule="auto"/>
        <w:jc w:val="both"/>
        <w:rPr>
          <w:rFonts w:ascii="Arial" w:hAnsi="Arial" w:cs="Arial"/>
          <w:color w:val="000000" w:themeColor="text1"/>
        </w:rPr>
      </w:pPr>
      <w:r>
        <w:rPr>
          <w:rFonts w:ascii="Arial" w:hAnsi="Arial" w:cs="Arial"/>
          <w:color w:val="000000" w:themeColor="text1"/>
        </w:rPr>
        <w:tab/>
        <w:t xml:space="preserve">2.2 yearly update the contingency plan to both natural and man-made </w:t>
      </w:r>
      <w:r>
        <w:rPr>
          <w:rFonts w:ascii="Arial" w:hAnsi="Arial" w:cs="Arial"/>
          <w:color w:val="000000" w:themeColor="text1"/>
        </w:rPr>
        <w:tab/>
        <w:t xml:space="preserve">disaster phenomena  </w:t>
      </w:r>
    </w:p>
    <w:p w14:paraId="11AA76B5"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For the Community and Local Government Units:</w:t>
      </w:r>
    </w:p>
    <w:p w14:paraId="5398B55A"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3.1 sustain the community-based DRRM programs in partnership with </w:t>
      </w:r>
      <w:r w:rsidRPr="00D53E84">
        <w:rPr>
          <w:rFonts w:ascii="Arial" w:hAnsi="Arial" w:cs="Arial"/>
          <w:color w:val="000000" w:themeColor="text1"/>
        </w:rPr>
        <w:tab/>
        <w:t>schools, ensuring tha</w:t>
      </w:r>
      <w:r>
        <w:rPr>
          <w:rFonts w:ascii="Arial" w:hAnsi="Arial" w:cs="Arial"/>
          <w:color w:val="000000" w:themeColor="text1"/>
        </w:rPr>
        <w:t>t the students</w:t>
      </w:r>
      <w:r w:rsidRPr="00D53E84">
        <w:rPr>
          <w:rFonts w:ascii="Arial" w:hAnsi="Arial" w:cs="Arial"/>
          <w:color w:val="000000" w:themeColor="text1"/>
        </w:rPr>
        <w:t xml:space="preserve"> are actively involved in preparedness </w:t>
      </w:r>
      <w:r w:rsidRPr="00D53E84">
        <w:rPr>
          <w:rFonts w:ascii="Arial" w:hAnsi="Arial" w:cs="Arial"/>
          <w:color w:val="000000" w:themeColor="text1"/>
        </w:rPr>
        <w:tab/>
        <w:t>initiatives.</w:t>
      </w:r>
    </w:p>
    <w:p w14:paraId="24720EFF" w14:textId="77777777" w:rsidR="00B674D6" w:rsidRPr="00D53E84"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3.2 continue the barangay-level disaster education programs and youth </w:t>
      </w:r>
      <w:r w:rsidRPr="00D53E84">
        <w:rPr>
          <w:rFonts w:ascii="Arial" w:hAnsi="Arial" w:cs="Arial"/>
          <w:color w:val="000000" w:themeColor="text1"/>
        </w:rPr>
        <w:tab/>
        <w:t xml:space="preserve">leadership training to encourage proactive disaster response behaviors </w:t>
      </w:r>
      <w:r w:rsidRPr="00D53E84">
        <w:rPr>
          <w:rFonts w:ascii="Arial" w:hAnsi="Arial" w:cs="Arial"/>
          <w:color w:val="000000" w:themeColor="text1"/>
        </w:rPr>
        <w:tab/>
        <w:t>among students.</w:t>
      </w:r>
    </w:p>
    <w:p w14:paraId="46B6032F" w14:textId="77777777" w:rsidR="00B674D6" w:rsidRPr="00D53E84" w:rsidRDefault="00B674D6" w:rsidP="00B674D6">
      <w:pPr>
        <w:pStyle w:val="ListParagraph"/>
        <w:numPr>
          <w:ilvl w:val="0"/>
          <w:numId w:val="1"/>
        </w:numPr>
        <w:spacing w:after="0" w:line="240" w:lineRule="auto"/>
        <w:jc w:val="both"/>
        <w:rPr>
          <w:rFonts w:ascii="Arial" w:hAnsi="Arial" w:cs="Arial"/>
          <w:color w:val="000000" w:themeColor="text1"/>
        </w:rPr>
      </w:pPr>
      <w:r w:rsidRPr="00D53E84">
        <w:rPr>
          <w:rFonts w:ascii="Arial" w:hAnsi="Arial" w:cs="Arial"/>
          <w:color w:val="000000" w:themeColor="text1"/>
        </w:rPr>
        <w:t>For Future Researchers:</w:t>
      </w:r>
    </w:p>
    <w:p w14:paraId="4FA504E7" w14:textId="77777777" w:rsidR="00B674D6" w:rsidRPr="00D53E84" w:rsidRDefault="00B674D6" w:rsidP="00B674D6">
      <w:pPr>
        <w:spacing w:after="0" w:line="240" w:lineRule="auto"/>
        <w:ind w:firstLine="567"/>
        <w:jc w:val="both"/>
        <w:rPr>
          <w:rFonts w:ascii="Arial" w:hAnsi="Arial" w:cs="Arial"/>
          <w:color w:val="000000" w:themeColor="text1"/>
        </w:rPr>
      </w:pPr>
      <w:r w:rsidRPr="00D53E84">
        <w:rPr>
          <w:rFonts w:ascii="Arial" w:hAnsi="Arial" w:cs="Arial"/>
          <w:color w:val="000000" w:themeColor="text1"/>
        </w:rPr>
        <w:tab/>
        <w:t xml:space="preserve">4.1 explore additional factors such as risk perception, socioeconomic </w:t>
      </w:r>
      <w:r w:rsidRPr="00D53E84">
        <w:rPr>
          <w:rFonts w:ascii="Arial" w:hAnsi="Arial" w:cs="Arial"/>
          <w:color w:val="000000" w:themeColor="text1"/>
        </w:rPr>
        <w:tab/>
        <w:t xml:space="preserve">status, psychological resilience, and prior disaster experience to gain a </w:t>
      </w:r>
      <w:r w:rsidRPr="00D53E84">
        <w:rPr>
          <w:rFonts w:ascii="Arial" w:hAnsi="Arial" w:cs="Arial"/>
          <w:color w:val="000000" w:themeColor="text1"/>
        </w:rPr>
        <w:tab/>
        <w:t xml:space="preserve">deeper understanding of what influences </w:t>
      </w:r>
      <w:r>
        <w:rPr>
          <w:rFonts w:ascii="Arial" w:hAnsi="Arial" w:cs="Arial"/>
          <w:color w:val="000000" w:themeColor="text1"/>
        </w:rPr>
        <w:t xml:space="preserve">their engagement on disaster </w:t>
      </w:r>
      <w:r>
        <w:rPr>
          <w:rFonts w:ascii="Arial" w:hAnsi="Arial" w:cs="Arial"/>
          <w:color w:val="000000" w:themeColor="text1"/>
        </w:rPr>
        <w:tab/>
        <w:t>e</w:t>
      </w:r>
      <w:r w:rsidRPr="00837B19">
        <w:rPr>
          <w:rFonts w:ascii="Arial" w:hAnsi="Arial" w:cs="Arial"/>
          <w:color w:val="000000" w:themeColor="text1"/>
        </w:rPr>
        <w:t xml:space="preserve">ngagement in </w:t>
      </w:r>
      <w:r>
        <w:rPr>
          <w:rFonts w:ascii="Arial" w:hAnsi="Arial" w:cs="Arial"/>
          <w:color w:val="000000" w:themeColor="text1"/>
        </w:rPr>
        <w:t>e</w:t>
      </w:r>
      <w:r w:rsidRPr="00837B19">
        <w:rPr>
          <w:rFonts w:ascii="Arial" w:hAnsi="Arial" w:cs="Arial"/>
          <w:color w:val="000000" w:themeColor="text1"/>
        </w:rPr>
        <w:t xml:space="preserve">mergency </w:t>
      </w:r>
      <w:r>
        <w:rPr>
          <w:rFonts w:ascii="Arial" w:hAnsi="Arial" w:cs="Arial"/>
          <w:color w:val="000000" w:themeColor="text1"/>
        </w:rPr>
        <w:t>m</w:t>
      </w:r>
      <w:r w:rsidRPr="00837B19">
        <w:rPr>
          <w:rFonts w:ascii="Arial" w:hAnsi="Arial" w:cs="Arial"/>
          <w:color w:val="000000" w:themeColor="text1"/>
        </w:rPr>
        <w:t xml:space="preserve">anagement </w:t>
      </w:r>
      <w:r>
        <w:rPr>
          <w:rFonts w:ascii="Arial" w:hAnsi="Arial" w:cs="Arial"/>
          <w:color w:val="000000" w:themeColor="text1"/>
        </w:rPr>
        <w:t>p</w:t>
      </w:r>
      <w:r w:rsidRPr="00837B19">
        <w:rPr>
          <w:rFonts w:ascii="Arial" w:hAnsi="Arial" w:cs="Arial"/>
          <w:color w:val="000000" w:themeColor="text1"/>
        </w:rPr>
        <w:t>ractices</w:t>
      </w:r>
      <w:r>
        <w:rPr>
          <w:rFonts w:ascii="Arial" w:hAnsi="Arial" w:cs="Arial"/>
          <w:color w:val="000000" w:themeColor="text1"/>
        </w:rPr>
        <w:t>.</w:t>
      </w:r>
    </w:p>
    <w:p w14:paraId="08BA022A" w14:textId="77777777" w:rsidR="00B674D6" w:rsidRDefault="00B674D6" w:rsidP="00B674D6">
      <w:pPr>
        <w:spacing w:after="0" w:line="240" w:lineRule="auto"/>
        <w:jc w:val="both"/>
        <w:rPr>
          <w:rFonts w:ascii="Arial" w:hAnsi="Arial" w:cs="Arial"/>
          <w:color w:val="000000" w:themeColor="text1"/>
        </w:rPr>
      </w:pPr>
      <w:r w:rsidRPr="00D53E84">
        <w:rPr>
          <w:rFonts w:ascii="Arial" w:hAnsi="Arial" w:cs="Arial"/>
          <w:color w:val="000000" w:themeColor="text1"/>
        </w:rPr>
        <w:tab/>
        <w:t xml:space="preserve">4.2 conduct comparative studies across different academic programs or </w:t>
      </w:r>
      <w:r w:rsidRPr="00D53E84">
        <w:rPr>
          <w:rFonts w:ascii="Arial" w:hAnsi="Arial" w:cs="Arial"/>
          <w:color w:val="000000" w:themeColor="text1"/>
        </w:rPr>
        <w:tab/>
        <w:t xml:space="preserve">institutions to provide broader insights into DRRM practices in higher </w:t>
      </w:r>
      <w:r w:rsidRPr="00D53E84">
        <w:rPr>
          <w:rFonts w:ascii="Arial" w:hAnsi="Arial" w:cs="Arial"/>
          <w:color w:val="000000" w:themeColor="text1"/>
        </w:rPr>
        <w:tab/>
        <w:t>education.</w:t>
      </w:r>
    </w:p>
    <w:p w14:paraId="53D7A9D3" w14:textId="77777777" w:rsidR="008A03B1" w:rsidRPr="00D53E84" w:rsidRDefault="008A03B1" w:rsidP="00B674D6">
      <w:pPr>
        <w:spacing w:after="0" w:line="240" w:lineRule="auto"/>
        <w:jc w:val="both"/>
        <w:rPr>
          <w:rFonts w:ascii="Arial" w:hAnsi="Arial" w:cs="Arial"/>
          <w:color w:val="000000" w:themeColor="text1"/>
        </w:rPr>
      </w:pPr>
    </w:p>
    <w:p w14:paraId="1B3225B8" w14:textId="77777777" w:rsidR="008A03B1" w:rsidRDefault="008A03B1" w:rsidP="008A03B1">
      <w:pPr>
        <w:spacing w:after="0" w:line="240" w:lineRule="auto"/>
        <w:jc w:val="both"/>
        <w:rPr>
          <w:rFonts w:ascii="Arial" w:eastAsia="Calibri" w:hAnsi="Arial" w:cs="Arial"/>
          <w:b/>
          <w:bCs/>
          <w:color w:val="000000" w:themeColor="text1"/>
        </w:rPr>
      </w:pPr>
      <w:r w:rsidRPr="00B674D6">
        <w:rPr>
          <w:rFonts w:ascii="Arial" w:eastAsia="Calibri" w:hAnsi="Arial" w:cs="Arial"/>
          <w:b/>
          <w:bCs/>
          <w:color w:val="000000" w:themeColor="text1"/>
        </w:rPr>
        <w:t>Compliance with Ethical Standards</w:t>
      </w:r>
    </w:p>
    <w:p w14:paraId="6DDDD297" w14:textId="77777777" w:rsidR="008A03B1" w:rsidRDefault="008A03B1" w:rsidP="008A03B1">
      <w:pPr>
        <w:spacing w:after="0" w:line="240" w:lineRule="auto"/>
        <w:jc w:val="both"/>
        <w:rPr>
          <w:rFonts w:ascii="Arial" w:eastAsia="Calibri" w:hAnsi="Arial" w:cs="Arial"/>
          <w:b/>
          <w:bCs/>
          <w:color w:val="000000" w:themeColor="text1"/>
        </w:rPr>
      </w:pPr>
    </w:p>
    <w:p w14:paraId="11B8A916" w14:textId="4929EFFD" w:rsidR="00DB32C4" w:rsidRPr="00DB32C4" w:rsidRDefault="00DB32C4" w:rsidP="00DB32C4">
      <w:pPr>
        <w:spacing w:after="0" w:line="240" w:lineRule="auto"/>
        <w:jc w:val="both"/>
        <w:rPr>
          <w:rFonts w:ascii="Arial" w:eastAsia="Calibri" w:hAnsi="Arial" w:cs="Arial"/>
          <w:color w:val="000000" w:themeColor="text1"/>
        </w:rPr>
      </w:pPr>
      <w:r>
        <w:rPr>
          <w:rFonts w:ascii="Arial" w:eastAsia="Calibri" w:hAnsi="Arial" w:cs="Arial"/>
          <w:color w:val="000000" w:themeColor="text1"/>
        </w:rPr>
        <w:tab/>
      </w:r>
      <w:r w:rsidRPr="00DB32C4">
        <w:rPr>
          <w:rFonts w:ascii="Arial" w:eastAsia="Calibri" w:hAnsi="Arial" w:cs="Arial"/>
          <w:color w:val="000000" w:themeColor="text1"/>
        </w:rPr>
        <w:t xml:space="preserve">The authors guarantee that this study is conducted in accordance with the ethical standards of research with human subjects. During the study and before the actual data collection commenced, all participants were provided with the complete study proposal and signed an informed consent form. Consent forms in the research study were voluntary, and they were explained that they had the option to withdraw from the research study at any time and that doing so would not have any adverse effects on the study. The respondents were not recorded, and their identity was not disclosed to any third party. This study was conducted in compliance with the data privacy and confidentiality of the Data Privacy Act of 2012. All study data were collected, stored, and protected for research study purposes The respondents were treated with decency and courtesy during the study. The authors have no competing interests in the study. Proper citations were </w:t>
      </w:r>
      <w:r w:rsidRPr="00DB32C4">
        <w:rPr>
          <w:rFonts w:ascii="Arial" w:eastAsia="Calibri" w:hAnsi="Arial" w:cs="Arial"/>
          <w:color w:val="000000" w:themeColor="text1"/>
        </w:rPr>
        <w:lastRenderedPageBreak/>
        <w:t>provided and plagiarism was not tolerated. The study was conducted without any biases and the interpretation of the study data was objective. The study data was used solely for academic purposes and the results were presented in an unbiased manner. Authors retain all responsibility for the content while any use of ai tools has been restricted to proofreading and editing, not substantive revisions.</w:t>
      </w:r>
    </w:p>
    <w:p w14:paraId="53D1B11B" w14:textId="77777777" w:rsidR="00B674D6" w:rsidRPr="00B674D6" w:rsidRDefault="00B674D6" w:rsidP="008F45DF">
      <w:pPr>
        <w:spacing w:after="0" w:line="240" w:lineRule="auto"/>
        <w:jc w:val="both"/>
        <w:rPr>
          <w:rFonts w:ascii="Arial" w:eastAsia="Calibri" w:hAnsi="Arial" w:cs="Arial"/>
          <w:color w:val="000000" w:themeColor="text1"/>
        </w:rPr>
      </w:pPr>
    </w:p>
    <w:p w14:paraId="711406E9" w14:textId="77777777" w:rsidR="0099622C" w:rsidRDefault="0099622C" w:rsidP="008F45DF">
      <w:pPr>
        <w:spacing w:after="0" w:line="240" w:lineRule="auto"/>
        <w:jc w:val="both"/>
        <w:rPr>
          <w:rFonts w:ascii="Arial" w:eastAsia="Calibri" w:hAnsi="Arial" w:cs="Arial"/>
          <w:color w:val="000000" w:themeColor="text1"/>
          <w:lang w:val="en-US"/>
        </w:rPr>
      </w:pPr>
    </w:p>
    <w:p w14:paraId="2956DEAC" w14:textId="77777777" w:rsidR="00DE69E3" w:rsidRDefault="00DE69E3" w:rsidP="008F45DF">
      <w:pPr>
        <w:spacing w:after="0" w:line="240" w:lineRule="auto"/>
        <w:jc w:val="both"/>
        <w:rPr>
          <w:rFonts w:ascii="Arial" w:eastAsia="Calibri" w:hAnsi="Arial" w:cs="Arial"/>
          <w:color w:val="000000" w:themeColor="text1"/>
          <w:lang w:val="en-US"/>
        </w:rPr>
      </w:pPr>
    </w:p>
    <w:p w14:paraId="67A36D62" w14:textId="77777777" w:rsidR="00DE69E3" w:rsidRDefault="00DE69E3" w:rsidP="008F45DF">
      <w:pPr>
        <w:spacing w:after="0" w:line="240" w:lineRule="auto"/>
        <w:jc w:val="both"/>
        <w:rPr>
          <w:rFonts w:ascii="Arial" w:eastAsia="Calibri" w:hAnsi="Arial" w:cs="Arial"/>
          <w:color w:val="000000" w:themeColor="text1"/>
          <w:lang w:val="en-US"/>
        </w:rPr>
      </w:pPr>
    </w:p>
    <w:p w14:paraId="64F052B4" w14:textId="77777777" w:rsidR="00DE69E3" w:rsidRDefault="00DE69E3" w:rsidP="008F45DF">
      <w:pPr>
        <w:spacing w:after="0" w:line="240" w:lineRule="auto"/>
        <w:jc w:val="both"/>
        <w:rPr>
          <w:rFonts w:ascii="Arial" w:eastAsia="Calibri" w:hAnsi="Arial" w:cs="Arial"/>
          <w:color w:val="000000" w:themeColor="text1"/>
          <w:lang w:val="en-US"/>
        </w:rPr>
      </w:pPr>
    </w:p>
    <w:p w14:paraId="3EFC9C61" w14:textId="77777777" w:rsidR="00DE69E3" w:rsidRDefault="00DE69E3" w:rsidP="008F45DF">
      <w:pPr>
        <w:spacing w:after="0" w:line="240" w:lineRule="auto"/>
        <w:jc w:val="both"/>
        <w:rPr>
          <w:rFonts w:ascii="Arial" w:eastAsia="Calibri" w:hAnsi="Arial" w:cs="Arial"/>
          <w:color w:val="000000" w:themeColor="text1"/>
          <w:lang w:val="en-US"/>
        </w:rPr>
      </w:pPr>
    </w:p>
    <w:p w14:paraId="5BE6C78F" w14:textId="77777777" w:rsidR="00DE69E3" w:rsidRDefault="00DE69E3" w:rsidP="008F45DF">
      <w:pPr>
        <w:spacing w:after="0" w:line="240" w:lineRule="auto"/>
        <w:jc w:val="both"/>
        <w:rPr>
          <w:rFonts w:ascii="Arial" w:eastAsia="Calibri" w:hAnsi="Arial" w:cs="Arial"/>
          <w:color w:val="000000" w:themeColor="text1"/>
          <w:lang w:val="en-US"/>
        </w:rPr>
      </w:pPr>
    </w:p>
    <w:p w14:paraId="0F46210F" w14:textId="77777777" w:rsidR="00DE69E3" w:rsidRDefault="00DE69E3" w:rsidP="008F45DF">
      <w:pPr>
        <w:spacing w:after="0" w:line="240" w:lineRule="auto"/>
        <w:jc w:val="both"/>
        <w:rPr>
          <w:rFonts w:ascii="Arial" w:eastAsia="Calibri" w:hAnsi="Arial" w:cs="Arial"/>
          <w:color w:val="000000" w:themeColor="text1"/>
          <w:lang w:val="en-US"/>
        </w:rPr>
      </w:pPr>
    </w:p>
    <w:p w14:paraId="0AE5E98D" w14:textId="77777777" w:rsidR="00DE69E3" w:rsidRDefault="00DE69E3" w:rsidP="008F45DF">
      <w:pPr>
        <w:spacing w:after="0" w:line="240" w:lineRule="auto"/>
        <w:jc w:val="both"/>
        <w:rPr>
          <w:rFonts w:ascii="Arial" w:eastAsia="Calibri" w:hAnsi="Arial" w:cs="Arial"/>
          <w:color w:val="000000" w:themeColor="text1"/>
          <w:lang w:val="en-US"/>
        </w:rPr>
      </w:pPr>
    </w:p>
    <w:p w14:paraId="1C563204" w14:textId="77777777" w:rsidR="00DE69E3" w:rsidRDefault="00DE69E3" w:rsidP="008F45DF">
      <w:pPr>
        <w:spacing w:after="0" w:line="240" w:lineRule="auto"/>
        <w:jc w:val="both"/>
        <w:rPr>
          <w:rFonts w:ascii="Arial" w:eastAsia="Calibri" w:hAnsi="Arial" w:cs="Arial"/>
          <w:color w:val="000000" w:themeColor="text1"/>
          <w:lang w:val="en-US"/>
        </w:rPr>
      </w:pPr>
    </w:p>
    <w:p w14:paraId="19F28DFB" w14:textId="77777777" w:rsidR="00DE69E3" w:rsidRDefault="00DE69E3" w:rsidP="008F45DF">
      <w:pPr>
        <w:spacing w:after="0" w:line="240" w:lineRule="auto"/>
        <w:jc w:val="both"/>
        <w:rPr>
          <w:rFonts w:ascii="Arial" w:eastAsia="Calibri" w:hAnsi="Arial" w:cs="Arial"/>
          <w:color w:val="000000" w:themeColor="text1"/>
          <w:lang w:val="en-US"/>
        </w:rPr>
      </w:pPr>
    </w:p>
    <w:p w14:paraId="1835F150" w14:textId="77777777" w:rsidR="00DE69E3" w:rsidRDefault="00DE69E3" w:rsidP="008F45DF">
      <w:pPr>
        <w:spacing w:after="0" w:line="240" w:lineRule="auto"/>
        <w:jc w:val="both"/>
        <w:rPr>
          <w:rFonts w:ascii="Arial" w:eastAsia="Calibri" w:hAnsi="Arial" w:cs="Arial"/>
          <w:color w:val="000000" w:themeColor="text1"/>
          <w:lang w:val="en-US"/>
        </w:rPr>
      </w:pPr>
    </w:p>
    <w:p w14:paraId="4186688C" w14:textId="77777777" w:rsidR="00DE69E3" w:rsidRDefault="00DE69E3" w:rsidP="008F45DF">
      <w:pPr>
        <w:spacing w:after="0" w:line="240" w:lineRule="auto"/>
        <w:jc w:val="both"/>
        <w:rPr>
          <w:rFonts w:ascii="Arial" w:eastAsia="Calibri" w:hAnsi="Arial" w:cs="Arial"/>
          <w:color w:val="000000" w:themeColor="text1"/>
          <w:lang w:val="en-US"/>
        </w:rPr>
      </w:pPr>
    </w:p>
    <w:p w14:paraId="3FEBDFB4" w14:textId="77777777" w:rsidR="00DE69E3" w:rsidRDefault="00DE69E3" w:rsidP="008F45DF">
      <w:pPr>
        <w:spacing w:after="0" w:line="240" w:lineRule="auto"/>
        <w:jc w:val="both"/>
        <w:rPr>
          <w:rFonts w:ascii="Arial" w:eastAsia="Calibri" w:hAnsi="Arial" w:cs="Arial"/>
          <w:color w:val="000000" w:themeColor="text1"/>
          <w:lang w:val="en-US"/>
        </w:rPr>
      </w:pPr>
    </w:p>
    <w:p w14:paraId="1389CB94" w14:textId="77777777" w:rsidR="00DE69E3" w:rsidRDefault="00DE69E3" w:rsidP="008F45DF">
      <w:pPr>
        <w:spacing w:after="0" w:line="240" w:lineRule="auto"/>
        <w:jc w:val="both"/>
        <w:rPr>
          <w:rFonts w:ascii="Arial" w:eastAsia="Calibri" w:hAnsi="Arial" w:cs="Arial"/>
          <w:color w:val="000000" w:themeColor="text1"/>
          <w:lang w:val="en-US"/>
        </w:rPr>
      </w:pPr>
    </w:p>
    <w:p w14:paraId="2CD52993" w14:textId="77777777" w:rsidR="00DE69E3" w:rsidRDefault="00DE69E3" w:rsidP="008F45DF">
      <w:pPr>
        <w:spacing w:after="0" w:line="240" w:lineRule="auto"/>
        <w:jc w:val="both"/>
        <w:rPr>
          <w:rFonts w:ascii="Arial" w:eastAsia="Calibri" w:hAnsi="Arial" w:cs="Arial"/>
          <w:color w:val="000000" w:themeColor="text1"/>
          <w:lang w:val="en-US"/>
        </w:rPr>
      </w:pPr>
    </w:p>
    <w:p w14:paraId="4B06EA02" w14:textId="77777777" w:rsidR="00DE69E3" w:rsidRDefault="00DE69E3" w:rsidP="008F45DF">
      <w:pPr>
        <w:spacing w:after="0" w:line="240" w:lineRule="auto"/>
        <w:jc w:val="both"/>
        <w:rPr>
          <w:rFonts w:ascii="Arial" w:eastAsia="Calibri" w:hAnsi="Arial" w:cs="Arial"/>
          <w:color w:val="000000" w:themeColor="text1"/>
          <w:lang w:val="en-US"/>
        </w:rPr>
      </w:pPr>
    </w:p>
    <w:p w14:paraId="7E1E78ED" w14:textId="77777777" w:rsidR="00DE69E3" w:rsidRDefault="00DE69E3" w:rsidP="008F45DF">
      <w:pPr>
        <w:spacing w:after="0" w:line="240" w:lineRule="auto"/>
        <w:jc w:val="both"/>
        <w:rPr>
          <w:rFonts w:ascii="Arial" w:eastAsia="Calibri" w:hAnsi="Arial" w:cs="Arial"/>
          <w:color w:val="000000" w:themeColor="text1"/>
          <w:lang w:val="en-US"/>
        </w:rPr>
      </w:pPr>
    </w:p>
    <w:p w14:paraId="3D10B97E" w14:textId="77777777" w:rsidR="00DE69E3" w:rsidRDefault="00DE69E3" w:rsidP="008F45DF">
      <w:pPr>
        <w:spacing w:after="0" w:line="240" w:lineRule="auto"/>
        <w:jc w:val="both"/>
        <w:rPr>
          <w:rFonts w:ascii="Arial" w:eastAsia="Calibri" w:hAnsi="Arial" w:cs="Arial"/>
          <w:color w:val="000000" w:themeColor="text1"/>
          <w:lang w:val="en-US"/>
        </w:rPr>
      </w:pPr>
    </w:p>
    <w:p w14:paraId="7F2EB12B" w14:textId="77777777" w:rsidR="00DE69E3" w:rsidRDefault="00DE69E3" w:rsidP="008F45DF">
      <w:pPr>
        <w:spacing w:after="0" w:line="240" w:lineRule="auto"/>
        <w:jc w:val="both"/>
        <w:rPr>
          <w:rFonts w:ascii="Arial" w:eastAsia="Calibri" w:hAnsi="Arial" w:cs="Arial"/>
          <w:color w:val="000000" w:themeColor="text1"/>
          <w:lang w:val="en-US"/>
        </w:rPr>
      </w:pPr>
    </w:p>
    <w:p w14:paraId="341C9BA5" w14:textId="77777777" w:rsidR="00DE69E3" w:rsidRDefault="00DE69E3" w:rsidP="008F45DF">
      <w:pPr>
        <w:spacing w:after="0" w:line="240" w:lineRule="auto"/>
        <w:jc w:val="both"/>
        <w:rPr>
          <w:rFonts w:ascii="Arial" w:eastAsia="Calibri" w:hAnsi="Arial" w:cs="Arial"/>
          <w:color w:val="000000" w:themeColor="text1"/>
          <w:lang w:val="en-US"/>
        </w:rPr>
      </w:pPr>
    </w:p>
    <w:p w14:paraId="3A25FD37" w14:textId="77777777" w:rsidR="00DE69E3" w:rsidRDefault="00DE69E3" w:rsidP="008F45DF">
      <w:pPr>
        <w:spacing w:after="0" w:line="240" w:lineRule="auto"/>
        <w:jc w:val="both"/>
        <w:rPr>
          <w:rFonts w:ascii="Arial" w:eastAsia="Calibri" w:hAnsi="Arial" w:cs="Arial"/>
          <w:color w:val="000000" w:themeColor="text1"/>
          <w:lang w:val="en-US"/>
        </w:rPr>
      </w:pPr>
    </w:p>
    <w:p w14:paraId="0A5224AA" w14:textId="77777777" w:rsidR="00DE69E3" w:rsidRDefault="00DE69E3" w:rsidP="008F45DF">
      <w:pPr>
        <w:spacing w:after="0" w:line="240" w:lineRule="auto"/>
        <w:jc w:val="both"/>
        <w:rPr>
          <w:rFonts w:ascii="Arial" w:eastAsia="Calibri" w:hAnsi="Arial" w:cs="Arial"/>
          <w:color w:val="000000" w:themeColor="text1"/>
          <w:lang w:val="en-US"/>
        </w:rPr>
      </w:pPr>
    </w:p>
    <w:p w14:paraId="3B502804" w14:textId="77777777" w:rsidR="00DE69E3" w:rsidRDefault="00DE69E3" w:rsidP="008F45DF">
      <w:pPr>
        <w:spacing w:after="0" w:line="240" w:lineRule="auto"/>
        <w:jc w:val="both"/>
        <w:rPr>
          <w:rFonts w:ascii="Arial" w:eastAsia="Calibri" w:hAnsi="Arial" w:cs="Arial"/>
          <w:color w:val="000000" w:themeColor="text1"/>
          <w:lang w:val="en-US"/>
        </w:rPr>
      </w:pPr>
    </w:p>
    <w:p w14:paraId="04C3A696" w14:textId="77777777" w:rsidR="00DE69E3" w:rsidRDefault="00DE69E3" w:rsidP="008F45DF">
      <w:pPr>
        <w:spacing w:after="0" w:line="240" w:lineRule="auto"/>
        <w:jc w:val="both"/>
        <w:rPr>
          <w:rFonts w:ascii="Arial" w:eastAsia="Calibri" w:hAnsi="Arial" w:cs="Arial"/>
          <w:color w:val="000000" w:themeColor="text1"/>
          <w:lang w:val="en-US"/>
        </w:rPr>
      </w:pPr>
    </w:p>
    <w:p w14:paraId="39E3BE7B" w14:textId="77777777" w:rsidR="00DE69E3" w:rsidRDefault="00DE69E3" w:rsidP="008F45DF">
      <w:pPr>
        <w:spacing w:after="0" w:line="240" w:lineRule="auto"/>
        <w:jc w:val="both"/>
        <w:rPr>
          <w:rFonts w:ascii="Arial" w:eastAsia="Calibri" w:hAnsi="Arial" w:cs="Arial"/>
          <w:color w:val="000000" w:themeColor="text1"/>
          <w:lang w:val="en-US"/>
        </w:rPr>
      </w:pPr>
    </w:p>
    <w:p w14:paraId="72052AB4" w14:textId="77777777" w:rsidR="00DE69E3" w:rsidRDefault="00DE69E3" w:rsidP="008F45DF">
      <w:pPr>
        <w:spacing w:after="0" w:line="240" w:lineRule="auto"/>
        <w:jc w:val="both"/>
        <w:rPr>
          <w:rFonts w:ascii="Arial" w:eastAsia="Calibri" w:hAnsi="Arial" w:cs="Arial"/>
          <w:color w:val="000000" w:themeColor="text1"/>
          <w:lang w:val="en-US"/>
        </w:rPr>
      </w:pPr>
    </w:p>
    <w:p w14:paraId="13308DA9" w14:textId="77777777" w:rsidR="00DE69E3" w:rsidRDefault="00DE69E3" w:rsidP="008F45DF">
      <w:pPr>
        <w:spacing w:after="0" w:line="240" w:lineRule="auto"/>
        <w:jc w:val="both"/>
        <w:rPr>
          <w:rFonts w:ascii="Arial" w:eastAsia="Calibri" w:hAnsi="Arial" w:cs="Arial"/>
          <w:color w:val="000000" w:themeColor="text1"/>
          <w:lang w:val="en-US"/>
        </w:rPr>
      </w:pPr>
    </w:p>
    <w:p w14:paraId="3881C68A" w14:textId="77777777" w:rsidR="00DE69E3" w:rsidRDefault="00DE69E3" w:rsidP="008F45DF">
      <w:pPr>
        <w:spacing w:after="0" w:line="240" w:lineRule="auto"/>
        <w:jc w:val="both"/>
        <w:rPr>
          <w:rFonts w:ascii="Arial" w:eastAsia="Calibri" w:hAnsi="Arial" w:cs="Arial"/>
          <w:color w:val="000000" w:themeColor="text1"/>
          <w:lang w:val="en-US"/>
        </w:rPr>
      </w:pPr>
    </w:p>
    <w:p w14:paraId="55A81835" w14:textId="77777777" w:rsidR="00DE69E3" w:rsidRDefault="00DE69E3" w:rsidP="008F45DF">
      <w:pPr>
        <w:spacing w:after="0" w:line="240" w:lineRule="auto"/>
        <w:jc w:val="both"/>
        <w:rPr>
          <w:rFonts w:ascii="Arial" w:eastAsia="Calibri" w:hAnsi="Arial" w:cs="Arial"/>
          <w:color w:val="000000" w:themeColor="text1"/>
          <w:lang w:val="en-US"/>
        </w:rPr>
      </w:pPr>
    </w:p>
    <w:p w14:paraId="4D500069" w14:textId="77777777" w:rsidR="00DE69E3" w:rsidRDefault="00DE69E3" w:rsidP="008F45DF">
      <w:pPr>
        <w:spacing w:after="0" w:line="240" w:lineRule="auto"/>
        <w:jc w:val="both"/>
        <w:rPr>
          <w:rFonts w:ascii="Arial" w:eastAsia="Calibri" w:hAnsi="Arial" w:cs="Arial"/>
          <w:color w:val="000000" w:themeColor="text1"/>
          <w:lang w:val="en-US"/>
        </w:rPr>
      </w:pPr>
    </w:p>
    <w:p w14:paraId="79EF6EC5" w14:textId="77777777" w:rsidR="00DE69E3" w:rsidRDefault="00DE69E3" w:rsidP="008F45DF">
      <w:pPr>
        <w:spacing w:after="0" w:line="240" w:lineRule="auto"/>
        <w:jc w:val="both"/>
        <w:rPr>
          <w:rFonts w:ascii="Arial" w:eastAsia="Calibri" w:hAnsi="Arial" w:cs="Arial"/>
          <w:color w:val="000000" w:themeColor="text1"/>
          <w:lang w:val="en-US"/>
        </w:rPr>
      </w:pPr>
    </w:p>
    <w:p w14:paraId="5DD89784" w14:textId="77777777" w:rsidR="00DE69E3" w:rsidRDefault="00DE69E3" w:rsidP="008F45DF">
      <w:pPr>
        <w:spacing w:after="0" w:line="240" w:lineRule="auto"/>
        <w:jc w:val="both"/>
        <w:rPr>
          <w:rFonts w:ascii="Arial" w:eastAsia="Calibri" w:hAnsi="Arial" w:cs="Arial"/>
          <w:color w:val="000000" w:themeColor="text1"/>
          <w:lang w:val="en-US"/>
        </w:rPr>
      </w:pPr>
    </w:p>
    <w:p w14:paraId="0D75496C" w14:textId="77777777" w:rsidR="00DE69E3" w:rsidRDefault="00DE69E3" w:rsidP="008F45DF">
      <w:pPr>
        <w:spacing w:after="0" w:line="240" w:lineRule="auto"/>
        <w:jc w:val="both"/>
        <w:rPr>
          <w:rFonts w:ascii="Arial" w:eastAsia="Calibri" w:hAnsi="Arial" w:cs="Arial"/>
          <w:color w:val="000000" w:themeColor="text1"/>
          <w:lang w:val="en-US"/>
        </w:rPr>
      </w:pPr>
    </w:p>
    <w:p w14:paraId="5D1C4390" w14:textId="77777777" w:rsidR="00DE69E3" w:rsidRDefault="00DE69E3" w:rsidP="008F45DF">
      <w:pPr>
        <w:spacing w:after="0" w:line="240" w:lineRule="auto"/>
        <w:jc w:val="both"/>
        <w:rPr>
          <w:rFonts w:ascii="Arial" w:eastAsia="Calibri" w:hAnsi="Arial" w:cs="Arial"/>
          <w:color w:val="000000" w:themeColor="text1"/>
          <w:lang w:val="en-US"/>
        </w:rPr>
      </w:pPr>
    </w:p>
    <w:p w14:paraId="0C3390F1" w14:textId="77777777" w:rsidR="00DE69E3" w:rsidRDefault="00DE69E3" w:rsidP="008F45DF">
      <w:pPr>
        <w:spacing w:after="0" w:line="240" w:lineRule="auto"/>
        <w:jc w:val="both"/>
        <w:rPr>
          <w:rFonts w:ascii="Arial" w:eastAsia="Calibri" w:hAnsi="Arial" w:cs="Arial"/>
          <w:color w:val="000000" w:themeColor="text1"/>
          <w:lang w:val="en-US"/>
        </w:rPr>
      </w:pPr>
    </w:p>
    <w:p w14:paraId="157BE8C2" w14:textId="77777777" w:rsidR="0099622C" w:rsidRPr="0099622C" w:rsidRDefault="0099622C" w:rsidP="0099622C">
      <w:pPr>
        <w:spacing w:after="0" w:line="240" w:lineRule="auto"/>
        <w:jc w:val="both"/>
        <w:rPr>
          <w:rFonts w:ascii="Arial" w:eastAsia="Calibri" w:hAnsi="Arial" w:cs="Arial"/>
          <w:b/>
          <w:bCs/>
          <w:color w:val="000000" w:themeColor="text1"/>
        </w:rPr>
      </w:pPr>
      <w:r w:rsidRPr="0099622C">
        <w:rPr>
          <w:rFonts w:ascii="Arial" w:eastAsia="Calibri" w:hAnsi="Arial" w:cs="Arial"/>
          <w:b/>
          <w:bCs/>
          <w:color w:val="000000" w:themeColor="text1"/>
        </w:rPr>
        <w:t>REFERENCES</w:t>
      </w:r>
    </w:p>
    <w:p w14:paraId="4D9D1F43" w14:textId="77777777" w:rsidR="0099622C" w:rsidRPr="0099622C" w:rsidRDefault="0099622C" w:rsidP="0099622C">
      <w:pPr>
        <w:spacing w:after="0" w:line="240" w:lineRule="auto"/>
        <w:jc w:val="both"/>
        <w:rPr>
          <w:rFonts w:ascii="Arial" w:eastAsia="Calibri" w:hAnsi="Arial" w:cs="Arial"/>
          <w:b/>
          <w:bCs/>
          <w:color w:val="000000" w:themeColor="text1"/>
        </w:rPr>
      </w:pPr>
    </w:p>
    <w:p w14:paraId="699FC639" w14:textId="1C32CF4D" w:rsidR="0099622C" w:rsidRPr="0099622C" w:rsidRDefault="0099622C" w:rsidP="0099622C">
      <w:pPr>
        <w:spacing w:after="0" w:line="240" w:lineRule="auto"/>
        <w:jc w:val="both"/>
        <w:rPr>
          <w:rFonts w:ascii="Arial" w:eastAsia="Calibri" w:hAnsi="Arial" w:cs="Arial"/>
        </w:rPr>
      </w:pPr>
      <w:r w:rsidRPr="0099622C">
        <w:rPr>
          <w:rFonts w:ascii="Arial" w:eastAsia="Calibri" w:hAnsi="Arial" w:cs="Arial"/>
          <w:color w:val="000000" w:themeColor="text1"/>
        </w:rPr>
        <w:t xml:space="preserve">Asuncion, R., De Guzman, A., &amp; Santos, L. (2023). University students’ awareness </w:t>
      </w:r>
      <w:r w:rsidR="00F13F1A">
        <w:rPr>
          <w:rFonts w:ascii="Arial" w:eastAsia="Calibri" w:hAnsi="Arial" w:cs="Arial"/>
          <w:color w:val="000000" w:themeColor="text1"/>
        </w:rPr>
        <w:tab/>
      </w:r>
      <w:r w:rsidRPr="0099622C">
        <w:rPr>
          <w:rFonts w:ascii="Arial" w:eastAsia="Calibri" w:hAnsi="Arial" w:cs="Arial"/>
          <w:color w:val="000000" w:themeColor="text1"/>
        </w:rPr>
        <w:t xml:space="preserve">and preparedness in disaster risk reduction and management. </w:t>
      </w:r>
      <w:r w:rsidRPr="0099622C">
        <w:rPr>
          <w:rFonts w:ascii="Arial" w:eastAsia="Calibri" w:hAnsi="Arial" w:cs="Arial"/>
          <w:i/>
          <w:iCs/>
          <w:color w:val="000000" w:themeColor="text1"/>
        </w:rPr>
        <w:t xml:space="preserve">International </w:t>
      </w:r>
      <w:r w:rsidR="00F13F1A">
        <w:rPr>
          <w:rFonts w:ascii="Arial" w:eastAsia="Calibri" w:hAnsi="Arial" w:cs="Arial"/>
          <w:i/>
          <w:iCs/>
          <w:color w:val="000000" w:themeColor="text1"/>
        </w:rPr>
        <w:lastRenderedPageBreak/>
        <w:tab/>
      </w:r>
      <w:r w:rsidRPr="0099622C">
        <w:rPr>
          <w:rFonts w:ascii="Arial" w:eastAsia="Calibri" w:hAnsi="Arial" w:cs="Arial"/>
          <w:i/>
          <w:iCs/>
          <w:color w:val="000000" w:themeColor="text1"/>
        </w:rPr>
        <w:t>Journal of Disaster Risk Reduction, 58</w:t>
      </w:r>
      <w:r w:rsidRPr="0099622C">
        <w:rPr>
          <w:rFonts w:ascii="Arial" w:eastAsia="Calibri" w:hAnsi="Arial" w:cs="Arial"/>
          <w:color w:val="000000" w:themeColor="text1"/>
        </w:rPr>
        <w:t xml:space="preserve">, 102484. </w:t>
      </w:r>
      <w:r w:rsidR="00F13F1A">
        <w:rPr>
          <w:rFonts w:ascii="Arial" w:eastAsia="Calibri" w:hAnsi="Arial" w:cs="Arial"/>
          <w:color w:val="000000" w:themeColor="text1"/>
        </w:rPr>
        <w:tab/>
      </w:r>
      <w:hyperlink r:id="rId6" w:history="1">
        <w:r w:rsidR="00F13F1A" w:rsidRPr="0099622C">
          <w:rPr>
            <w:rStyle w:val="Hyperlink"/>
            <w:rFonts w:ascii="Arial" w:eastAsia="Calibri" w:hAnsi="Arial" w:cs="Arial"/>
            <w:color w:val="auto"/>
            <w:u w:val="none"/>
          </w:rPr>
          <w:t>https://doi.org/10.1016/j.ijdrr.2023.102484</w:t>
        </w:r>
      </w:hyperlink>
    </w:p>
    <w:p w14:paraId="31847038" w14:textId="4187CF91"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Balagtas, J., Del Rosario, M., &amp; Luna, P. (2023). The role of DRRM resources in </w:t>
      </w:r>
      <w:r w:rsidR="00F13F1A">
        <w:rPr>
          <w:rFonts w:ascii="Arial" w:eastAsia="Calibri" w:hAnsi="Arial" w:cs="Arial"/>
          <w:color w:val="000000" w:themeColor="text1"/>
        </w:rPr>
        <w:tab/>
      </w:r>
      <w:r w:rsidRPr="0099622C">
        <w:rPr>
          <w:rFonts w:ascii="Arial" w:eastAsia="Calibri" w:hAnsi="Arial" w:cs="Arial"/>
          <w:color w:val="000000" w:themeColor="text1"/>
        </w:rPr>
        <w:t xml:space="preserve">enhancing disaster preparedness among students. </w:t>
      </w:r>
      <w:r w:rsidRPr="0099622C">
        <w:rPr>
          <w:rFonts w:ascii="Arial" w:eastAsia="Calibri" w:hAnsi="Arial" w:cs="Arial"/>
          <w:i/>
          <w:iCs/>
          <w:color w:val="000000" w:themeColor="text1"/>
        </w:rPr>
        <w:t xml:space="preserve">Journal of Educational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Safety and Preparedness, 12</w:t>
      </w:r>
      <w:r w:rsidRPr="0099622C">
        <w:rPr>
          <w:rFonts w:ascii="Arial" w:eastAsia="Calibri" w:hAnsi="Arial" w:cs="Arial"/>
          <w:color w:val="000000" w:themeColor="text1"/>
        </w:rPr>
        <w:t>(2), 145–162.</w:t>
      </w:r>
    </w:p>
    <w:p w14:paraId="40D1E352" w14:textId="3F65186A"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Camacho, L., &amp; Ferrer, R. (2023). Active participation in DRRM activities and its </w:t>
      </w:r>
      <w:r w:rsidR="00F13F1A">
        <w:rPr>
          <w:rFonts w:ascii="Arial" w:eastAsia="Calibri" w:hAnsi="Arial" w:cs="Arial"/>
          <w:color w:val="000000" w:themeColor="text1"/>
        </w:rPr>
        <w:tab/>
      </w:r>
      <w:r w:rsidRPr="0099622C">
        <w:rPr>
          <w:rFonts w:ascii="Arial" w:eastAsia="Calibri" w:hAnsi="Arial" w:cs="Arial"/>
          <w:color w:val="000000" w:themeColor="text1"/>
        </w:rPr>
        <w:t xml:space="preserve">impact on disaster preparedness. </w:t>
      </w:r>
      <w:r w:rsidRPr="0099622C">
        <w:rPr>
          <w:rFonts w:ascii="Arial" w:eastAsia="Calibri" w:hAnsi="Arial" w:cs="Arial"/>
          <w:i/>
          <w:iCs/>
          <w:color w:val="000000" w:themeColor="text1"/>
        </w:rPr>
        <w:t>Journal of Disaster Studies, 17</w:t>
      </w:r>
      <w:r w:rsidRPr="0099622C">
        <w:rPr>
          <w:rFonts w:ascii="Arial" w:eastAsia="Calibri" w:hAnsi="Arial" w:cs="Arial"/>
          <w:color w:val="000000" w:themeColor="text1"/>
        </w:rPr>
        <w:t>(3), 233–</w:t>
      </w:r>
      <w:r w:rsidR="00F13F1A">
        <w:rPr>
          <w:rFonts w:ascii="Arial" w:eastAsia="Calibri" w:hAnsi="Arial" w:cs="Arial"/>
          <w:color w:val="000000" w:themeColor="text1"/>
        </w:rPr>
        <w:tab/>
      </w:r>
      <w:r w:rsidRPr="0099622C">
        <w:rPr>
          <w:rFonts w:ascii="Arial" w:eastAsia="Calibri" w:hAnsi="Arial" w:cs="Arial"/>
          <w:color w:val="000000" w:themeColor="text1"/>
        </w:rPr>
        <w:t>247.</w:t>
      </w:r>
    </w:p>
    <w:p w14:paraId="4F0A857F" w14:textId="063A5229"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Ching, S., Mateo, J., &amp; Liwanag, K. (2023). Digital learning platforms and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education: An assessment of effectiveness. </w:t>
      </w:r>
      <w:r w:rsidRPr="0099622C">
        <w:rPr>
          <w:rFonts w:ascii="Arial" w:eastAsia="Calibri" w:hAnsi="Arial" w:cs="Arial"/>
          <w:i/>
          <w:iCs/>
          <w:color w:val="000000" w:themeColor="text1"/>
        </w:rPr>
        <w:t xml:space="preserve">Technology in </w:t>
      </w:r>
      <w:r w:rsidR="00F13F1A">
        <w:rPr>
          <w:rFonts w:ascii="Arial" w:eastAsia="Calibri" w:hAnsi="Arial" w:cs="Arial"/>
          <w:i/>
          <w:iCs/>
          <w:color w:val="000000" w:themeColor="text1"/>
        </w:rPr>
        <w:tab/>
      </w:r>
      <w:r w:rsidRPr="0099622C">
        <w:rPr>
          <w:rFonts w:ascii="Arial" w:eastAsia="Calibri" w:hAnsi="Arial" w:cs="Arial"/>
          <w:i/>
          <w:iCs/>
          <w:color w:val="000000" w:themeColor="text1"/>
        </w:rPr>
        <w:t>Education Review, 25</w:t>
      </w:r>
      <w:r w:rsidRPr="0099622C">
        <w:rPr>
          <w:rFonts w:ascii="Arial" w:eastAsia="Calibri" w:hAnsi="Arial" w:cs="Arial"/>
          <w:color w:val="000000" w:themeColor="text1"/>
        </w:rPr>
        <w:t>(4), 189–204.</w:t>
      </w:r>
    </w:p>
    <w:p w14:paraId="61B048A1" w14:textId="7D10EC8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Demetrio, C. C., &amp; Flores, G. T. (2025). Assessing the functionality of disaster risk </w:t>
      </w:r>
      <w:r w:rsidR="00F13F1A">
        <w:rPr>
          <w:rFonts w:ascii="Arial" w:eastAsia="Calibri" w:hAnsi="Arial" w:cs="Arial"/>
          <w:color w:val="000000" w:themeColor="text1"/>
        </w:rPr>
        <w:tab/>
      </w:r>
      <w:r w:rsidRPr="0099622C">
        <w:rPr>
          <w:rFonts w:ascii="Arial" w:eastAsia="Calibri" w:hAnsi="Arial" w:cs="Arial"/>
          <w:color w:val="000000" w:themeColor="text1"/>
        </w:rPr>
        <w:t xml:space="preserve">reduction and management (DRRM) resources at Agusan National High </w:t>
      </w:r>
      <w:r w:rsidR="00F13F1A">
        <w:rPr>
          <w:rFonts w:ascii="Arial" w:eastAsia="Calibri" w:hAnsi="Arial" w:cs="Arial"/>
          <w:color w:val="000000" w:themeColor="text1"/>
        </w:rPr>
        <w:tab/>
      </w:r>
      <w:r w:rsidRPr="0099622C">
        <w:rPr>
          <w:rFonts w:ascii="Arial" w:eastAsia="Calibri" w:hAnsi="Arial" w:cs="Arial"/>
          <w:color w:val="000000" w:themeColor="text1"/>
        </w:rPr>
        <w:t xml:space="preserve">School for SY 2023–2024. </w:t>
      </w:r>
      <w:r w:rsidRPr="0099622C">
        <w:rPr>
          <w:rFonts w:ascii="Arial" w:eastAsia="Calibri" w:hAnsi="Arial" w:cs="Arial"/>
          <w:i/>
          <w:iCs/>
          <w:color w:val="000000" w:themeColor="text1"/>
        </w:rPr>
        <w:t xml:space="preserve">International Journal of Scientific and Research </w:t>
      </w:r>
      <w:r w:rsidR="00F13F1A">
        <w:rPr>
          <w:rFonts w:ascii="Arial" w:eastAsia="Calibri" w:hAnsi="Arial" w:cs="Arial"/>
          <w:i/>
          <w:iCs/>
          <w:color w:val="000000" w:themeColor="text1"/>
        </w:rPr>
        <w:tab/>
      </w:r>
      <w:r w:rsidRPr="0099622C">
        <w:rPr>
          <w:rFonts w:ascii="Arial" w:eastAsia="Calibri" w:hAnsi="Arial" w:cs="Arial"/>
          <w:i/>
          <w:iCs/>
          <w:color w:val="000000" w:themeColor="text1"/>
        </w:rPr>
        <w:t>Publications, 15</w:t>
      </w:r>
      <w:r w:rsidRPr="0099622C">
        <w:rPr>
          <w:rFonts w:ascii="Arial" w:eastAsia="Calibri" w:hAnsi="Arial" w:cs="Arial"/>
          <w:color w:val="000000" w:themeColor="text1"/>
        </w:rPr>
        <w:t>(5), 140–147.</w:t>
      </w:r>
    </w:p>
    <w:p w14:paraId="42DF2D1E" w14:textId="01B04774"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Francisco, A., Gutierrez, M., &amp; Reyes, T. (2024). Understanding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awareness among college students: A focus on common hazards. </w:t>
      </w:r>
      <w:r w:rsidRPr="0099622C">
        <w:rPr>
          <w:rFonts w:ascii="Arial" w:eastAsia="Calibri" w:hAnsi="Arial" w:cs="Arial"/>
          <w:i/>
          <w:iCs/>
          <w:color w:val="000000" w:themeColor="text1"/>
        </w:rPr>
        <w:t xml:space="preserve">Disaster </w:t>
      </w:r>
      <w:r w:rsidR="00F13F1A">
        <w:rPr>
          <w:rFonts w:ascii="Arial" w:eastAsia="Calibri" w:hAnsi="Arial" w:cs="Arial"/>
          <w:i/>
          <w:iCs/>
          <w:color w:val="000000" w:themeColor="text1"/>
        </w:rPr>
        <w:tab/>
      </w:r>
      <w:r w:rsidRPr="0099622C">
        <w:rPr>
          <w:rFonts w:ascii="Arial" w:eastAsia="Calibri" w:hAnsi="Arial" w:cs="Arial"/>
          <w:i/>
          <w:iCs/>
          <w:color w:val="000000" w:themeColor="text1"/>
        </w:rPr>
        <w:t>Awareness Journal, 19</w:t>
      </w:r>
      <w:r w:rsidRPr="0099622C">
        <w:rPr>
          <w:rFonts w:ascii="Arial" w:eastAsia="Calibri" w:hAnsi="Arial" w:cs="Arial"/>
          <w:color w:val="000000" w:themeColor="text1"/>
        </w:rPr>
        <w:t>(1), 35–49.</w:t>
      </w:r>
    </w:p>
    <w:p w14:paraId="06D2AF91" w14:textId="59CFA3EE"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Garcia, R., Santos, E., &amp; Villanueva, G. (2024). Barriers to effective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education in schools. </w:t>
      </w:r>
      <w:r w:rsidRPr="0099622C">
        <w:rPr>
          <w:rFonts w:ascii="Arial" w:eastAsia="Calibri" w:hAnsi="Arial" w:cs="Arial"/>
          <w:i/>
          <w:iCs/>
          <w:color w:val="000000" w:themeColor="text1"/>
        </w:rPr>
        <w:t xml:space="preserve">International Journal of Educational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Preparedness, 15</w:t>
      </w:r>
      <w:r w:rsidRPr="0099622C">
        <w:rPr>
          <w:rFonts w:ascii="Arial" w:eastAsia="Calibri" w:hAnsi="Arial" w:cs="Arial"/>
          <w:color w:val="000000" w:themeColor="text1"/>
        </w:rPr>
        <w:t>(2), 97–112.</w:t>
      </w:r>
    </w:p>
    <w:p w14:paraId="5BA61515" w14:textId="1CD93D32"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Gonzales, M., Perez, L., &amp; Cruz, E. (2023). The role of teacher education in </w:t>
      </w:r>
      <w:r w:rsidR="00F13F1A">
        <w:rPr>
          <w:rFonts w:ascii="Arial" w:eastAsia="Calibri" w:hAnsi="Arial" w:cs="Arial"/>
          <w:color w:val="000000" w:themeColor="text1"/>
        </w:rPr>
        <w:tab/>
      </w:r>
      <w:r w:rsidRPr="0099622C">
        <w:rPr>
          <w:rFonts w:ascii="Arial" w:eastAsia="Calibri" w:hAnsi="Arial" w:cs="Arial"/>
          <w:color w:val="000000" w:themeColor="text1"/>
        </w:rPr>
        <w:t xml:space="preserve">disaster risk reduction and preparedness. </w:t>
      </w:r>
      <w:r w:rsidRPr="0099622C">
        <w:rPr>
          <w:rFonts w:ascii="Arial" w:eastAsia="Calibri" w:hAnsi="Arial" w:cs="Arial"/>
          <w:i/>
          <w:iCs/>
          <w:color w:val="000000" w:themeColor="text1"/>
        </w:rPr>
        <w:t xml:space="preserve">Education and Resilience </w:t>
      </w:r>
      <w:r w:rsidR="00F13F1A">
        <w:rPr>
          <w:rFonts w:ascii="Arial" w:eastAsia="Calibri" w:hAnsi="Arial" w:cs="Arial"/>
          <w:i/>
          <w:iCs/>
          <w:color w:val="000000" w:themeColor="text1"/>
        </w:rPr>
        <w:tab/>
      </w:r>
      <w:r w:rsidRPr="0099622C">
        <w:rPr>
          <w:rFonts w:ascii="Arial" w:eastAsia="Calibri" w:hAnsi="Arial" w:cs="Arial"/>
          <w:i/>
          <w:iCs/>
          <w:color w:val="000000" w:themeColor="text1"/>
        </w:rPr>
        <w:t>Journal, 10</w:t>
      </w:r>
      <w:r w:rsidRPr="0099622C">
        <w:rPr>
          <w:rFonts w:ascii="Arial" w:eastAsia="Calibri" w:hAnsi="Arial" w:cs="Arial"/>
          <w:color w:val="000000" w:themeColor="text1"/>
        </w:rPr>
        <w:t>(2), 145–158.</w:t>
      </w:r>
    </w:p>
    <w:p w14:paraId="0D83A471" w14:textId="550D79F5"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International Federation of Red Cross and Red Crescent Societies. (2013). </w:t>
      </w:r>
      <w:r w:rsidR="00F13F1A">
        <w:rPr>
          <w:rFonts w:ascii="Arial" w:eastAsia="Calibri" w:hAnsi="Arial" w:cs="Arial"/>
          <w:color w:val="000000" w:themeColor="text1"/>
        </w:rPr>
        <w:tab/>
      </w:r>
      <w:r w:rsidRPr="0099622C">
        <w:rPr>
          <w:rFonts w:ascii="Arial" w:eastAsia="Calibri" w:hAnsi="Arial" w:cs="Arial"/>
          <w:i/>
          <w:iCs/>
          <w:color w:val="000000" w:themeColor="text1"/>
        </w:rPr>
        <w:t>Disaster preparedness in educational settings: A guide for schools</w:t>
      </w:r>
      <w:r w:rsidRPr="0099622C">
        <w:rPr>
          <w:rFonts w:ascii="Arial" w:eastAsia="Calibri" w:hAnsi="Arial" w:cs="Arial"/>
          <w:color w:val="000000" w:themeColor="text1"/>
        </w:rPr>
        <w:t>. IFRC.</w:t>
      </w:r>
    </w:p>
    <w:p w14:paraId="0E48466A" w14:textId="48D2FE4B"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Kang, J., &amp; Lee, H. (2024). Disaster risk reduction education for future educators: </w:t>
      </w:r>
      <w:r w:rsidR="00F13F1A">
        <w:rPr>
          <w:rFonts w:ascii="Arial" w:eastAsia="Calibri" w:hAnsi="Arial" w:cs="Arial"/>
          <w:color w:val="000000" w:themeColor="text1"/>
        </w:rPr>
        <w:tab/>
      </w:r>
      <w:r w:rsidRPr="0099622C">
        <w:rPr>
          <w:rFonts w:ascii="Arial" w:eastAsia="Calibri" w:hAnsi="Arial" w:cs="Arial"/>
          <w:color w:val="000000" w:themeColor="text1"/>
        </w:rPr>
        <w:t xml:space="preserve">A framework for resilience in the classroom. </w:t>
      </w:r>
      <w:r w:rsidRPr="0099622C">
        <w:rPr>
          <w:rFonts w:ascii="Arial" w:eastAsia="Calibri" w:hAnsi="Arial" w:cs="Arial"/>
          <w:i/>
          <w:iCs/>
          <w:color w:val="000000" w:themeColor="text1"/>
        </w:rPr>
        <w:t xml:space="preserve">Teacher Education and </w:t>
      </w:r>
      <w:r w:rsidR="00F13F1A">
        <w:rPr>
          <w:rFonts w:ascii="Arial" w:eastAsia="Calibri" w:hAnsi="Arial" w:cs="Arial"/>
          <w:i/>
          <w:iCs/>
          <w:color w:val="000000" w:themeColor="text1"/>
        </w:rPr>
        <w:tab/>
      </w:r>
      <w:r w:rsidRPr="0099622C">
        <w:rPr>
          <w:rFonts w:ascii="Arial" w:eastAsia="Calibri" w:hAnsi="Arial" w:cs="Arial"/>
          <w:i/>
          <w:iCs/>
          <w:color w:val="000000" w:themeColor="text1"/>
        </w:rPr>
        <w:t>Disaster Resilience, 8</w:t>
      </w:r>
      <w:r w:rsidRPr="0099622C">
        <w:rPr>
          <w:rFonts w:ascii="Arial" w:eastAsia="Calibri" w:hAnsi="Arial" w:cs="Arial"/>
          <w:color w:val="000000" w:themeColor="text1"/>
        </w:rPr>
        <w:t>(1), 112–125.</w:t>
      </w:r>
    </w:p>
    <w:p w14:paraId="05C20F4D" w14:textId="7AF12C18"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Kim, S., Lee, D., &amp; Park, J. (2023). Integrating disaster preparedness into </w:t>
      </w:r>
      <w:r w:rsidR="00F13F1A">
        <w:rPr>
          <w:rFonts w:ascii="Arial" w:eastAsia="Calibri" w:hAnsi="Arial" w:cs="Arial"/>
          <w:color w:val="000000" w:themeColor="text1"/>
        </w:rPr>
        <w:tab/>
      </w:r>
      <w:r w:rsidRPr="0099622C">
        <w:rPr>
          <w:rFonts w:ascii="Arial" w:eastAsia="Calibri" w:hAnsi="Arial" w:cs="Arial"/>
          <w:color w:val="000000" w:themeColor="text1"/>
        </w:rPr>
        <w:t xml:space="preserve">educational curricula: A study of effectiveness. </w:t>
      </w:r>
      <w:r w:rsidRPr="0099622C">
        <w:rPr>
          <w:rFonts w:ascii="Arial" w:eastAsia="Calibri" w:hAnsi="Arial" w:cs="Arial"/>
          <w:i/>
          <w:iCs/>
          <w:color w:val="000000" w:themeColor="text1"/>
        </w:rPr>
        <w:t xml:space="preserve">Journal of Educational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Safety, 14</w:t>
      </w:r>
      <w:r w:rsidRPr="0099622C">
        <w:rPr>
          <w:rFonts w:ascii="Arial" w:eastAsia="Calibri" w:hAnsi="Arial" w:cs="Arial"/>
          <w:color w:val="000000" w:themeColor="text1"/>
        </w:rPr>
        <w:t>(3), 102–118.</w:t>
      </w:r>
    </w:p>
    <w:p w14:paraId="00D1B8B2" w14:textId="4CBF1497"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Lee, S., &amp; Choi, K. (2021). The relationship between disaster awareness and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behaviors among students. </w:t>
      </w:r>
      <w:r w:rsidRPr="0099622C">
        <w:rPr>
          <w:rFonts w:ascii="Arial" w:eastAsia="Calibri" w:hAnsi="Arial" w:cs="Arial"/>
          <w:i/>
          <w:iCs/>
          <w:color w:val="000000" w:themeColor="text1"/>
        </w:rPr>
        <w:t xml:space="preserve">Journal of Risk and Disaster </w:t>
      </w:r>
      <w:r w:rsidR="00F13F1A">
        <w:rPr>
          <w:rFonts w:ascii="Arial" w:eastAsia="Calibri" w:hAnsi="Arial" w:cs="Arial"/>
          <w:i/>
          <w:iCs/>
          <w:color w:val="000000" w:themeColor="text1"/>
        </w:rPr>
        <w:tab/>
      </w:r>
      <w:r w:rsidRPr="0099622C">
        <w:rPr>
          <w:rFonts w:ascii="Arial" w:eastAsia="Calibri" w:hAnsi="Arial" w:cs="Arial"/>
          <w:i/>
          <w:iCs/>
          <w:color w:val="000000" w:themeColor="text1"/>
        </w:rPr>
        <w:t>Management, 9</w:t>
      </w:r>
      <w:r w:rsidRPr="0099622C">
        <w:rPr>
          <w:rFonts w:ascii="Arial" w:eastAsia="Calibri" w:hAnsi="Arial" w:cs="Arial"/>
          <w:color w:val="000000" w:themeColor="text1"/>
        </w:rPr>
        <w:t>(2), 85–99.</w:t>
      </w:r>
    </w:p>
    <w:p w14:paraId="08A72F3A" w14:textId="790BBA3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Lopez, F., &amp; Miller, A. (2023). Teacher training for disaster risk reduction: </w:t>
      </w:r>
      <w:r w:rsidR="00F13F1A">
        <w:rPr>
          <w:rFonts w:ascii="Arial" w:eastAsia="Calibri" w:hAnsi="Arial" w:cs="Arial"/>
          <w:color w:val="000000" w:themeColor="text1"/>
        </w:rPr>
        <w:tab/>
      </w:r>
      <w:r w:rsidRPr="0099622C">
        <w:rPr>
          <w:rFonts w:ascii="Arial" w:eastAsia="Calibri" w:hAnsi="Arial" w:cs="Arial"/>
          <w:color w:val="000000" w:themeColor="text1"/>
        </w:rPr>
        <w:t xml:space="preserve">Enhancing community preparedness through education. </w:t>
      </w:r>
      <w:r w:rsidRPr="0099622C">
        <w:rPr>
          <w:rFonts w:ascii="Arial" w:eastAsia="Calibri" w:hAnsi="Arial" w:cs="Arial"/>
          <w:i/>
          <w:iCs/>
          <w:color w:val="000000" w:themeColor="text1"/>
        </w:rPr>
        <w:t xml:space="preserve">Journal of Risk </w:t>
      </w:r>
      <w:r w:rsidR="00F13F1A">
        <w:rPr>
          <w:rFonts w:ascii="Arial" w:eastAsia="Calibri" w:hAnsi="Arial" w:cs="Arial"/>
          <w:i/>
          <w:iCs/>
          <w:color w:val="000000" w:themeColor="text1"/>
        </w:rPr>
        <w:tab/>
      </w:r>
      <w:r w:rsidRPr="0099622C">
        <w:rPr>
          <w:rFonts w:ascii="Arial" w:eastAsia="Calibri" w:hAnsi="Arial" w:cs="Arial"/>
          <w:i/>
          <w:iCs/>
          <w:color w:val="000000" w:themeColor="text1"/>
        </w:rPr>
        <w:t>and Preparedness Education, 12</w:t>
      </w:r>
      <w:r w:rsidRPr="0099622C">
        <w:rPr>
          <w:rFonts w:ascii="Arial" w:eastAsia="Calibri" w:hAnsi="Arial" w:cs="Arial"/>
          <w:color w:val="000000" w:themeColor="text1"/>
        </w:rPr>
        <w:t>(4), 278–289.</w:t>
      </w:r>
    </w:p>
    <w:p w14:paraId="10CB7E25" w14:textId="6A1A12CF"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Malto, A. (2021). Disaster risk reduction in higher education: A case study of </w:t>
      </w:r>
      <w:r w:rsidR="00F13F1A">
        <w:rPr>
          <w:rFonts w:ascii="Arial" w:eastAsia="Calibri" w:hAnsi="Arial" w:cs="Arial"/>
          <w:color w:val="000000" w:themeColor="text1"/>
        </w:rPr>
        <w:tab/>
      </w:r>
      <w:r w:rsidRPr="0099622C">
        <w:rPr>
          <w:rFonts w:ascii="Arial" w:eastAsia="Calibri" w:hAnsi="Arial" w:cs="Arial"/>
          <w:color w:val="000000" w:themeColor="text1"/>
        </w:rPr>
        <w:t xml:space="preserve">Philippine universities. </w:t>
      </w:r>
      <w:r w:rsidRPr="0099622C">
        <w:rPr>
          <w:rFonts w:ascii="Arial" w:eastAsia="Calibri" w:hAnsi="Arial" w:cs="Arial"/>
          <w:i/>
          <w:iCs/>
          <w:color w:val="000000" w:themeColor="text1"/>
        </w:rPr>
        <w:t>International Journal of Disaster Risk Science, 12</w:t>
      </w:r>
      <w:r w:rsidRPr="0099622C">
        <w:rPr>
          <w:rFonts w:ascii="Arial" w:eastAsia="Calibri" w:hAnsi="Arial" w:cs="Arial"/>
          <w:color w:val="000000" w:themeColor="text1"/>
        </w:rPr>
        <w:t xml:space="preserve">(1), </w:t>
      </w:r>
      <w:r w:rsidR="00F13F1A">
        <w:rPr>
          <w:rFonts w:ascii="Arial" w:eastAsia="Calibri" w:hAnsi="Arial" w:cs="Arial"/>
          <w:color w:val="000000" w:themeColor="text1"/>
        </w:rPr>
        <w:tab/>
      </w:r>
      <w:r w:rsidRPr="0099622C">
        <w:rPr>
          <w:rFonts w:ascii="Arial" w:eastAsia="Calibri" w:hAnsi="Arial" w:cs="Arial"/>
          <w:color w:val="000000" w:themeColor="text1"/>
        </w:rPr>
        <w:t>45–57.</w:t>
      </w:r>
    </w:p>
    <w:p w14:paraId="69B307A6" w14:textId="245E3B6A"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Martinez, J., Ortiz, P., &amp; Rivera, C. (2024). Simulation-based learning for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Implications for educational policy. </w:t>
      </w:r>
      <w:r w:rsidRPr="0099622C">
        <w:rPr>
          <w:rFonts w:ascii="Arial" w:eastAsia="Calibri" w:hAnsi="Arial" w:cs="Arial"/>
          <w:i/>
          <w:iCs/>
          <w:color w:val="000000" w:themeColor="text1"/>
        </w:rPr>
        <w:t xml:space="preserve">Journal of Safety and </w:t>
      </w:r>
      <w:r w:rsidR="00F13F1A">
        <w:rPr>
          <w:rFonts w:ascii="Arial" w:eastAsia="Calibri" w:hAnsi="Arial" w:cs="Arial"/>
          <w:i/>
          <w:iCs/>
          <w:color w:val="000000" w:themeColor="text1"/>
        </w:rPr>
        <w:tab/>
      </w:r>
      <w:r w:rsidRPr="0099622C">
        <w:rPr>
          <w:rFonts w:ascii="Arial" w:eastAsia="Calibri" w:hAnsi="Arial" w:cs="Arial"/>
          <w:i/>
          <w:iCs/>
          <w:color w:val="000000" w:themeColor="text1"/>
        </w:rPr>
        <w:t>Preparedness, 15</w:t>
      </w:r>
      <w:r w:rsidRPr="0099622C">
        <w:rPr>
          <w:rFonts w:ascii="Arial" w:eastAsia="Calibri" w:hAnsi="Arial" w:cs="Arial"/>
          <w:color w:val="000000" w:themeColor="text1"/>
        </w:rPr>
        <w:t>(1), 67–83.</w:t>
      </w:r>
    </w:p>
    <w:p w14:paraId="14396853" w14:textId="5C45CF48"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lastRenderedPageBreak/>
        <w:t xml:space="preserve">Medina, L., &amp; Dungo, S. (2024). Simulation activities and student preparedness: A </w:t>
      </w:r>
      <w:r w:rsidR="00F13F1A">
        <w:rPr>
          <w:rFonts w:ascii="Arial" w:eastAsia="Calibri" w:hAnsi="Arial" w:cs="Arial"/>
          <w:color w:val="000000" w:themeColor="text1"/>
        </w:rPr>
        <w:tab/>
      </w:r>
      <w:r w:rsidRPr="0099622C">
        <w:rPr>
          <w:rFonts w:ascii="Arial" w:eastAsia="Calibri" w:hAnsi="Arial" w:cs="Arial"/>
          <w:color w:val="000000" w:themeColor="text1"/>
        </w:rPr>
        <w:t xml:space="preserve">quantitative study of Philippine tertiary institutions. </w:t>
      </w:r>
      <w:r w:rsidRPr="0099622C">
        <w:rPr>
          <w:rFonts w:ascii="Arial" w:eastAsia="Calibri" w:hAnsi="Arial" w:cs="Arial"/>
          <w:i/>
          <w:iCs/>
          <w:color w:val="000000" w:themeColor="text1"/>
        </w:rPr>
        <w:t xml:space="preserve">Disaster Preparedness </w:t>
      </w:r>
      <w:r w:rsidR="00F13F1A">
        <w:rPr>
          <w:rFonts w:ascii="Arial" w:eastAsia="Calibri" w:hAnsi="Arial" w:cs="Arial"/>
          <w:i/>
          <w:iCs/>
          <w:color w:val="000000" w:themeColor="text1"/>
        </w:rPr>
        <w:tab/>
      </w:r>
      <w:r w:rsidRPr="0099622C">
        <w:rPr>
          <w:rFonts w:ascii="Arial" w:eastAsia="Calibri" w:hAnsi="Arial" w:cs="Arial"/>
          <w:i/>
          <w:iCs/>
          <w:color w:val="000000" w:themeColor="text1"/>
        </w:rPr>
        <w:t>Education Review, 10</w:t>
      </w:r>
      <w:r w:rsidRPr="0099622C">
        <w:rPr>
          <w:rFonts w:ascii="Arial" w:eastAsia="Calibri" w:hAnsi="Arial" w:cs="Arial"/>
          <w:color w:val="000000" w:themeColor="text1"/>
        </w:rPr>
        <w:t>(2), 92–110.</w:t>
      </w:r>
    </w:p>
    <w:p w14:paraId="7964016E" w14:textId="03321962" w:rsidR="0099622C" w:rsidRPr="0099622C" w:rsidRDefault="0099622C" w:rsidP="0099622C">
      <w:pPr>
        <w:spacing w:after="0" w:line="240" w:lineRule="auto"/>
        <w:jc w:val="both"/>
        <w:rPr>
          <w:rFonts w:ascii="Arial" w:eastAsia="Calibri" w:hAnsi="Arial" w:cs="Arial"/>
        </w:rPr>
      </w:pPr>
      <w:r w:rsidRPr="0099622C">
        <w:rPr>
          <w:rFonts w:ascii="Arial" w:eastAsia="Calibri" w:hAnsi="Arial" w:cs="Arial"/>
          <w:color w:val="000000" w:themeColor="text1"/>
        </w:rPr>
        <w:t xml:space="preserve">Niu, Y., Zhang, Y., Song, X., &amp; Li, J. (2025). A cross-sectional study on household </w:t>
      </w:r>
      <w:r w:rsidR="00F13F1A">
        <w:rPr>
          <w:rFonts w:ascii="Arial" w:eastAsia="Calibri" w:hAnsi="Arial" w:cs="Arial"/>
          <w:color w:val="000000" w:themeColor="text1"/>
        </w:rPr>
        <w:tab/>
      </w:r>
      <w:r w:rsidRPr="0099622C">
        <w:rPr>
          <w:rFonts w:ascii="Arial" w:eastAsia="Calibri" w:hAnsi="Arial" w:cs="Arial"/>
          <w:color w:val="000000" w:themeColor="text1"/>
        </w:rPr>
        <w:t xml:space="preserve">disaster preparedness in China and analysis of its influencing factors. </w:t>
      </w:r>
      <w:r w:rsidRPr="0099622C">
        <w:rPr>
          <w:rFonts w:ascii="Arial" w:eastAsia="Calibri" w:hAnsi="Arial" w:cs="Arial"/>
          <w:i/>
          <w:iCs/>
          <w:color w:val="000000" w:themeColor="text1"/>
        </w:rPr>
        <w:t xml:space="preserve">BMC </w:t>
      </w:r>
      <w:r w:rsidR="00F13F1A">
        <w:rPr>
          <w:rFonts w:ascii="Arial" w:eastAsia="Calibri" w:hAnsi="Arial" w:cs="Arial"/>
          <w:i/>
          <w:iCs/>
          <w:color w:val="000000" w:themeColor="text1"/>
        </w:rPr>
        <w:tab/>
      </w:r>
      <w:r w:rsidRPr="0099622C">
        <w:rPr>
          <w:rFonts w:ascii="Arial" w:eastAsia="Calibri" w:hAnsi="Arial" w:cs="Arial"/>
          <w:i/>
          <w:iCs/>
          <w:color w:val="000000" w:themeColor="text1"/>
        </w:rPr>
        <w:t>Public Health, 25</w:t>
      </w:r>
      <w:r w:rsidRPr="0099622C">
        <w:rPr>
          <w:rFonts w:ascii="Arial" w:eastAsia="Calibri" w:hAnsi="Arial" w:cs="Arial"/>
          <w:color w:val="000000" w:themeColor="text1"/>
        </w:rPr>
        <w:t>, Article 2118.</w:t>
      </w:r>
      <w:r w:rsidRPr="0099622C">
        <w:rPr>
          <w:rFonts w:ascii="Arial" w:eastAsia="Calibri" w:hAnsi="Arial" w:cs="Arial"/>
        </w:rPr>
        <w:t xml:space="preserve"> </w:t>
      </w:r>
      <w:hyperlink r:id="rId7" w:history="1">
        <w:r w:rsidR="00F13F1A" w:rsidRPr="0099622C">
          <w:rPr>
            <w:rStyle w:val="Hyperlink"/>
            <w:rFonts w:ascii="Arial" w:eastAsia="Calibri" w:hAnsi="Arial" w:cs="Arial"/>
            <w:color w:val="auto"/>
            <w:u w:val="none"/>
          </w:rPr>
          <w:t>https://doi.org/10.1186/s12889-025-23281-</w:t>
        </w:r>
        <w:r w:rsidR="00F13F1A" w:rsidRPr="00F13F1A">
          <w:rPr>
            <w:rStyle w:val="Hyperlink"/>
            <w:rFonts w:ascii="Arial" w:eastAsia="Calibri" w:hAnsi="Arial" w:cs="Arial"/>
            <w:color w:val="auto"/>
            <w:u w:val="none"/>
          </w:rPr>
          <w:tab/>
        </w:r>
        <w:r w:rsidR="00F13F1A" w:rsidRPr="0099622C">
          <w:rPr>
            <w:rStyle w:val="Hyperlink"/>
            <w:rFonts w:ascii="Arial" w:eastAsia="Calibri" w:hAnsi="Arial" w:cs="Arial"/>
            <w:color w:val="auto"/>
            <w:u w:val="none"/>
          </w:rPr>
          <w:t>3</w:t>
        </w:r>
      </w:hyperlink>
    </w:p>
    <w:p w14:paraId="0C97CB88" w14:textId="67B09E91"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Park, J., Kim, H., &amp; Lee, S. (2023). Demographic factors influencing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awareness in university students. </w:t>
      </w:r>
      <w:r w:rsidRPr="0099622C">
        <w:rPr>
          <w:rFonts w:ascii="Arial" w:eastAsia="Calibri" w:hAnsi="Arial" w:cs="Arial"/>
          <w:i/>
          <w:iCs/>
          <w:color w:val="000000" w:themeColor="text1"/>
        </w:rPr>
        <w:t xml:space="preserve">Disaster Risk Management Journal, </w:t>
      </w:r>
      <w:r w:rsidR="00F13F1A">
        <w:rPr>
          <w:rFonts w:ascii="Arial" w:eastAsia="Calibri" w:hAnsi="Arial" w:cs="Arial"/>
          <w:i/>
          <w:iCs/>
          <w:color w:val="000000" w:themeColor="text1"/>
        </w:rPr>
        <w:tab/>
      </w:r>
      <w:r w:rsidRPr="0099622C">
        <w:rPr>
          <w:rFonts w:ascii="Arial" w:eastAsia="Calibri" w:hAnsi="Arial" w:cs="Arial"/>
          <w:i/>
          <w:iCs/>
          <w:color w:val="000000" w:themeColor="text1"/>
        </w:rPr>
        <w:t>11</w:t>
      </w:r>
      <w:r w:rsidRPr="0099622C">
        <w:rPr>
          <w:rFonts w:ascii="Arial" w:eastAsia="Calibri" w:hAnsi="Arial" w:cs="Arial"/>
          <w:color w:val="000000" w:themeColor="text1"/>
        </w:rPr>
        <w:t>(3), 185–202.</w:t>
      </w:r>
    </w:p>
    <w:p w14:paraId="3667C98B" w14:textId="4AE5F583"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Patel, R., &amp; Thomas, G. (2023). Barriers to effective disaster preparedness </w:t>
      </w:r>
      <w:r w:rsidR="00F13F1A">
        <w:rPr>
          <w:rFonts w:ascii="Arial" w:eastAsia="Calibri" w:hAnsi="Arial" w:cs="Arial"/>
          <w:color w:val="000000" w:themeColor="text1"/>
        </w:rPr>
        <w:tab/>
      </w:r>
      <w:r w:rsidRPr="0099622C">
        <w:rPr>
          <w:rFonts w:ascii="Arial" w:eastAsia="Calibri" w:hAnsi="Arial" w:cs="Arial"/>
          <w:color w:val="000000" w:themeColor="text1"/>
        </w:rPr>
        <w:t xml:space="preserve">education: A global perspective. </w:t>
      </w:r>
      <w:r w:rsidRPr="0099622C">
        <w:rPr>
          <w:rFonts w:ascii="Arial" w:eastAsia="Calibri" w:hAnsi="Arial" w:cs="Arial"/>
          <w:i/>
          <w:iCs/>
          <w:color w:val="000000" w:themeColor="text1"/>
        </w:rPr>
        <w:t>Journal of Disaster Risk Education, 20</w:t>
      </w:r>
      <w:r w:rsidRPr="0099622C">
        <w:rPr>
          <w:rFonts w:ascii="Arial" w:eastAsia="Calibri" w:hAnsi="Arial" w:cs="Arial"/>
          <w:color w:val="000000" w:themeColor="text1"/>
        </w:rPr>
        <w:t xml:space="preserve">(2), </w:t>
      </w:r>
      <w:r w:rsidR="00F13F1A">
        <w:rPr>
          <w:rFonts w:ascii="Arial" w:eastAsia="Calibri" w:hAnsi="Arial" w:cs="Arial"/>
          <w:color w:val="000000" w:themeColor="text1"/>
        </w:rPr>
        <w:tab/>
      </w:r>
      <w:r w:rsidRPr="0099622C">
        <w:rPr>
          <w:rFonts w:ascii="Arial" w:eastAsia="Calibri" w:hAnsi="Arial" w:cs="Arial"/>
          <w:color w:val="000000" w:themeColor="text1"/>
        </w:rPr>
        <w:t>111–126.</w:t>
      </w:r>
    </w:p>
    <w:p w14:paraId="46ABA89F" w14:textId="75409B18" w:rsidR="0099622C" w:rsidRPr="0099622C" w:rsidRDefault="0099622C" w:rsidP="0099622C">
      <w:pPr>
        <w:spacing w:after="0" w:line="240" w:lineRule="auto"/>
        <w:jc w:val="both"/>
        <w:rPr>
          <w:rFonts w:ascii="Arial" w:eastAsia="Calibri" w:hAnsi="Arial" w:cs="Arial"/>
        </w:rPr>
      </w:pPr>
      <w:r w:rsidRPr="0099622C">
        <w:rPr>
          <w:rFonts w:ascii="Arial" w:eastAsia="Calibri" w:hAnsi="Arial" w:cs="Arial"/>
          <w:color w:val="000000" w:themeColor="text1"/>
        </w:rPr>
        <w:t>Qiu, D., Lv, B., Cui, Y., &amp; Zhan, Z. (2023). The role of response efficacy and self-</w:t>
      </w:r>
      <w:r w:rsidR="00F13F1A">
        <w:rPr>
          <w:rFonts w:ascii="Arial" w:eastAsia="Calibri" w:hAnsi="Arial" w:cs="Arial"/>
          <w:color w:val="000000" w:themeColor="text1"/>
        </w:rPr>
        <w:tab/>
      </w:r>
      <w:r w:rsidRPr="0099622C">
        <w:rPr>
          <w:rFonts w:ascii="Arial" w:eastAsia="Calibri" w:hAnsi="Arial" w:cs="Arial"/>
          <w:color w:val="000000" w:themeColor="text1"/>
        </w:rPr>
        <w:t xml:space="preserve">efficacy in disaster preparedness actions for vulnerable households. </w:t>
      </w:r>
      <w:r w:rsidR="00F13F1A">
        <w:rPr>
          <w:rFonts w:ascii="Arial" w:eastAsia="Calibri" w:hAnsi="Arial" w:cs="Arial"/>
          <w:color w:val="000000" w:themeColor="text1"/>
        </w:rPr>
        <w:tab/>
      </w:r>
      <w:r w:rsidRPr="0099622C">
        <w:rPr>
          <w:rFonts w:ascii="Arial" w:eastAsia="Calibri" w:hAnsi="Arial" w:cs="Arial"/>
          <w:i/>
          <w:iCs/>
          <w:color w:val="000000" w:themeColor="text1"/>
        </w:rPr>
        <w:t xml:space="preserve">Natural </w:t>
      </w:r>
      <w:r w:rsidRPr="0099622C">
        <w:rPr>
          <w:rFonts w:ascii="Arial" w:eastAsia="Calibri" w:hAnsi="Arial" w:cs="Arial"/>
          <w:i/>
          <w:iCs/>
        </w:rPr>
        <w:t>Hazards and Earth System Sciences, 23</w:t>
      </w:r>
      <w:r w:rsidRPr="0099622C">
        <w:rPr>
          <w:rFonts w:ascii="Arial" w:eastAsia="Calibri" w:hAnsi="Arial" w:cs="Arial"/>
        </w:rPr>
        <w:t xml:space="preserve">, 3789–3803. </w:t>
      </w:r>
      <w:r w:rsidR="00F13F1A">
        <w:rPr>
          <w:rFonts w:ascii="Arial" w:eastAsia="Calibri" w:hAnsi="Arial" w:cs="Arial"/>
        </w:rPr>
        <w:tab/>
      </w:r>
      <w:hyperlink r:id="rId8" w:history="1">
        <w:r w:rsidR="00F13F1A" w:rsidRPr="0099622C">
          <w:rPr>
            <w:rStyle w:val="Hyperlink"/>
            <w:rFonts w:ascii="Arial" w:eastAsia="Calibri" w:hAnsi="Arial" w:cs="Arial"/>
            <w:color w:val="auto"/>
            <w:u w:val="none"/>
          </w:rPr>
          <w:t>https://doi.org/10.5194/nhess-23-3789-2023</w:t>
        </w:r>
      </w:hyperlink>
    </w:p>
    <w:p w14:paraId="4270AE68" w14:textId="66028678"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Reyes, M., Santos, A., &amp; Cruz, J. (2023). The impact of disaster preparedness </w:t>
      </w:r>
      <w:r w:rsidR="00F13F1A">
        <w:rPr>
          <w:rFonts w:ascii="Arial" w:eastAsia="Calibri" w:hAnsi="Arial" w:cs="Arial"/>
          <w:color w:val="000000" w:themeColor="text1"/>
        </w:rPr>
        <w:tab/>
      </w:r>
      <w:r w:rsidRPr="0099622C">
        <w:rPr>
          <w:rFonts w:ascii="Arial" w:eastAsia="Calibri" w:hAnsi="Arial" w:cs="Arial"/>
          <w:color w:val="000000" w:themeColor="text1"/>
        </w:rPr>
        <w:t xml:space="preserve">training on student resilience and response. </w:t>
      </w:r>
      <w:r w:rsidRPr="0099622C">
        <w:rPr>
          <w:rFonts w:ascii="Arial" w:eastAsia="Calibri" w:hAnsi="Arial" w:cs="Arial"/>
          <w:i/>
          <w:iCs/>
          <w:color w:val="000000" w:themeColor="text1"/>
        </w:rPr>
        <w:t xml:space="preserve">Educational Preparedness and </w:t>
      </w:r>
      <w:r w:rsidR="00F13F1A">
        <w:rPr>
          <w:rFonts w:ascii="Arial" w:eastAsia="Calibri" w:hAnsi="Arial" w:cs="Arial"/>
          <w:i/>
          <w:iCs/>
          <w:color w:val="000000" w:themeColor="text1"/>
        </w:rPr>
        <w:tab/>
      </w:r>
      <w:r w:rsidRPr="0099622C">
        <w:rPr>
          <w:rFonts w:ascii="Arial" w:eastAsia="Calibri" w:hAnsi="Arial" w:cs="Arial"/>
          <w:i/>
          <w:iCs/>
          <w:color w:val="000000" w:themeColor="text1"/>
        </w:rPr>
        <w:t>Safety Review, 14</w:t>
      </w:r>
      <w:r w:rsidRPr="0099622C">
        <w:rPr>
          <w:rFonts w:ascii="Arial" w:eastAsia="Calibri" w:hAnsi="Arial" w:cs="Arial"/>
          <w:color w:val="000000" w:themeColor="text1"/>
        </w:rPr>
        <w:t>(3), 145–162.</w:t>
      </w:r>
    </w:p>
    <w:p w14:paraId="77DFB308" w14:textId="79EEB2F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Roberts, L. (2025). Technology-enhanced disaster preparedness in educational </w:t>
      </w:r>
      <w:r w:rsidR="00F13F1A">
        <w:rPr>
          <w:rFonts w:ascii="Arial" w:eastAsia="Calibri" w:hAnsi="Arial" w:cs="Arial"/>
          <w:color w:val="000000" w:themeColor="text1"/>
        </w:rPr>
        <w:tab/>
      </w:r>
      <w:r w:rsidRPr="0099622C">
        <w:rPr>
          <w:rFonts w:ascii="Arial" w:eastAsia="Calibri" w:hAnsi="Arial" w:cs="Arial"/>
          <w:color w:val="000000" w:themeColor="text1"/>
        </w:rPr>
        <w:t xml:space="preserve">settings: A comprehensive review. </w:t>
      </w:r>
      <w:r w:rsidRPr="0099622C">
        <w:rPr>
          <w:rFonts w:ascii="Arial" w:eastAsia="Calibri" w:hAnsi="Arial" w:cs="Arial"/>
          <w:i/>
          <w:iCs/>
          <w:color w:val="000000" w:themeColor="text1"/>
        </w:rPr>
        <w:t xml:space="preserve">Technology and Disaster Preparedness </w:t>
      </w:r>
      <w:r w:rsidR="00F13F1A">
        <w:rPr>
          <w:rFonts w:ascii="Arial" w:eastAsia="Calibri" w:hAnsi="Arial" w:cs="Arial"/>
          <w:i/>
          <w:iCs/>
          <w:color w:val="000000" w:themeColor="text1"/>
        </w:rPr>
        <w:tab/>
      </w:r>
      <w:r w:rsidRPr="0099622C">
        <w:rPr>
          <w:rFonts w:ascii="Arial" w:eastAsia="Calibri" w:hAnsi="Arial" w:cs="Arial"/>
          <w:i/>
          <w:iCs/>
          <w:color w:val="000000" w:themeColor="text1"/>
        </w:rPr>
        <w:t>Journal, 23</w:t>
      </w:r>
      <w:r w:rsidRPr="0099622C">
        <w:rPr>
          <w:rFonts w:ascii="Arial" w:eastAsia="Calibri" w:hAnsi="Arial" w:cs="Arial"/>
          <w:color w:val="000000" w:themeColor="text1"/>
        </w:rPr>
        <w:t>(1), 55–70.</w:t>
      </w:r>
    </w:p>
    <w:p w14:paraId="5BE41F48" w14:textId="046ECA90"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Singh, P., Arora, S., &amp; Verma, R. (2022). Disaster preparedness and response in </w:t>
      </w:r>
      <w:r w:rsidR="00F13F1A">
        <w:rPr>
          <w:rFonts w:ascii="Arial" w:eastAsia="Calibri" w:hAnsi="Arial" w:cs="Arial"/>
          <w:color w:val="000000" w:themeColor="text1"/>
        </w:rPr>
        <w:tab/>
      </w:r>
      <w:r w:rsidRPr="0099622C">
        <w:rPr>
          <w:rFonts w:ascii="Arial" w:eastAsia="Calibri" w:hAnsi="Arial" w:cs="Arial"/>
          <w:color w:val="000000" w:themeColor="text1"/>
        </w:rPr>
        <w:t xml:space="preserve">academic institutions: Best practices and lessons learned. </w:t>
      </w:r>
      <w:r w:rsidRPr="0099622C">
        <w:rPr>
          <w:rFonts w:ascii="Arial" w:eastAsia="Calibri" w:hAnsi="Arial" w:cs="Arial"/>
          <w:i/>
          <w:iCs/>
          <w:color w:val="000000" w:themeColor="text1"/>
        </w:rPr>
        <w:t xml:space="preserve">Journal of Risk </w:t>
      </w:r>
      <w:r w:rsidR="00F13F1A">
        <w:rPr>
          <w:rFonts w:ascii="Arial" w:eastAsia="Calibri" w:hAnsi="Arial" w:cs="Arial"/>
          <w:i/>
          <w:iCs/>
          <w:color w:val="000000" w:themeColor="text1"/>
        </w:rPr>
        <w:tab/>
      </w:r>
      <w:r w:rsidRPr="0099622C">
        <w:rPr>
          <w:rFonts w:ascii="Arial" w:eastAsia="Calibri" w:hAnsi="Arial" w:cs="Arial"/>
          <w:i/>
          <w:iCs/>
          <w:color w:val="000000" w:themeColor="text1"/>
        </w:rPr>
        <w:t>Management in Education, 15</w:t>
      </w:r>
      <w:r w:rsidRPr="0099622C">
        <w:rPr>
          <w:rFonts w:ascii="Arial" w:eastAsia="Calibri" w:hAnsi="Arial" w:cs="Arial"/>
          <w:color w:val="000000" w:themeColor="text1"/>
        </w:rPr>
        <w:t>(1), 78–94.</w:t>
      </w:r>
    </w:p>
    <w:p w14:paraId="59910437" w14:textId="07C92D42"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Smith, J., &amp; Lee, T. (2021). The influence of teacher education on disaster </w:t>
      </w:r>
      <w:r w:rsidR="00F13F1A">
        <w:rPr>
          <w:rFonts w:ascii="Arial" w:eastAsia="Calibri" w:hAnsi="Arial" w:cs="Arial"/>
          <w:color w:val="000000" w:themeColor="text1"/>
        </w:rPr>
        <w:tab/>
      </w:r>
      <w:r w:rsidRPr="0099622C">
        <w:rPr>
          <w:rFonts w:ascii="Arial" w:eastAsia="Calibri" w:hAnsi="Arial" w:cs="Arial"/>
          <w:color w:val="000000" w:themeColor="text1"/>
        </w:rPr>
        <w:t xml:space="preserve">preparedness in schools. </w:t>
      </w:r>
      <w:r w:rsidRPr="0099622C">
        <w:rPr>
          <w:rFonts w:ascii="Arial" w:eastAsia="Calibri" w:hAnsi="Arial" w:cs="Arial"/>
          <w:i/>
          <w:iCs/>
          <w:color w:val="000000" w:themeColor="text1"/>
        </w:rPr>
        <w:t xml:space="preserve">Journal of Education and Disaster Risk </w:t>
      </w:r>
      <w:r w:rsidR="00F13F1A">
        <w:rPr>
          <w:rFonts w:ascii="Arial" w:eastAsia="Calibri" w:hAnsi="Arial" w:cs="Arial"/>
          <w:i/>
          <w:iCs/>
          <w:color w:val="000000" w:themeColor="text1"/>
        </w:rPr>
        <w:tab/>
      </w:r>
      <w:r w:rsidRPr="0099622C">
        <w:rPr>
          <w:rFonts w:ascii="Arial" w:eastAsia="Calibri" w:hAnsi="Arial" w:cs="Arial"/>
          <w:i/>
          <w:iCs/>
          <w:color w:val="000000" w:themeColor="text1"/>
        </w:rPr>
        <w:t>Management, 9</w:t>
      </w:r>
      <w:r w:rsidRPr="0099622C">
        <w:rPr>
          <w:rFonts w:ascii="Arial" w:eastAsia="Calibri" w:hAnsi="Arial" w:cs="Arial"/>
          <w:color w:val="000000" w:themeColor="text1"/>
        </w:rPr>
        <w:t>(3), 120–134.</w:t>
      </w:r>
    </w:p>
    <w:p w14:paraId="2B5BA3E0" w14:textId="05EDBA76" w:rsidR="0099622C" w:rsidRPr="0099622C" w:rsidRDefault="0099622C" w:rsidP="0099622C">
      <w:pPr>
        <w:spacing w:after="0" w:line="240" w:lineRule="auto"/>
        <w:jc w:val="both"/>
        <w:rPr>
          <w:rFonts w:ascii="Arial" w:eastAsia="Calibri" w:hAnsi="Arial" w:cs="Arial"/>
          <w:color w:val="000000" w:themeColor="text1"/>
        </w:rPr>
      </w:pPr>
      <w:r w:rsidRPr="0099622C">
        <w:rPr>
          <w:rFonts w:ascii="Arial" w:eastAsia="Calibri" w:hAnsi="Arial" w:cs="Arial"/>
          <w:color w:val="000000" w:themeColor="text1"/>
        </w:rPr>
        <w:t xml:space="preserve">Suanco, J. J., Mabuyo, A. J. M., &amp; Dela Rosa, F. J. A. (2023). Exploring preservice </w:t>
      </w:r>
      <w:r w:rsidR="00F13F1A">
        <w:rPr>
          <w:rFonts w:ascii="Arial" w:eastAsia="Calibri" w:hAnsi="Arial" w:cs="Arial"/>
          <w:color w:val="000000" w:themeColor="text1"/>
        </w:rPr>
        <w:tab/>
      </w:r>
      <w:r w:rsidRPr="0099622C">
        <w:rPr>
          <w:rFonts w:ascii="Arial" w:eastAsia="Calibri" w:hAnsi="Arial" w:cs="Arial"/>
          <w:color w:val="000000" w:themeColor="text1"/>
        </w:rPr>
        <w:t xml:space="preserve">teachers’ concept and experience on disaster risk reduction management: </w:t>
      </w:r>
      <w:r w:rsidR="00F13F1A">
        <w:rPr>
          <w:rFonts w:ascii="Arial" w:eastAsia="Calibri" w:hAnsi="Arial" w:cs="Arial"/>
          <w:color w:val="000000" w:themeColor="text1"/>
        </w:rPr>
        <w:tab/>
      </w:r>
      <w:r w:rsidRPr="0099622C">
        <w:rPr>
          <w:rFonts w:ascii="Arial" w:eastAsia="Calibri" w:hAnsi="Arial" w:cs="Arial"/>
          <w:color w:val="000000" w:themeColor="text1"/>
        </w:rPr>
        <w:t xml:space="preserve">The case of one teacher education institution in the Philippines. </w:t>
      </w:r>
      <w:r w:rsidRPr="0099622C">
        <w:rPr>
          <w:rFonts w:ascii="Arial" w:eastAsia="Calibri" w:hAnsi="Arial" w:cs="Arial"/>
          <w:i/>
          <w:iCs/>
          <w:color w:val="000000" w:themeColor="text1"/>
        </w:rPr>
        <w:t xml:space="preserve">Journal of </w:t>
      </w:r>
      <w:r w:rsidR="00F13F1A">
        <w:rPr>
          <w:rFonts w:ascii="Arial" w:eastAsia="Calibri" w:hAnsi="Arial" w:cs="Arial"/>
          <w:i/>
          <w:iCs/>
          <w:color w:val="000000" w:themeColor="text1"/>
        </w:rPr>
        <w:tab/>
      </w:r>
      <w:r w:rsidRPr="0099622C">
        <w:rPr>
          <w:rFonts w:ascii="Arial" w:eastAsia="Calibri" w:hAnsi="Arial" w:cs="Arial"/>
          <w:i/>
          <w:iCs/>
          <w:color w:val="000000" w:themeColor="text1"/>
        </w:rPr>
        <w:t xml:space="preserve">Community Development Research (Humanities and Social Sciences), </w:t>
      </w:r>
      <w:r w:rsidR="00F13F1A">
        <w:rPr>
          <w:rFonts w:ascii="Arial" w:eastAsia="Calibri" w:hAnsi="Arial" w:cs="Arial"/>
          <w:i/>
          <w:iCs/>
          <w:color w:val="000000" w:themeColor="text1"/>
        </w:rPr>
        <w:tab/>
      </w:r>
      <w:r w:rsidRPr="0099622C">
        <w:rPr>
          <w:rFonts w:ascii="Arial" w:eastAsia="Calibri" w:hAnsi="Arial" w:cs="Arial"/>
          <w:i/>
          <w:iCs/>
          <w:color w:val="000000" w:themeColor="text1"/>
        </w:rPr>
        <w:t>16</w:t>
      </w:r>
      <w:r w:rsidRPr="0099622C">
        <w:rPr>
          <w:rFonts w:ascii="Arial" w:eastAsia="Calibri" w:hAnsi="Arial" w:cs="Arial"/>
          <w:color w:val="000000" w:themeColor="text1"/>
        </w:rPr>
        <w:t>(4).</w:t>
      </w:r>
    </w:p>
    <w:p w14:paraId="18307546" w14:textId="77777777" w:rsidR="0099622C" w:rsidRPr="0099622C" w:rsidRDefault="0099622C" w:rsidP="0099622C">
      <w:pPr>
        <w:spacing w:after="0" w:line="240" w:lineRule="auto"/>
        <w:jc w:val="both"/>
        <w:rPr>
          <w:rFonts w:ascii="Arial" w:eastAsia="Calibri" w:hAnsi="Arial" w:cs="Arial"/>
          <w:b/>
          <w:bCs/>
          <w:color w:val="000000" w:themeColor="text1"/>
        </w:rPr>
      </w:pPr>
    </w:p>
    <w:p w14:paraId="160FB4D5" w14:textId="77777777" w:rsidR="0099622C" w:rsidRPr="0099622C" w:rsidRDefault="0099622C" w:rsidP="0099622C">
      <w:pPr>
        <w:spacing w:after="0" w:line="240" w:lineRule="auto"/>
        <w:jc w:val="both"/>
        <w:rPr>
          <w:rFonts w:ascii="Arial" w:eastAsia="Calibri" w:hAnsi="Arial" w:cs="Arial"/>
          <w:b/>
          <w:bCs/>
          <w:color w:val="000000" w:themeColor="text1"/>
        </w:rPr>
      </w:pPr>
    </w:p>
    <w:p w14:paraId="7398FDE8" w14:textId="77777777" w:rsidR="0099622C" w:rsidRPr="0099622C" w:rsidRDefault="0099622C" w:rsidP="0099622C">
      <w:pPr>
        <w:spacing w:after="0" w:line="240" w:lineRule="auto"/>
        <w:jc w:val="both"/>
        <w:rPr>
          <w:rFonts w:ascii="Arial" w:eastAsia="Calibri" w:hAnsi="Arial" w:cs="Arial"/>
          <w:color w:val="000000" w:themeColor="text1"/>
          <w:lang w:val="en-US"/>
        </w:rPr>
      </w:pPr>
    </w:p>
    <w:p w14:paraId="2380AE45" w14:textId="77777777" w:rsidR="0099622C" w:rsidRDefault="0099622C" w:rsidP="008F45DF">
      <w:pPr>
        <w:spacing w:after="0" w:line="240" w:lineRule="auto"/>
        <w:jc w:val="both"/>
        <w:rPr>
          <w:rFonts w:ascii="Arial" w:eastAsia="Calibri" w:hAnsi="Arial" w:cs="Arial"/>
          <w:color w:val="000000" w:themeColor="text1"/>
          <w:lang w:val="en-US"/>
        </w:rPr>
      </w:pPr>
    </w:p>
    <w:p w14:paraId="3689F8AB" w14:textId="77777777" w:rsidR="00B31C9F" w:rsidRDefault="00B31C9F" w:rsidP="006D13D8">
      <w:pPr>
        <w:spacing w:after="0" w:line="240" w:lineRule="auto"/>
        <w:rPr>
          <w:rFonts w:ascii="Arial" w:eastAsia="Calibri" w:hAnsi="Arial" w:cs="Arial"/>
          <w:color w:val="000000" w:themeColor="text1"/>
          <w:lang w:val="en-US"/>
        </w:rPr>
      </w:pPr>
    </w:p>
    <w:p w14:paraId="0A8254BD" w14:textId="0586CF1F" w:rsidR="006D13D8" w:rsidRDefault="003F2F38" w:rsidP="0099622C">
      <w:pPr>
        <w:spacing w:after="0" w:line="240" w:lineRule="auto"/>
        <w:jc w:val="both"/>
        <w:rPr>
          <w:rFonts w:ascii="Arial" w:eastAsia="Calibri" w:hAnsi="Arial" w:cs="Arial"/>
          <w:color w:val="000000" w:themeColor="text1"/>
          <w:lang w:val="en-US"/>
        </w:rPr>
      </w:pPr>
      <w:r>
        <w:rPr>
          <w:rFonts w:ascii="Arial" w:eastAsia="Calibri" w:hAnsi="Arial" w:cs="Arial"/>
          <w:color w:val="000000" w:themeColor="text1"/>
          <w:lang w:val="en-US"/>
        </w:rPr>
        <w:tab/>
      </w:r>
    </w:p>
    <w:p w14:paraId="087BAA10" w14:textId="77777777" w:rsidR="0099622C" w:rsidRDefault="0099622C" w:rsidP="0099622C">
      <w:pPr>
        <w:pStyle w:val="ListParagraph"/>
        <w:spacing w:after="0" w:line="240" w:lineRule="auto"/>
        <w:ind w:hanging="294"/>
        <w:jc w:val="both"/>
        <w:rPr>
          <w:rFonts w:ascii="Arial" w:hAnsi="Arial" w:cs="Arial"/>
          <w:b/>
          <w:bCs/>
          <w:color w:val="000000" w:themeColor="text1"/>
        </w:rPr>
      </w:pPr>
    </w:p>
    <w:sectPr w:rsidR="0099622C" w:rsidSect="003E0DFB">
      <w:type w:val="continuous"/>
      <w:pgSz w:w="12240" w:h="15840" w:code="1"/>
      <w:pgMar w:top="1440" w:right="1440" w:bottom="1440" w:left="21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D2B89"/>
    <w:multiLevelType w:val="multilevel"/>
    <w:tmpl w:val="600D2B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689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40E"/>
    <w:rsid w:val="00104044"/>
    <w:rsid w:val="0022384F"/>
    <w:rsid w:val="0027533B"/>
    <w:rsid w:val="002F4FEE"/>
    <w:rsid w:val="003E0DFB"/>
    <w:rsid w:val="003F2F38"/>
    <w:rsid w:val="00401591"/>
    <w:rsid w:val="00414A4C"/>
    <w:rsid w:val="0045361B"/>
    <w:rsid w:val="00492EDF"/>
    <w:rsid w:val="00494330"/>
    <w:rsid w:val="004E3D96"/>
    <w:rsid w:val="004F1298"/>
    <w:rsid w:val="00500E0A"/>
    <w:rsid w:val="0050576D"/>
    <w:rsid w:val="0052531A"/>
    <w:rsid w:val="00570E19"/>
    <w:rsid w:val="00577764"/>
    <w:rsid w:val="00594C06"/>
    <w:rsid w:val="00635E70"/>
    <w:rsid w:val="0064476B"/>
    <w:rsid w:val="0068250D"/>
    <w:rsid w:val="00697A4D"/>
    <w:rsid w:val="006D13D8"/>
    <w:rsid w:val="00751DE1"/>
    <w:rsid w:val="007F4250"/>
    <w:rsid w:val="007F6275"/>
    <w:rsid w:val="00853277"/>
    <w:rsid w:val="008548F7"/>
    <w:rsid w:val="00863BE6"/>
    <w:rsid w:val="0088568C"/>
    <w:rsid w:val="008A03B1"/>
    <w:rsid w:val="008C0921"/>
    <w:rsid w:val="008E1DF8"/>
    <w:rsid w:val="008F45DF"/>
    <w:rsid w:val="00983FC2"/>
    <w:rsid w:val="0099622C"/>
    <w:rsid w:val="009B07B8"/>
    <w:rsid w:val="009B1271"/>
    <w:rsid w:val="00A444E9"/>
    <w:rsid w:val="00B31C9F"/>
    <w:rsid w:val="00B47EA6"/>
    <w:rsid w:val="00B6428A"/>
    <w:rsid w:val="00B674D6"/>
    <w:rsid w:val="00BC340E"/>
    <w:rsid w:val="00C21127"/>
    <w:rsid w:val="00C535ED"/>
    <w:rsid w:val="00C62E2D"/>
    <w:rsid w:val="00D13DC5"/>
    <w:rsid w:val="00D247A1"/>
    <w:rsid w:val="00D91858"/>
    <w:rsid w:val="00D9549B"/>
    <w:rsid w:val="00DA72E3"/>
    <w:rsid w:val="00DB32C4"/>
    <w:rsid w:val="00DE69E3"/>
    <w:rsid w:val="00E2663F"/>
    <w:rsid w:val="00E66655"/>
    <w:rsid w:val="00EF4F5C"/>
    <w:rsid w:val="00F13F1A"/>
    <w:rsid w:val="00F352DC"/>
    <w:rsid w:val="00F40DB6"/>
    <w:rsid w:val="00F62358"/>
    <w:rsid w:val="00F920FF"/>
    <w:rsid w:val="00FD25A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E74"/>
  <w15:chartTrackingRefBased/>
  <w15:docId w15:val="{F55C3127-41B7-421A-B899-9FDF33FE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40E"/>
  </w:style>
  <w:style w:type="paragraph" w:styleId="Heading1">
    <w:name w:val="heading 1"/>
    <w:basedOn w:val="Normal"/>
    <w:next w:val="Normal"/>
    <w:link w:val="Heading1Char"/>
    <w:uiPriority w:val="9"/>
    <w:qFormat/>
    <w:rsid w:val="00BC3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C3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40E"/>
    <w:rPr>
      <w:rFonts w:eastAsiaTheme="majorEastAsia" w:cstheme="majorBidi"/>
      <w:color w:val="272727" w:themeColor="text1" w:themeTint="D8"/>
    </w:rPr>
  </w:style>
  <w:style w:type="paragraph" w:styleId="Title">
    <w:name w:val="Title"/>
    <w:basedOn w:val="Normal"/>
    <w:next w:val="Normal"/>
    <w:link w:val="TitleChar"/>
    <w:uiPriority w:val="10"/>
    <w:qFormat/>
    <w:rsid w:val="00BC3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40E"/>
    <w:pPr>
      <w:spacing w:before="160"/>
      <w:jc w:val="center"/>
    </w:pPr>
    <w:rPr>
      <w:i/>
      <w:iCs/>
      <w:color w:val="404040" w:themeColor="text1" w:themeTint="BF"/>
    </w:rPr>
  </w:style>
  <w:style w:type="character" w:customStyle="1" w:styleId="QuoteChar">
    <w:name w:val="Quote Char"/>
    <w:basedOn w:val="DefaultParagraphFont"/>
    <w:link w:val="Quote"/>
    <w:uiPriority w:val="29"/>
    <w:rsid w:val="00BC340E"/>
    <w:rPr>
      <w:i/>
      <w:iCs/>
      <w:color w:val="404040" w:themeColor="text1" w:themeTint="BF"/>
    </w:rPr>
  </w:style>
  <w:style w:type="paragraph" w:styleId="ListParagraph">
    <w:name w:val="List Paragraph"/>
    <w:basedOn w:val="Normal"/>
    <w:uiPriority w:val="34"/>
    <w:qFormat/>
    <w:rsid w:val="00BC340E"/>
    <w:pPr>
      <w:ind w:left="720"/>
      <w:contextualSpacing/>
    </w:pPr>
  </w:style>
  <w:style w:type="character" w:styleId="IntenseEmphasis">
    <w:name w:val="Intense Emphasis"/>
    <w:basedOn w:val="DefaultParagraphFont"/>
    <w:uiPriority w:val="21"/>
    <w:qFormat/>
    <w:rsid w:val="00BC340E"/>
    <w:rPr>
      <w:i/>
      <w:iCs/>
      <w:color w:val="2F5496" w:themeColor="accent1" w:themeShade="BF"/>
    </w:rPr>
  </w:style>
  <w:style w:type="paragraph" w:styleId="IntenseQuote">
    <w:name w:val="Intense Quote"/>
    <w:basedOn w:val="Normal"/>
    <w:next w:val="Normal"/>
    <w:link w:val="IntenseQuoteChar"/>
    <w:uiPriority w:val="30"/>
    <w:qFormat/>
    <w:rsid w:val="00BC3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40E"/>
    <w:rPr>
      <w:i/>
      <w:iCs/>
      <w:color w:val="2F5496" w:themeColor="accent1" w:themeShade="BF"/>
    </w:rPr>
  </w:style>
  <w:style w:type="character" w:styleId="IntenseReference">
    <w:name w:val="Intense Reference"/>
    <w:basedOn w:val="DefaultParagraphFont"/>
    <w:uiPriority w:val="32"/>
    <w:qFormat/>
    <w:rsid w:val="00BC340E"/>
    <w:rPr>
      <w:b/>
      <w:bCs/>
      <w:smallCaps/>
      <w:color w:val="2F5496" w:themeColor="accent1" w:themeShade="BF"/>
      <w:spacing w:val="5"/>
    </w:rPr>
  </w:style>
  <w:style w:type="paragraph" w:styleId="NoSpacing">
    <w:name w:val="No Spacing"/>
    <w:uiPriority w:val="1"/>
    <w:qFormat/>
    <w:rsid w:val="00BC340E"/>
    <w:pPr>
      <w:spacing w:after="0" w:line="240" w:lineRule="auto"/>
    </w:pPr>
  </w:style>
  <w:style w:type="paragraph" w:styleId="BodyText">
    <w:name w:val="Body Text"/>
    <w:basedOn w:val="Normal"/>
    <w:link w:val="BodyTextChar"/>
    <w:uiPriority w:val="99"/>
    <w:unhideWhenUsed/>
    <w:qFormat/>
    <w:rsid w:val="00853277"/>
    <w:pPr>
      <w:spacing w:after="120"/>
    </w:pPr>
  </w:style>
  <w:style w:type="character" w:customStyle="1" w:styleId="BodyTextChar">
    <w:name w:val="Body Text Char"/>
    <w:basedOn w:val="DefaultParagraphFont"/>
    <w:link w:val="BodyText"/>
    <w:uiPriority w:val="99"/>
    <w:qFormat/>
    <w:rsid w:val="00853277"/>
  </w:style>
  <w:style w:type="table" w:styleId="TableGrid">
    <w:name w:val="Table Grid"/>
    <w:basedOn w:val="TableNormal"/>
    <w:uiPriority w:val="39"/>
    <w:qFormat/>
    <w:rsid w:val="00853277"/>
    <w:pPr>
      <w:spacing w:after="0" w:line="240" w:lineRule="auto"/>
    </w:pPr>
    <w:rPr>
      <w:kern w:val="0"/>
      <w:sz w:val="22"/>
      <w:szCs w:val="22"/>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853277"/>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cf01">
    <w:name w:val="cf01"/>
    <w:basedOn w:val="DefaultParagraphFont"/>
    <w:qFormat/>
    <w:rsid w:val="00853277"/>
    <w:rPr>
      <w:rFonts w:ascii="Segoe UI" w:hAnsi="Segoe UI" w:cs="Segoe UI" w:hint="default"/>
      <w:sz w:val="18"/>
      <w:szCs w:val="18"/>
    </w:rPr>
  </w:style>
  <w:style w:type="character" w:styleId="Emphasis">
    <w:name w:val="Emphasis"/>
    <w:basedOn w:val="DefaultParagraphFont"/>
    <w:uiPriority w:val="20"/>
    <w:qFormat/>
    <w:rsid w:val="00C62E2D"/>
    <w:rPr>
      <w:i/>
      <w:iCs/>
    </w:rPr>
  </w:style>
  <w:style w:type="paragraph" w:styleId="NormalWeb">
    <w:name w:val="Normal (Web)"/>
    <w:basedOn w:val="Normal"/>
    <w:uiPriority w:val="99"/>
    <w:unhideWhenUsed/>
    <w:qFormat/>
    <w:rsid w:val="00C62E2D"/>
    <w:rPr>
      <w:rFonts w:ascii="Times New Roman" w:hAnsi="Times New Roman" w:cs="Times New Roman"/>
    </w:rPr>
  </w:style>
  <w:style w:type="character" w:styleId="Hyperlink">
    <w:name w:val="Hyperlink"/>
    <w:basedOn w:val="DefaultParagraphFont"/>
    <w:uiPriority w:val="99"/>
    <w:unhideWhenUsed/>
    <w:qFormat/>
    <w:rsid w:val="00697A4D"/>
    <w:rPr>
      <w:color w:val="0563C1" w:themeColor="hyperlink"/>
      <w:u w:val="single"/>
    </w:rPr>
  </w:style>
  <w:style w:type="character" w:styleId="UnresolvedMention">
    <w:name w:val="Unresolved Mention"/>
    <w:basedOn w:val="DefaultParagraphFont"/>
    <w:uiPriority w:val="99"/>
    <w:semiHidden/>
    <w:unhideWhenUsed/>
    <w:rsid w:val="00F6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94/nhess-23-3789-2023" TargetMode="External"/><Relationship Id="rId3" Type="http://schemas.openxmlformats.org/officeDocument/2006/relationships/styles" Target="styles.xml"/><Relationship Id="rId7" Type="http://schemas.openxmlformats.org/officeDocument/2006/relationships/hyperlink" Target="https://doi.org/10.1186/s12889-025-23281-%0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ijdrr.2023.10248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2AB04-FE11-4D32-A3D5-D0FE836C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17</Pages>
  <Words>6262</Words>
  <Characters>35699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CPSC-D156@hotmail.com</dc:creator>
  <cp:keywords/>
  <dc:description/>
  <cp:lastModifiedBy>theaisha1707@gmail.com</cp:lastModifiedBy>
  <cp:revision>24</cp:revision>
  <cp:lastPrinted>2025-12-09T09:05:00Z</cp:lastPrinted>
  <dcterms:created xsi:type="dcterms:W3CDTF">2025-12-07T22:51:00Z</dcterms:created>
  <dcterms:modified xsi:type="dcterms:W3CDTF">2026-03-19T06:30:00Z</dcterms:modified>
</cp:coreProperties>
</file>